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91BA" w14:textId="77777777" w:rsidR="000C6BE9" w:rsidRDefault="000C6BE9" w:rsidP="000C6BE9">
      <w:pPr>
        <w:pStyle w:val="Sinespaciado"/>
        <w:jc w:val="center"/>
        <w:rPr>
          <w:rFonts w:ascii="Arial" w:hAnsi="Arial" w:cs="Arial"/>
          <w:b/>
        </w:rPr>
      </w:pPr>
      <w:r>
        <w:rPr>
          <w:rFonts w:ascii="Arial" w:hAnsi="Arial" w:cs="Arial"/>
          <w:b/>
        </w:rPr>
        <w:t>INFORME DE SEGUIMIENTO</w:t>
      </w:r>
    </w:p>
    <w:p w14:paraId="013E86B5" w14:textId="77777777" w:rsidR="000C6BE9" w:rsidRDefault="000C6BE9" w:rsidP="000C6BE9">
      <w:pPr>
        <w:jc w:val="both"/>
        <w:rPr>
          <w:rFonts w:cs="Arial"/>
          <w:szCs w:val="22"/>
          <w:lang w:val="es-CO"/>
        </w:rPr>
      </w:pPr>
    </w:p>
    <w:tbl>
      <w:tblPr>
        <w:tblStyle w:val="Tablaconcuadrcula"/>
        <w:tblW w:w="5000" w:type="pct"/>
        <w:tblBorders>
          <w:insideH w:val="single" w:sz="6" w:space="0" w:color="auto"/>
          <w:insideV w:val="single" w:sz="6" w:space="0" w:color="auto"/>
        </w:tblBorders>
        <w:shd w:val="clear" w:color="auto" w:fill="FFC000"/>
        <w:tblLook w:val="04A0" w:firstRow="1" w:lastRow="0" w:firstColumn="1" w:lastColumn="0" w:noHBand="0" w:noVBand="1"/>
      </w:tblPr>
      <w:tblGrid>
        <w:gridCol w:w="2950"/>
        <w:gridCol w:w="5878"/>
      </w:tblGrid>
      <w:tr w:rsidR="00FD66D2" w14:paraId="5AFA2A4A" w14:textId="77777777" w:rsidTr="00FD66D2">
        <w:tc>
          <w:tcPr>
            <w:tcW w:w="1671" w:type="pct"/>
            <w:tcBorders>
              <w:top w:val="single" w:sz="4" w:space="0" w:color="auto"/>
              <w:left w:val="single" w:sz="4" w:space="0" w:color="auto"/>
              <w:bottom w:val="single" w:sz="6" w:space="0" w:color="auto"/>
              <w:right w:val="single" w:sz="6" w:space="0" w:color="auto"/>
            </w:tcBorders>
            <w:shd w:val="clear" w:color="auto" w:fill="FFC000"/>
            <w:hideMark/>
          </w:tcPr>
          <w:p w14:paraId="56C2843A" w14:textId="77777777" w:rsidR="00FD66D2" w:rsidRDefault="00FD66D2" w:rsidP="00FD66D2">
            <w:pPr>
              <w:contextualSpacing/>
              <w:jc w:val="both"/>
              <w:rPr>
                <w:rFonts w:ascii="Verdana" w:eastAsiaTheme="minorHAnsi" w:hAnsi="Verdana" w:cstheme="minorBidi"/>
                <w:bCs/>
                <w:i/>
                <w:szCs w:val="22"/>
                <w:lang w:val="es-CO" w:eastAsia="en-US"/>
              </w:rPr>
            </w:pPr>
            <w:r>
              <w:rPr>
                <w:rFonts w:ascii="Verdana" w:hAnsi="Verdana" w:cstheme="minorBidi"/>
                <w:bCs/>
                <w:i/>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FFC000"/>
            <w:hideMark/>
          </w:tcPr>
          <w:p w14:paraId="7F5780EE" w14:textId="77777777" w:rsidR="00FD66D2" w:rsidRDefault="00FD66D2" w:rsidP="00FD66D2">
            <w:pPr>
              <w:rPr>
                <w:rFonts w:ascii="Verdana" w:hAnsi="Verdana" w:cstheme="minorBidi"/>
                <w:bCs/>
                <w:i/>
              </w:rPr>
            </w:pPr>
            <w:r>
              <w:rPr>
                <w:rFonts w:eastAsia="Times New Roman" w:cs="Arial"/>
                <w:szCs w:val="22"/>
                <w:lang w:val="es-CO" w:eastAsia="es-CO"/>
              </w:rPr>
              <w:t>7/2021/D028-PREDI</w:t>
            </w:r>
          </w:p>
        </w:tc>
      </w:tr>
      <w:tr w:rsidR="00FD66D2" w14:paraId="7C9223AF" w14:textId="77777777" w:rsidTr="00FD66D2">
        <w:tc>
          <w:tcPr>
            <w:tcW w:w="1671" w:type="pct"/>
            <w:tcBorders>
              <w:top w:val="single" w:sz="6" w:space="0" w:color="auto"/>
              <w:left w:val="single" w:sz="4" w:space="0" w:color="auto"/>
              <w:bottom w:val="single" w:sz="6" w:space="0" w:color="auto"/>
              <w:right w:val="single" w:sz="6" w:space="0" w:color="auto"/>
            </w:tcBorders>
            <w:shd w:val="clear" w:color="auto" w:fill="FFC000"/>
            <w:hideMark/>
          </w:tcPr>
          <w:p w14:paraId="4A352E3A" w14:textId="77777777" w:rsidR="00FD66D2" w:rsidRDefault="00FD66D2" w:rsidP="00FD66D2">
            <w:pPr>
              <w:contextualSpacing/>
              <w:jc w:val="both"/>
              <w:rPr>
                <w:rFonts w:ascii="Verdana" w:hAnsi="Verdana" w:cstheme="minorBidi"/>
                <w:bCs/>
                <w:i/>
                <w:kern w:val="2"/>
                <w:szCs w:val="22"/>
                <w:lang w:eastAsia="en-US"/>
              </w:rPr>
            </w:pPr>
            <w:r>
              <w:rPr>
                <w:rFonts w:ascii="Verdana" w:hAnsi="Verdana" w:cstheme="minorBidi"/>
                <w:bCs/>
                <w:i/>
              </w:rPr>
              <w:t>Sector</w:t>
            </w:r>
          </w:p>
        </w:tc>
        <w:tc>
          <w:tcPr>
            <w:tcW w:w="3329" w:type="pct"/>
            <w:tcBorders>
              <w:top w:val="single" w:sz="6" w:space="0" w:color="auto"/>
              <w:left w:val="single" w:sz="6" w:space="0" w:color="auto"/>
              <w:bottom w:val="single" w:sz="6" w:space="0" w:color="auto"/>
              <w:right w:val="single" w:sz="4" w:space="0" w:color="auto"/>
            </w:tcBorders>
            <w:shd w:val="clear" w:color="auto" w:fill="FFC000"/>
            <w:hideMark/>
          </w:tcPr>
          <w:p w14:paraId="753B3CA3" w14:textId="77777777" w:rsidR="00FD66D2" w:rsidRDefault="00FD66D2" w:rsidP="00FD66D2">
            <w:pPr>
              <w:rPr>
                <w:rFonts w:ascii="Verdana" w:hAnsi="Verdana" w:cstheme="minorBidi"/>
                <w:bCs/>
                <w:i/>
              </w:rPr>
            </w:pPr>
            <w:r>
              <w:rPr>
                <w:rFonts w:eastAsia="Times New Roman" w:cs="Arial"/>
                <w:szCs w:val="22"/>
                <w:lang w:val="es-CO" w:eastAsia="es-CO"/>
              </w:rPr>
              <w:t>Educación</w:t>
            </w:r>
          </w:p>
        </w:tc>
      </w:tr>
      <w:tr w:rsidR="00FD66D2" w14:paraId="0AEB61A7" w14:textId="77777777" w:rsidTr="00FD66D2">
        <w:tc>
          <w:tcPr>
            <w:tcW w:w="1671" w:type="pct"/>
            <w:tcBorders>
              <w:top w:val="single" w:sz="6" w:space="0" w:color="auto"/>
              <w:left w:val="single" w:sz="4" w:space="0" w:color="auto"/>
              <w:bottom w:val="single" w:sz="6" w:space="0" w:color="auto"/>
              <w:right w:val="single" w:sz="6" w:space="0" w:color="auto"/>
            </w:tcBorders>
            <w:shd w:val="clear" w:color="auto" w:fill="FFC000"/>
            <w:hideMark/>
          </w:tcPr>
          <w:p w14:paraId="0D6FF520" w14:textId="77777777" w:rsidR="00FD66D2" w:rsidRDefault="00FD66D2" w:rsidP="00FD66D2">
            <w:pPr>
              <w:contextualSpacing/>
              <w:jc w:val="both"/>
              <w:rPr>
                <w:rFonts w:ascii="Verdana" w:hAnsi="Verdana" w:cstheme="minorBidi"/>
                <w:bCs/>
                <w:i/>
                <w:kern w:val="2"/>
                <w:szCs w:val="22"/>
                <w:lang w:eastAsia="en-US"/>
              </w:rPr>
            </w:pPr>
            <w:r>
              <w:rPr>
                <w:rFonts w:ascii="Verdana" w:hAnsi="Verdana" w:cstheme="minorBidi"/>
                <w:bCs/>
                <w:i/>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FFC000"/>
            <w:hideMark/>
          </w:tcPr>
          <w:p w14:paraId="1B1B8C8B" w14:textId="77777777" w:rsidR="00FD66D2" w:rsidRDefault="00FD66D2" w:rsidP="00FD66D2">
            <w:pPr>
              <w:rPr>
                <w:rFonts w:ascii="Verdana" w:hAnsi="Verdana" w:cstheme="minorBidi"/>
                <w:bCs/>
                <w:i/>
              </w:rPr>
            </w:pPr>
            <w:r>
              <w:rPr>
                <w:rFonts w:eastAsia="Times New Roman" w:cs="Arial"/>
                <w:szCs w:val="22"/>
                <w:lang w:val="es-CO" w:eastAsia="es-CO"/>
              </w:rPr>
              <w:t>Municipio</w:t>
            </w:r>
          </w:p>
        </w:tc>
      </w:tr>
      <w:tr w:rsidR="00FD66D2" w14:paraId="1EDE012F" w14:textId="77777777" w:rsidTr="00FD66D2">
        <w:tc>
          <w:tcPr>
            <w:tcW w:w="1671" w:type="pct"/>
            <w:tcBorders>
              <w:top w:val="single" w:sz="6" w:space="0" w:color="auto"/>
              <w:left w:val="single" w:sz="4" w:space="0" w:color="auto"/>
              <w:bottom w:val="single" w:sz="4" w:space="0" w:color="auto"/>
              <w:right w:val="single" w:sz="6" w:space="0" w:color="auto"/>
            </w:tcBorders>
            <w:shd w:val="clear" w:color="auto" w:fill="FFC000"/>
            <w:hideMark/>
          </w:tcPr>
          <w:p w14:paraId="030DFD24" w14:textId="77777777" w:rsidR="00FD66D2" w:rsidRDefault="00FD66D2" w:rsidP="00FD66D2">
            <w:pPr>
              <w:contextualSpacing/>
              <w:jc w:val="both"/>
              <w:rPr>
                <w:rFonts w:ascii="Verdana" w:hAnsi="Verdana" w:cstheme="minorBidi"/>
                <w:bCs/>
                <w:i/>
                <w:kern w:val="2"/>
                <w:szCs w:val="22"/>
                <w:lang w:eastAsia="en-US"/>
              </w:rPr>
            </w:pPr>
            <w:r>
              <w:rPr>
                <w:rFonts w:ascii="Verdana" w:hAnsi="Verdana" w:cstheme="minorBidi"/>
                <w:bCs/>
                <w:i/>
              </w:rPr>
              <w:t>Entidad</w:t>
            </w:r>
          </w:p>
        </w:tc>
        <w:tc>
          <w:tcPr>
            <w:tcW w:w="3329" w:type="pct"/>
            <w:tcBorders>
              <w:top w:val="single" w:sz="6" w:space="0" w:color="auto"/>
              <w:left w:val="single" w:sz="6" w:space="0" w:color="auto"/>
              <w:bottom w:val="single" w:sz="4" w:space="0" w:color="auto"/>
              <w:right w:val="single" w:sz="4" w:space="0" w:color="auto"/>
            </w:tcBorders>
            <w:shd w:val="clear" w:color="auto" w:fill="FFC000"/>
            <w:hideMark/>
          </w:tcPr>
          <w:p w14:paraId="4AB50DC4" w14:textId="77777777" w:rsidR="00FD66D2" w:rsidRDefault="00FD66D2" w:rsidP="00FD66D2">
            <w:pPr>
              <w:rPr>
                <w:rFonts w:ascii="Verdana" w:hAnsi="Verdana" w:cstheme="minorBidi"/>
                <w:bCs/>
                <w:i/>
              </w:rPr>
            </w:pPr>
            <w:r>
              <w:rPr>
                <w:rFonts w:eastAsia="Times New Roman" w:cs="Arial"/>
                <w:szCs w:val="22"/>
                <w:lang w:val="es-CO" w:eastAsia="es-CO"/>
              </w:rPr>
              <w:t>Santa Cruz de Lorica – Córdoba</w:t>
            </w:r>
          </w:p>
        </w:tc>
      </w:tr>
    </w:tbl>
    <w:p w14:paraId="45E01E8C" w14:textId="77777777" w:rsidR="00FD66D2" w:rsidRDefault="00FD66D2" w:rsidP="000C6BE9">
      <w:pPr>
        <w:jc w:val="both"/>
        <w:rPr>
          <w:rFonts w:cs="Arial"/>
          <w:szCs w:val="22"/>
          <w:lang w:val="es-CO"/>
        </w:rPr>
      </w:pPr>
    </w:p>
    <w:p w14:paraId="4200BCB9" w14:textId="77777777" w:rsidR="000C6BE9" w:rsidRDefault="000C6BE9" w:rsidP="000C6BE9">
      <w:pPr>
        <w:jc w:val="both"/>
        <w:rPr>
          <w:rFonts w:cs="Arial"/>
          <w:szCs w:val="22"/>
          <w:lang w:val="es-CO"/>
        </w:rPr>
      </w:pPr>
      <w:r>
        <w:rPr>
          <w:rFonts w:cs="Arial"/>
          <w:szCs w:val="22"/>
          <w:lang w:val="es-CO"/>
        </w:rPr>
        <w:t xml:space="preserve">Período de Evaluación: 17 de junio de 2021 a 31 de diciembre de 2022 </w:t>
      </w:r>
    </w:p>
    <w:p w14:paraId="3154D335" w14:textId="77777777" w:rsidR="000C6BE9" w:rsidRDefault="000C6BE9" w:rsidP="000C6BE9">
      <w:pPr>
        <w:jc w:val="both"/>
        <w:rPr>
          <w:rFonts w:cs="Arial"/>
          <w:szCs w:val="22"/>
          <w:lang w:val="es-CO"/>
        </w:rPr>
      </w:pPr>
    </w:p>
    <w:p w14:paraId="1E377578" w14:textId="77777777" w:rsidR="000C6BE9" w:rsidRDefault="000C6BE9" w:rsidP="000C6BE9">
      <w:pPr>
        <w:pStyle w:val="Ttulo1"/>
        <w:numPr>
          <w:ilvl w:val="0"/>
          <w:numId w:val="33"/>
        </w:numPr>
        <w:spacing w:before="0"/>
        <w:jc w:val="both"/>
        <w:rPr>
          <w:rFonts w:ascii="Arial" w:hAnsi="Arial" w:cs="Arial"/>
          <w:b/>
          <w:color w:val="auto"/>
          <w:sz w:val="22"/>
          <w:szCs w:val="22"/>
          <w:lang w:val="es-CO"/>
        </w:rPr>
      </w:pPr>
      <w:r>
        <w:rPr>
          <w:rFonts w:ascii="Arial" w:hAnsi="Arial" w:cs="Arial"/>
          <w:b/>
          <w:color w:val="auto"/>
          <w:sz w:val="22"/>
          <w:szCs w:val="22"/>
          <w:lang w:val="es-CO"/>
        </w:rPr>
        <w:t xml:space="preserve">ANTECEDENTES </w:t>
      </w:r>
    </w:p>
    <w:p w14:paraId="50A22E92" w14:textId="77777777" w:rsidR="000C6BE9" w:rsidRDefault="000C6BE9" w:rsidP="000C6BE9">
      <w:pPr>
        <w:jc w:val="both"/>
        <w:rPr>
          <w:rFonts w:cs="Arial"/>
          <w:szCs w:val="22"/>
          <w:lang w:val="es-CO"/>
        </w:rPr>
      </w:pPr>
    </w:p>
    <w:p w14:paraId="78E176CB" w14:textId="77777777" w:rsidR="000C6BE9" w:rsidRDefault="000C6BE9" w:rsidP="000C6BE9">
      <w:pPr>
        <w:jc w:val="both"/>
        <w:rPr>
          <w:rFonts w:cs="Arial"/>
          <w:szCs w:val="22"/>
          <w:lang w:val="es-CO"/>
        </w:rPr>
      </w:pPr>
      <w:r>
        <w:rPr>
          <w:rFonts w:cs="Arial"/>
          <w:szCs w:val="22"/>
          <w:lang w:val="es-CO"/>
        </w:rPr>
        <w:t xml:space="preserve">El Municipio de Santa Cruz de Lorica - Córdoba fue priorizado por la Dirección General de Apoyo Fiscal para aplicar las actividades de seguimiento y control asociadas a la estrategia de monitoreo, seguimiento y control al uso de recursos del Sistema General de Participaciones a las que se refiere el Decreto 028 de 2008 y sus reglamentarios, razón por la cual se realizó una visita de reconocimiento institucional a dicha entidad en julio de 2019. Como resultado se evidenció la ocurrencia de los eventos de riesgo 9.1, 9.4, 9.10 y 9.18. </w:t>
      </w:r>
    </w:p>
    <w:p w14:paraId="7C974F31" w14:textId="77777777" w:rsidR="000C6BE9" w:rsidRDefault="000C6BE9" w:rsidP="000C6BE9">
      <w:pPr>
        <w:jc w:val="both"/>
        <w:rPr>
          <w:rFonts w:cs="Arial"/>
          <w:szCs w:val="22"/>
          <w:lang w:val="es-CO"/>
        </w:rPr>
      </w:pPr>
    </w:p>
    <w:p w14:paraId="53C5F7F8" w14:textId="77777777" w:rsidR="000C6BE9" w:rsidRDefault="000C6BE9" w:rsidP="000C6BE9">
      <w:pPr>
        <w:jc w:val="both"/>
        <w:rPr>
          <w:rFonts w:cs="Arial"/>
          <w:szCs w:val="22"/>
          <w:lang w:val="es-CO"/>
        </w:rPr>
      </w:pPr>
      <w:r>
        <w:rPr>
          <w:rFonts w:cs="Arial"/>
          <w:szCs w:val="22"/>
          <w:lang w:val="es-CO"/>
        </w:rPr>
        <w:t xml:space="preserve">Paralelamente, el Ministerio de Educación Nacional, en desarrollo de sus competencias, remitió el oficio con radicado No. 1-2019-089720 del 26 de septiembre de 2019, solicitando la suspensión de giros por exceder el porcentaje máximo de gasto administrativo reconocido a través del Documento de Distribución 024 de 2018. </w:t>
      </w:r>
    </w:p>
    <w:p w14:paraId="6CC6D7F5" w14:textId="77777777" w:rsidR="000C6BE9" w:rsidRDefault="000C6BE9" w:rsidP="000C6BE9">
      <w:pPr>
        <w:jc w:val="both"/>
        <w:rPr>
          <w:rFonts w:cs="Arial"/>
          <w:szCs w:val="22"/>
          <w:lang w:val="es-CO"/>
        </w:rPr>
      </w:pPr>
    </w:p>
    <w:p w14:paraId="2357BD4E" w14:textId="77777777" w:rsidR="000C6BE9" w:rsidRDefault="000C6BE9" w:rsidP="000C6BE9">
      <w:pPr>
        <w:jc w:val="both"/>
        <w:rPr>
          <w:rFonts w:cs="Arial"/>
          <w:szCs w:val="22"/>
          <w:lang w:val="es-CO"/>
        </w:rPr>
      </w:pPr>
      <w:r>
        <w:rPr>
          <w:rFonts w:cs="Arial"/>
          <w:szCs w:val="22"/>
          <w:lang w:val="es-CO"/>
        </w:rPr>
        <w:t xml:space="preserve">En consecuencia, la Dirección General de Apoyo Fiscal del Ministerio de Hacienda y Crédito Público expidió la Resolución No. 4278 del 20 de noviembre de 2019, mediante la cual adoptó de manera cautelar la Medida Correctiva de Suspensión de Giros de los recursos correspondientes a la asignación para Calidad Matrícula Oficial de la Participación de Educación del Sistema General de Participaciones al Municipio de Santa Cruz de Lorica – Córdoba por exceso de gasto administrativo. </w:t>
      </w:r>
    </w:p>
    <w:p w14:paraId="78061101" w14:textId="77777777" w:rsidR="00603CE8" w:rsidRDefault="00603CE8" w:rsidP="000C6BE9">
      <w:pPr>
        <w:jc w:val="both"/>
        <w:rPr>
          <w:rFonts w:cs="Arial"/>
          <w:szCs w:val="22"/>
          <w:lang w:val="es-CO"/>
        </w:rPr>
      </w:pPr>
    </w:p>
    <w:p w14:paraId="1BC751FF" w14:textId="77777777" w:rsidR="00603CE8" w:rsidRDefault="00603CE8" w:rsidP="00603CE8">
      <w:pPr>
        <w:jc w:val="both"/>
        <w:rPr>
          <w:rFonts w:eastAsia="Arial" w:cs="Arial"/>
          <w:szCs w:val="22"/>
          <w:lang w:val="es-MX" w:eastAsia="es-CO"/>
        </w:rPr>
      </w:pPr>
      <w:r>
        <w:rPr>
          <w:rFonts w:cs="Arial"/>
          <w:color w:val="000000" w:themeColor="text1"/>
          <w:szCs w:val="22"/>
        </w:rPr>
        <w:t xml:space="preserve">Ahora bien, </w:t>
      </w:r>
      <w:r>
        <w:rPr>
          <w:rFonts w:eastAsia="Arial" w:cs="Arial"/>
          <w:szCs w:val="22"/>
          <w:lang w:val="es-MX"/>
        </w:rPr>
        <w:t xml:space="preserve">producto de la crisis de la pandemia el Ministerio de Educación Nacional, mediante el radicado No. 1-2020-031005 del 20 de abril de 2020 solicitó a esta Dirección el levantamiento de la medida de Suspensión de Giros vigente en el Municipio de Lorica, de manera que se realizara el giro de los recursos del criterio de Equidad - Calidad </w:t>
      </w:r>
      <w:r>
        <w:rPr>
          <w:rFonts w:cs="Arial"/>
          <w:szCs w:val="22"/>
          <w:lang w:val="es-MX"/>
        </w:rPr>
        <w:t>de forma tal que las entidades contaran con los recursos que contribuyeran a la protección del derecho fundamental de la educación de niños, niñas y adolescentes para atender las necesidades del sector generadas por el Coronavirus COVID19.</w:t>
      </w:r>
    </w:p>
    <w:p w14:paraId="48A15637" w14:textId="77777777" w:rsidR="00603CE8" w:rsidRDefault="00603CE8" w:rsidP="00603CE8">
      <w:pPr>
        <w:jc w:val="both"/>
        <w:rPr>
          <w:rFonts w:eastAsia="Arial" w:cs="Arial"/>
          <w:szCs w:val="22"/>
          <w:lang w:val="es-MX"/>
        </w:rPr>
      </w:pPr>
    </w:p>
    <w:p w14:paraId="707546C2" w14:textId="77777777" w:rsidR="000C6BE9" w:rsidRDefault="00603CE8" w:rsidP="00603CE8">
      <w:pPr>
        <w:pStyle w:val="Textoindependiente2"/>
        <w:rPr>
          <w:rFonts w:eastAsia="MS Mincho" w:cs="Arial"/>
          <w:sz w:val="22"/>
          <w:szCs w:val="22"/>
          <w:lang w:val="es-CO"/>
        </w:rPr>
      </w:pPr>
      <w:r>
        <w:rPr>
          <w:rFonts w:eastAsia="Arial" w:cs="Arial"/>
          <w:sz w:val="22"/>
          <w:szCs w:val="22"/>
        </w:rPr>
        <w:t xml:space="preserve">En virtud de lo anterior, y teniendo en cuenta que el </w:t>
      </w:r>
      <w:r w:rsidR="00212ECD">
        <w:rPr>
          <w:rFonts w:eastAsia="Arial" w:cs="Arial"/>
          <w:sz w:val="22"/>
          <w:szCs w:val="22"/>
        </w:rPr>
        <w:t xml:space="preserve">municipio de Santa Cruz de Lorica </w:t>
      </w:r>
      <w:r>
        <w:rPr>
          <w:rFonts w:cs="Arial"/>
          <w:sz w:val="22"/>
          <w:szCs w:val="22"/>
          <w:lang w:val="es-MX"/>
        </w:rPr>
        <w:t xml:space="preserve">no había cumplido con las acciones que conducen a la superación de los eventos de riesgo identificados por </w:t>
      </w:r>
      <w:r>
        <w:rPr>
          <w:rFonts w:eastAsia="Arial" w:cs="Arial"/>
          <w:sz w:val="22"/>
          <w:szCs w:val="22"/>
        </w:rPr>
        <w:t xml:space="preserve">la Dirección de Apoyo Fiscal, mediante </w:t>
      </w:r>
      <w:r>
        <w:rPr>
          <w:rFonts w:cs="Arial"/>
          <w:sz w:val="22"/>
          <w:szCs w:val="22"/>
          <w:lang w:val="es-MX"/>
        </w:rPr>
        <w:t xml:space="preserve">la Resolución 1047 del 28 de abril del 2020 se determinó la procedencia de realizar </w:t>
      </w:r>
      <w:r>
        <w:rPr>
          <w:rFonts w:eastAsia="Arial" w:cs="Arial"/>
          <w:sz w:val="22"/>
          <w:szCs w:val="22"/>
          <w:lang w:val="es-MX"/>
        </w:rPr>
        <w:t>el levantamiento parcial de la medida correctiva correspondiente a los recursos suspendidos hasta el mes de abril de 2020, y mantener la Suspensión sobre los giros subsiguientes, hasta que la Entidad evidenci</w:t>
      </w:r>
      <w:r w:rsidR="00212ECD">
        <w:rPr>
          <w:rFonts w:eastAsia="Arial" w:cs="Arial"/>
          <w:sz w:val="22"/>
          <w:szCs w:val="22"/>
          <w:lang w:val="es-MX"/>
        </w:rPr>
        <w:t>ara</w:t>
      </w:r>
      <w:r>
        <w:rPr>
          <w:rFonts w:eastAsia="Arial" w:cs="Arial"/>
          <w:sz w:val="22"/>
          <w:szCs w:val="22"/>
          <w:lang w:val="es-MX"/>
        </w:rPr>
        <w:t xml:space="preserve"> el cumplimiento total de las actividades establecidas mediante la resolución No. 4278 del 20 de noviembre de 2019</w:t>
      </w:r>
      <w:r w:rsidR="000C6BE9">
        <w:rPr>
          <w:rFonts w:eastAsia="MS Mincho" w:cs="Arial"/>
          <w:sz w:val="22"/>
          <w:szCs w:val="22"/>
          <w:lang w:val="es-CO"/>
        </w:rPr>
        <w:t>.</w:t>
      </w:r>
    </w:p>
    <w:p w14:paraId="5E2864F4" w14:textId="77777777" w:rsidR="000C6BE9" w:rsidRDefault="000C6BE9" w:rsidP="000C6BE9">
      <w:pPr>
        <w:jc w:val="both"/>
        <w:rPr>
          <w:rFonts w:cs="Arial"/>
          <w:szCs w:val="22"/>
          <w:lang w:val="es-CO"/>
        </w:rPr>
      </w:pPr>
    </w:p>
    <w:p w14:paraId="4EB5D4CF" w14:textId="77777777" w:rsidR="000C6BE9" w:rsidRDefault="000C6BE9" w:rsidP="000C6BE9">
      <w:pPr>
        <w:jc w:val="both"/>
        <w:rPr>
          <w:rFonts w:cs="Arial"/>
          <w:szCs w:val="22"/>
          <w:lang w:val="es-CO"/>
        </w:rPr>
      </w:pPr>
      <w:r>
        <w:rPr>
          <w:rFonts w:cs="Arial"/>
          <w:szCs w:val="22"/>
          <w:lang w:val="es-CO"/>
        </w:rPr>
        <w:lastRenderedPageBreak/>
        <w:t xml:space="preserve">La última evaluación del cumplimiento de las obligaciones y actividades incluidas en la medida correctiva de Suspensión de Giros fue realizada en el mes de agosto de 2022, con la cual se expidió la Resolución 2445 del 20 de septiembre del 2022 del levantamiento de dicha medida. </w:t>
      </w:r>
    </w:p>
    <w:p w14:paraId="30B1DFD1" w14:textId="77777777" w:rsidR="000C6BE9" w:rsidRDefault="000C6BE9" w:rsidP="000C6BE9">
      <w:pPr>
        <w:jc w:val="both"/>
        <w:rPr>
          <w:rFonts w:cs="Arial"/>
          <w:szCs w:val="22"/>
          <w:lang w:val="es-CO"/>
        </w:rPr>
      </w:pPr>
    </w:p>
    <w:p w14:paraId="32E42DDE" w14:textId="77777777" w:rsidR="000C6BE9" w:rsidRDefault="000C6BE9" w:rsidP="000C6BE9">
      <w:pPr>
        <w:jc w:val="both"/>
        <w:rPr>
          <w:rFonts w:cs="Arial"/>
          <w:szCs w:val="22"/>
          <w:lang w:val="es-CO"/>
        </w:rPr>
      </w:pPr>
      <w:r>
        <w:rPr>
          <w:rFonts w:cs="Arial"/>
          <w:szCs w:val="22"/>
          <w:lang w:val="es-CO"/>
        </w:rPr>
        <w:t>De otro lado, por medio de la Resolución No. 0694 del 29 de marzo del 2021 se ordenó la adopción de la medida preventiva de plan de desempeño, el cual fue adoptado por la entidad mediante Decreto 0537 del 20 de mayo de 2021 y aprobado por la Dirección General de Apoyo Fiscal mediante Resolución 1245 del 09 de junio de 2021.</w:t>
      </w:r>
    </w:p>
    <w:p w14:paraId="76C0686D" w14:textId="77777777" w:rsidR="000C6BE9" w:rsidRDefault="000C6BE9" w:rsidP="000C6BE9">
      <w:pPr>
        <w:jc w:val="both"/>
        <w:rPr>
          <w:rFonts w:cs="Arial"/>
          <w:szCs w:val="22"/>
          <w:lang w:val="es-CO"/>
        </w:rPr>
      </w:pPr>
    </w:p>
    <w:p w14:paraId="4E730213" w14:textId="77777777" w:rsidR="000C6BE9" w:rsidRDefault="000C6BE9" w:rsidP="00201D7E">
      <w:pPr>
        <w:jc w:val="both"/>
        <w:rPr>
          <w:rFonts w:cs="Arial"/>
          <w:szCs w:val="22"/>
          <w:lang w:val="es-CO"/>
        </w:rPr>
      </w:pPr>
      <w:r>
        <w:rPr>
          <w:rFonts w:cs="Arial"/>
          <w:szCs w:val="22"/>
          <w:lang w:val="es-CO"/>
        </w:rPr>
        <w:t>Con respecto a la medida preventiva, la última evaluación de cumplimiento de las actividades incluidas en el plan de desempeño también fue realizada en agosto de 2022 como se describe en el presente informe.</w:t>
      </w:r>
    </w:p>
    <w:p w14:paraId="2D238312" w14:textId="77777777" w:rsidR="000C6BE9" w:rsidRDefault="000C6BE9" w:rsidP="000C6BE9">
      <w:pPr>
        <w:jc w:val="both"/>
        <w:rPr>
          <w:rFonts w:cs="Arial"/>
          <w:szCs w:val="22"/>
          <w:lang w:val="es-CO"/>
        </w:rPr>
      </w:pPr>
    </w:p>
    <w:p w14:paraId="46682028" w14:textId="77777777" w:rsidR="000C6BE9" w:rsidRDefault="000C6BE9" w:rsidP="000C6BE9">
      <w:pPr>
        <w:pStyle w:val="Ttulo1"/>
        <w:numPr>
          <w:ilvl w:val="0"/>
          <w:numId w:val="33"/>
        </w:numPr>
        <w:spacing w:before="0"/>
        <w:jc w:val="both"/>
        <w:rPr>
          <w:rFonts w:ascii="Arial" w:hAnsi="Arial" w:cs="Arial"/>
          <w:b/>
          <w:color w:val="auto"/>
          <w:sz w:val="22"/>
          <w:szCs w:val="22"/>
          <w:lang w:val="es-CO"/>
        </w:rPr>
      </w:pPr>
      <w:r>
        <w:rPr>
          <w:rFonts w:ascii="Arial" w:hAnsi="Arial" w:cs="Arial"/>
          <w:b/>
          <w:color w:val="auto"/>
          <w:sz w:val="22"/>
          <w:szCs w:val="22"/>
          <w:lang w:val="es-CO"/>
        </w:rPr>
        <w:lastRenderedPageBreak/>
        <w:t xml:space="preserve">CARACTERIZACIÓN </w:t>
      </w:r>
    </w:p>
    <w:p w14:paraId="23A67779" w14:textId="77777777" w:rsidR="000C6BE9" w:rsidRDefault="000C6BE9" w:rsidP="000C6BE9">
      <w:pPr>
        <w:jc w:val="center"/>
        <w:rPr>
          <w:rFonts w:cs="Arial"/>
          <w:szCs w:val="22"/>
          <w:lang w:val="es-CO"/>
        </w:rPr>
      </w:pPr>
      <w:r>
        <w:rPr>
          <w:noProof/>
          <w:lang w:val="es-CO" w:eastAsia="es-CO"/>
        </w:rPr>
        <w:drawing>
          <wp:inline distT="0" distB="0" distL="0" distR="0" wp14:anchorId="74605877" wp14:editId="2F2EB4A2">
            <wp:extent cx="5613400" cy="72040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7204075"/>
                    </a:xfrm>
                    <a:prstGeom prst="rect">
                      <a:avLst/>
                    </a:prstGeom>
                    <a:noFill/>
                    <a:ln>
                      <a:noFill/>
                    </a:ln>
                  </pic:spPr>
                </pic:pic>
              </a:graphicData>
            </a:graphic>
          </wp:inline>
        </w:drawing>
      </w:r>
    </w:p>
    <w:p w14:paraId="444227BC" w14:textId="77777777" w:rsidR="000C6BE9" w:rsidRDefault="000C6BE9" w:rsidP="000C6BE9">
      <w:pPr>
        <w:jc w:val="both"/>
        <w:rPr>
          <w:rFonts w:cs="Arial"/>
          <w:szCs w:val="22"/>
          <w:lang w:val="es-CO"/>
        </w:rPr>
      </w:pPr>
    </w:p>
    <w:p w14:paraId="38FB3BC7" w14:textId="77777777" w:rsidR="000C6BE9" w:rsidRDefault="000C6BE9" w:rsidP="000C6BE9">
      <w:pPr>
        <w:pStyle w:val="Ttulo1"/>
        <w:numPr>
          <w:ilvl w:val="0"/>
          <w:numId w:val="33"/>
        </w:numPr>
        <w:spacing w:before="0"/>
        <w:jc w:val="both"/>
        <w:rPr>
          <w:rFonts w:ascii="Arial" w:hAnsi="Arial" w:cs="Arial"/>
          <w:b/>
          <w:color w:val="auto"/>
          <w:sz w:val="22"/>
          <w:szCs w:val="22"/>
          <w:lang w:val="es-CO"/>
        </w:rPr>
      </w:pPr>
      <w:r>
        <w:rPr>
          <w:rFonts w:ascii="Arial" w:hAnsi="Arial" w:cs="Arial"/>
          <w:b/>
          <w:color w:val="auto"/>
          <w:sz w:val="22"/>
          <w:szCs w:val="22"/>
          <w:lang w:val="es-CO"/>
        </w:rPr>
        <w:lastRenderedPageBreak/>
        <w:t xml:space="preserve">ANÁLISIS FINANCIERO </w:t>
      </w:r>
    </w:p>
    <w:p w14:paraId="19310B06" w14:textId="77777777" w:rsidR="000C6BE9" w:rsidRDefault="000C6BE9" w:rsidP="000C6BE9">
      <w:pPr>
        <w:rPr>
          <w:rFonts w:cs="Arial"/>
          <w:lang w:val="es-CO"/>
        </w:rPr>
      </w:pPr>
    </w:p>
    <w:p w14:paraId="0980B4D5" w14:textId="77777777" w:rsidR="000C6BE9" w:rsidRDefault="000C6BE9" w:rsidP="000C6BE9">
      <w:pPr>
        <w:pStyle w:val="Prrafodelista"/>
        <w:keepNext/>
        <w:keepLines/>
        <w:numPr>
          <w:ilvl w:val="0"/>
          <w:numId w:val="45"/>
        </w:numPr>
        <w:ind w:left="426" w:hanging="426"/>
        <w:outlineLvl w:val="0"/>
        <w:rPr>
          <w:rFonts w:eastAsiaTheme="majorEastAsia" w:cs="Arial"/>
          <w:b/>
          <w:color w:val="365F91" w:themeColor="accent1" w:themeShade="BF"/>
          <w:szCs w:val="22"/>
          <w:u w:val="single"/>
        </w:rPr>
      </w:pPr>
      <w:r>
        <w:rPr>
          <w:rFonts w:eastAsiaTheme="majorEastAsia" w:cs="Arial"/>
          <w:b/>
          <w:szCs w:val="22"/>
          <w:u w:val="single"/>
        </w:rPr>
        <w:t>Ingresos</w:t>
      </w:r>
    </w:p>
    <w:p w14:paraId="29A60614" w14:textId="77777777" w:rsidR="000C6BE9" w:rsidRDefault="000C6BE9" w:rsidP="000C6BE9">
      <w:pPr>
        <w:jc w:val="both"/>
        <w:rPr>
          <w:rFonts w:cs="Arial"/>
          <w:b/>
          <w:szCs w:val="22"/>
        </w:rPr>
      </w:pPr>
    </w:p>
    <w:p w14:paraId="6143F7AB" w14:textId="77777777" w:rsidR="000C6BE9" w:rsidRDefault="000C6BE9" w:rsidP="000C6BE9">
      <w:pPr>
        <w:jc w:val="both"/>
        <w:rPr>
          <w:rFonts w:cs="Arial"/>
          <w:szCs w:val="22"/>
          <w:lang w:eastAsia="es-CO"/>
        </w:rPr>
      </w:pPr>
      <w:r>
        <w:rPr>
          <w:rFonts w:cs="Arial"/>
          <w:szCs w:val="22"/>
          <w:lang w:eastAsia="es-CO"/>
        </w:rPr>
        <w:t>En el escenario financiero, en la vigencia 2021 fueron asignados $107.053 millones del SGP-Educación ($102.773 millones para prestación del servicio, $2.283 millones para Calidad Matrícula Oficial y $ 1.996 millones para Calidad - Gratuidad). Para la vigencia 2022 se asignaron $ 107.835 millones del SGP-Educación ($103.553 millones para prestación del servicio, $2.338 millones para Calidad Matrícula Oficial y $ 1.944 millones para Calidad - Gratuidad).</w:t>
      </w:r>
    </w:p>
    <w:p w14:paraId="07814320" w14:textId="77777777" w:rsidR="000C6BE9" w:rsidRDefault="000C6BE9" w:rsidP="000C6BE9">
      <w:pPr>
        <w:jc w:val="both"/>
        <w:rPr>
          <w:rFonts w:cs="Arial"/>
          <w:szCs w:val="22"/>
          <w:lang w:val="es-ES_tradnl"/>
        </w:rPr>
      </w:pPr>
    </w:p>
    <w:p w14:paraId="04F8DA9A" w14:textId="77777777" w:rsidR="000C6BE9" w:rsidRDefault="000C6BE9" w:rsidP="000C6BE9">
      <w:pPr>
        <w:jc w:val="both"/>
        <w:rPr>
          <w:rFonts w:cs="Arial"/>
          <w:szCs w:val="22"/>
          <w:lang w:val="es-ES_tradnl"/>
        </w:rPr>
      </w:pPr>
      <w:r>
        <w:rPr>
          <w:rFonts w:cs="Arial"/>
          <w:szCs w:val="22"/>
          <w:lang w:val="es-ES_tradnl"/>
        </w:rPr>
        <w:t>Se aclara que de conformidad con los artículos 2.3.1.6.4.5. y 2.3.1.6.4.6. del Decreto 1075 de 2015 los recursos asignados por la Nación para Gratuidad desde la vigencia 2012 son girados directamente a las instituciones educativas y es deber de los municipios hacer seguimiento y control a su ejecución por parte de los rectores.</w:t>
      </w:r>
    </w:p>
    <w:p w14:paraId="59E6ED5B" w14:textId="77777777" w:rsidR="000C6BE9" w:rsidRDefault="000C6BE9" w:rsidP="000C6BE9">
      <w:pPr>
        <w:rPr>
          <w:rFonts w:cs="Arial"/>
          <w:sz w:val="16"/>
          <w:szCs w:val="16"/>
          <w:lang w:val="es-ES_tradnl"/>
        </w:rPr>
      </w:pPr>
    </w:p>
    <w:p w14:paraId="0B2CAABB" w14:textId="77777777" w:rsidR="000C6BE9" w:rsidRDefault="000C6BE9" w:rsidP="000C6BE9">
      <w:pPr>
        <w:jc w:val="center"/>
        <w:rPr>
          <w:rFonts w:cs="Arial"/>
          <w:sz w:val="16"/>
          <w:szCs w:val="16"/>
          <w:lang w:val="es-ES_tradnl"/>
        </w:rPr>
      </w:pPr>
    </w:p>
    <w:tbl>
      <w:tblPr>
        <w:tblW w:w="5000" w:type="pct"/>
        <w:jc w:val="center"/>
        <w:tblCellMar>
          <w:left w:w="70" w:type="dxa"/>
          <w:right w:w="70" w:type="dxa"/>
        </w:tblCellMar>
        <w:tblLook w:val="04A0" w:firstRow="1" w:lastRow="0" w:firstColumn="1" w:lastColumn="0" w:noHBand="0" w:noVBand="1"/>
      </w:tblPr>
      <w:tblGrid>
        <w:gridCol w:w="5268"/>
        <w:gridCol w:w="1285"/>
        <w:gridCol w:w="1299"/>
        <w:gridCol w:w="976"/>
      </w:tblGrid>
      <w:tr w:rsidR="000C6BE9" w14:paraId="1B920A11" w14:textId="77777777" w:rsidTr="000C6BE9">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203764"/>
            <w:vAlign w:val="center"/>
            <w:hideMark/>
          </w:tcPr>
          <w:p w14:paraId="4B9E8646" w14:textId="77777777" w:rsidR="000C6BE9" w:rsidRDefault="000C6BE9">
            <w:pPr>
              <w:jc w:val="center"/>
              <w:rPr>
                <w:rFonts w:eastAsia="Times New Roman" w:cs="Arial"/>
                <w:b/>
                <w:sz w:val="18"/>
                <w:szCs w:val="18"/>
                <w:lang w:val="es-CO" w:eastAsia="es-CO"/>
              </w:rPr>
            </w:pPr>
            <w:r>
              <w:rPr>
                <w:rFonts w:eastAsia="Times New Roman" w:cs="Arial"/>
                <w:b/>
                <w:sz w:val="18"/>
                <w:szCs w:val="18"/>
                <w:lang w:val="es-CO" w:eastAsia="es-CO"/>
              </w:rPr>
              <w:t>TABLA1. INGRESOS A DICIEMBRE DE 2020, 2021 Y 2022</w:t>
            </w:r>
          </w:p>
        </w:tc>
      </w:tr>
      <w:tr w:rsidR="000C6BE9" w14:paraId="22741A0E" w14:textId="77777777" w:rsidTr="000C6BE9">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203764"/>
            <w:vAlign w:val="center"/>
            <w:hideMark/>
          </w:tcPr>
          <w:p w14:paraId="4C98F176" w14:textId="77777777" w:rsidR="000C6BE9" w:rsidRDefault="000C6BE9">
            <w:pPr>
              <w:jc w:val="center"/>
              <w:rPr>
                <w:rFonts w:eastAsia="Times New Roman" w:cs="Arial"/>
                <w:b/>
                <w:sz w:val="18"/>
                <w:szCs w:val="18"/>
                <w:lang w:val="es-CO" w:eastAsia="es-CO"/>
              </w:rPr>
            </w:pPr>
            <w:r>
              <w:rPr>
                <w:rFonts w:eastAsia="Times New Roman" w:cs="Arial"/>
                <w:b/>
                <w:sz w:val="18"/>
                <w:szCs w:val="18"/>
                <w:lang w:val="es-CO" w:eastAsia="es-CO"/>
              </w:rPr>
              <w:t xml:space="preserve"> (MILLONES DE $) </w:t>
            </w:r>
          </w:p>
        </w:tc>
      </w:tr>
      <w:tr w:rsidR="000C6BE9" w14:paraId="52E03BE5" w14:textId="77777777" w:rsidTr="000C6BE9">
        <w:trPr>
          <w:trHeight w:val="20"/>
          <w:jc w:val="center"/>
        </w:trPr>
        <w:tc>
          <w:tcPr>
            <w:tcW w:w="2983" w:type="pct"/>
            <w:vMerge w:val="restart"/>
            <w:tcBorders>
              <w:top w:val="nil"/>
              <w:left w:val="single" w:sz="4" w:space="0" w:color="auto"/>
              <w:bottom w:val="single" w:sz="4" w:space="0" w:color="auto"/>
              <w:right w:val="single" w:sz="4" w:space="0" w:color="auto"/>
            </w:tcBorders>
            <w:shd w:val="clear" w:color="auto" w:fill="8EA9DB"/>
            <w:vAlign w:val="center"/>
            <w:hideMark/>
          </w:tcPr>
          <w:p w14:paraId="5B184AEC" w14:textId="77777777" w:rsidR="000C6BE9" w:rsidRDefault="000C6BE9">
            <w:pPr>
              <w:jc w:val="center"/>
              <w:rPr>
                <w:rFonts w:eastAsia="Times New Roman" w:cs="Arial"/>
                <w:b/>
                <w:sz w:val="18"/>
                <w:szCs w:val="18"/>
                <w:lang w:val="es-CO" w:eastAsia="es-CO"/>
              </w:rPr>
            </w:pPr>
            <w:r>
              <w:rPr>
                <w:rFonts w:eastAsia="Times New Roman" w:cs="Arial"/>
                <w:b/>
                <w:sz w:val="18"/>
                <w:szCs w:val="18"/>
                <w:lang w:val="es-CO" w:eastAsia="es-CO"/>
              </w:rPr>
              <w:t xml:space="preserve"> CONCEPTOS </w:t>
            </w:r>
          </w:p>
        </w:tc>
        <w:tc>
          <w:tcPr>
            <w:tcW w:w="2017" w:type="pct"/>
            <w:gridSpan w:val="3"/>
            <w:tcBorders>
              <w:top w:val="single" w:sz="4" w:space="0" w:color="auto"/>
              <w:left w:val="nil"/>
              <w:bottom w:val="single" w:sz="4" w:space="0" w:color="auto"/>
              <w:right w:val="single" w:sz="4" w:space="0" w:color="auto"/>
            </w:tcBorders>
            <w:shd w:val="clear" w:color="auto" w:fill="8EA9DB"/>
            <w:vAlign w:val="center"/>
            <w:hideMark/>
          </w:tcPr>
          <w:p w14:paraId="4DFF36A5" w14:textId="77777777" w:rsidR="000C6BE9" w:rsidRDefault="000C6BE9">
            <w:pPr>
              <w:jc w:val="center"/>
              <w:rPr>
                <w:rFonts w:eastAsia="Times New Roman" w:cs="Arial"/>
                <w:b/>
                <w:sz w:val="18"/>
                <w:szCs w:val="18"/>
                <w:lang w:val="es-CO" w:eastAsia="es-CO"/>
              </w:rPr>
            </w:pPr>
            <w:r>
              <w:rPr>
                <w:rFonts w:eastAsia="Times New Roman" w:cs="Arial"/>
                <w:b/>
                <w:sz w:val="18"/>
                <w:szCs w:val="18"/>
                <w:lang w:val="es-CO" w:eastAsia="es-CO"/>
              </w:rPr>
              <w:t xml:space="preserve"> VIGENCIAS </w:t>
            </w:r>
          </w:p>
        </w:tc>
      </w:tr>
      <w:tr w:rsidR="000C6BE9" w14:paraId="07563389" w14:textId="77777777" w:rsidTr="000C6B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F66A5DE" w14:textId="77777777" w:rsidR="000C6BE9" w:rsidRDefault="000C6BE9">
            <w:pPr>
              <w:rPr>
                <w:rFonts w:eastAsia="Times New Roman" w:cs="Arial"/>
                <w:b/>
                <w:sz w:val="18"/>
                <w:szCs w:val="18"/>
                <w:lang w:val="es-CO" w:eastAsia="es-CO"/>
              </w:rPr>
            </w:pPr>
          </w:p>
        </w:tc>
        <w:tc>
          <w:tcPr>
            <w:tcW w:w="728" w:type="pct"/>
            <w:tcBorders>
              <w:top w:val="nil"/>
              <w:left w:val="nil"/>
              <w:bottom w:val="single" w:sz="4" w:space="0" w:color="auto"/>
              <w:right w:val="single" w:sz="4" w:space="0" w:color="auto"/>
            </w:tcBorders>
            <w:shd w:val="clear" w:color="auto" w:fill="8EA9DB"/>
            <w:vAlign w:val="center"/>
            <w:hideMark/>
          </w:tcPr>
          <w:p w14:paraId="1FF62226" w14:textId="77777777" w:rsidR="000C6BE9" w:rsidRDefault="000C6BE9">
            <w:pPr>
              <w:jc w:val="center"/>
              <w:rPr>
                <w:rFonts w:eastAsia="Times New Roman" w:cs="Arial"/>
                <w:b/>
                <w:sz w:val="18"/>
                <w:szCs w:val="18"/>
                <w:lang w:val="es-CO" w:eastAsia="es-CO"/>
              </w:rPr>
            </w:pPr>
            <w:r>
              <w:rPr>
                <w:rFonts w:eastAsia="Times New Roman" w:cs="Arial"/>
                <w:b/>
                <w:sz w:val="18"/>
                <w:szCs w:val="18"/>
                <w:lang w:val="es-CO" w:eastAsia="es-CO"/>
              </w:rPr>
              <w:t>2020</w:t>
            </w:r>
          </w:p>
        </w:tc>
        <w:tc>
          <w:tcPr>
            <w:tcW w:w="736" w:type="pct"/>
            <w:tcBorders>
              <w:top w:val="nil"/>
              <w:left w:val="nil"/>
              <w:bottom w:val="single" w:sz="4" w:space="0" w:color="auto"/>
              <w:right w:val="single" w:sz="4" w:space="0" w:color="auto"/>
            </w:tcBorders>
            <w:shd w:val="clear" w:color="auto" w:fill="8EA9DB"/>
            <w:vAlign w:val="center"/>
            <w:hideMark/>
          </w:tcPr>
          <w:p w14:paraId="4088BFE1" w14:textId="77777777" w:rsidR="000C6BE9" w:rsidRDefault="000C6BE9">
            <w:pPr>
              <w:jc w:val="center"/>
              <w:rPr>
                <w:rFonts w:eastAsia="Times New Roman" w:cs="Arial"/>
                <w:b/>
                <w:sz w:val="18"/>
                <w:szCs w:val="18"/>
                <w:lang w:val="es-CO" w:eastAsia="es-CO"/>
              </w:rPr>
            </w:pPr>
            <w:r>
              <w:rPr>
                <w:rFonts w:eastAsia="Times New Roman" w:cs="Arial"/>
                <w:b/>
                <w:sz w:val="18"/>
                <w:szCs w:val="18"/>
                <w:lang w:val="es-CO" w:eastAsia="es-CO"/>
              </w:rPr>
              <w:t>2021</w:t>
            </w:r>
          </w:p>
        </w:tc>
        <w:tc>
          <w:tcPr>
            <w:tcW w:w="554" w:type="pct"/>
            <w:tcBorders>
              <w:top w:val="nil"/>
              <w:left w:val="nil"/>
              <w:bottom w:val="single" w:sz="4" w:space="0" w:color="auto"/>
              <w:right w:val="single" w:sz="4" w:space="0" w:color="auto"/>
            </w:tcBorders>
            <w:shd w:val="clear" w:color="auto" w:fill="8EA9DB"/>
            <w:hideMark/>
          </w:tcPr>
          <w:p w14:paraId="5935FDCB" w14:textId="77777777" w:rsidR="000C6BE9" w:rsidRDefault="000C6BE9">
            <w:pPr>
              <w:jc w:val="center"/>
              <w:rPr>
                <w:rFonts w:eastAsia="Times New Roman" w:cs="Arial"/>
                <w:b/>
                <w:sz w:val="18"/>
                <w:szCs w:val="18"/>
                <w:lang w:val="es-CO" w:eastAsia="es-CO"/>
              </w:rPr>
            </w:pPr>
            <w:r>
              <w:rPr>
                <w:rFonts w:eastAsia="Times New Roman" w:cs="Arial"/>
                <w:b/>
                <w:sz w:val="18"/>
                <w:szCs w:val="18"/>
                <w:lang w:val="es-CO" w:eastAsia="es-CO"/>
              </w:rPr>
              <w:t>2022</w:t>
            </w:r>
          </w:p>
        </w:tc>
      </w:tr>
      <w:tr w:rsidR="000C6BE9" w14:paraId="5CAC7DB2"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1103B9A2" w14:textId="77777777" w:rsidR="000C6BE9" w:rsidRDefault="000C6BE9">
            <w:pPr>
              <w:jc w:val="center"/>
              <w:rPr>
                <w:rFonts w:eastAsia="Times New Roman" w:cs="Arial"/>
                <w:b/>
                <w:sz w:val="18"/>
                <w:szCs w:val="18"/>
                <w:lang w:val="es-CO" w:eastAsia="es-CO"/>
              </w:rPr>
            </w:pPr>
            <w:r>
              <w:rPr>
                <w:rFonts w:eastAsia="Times New Roman" w:cs="Arial"/>
                <w:b/>
                <w:sz w:val="18"/>
                <w:szCs w:val="18"/>
                <w:lang w:val="es-CO" w:eastAsia="es-CO"/>
              </w:rPr>
              <w:t xml:space="preserve"> Asignación SGP-educación </w:t>
            </w:r>
          </w:p>
        </w:tc>
        <w:tc>
          <w:tcPr>
            <w:tcW w:w="728" w:type="pct"/>
            <w:tcBorders>
              <w:top w:val="nil"/>
              <w:left w:val="nil"/>
              <w:bottom w:val="single" w:sz="4" w:space="0" w:color="auto"/>
              <w:right w:val="single" w:sz="4" w:space="0" w:color="auto"/>
            </w:tcBorders>
            <w:vAlign w:val="center"/>
            <w:hideMark/>
          </w:tcPr>
          <w:p w14:paraId="56F52B6E"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102.317 </w:t>
            </w:r>
          </w:p>
        </w:tc>
        <w:tc>
          <w:tcPr>
            <w:tcW w:w="736" w:type="pct"/>
            <w:tcBorders>
              <w:top w:val="nil"/>
              <w:left w:val="nil"/>
              <w:bottom w:val="single" w:sz="4" w:space="0" w:color="auto"/>
              <w:right w:val="single" w:sz="4" w:space="0" w:color="auto"/>
            </w:tcBorders>
            <w:vAlign w:val="center"/>
            <w:hideMark/>
          </w:tcPr>
          <w:p w14:paraId="169001EA"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107.053 </w:t>
            </w:r>
          </w:p>
        </w:tc>
        <w:tc>
          <w:tcPr>
            <w:tcW w:w="554" w:type="pct"/>
            <w:tcBorders>
              <w:top w:val="nil"/>
              <w:left w:val="nil"/>
              <w:bottom w:val="single" w:sz="4" w:space="0" w:color="auto"/>
              <w:right w:val="single" w:sz="4" w:space="0" w:color="auto"/>
            </w:tcBorders>
            <w:hideMark/>
          </w:tcPr>
          <w:p w14:paraId="2DA63784"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107.835</w:t>
            </w:r>
          </w:p>
        </w:tc>
      </w:tr>
      <w:tr w:rsidR="000C6BE9" w14:paraId="2B81BAC4"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605EFF16" w14:textId="77777777" w:rsidR="000C6BE9" w:rsidRDefault="000C6BE9">
            <w:pPr>
              <w:jc w:val="center"/>
              <w:rPr>
                <w:rFonts w:eastAsia="Times New Roman" w:cs="Arial"/>
                <w:b/>
                <w:sz w:val="18"/>
                <w:szCs w:val="18"/>
                <w:lang w:val="es-CO" w:eastAsia="es-CO"/>
              </w:rPr>
            </w:pPr>
            <w:r>
              <w:rPr>
                <w:rFonts w:eastAsia="Times New Roman" w:cs="Arial"/>
                <w:b/>
                <w:sz w:val="18"/>
                <w:szCs w:val="18"/>
                <w:lang w:val="es-CO" w:eastAsia="es-CO"/>
              </w:rPr>
              <w:t xml:space="preserve"> Giro MEN-ET </w:t>
            </w:r>
          </w:p>
        </w:tc>
        <w:tc>
          <w:tcPr>
            <w:tcW w:w="728" w:type="pct"/>
            <w:tcBorders>
              <w:top w:val="nil"/>
              <w:left w:val="nil"/>
              <w:bottom w:val="single" w:sz="4" w:space="0" w:color="auto"/>
              <w:right w:val="single" w:sz="4" w:space="0" w:color="auto"/>
            </w:tcBorders>
            <w:vAlign w:val="center"/>
            <w:hideMark/>
          </w:tcPr>
          <w:p w14:paraId="376CDEA3" w14:textId="77777777" w:rsidR="000C6BE9" w:rsidRDefault="000C6BE9">
            <w:pPr>
              <w:jc w:val="right"/>
              <w:rPr>
                <w:rFonts w:eastAsia="Times New Roman" w:cs="Arial"/>
                <w:sz w:val="18"/>
                <w:szCs w:val="18"/>
                <w:lang w:val="es-CO" w:eastAsia="es-CO"/>
              </w:rPr>
            </w:pPr>
            <w:r>
              <w:rPr>
                <w:rFonts w:eastAsia="Times New Roman" w:cs="Arial"/>
                <w:color w:val="FF0000"/>
                <w:sz w:val="14"/>
                <w:szCs w:val="18"/>
                <w:lang w:val="es-CO" w:eastAsia="es-CO"/>
              </w:rPr>
              <w:t xml:space="preserve"> (1) </w:t>
            </w:r>
            <w:r>
              <w:rPr>
                <w:rFonts w:eastAsia="Times New Roman" w:cs="Arial"/>
                <w:sz w:val="18"/>
                <w:szCs w:val="18"/>
                <w:lang w:val="es-CO" w:eastAsia="es-CO"/>
              </w:rPr>
              <w:t xml:space="preserve">101.544 </w:t>
            </w:r>
          </w:p>
        </w:tc>
        <w:tc>
          <w:tcPr>
            <w:tcW w:w="736" w:type="pct"/>
            <w:tcBorders>
              <w:top w:val="nil"/>
              <w:left w:val="nil"/>
              <w:bottom w:val="single" w:sz="4" w:space="0" w:color="auto"/>
              <w:right w:val="single" w:sz="4" w:space="0" w:color="auto"/>
            </w:tcBorders>
            <w:vAlign w:val="center"/>
            <w:hideMark/>
          </w:tcPr>
          <w:p w14:paraId="66A5DF6A"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w:t>
            </w:r>
            <w:r>
              <w:rPr>
                <w:rFonts w:eastAsia="Times New Roman" w:cs="Arial"/>
                <w:color w:val="FF0000"/>
                <w:sz w:val="14"/>
                <w:szCs w:val="18"/>
                <w:lang w:val="es-CO" w:eastAsia="es-CO"/>
              </w:rPr>
              <w:t xml:space="preserve">(4) </w:t>
            </w:r>
            <w:r>
              <w:rPr>
                <w:rFonts w:eastAsia="Times New Roman" w:cs="Arial"/>
                <w:sz w:val="18"/>
                <w:szCs w:val="18"/>
                <w:lang w:val="es-CO" w:eastAsia="es-CO"/>
              </w:rPr>
              <w:t xml:space="preserve">104.769 </w:t>
            </w:r>
          </w:p>
        </w:tc>
        <w:tc>
          <w:tcPr>
            <w:tcW w:w="554" w:type="pct"/>
            <w:tcBorders>
              <w:top w:val="nil"/>
              <w:left w:val="nil"/>
              <w:bottom w:val="single" w:sz="4" w:space="0" w:color="auto"/>
              <w:right w:val="single" w:sz="4" w:space="0" w:color="auto"/>
            </w:tcBorders>
            <w:hideMark/>
          </w:tcPr>
          <w:p w14:paraId="0478DB4D"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107.835</w:t>
            </w:r>
          </w:p>
        </w:tc>
      </w:tr>
      <w:tr w:rsidR="000C6BE9" w14:paraId="618F019F" w14:textId="77777777" w:rsidTr="000C6BE9">
        <w:trPr>
          <w:trHeight w:val="20"/>
          <w:jc w:val="center"/>
        </w:trPr>
        <w:tc>
          <w:tcPr>
            <w:tcW w:w="2983" w:type="pct"/>
            <w:tcBorders>
              <w:top w:val="nil"/>
              <w:left w:val="single" w:sz="4" w:space="0" w:color="auto"/>
              <w:bottom w:val="single" w:sz="4" w:space="0" w:color="auto"/>
              <w:right w:val="single" w:sz="4" w:space="0" w:color="auto"/>
            </w:tcBorders>
            <w:shd w:val="clear" w:color="auto" w:fill="8EA9DB"/>
            <w:vAlign w:val="center"/>
            <w:hideMark/>
          </w:tcPr>
          <w:p w14:paraId="2AE6C7F9" w14:textId="77777777" w:rsidR="000C6BE9" w:rsidRDefault="000C6BE9">
            <w:pPr>
              <w:rPr>
                <w:rFonts w:eastAsia="Times New Roman" w:cs="Arial"/>
                <w:b/>
                <w:sz w:val="18"/>
                <w:szCs w:val="18"/>
                <w:lang w:val="es-CO" w:eastAsia="es-CO"/>
              </w:rPr>
            </w:pPr>
            <w:r>
              <w:rPr>
                <w:rFonts w:eastAsia="Times New Roman" w:cs="Arial"/>
                <w:b/>
                <w:sz w:val="18"/>
                <w:szCs w:val="18"/>
                <w:lang w:val="es-CO" w:eastAsia="es-CO"/>
              </w:rPr>
              <w:t xml:space="preserve"> EJECUCIÓN PRESUPUESTAL </w:t>
            </w:r>
          </w:p>
        </w:tc>
        <w:tc>
          <w:tcPr>
            <w:tcW w:w="728" w:type="pct"/>
            <w:tcBorders>
              <w:top w:val="nil"/>
              <w:left w:val="nil"/>
              <w:bottom w:val="single" w:sz="4" w:space="0" w:color="auto"/>
              <w:right w:val="single" w:sz="4" w:space="0" w:color="auto"/>
            </w:tcBorders>
            <w:shd w:val="clear" w:color="auto" w:fill="8EA9DB"/>
            <w:vAlign w:val="center"/>
            <w:hideMark/>
          </w:tcPr>
          <w:p w14:paraId="72925BF8"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 </w:t>
            </w:r>
          </w:p>
        </w:tc>
        <w:tc>
          <w:tcPr>
            <w:tcW w:w="736" w:type="pct"/>
            <w:tcBorders>
              <w:top w:val="nil"/>
              <w:left w:val="nil"/>
              <w:bottom w:val="single" w:sz="4" w:space="0" w:color="auto"/>
              <w:right w:val="single" w:sz="4" w:space="0" w:color="auto"/>
            </w:tcBorders>
            <w:shd w:val="clear" w:color="auto" w:fill="8EA9DB"/>
            <w:vAlign w:val="center"/>
            <w:hideMark/>
          </w:tcPr>
          <w:p w14:paraId="73DF21FE"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w:t>
            </w:r>
          </w:p>
        </w:tc>
        <w:tc>
          <w:tcPr>
            <w:tcW w:w="554" w:type="pct"/>
            <w:tcBorders>
              <w:top w:val="nil"/>
              <w:left w:val="nil"/>
              <w:bottom w:val="single" w:sz="4" w:space="0" w:color="auto"/>
              <w:right w:val="single" w:sz="4" w:space="0" w:color="auto"/>
            </w:tcBorders>
            <w:shd w:val="clear" w:color="auto" w:fill="8EA9DB"/>
            <w:hideMark/>
          </w:tcPr>
          <w:p w14:paraId="5227F280"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w:t>
            </w:r>
          </w:p>
        </w:tc>
      </w:tr>
      <w:tr w:rsidR="000C6BE9" w14:paraId="28498477" w14:textId="77777777" w:rsidTr="000C6BE9">
        <w:trPr>
          <w:trHeight w:val="20"/>
          <w:jc w:val="center"/>
        </w:trPr>
        <w:tc>
          <w:tcPr>
            <w:tcW w:w="2983" w:type="pct"/>
            <w:tcBorders>
              <w:top w:val="nil"/>
              <w:left w:val="single" w:sz="4" w:space="0" w:color="auto"/>
              <w:bottom w:val="single" w:sz="4" w:space="0" w:color="auto"/>
              <w:right w:val="single" w:sz="4" w:space="0" w:color="auto"/>
            </w:tcBorders>
            <w:shd w:val="clear" w:color="auto" w:fill="D9D9D9"/>
            <w:vAlign w:val="center"/>
            <w:hideMark/>
          </w:tcPr>
          <w:p w14:paraId="463E2AE5" w14:textId="77777777" w:rsidR="000C6BE9" w:rsidRDefault="000C6BE9">
            <w:pPr>
              <w:jc w:val="both"/>
              <w:rPr>
                <w:rFonts w:eastAsia="Times New Roman" w:cs="Arial"/>
                <w:b/>
                <w:sz w:val="18"/>
                <w:szCs w:val="18"/>
                <w:lang w:val="es-CO" w:eastAsia="es-CO"/>
              </w:rPr>
            </w:pPr>
            <w:r>
              <w:rPr>
                <w:rFonts w:eastAsia="Times New Roman" w:cs="Arial"/>
                <w:b/>
                <w:sz w:val="18"/>
                <w:szCs w:val="18"/>
                <w:lang w:val="es-CO" w:eastAsia="es-CO"/>
              </w:rPr>
              <w:t xml:space="preserve"> Ingresos Corrientes </w:t>
            </w:r>
          </w:p>
        </w:tc>
        <w:tc>
          <w:tcPr>
            <w:tcW w:w="728" w:type="pct"/>
            <w:tcBorders>
              <w:top w:val="nil"/>
              <w:left w:val="nil"/>
              <w:bottom w:val="single" w:sz="4" w:space="0" w:color="auto"/>
              <w:right w:val="single" w:sz="4" w:space="0" w:color="auto"/>
            </w:tcBorders>
            <w:shd w:val="clear" w:color="auto" w:fill="D9D9D9"/>
            <w:vAlign w:val="center"/>
            <w:hideMark/>
          </w:tcPr>
          <w:p w14:paraId="5A006FE0"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101.530 </w:t>
            </w:r>
          </w:p>
        </w:tc>
        <w:tc>
          <w:tcPr>
            <w:tcW w:w="736" w:type="pct"/>
            <w:tcBorders>
              <w:top w:val="nil"/>
              <w:left w:val="nil"/>
              <w:bottom w:val="single" w:sz="4" w:space="0" w:color="auto"/>
              <w:right w:val="single" w:sz="4" w:space="0" w:color="auto"/>
            </w:tcBorders>
            <w:shd w:val="clear" w:color="auto" w:fill="D9D9D9"/>
            <w:vAlign w:val="center"/>
            <w:hideMark/>
          </w:tcPr>
          <w:p w14:paraId="5DD0D8AA"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104.769 </w:t>
            </w:r>
          </w:p>
        </w:tc>
        <w:tc>
          <w:tcPr>
            <w:tcW w:w="554" w:type="pct"/>
            <w:tcBorders>
              <w:top w:val="nil"/>
              <w:left w:val="nil"/>
              <w:bottom w:val="single" w:sz="4" w:space="0" w:color="auto"/>
              <w:right w:val="single" w:sz="4" w:space="0" w:color="auto"/>
            </w:tcBorders>
            <w:shd w:val="clear" w:color="auto" w:fill="D9D9D9"/>
            <w:hideMark/>
          </w:tcPr>
          <w:p w14:paraId="3014C800"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107.835</w:t>
            </w:r>
          </w:p>
        </w:tc>
      </w:tr>
      <w:tr w:rsidR="000C6BE9" w14:paraId="61E032C5"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276B8241" w14:textId="77777777" w:rsidR="000C6BE9" w:rsidRDefault="000C6BE9">
            <w:pPr>
              <w:rPr>
                <w:rFonts w:eastAsia="Times New Roman" w:cs="Arial"/>
                <w:b/>
                <w:sz w:val="18"/>
                <w:szCs w:val="18"/>
                <w:lang w:val="es-CO" w:eastAsia="es-CO"/>
              </w:rPr>
            </w:pPr>
            <w:r>
              <w:rPr>
                <w:rFonts w:eastAsia="Times New Roman" w:cs="Arial"/>
                <w:b/>
                <w:sz w:val="18"/>
                <w:szCs w:val="18"/>
                <w:lang w:val="es-CO" w:eastAsia="es-CO"/>
              </w:rPr>
              <w:t xml:space="preserve"> Sistema General de Participaciones -Educación </w:t>
            </w:r>
          </w:p>
        </w:tc>
        <w:tc>
          <w:tcPr>
            <w:tcW w:w="728" w:type="pct"/>
            <w:tcBorders>
              <w:top w:val="nil"/>
              <w:left w:val="nil"/>
              <w:bottom w:val="single" w:sz="4" w:space="0" w:color="auto"/>
              <w:right w:val="single" w:sz="4" w:space="0" w:color="auto"/>
            </w:tcBorders>
            <w:noWrap/>
            <w:vAlign w:val="bottom"/>
            <w:hideMark/>
          </w:tcPr>
          <w:p w14:paraId="6270B3DB"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101.530 </w:t>
            </w:r>
          </w:p>
        </w:tc>
        <w:tc>
          <w:tcPr>
            <w:tcW w:w="736" w:type="pct"/>
            <w:tcBorders>
              <w:top w:val="nil"/>
              <w:left w:val="nil"/>
              <w:bottom w:val="single" w:sz="4" w:space="0" w:color="auto"/>
              <w:right w:val="single" w:sz="4" w:space="0" w:color="auto"/>
            </w:tcBorders>
            <w:noWrap/>
            <w:vAlign w:val="bottom"/>
            <w:hideMark/>
          </w:tcPr>
          <w:p w14:paraId="18B0B3E6"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104.769 </w:t>
            </w:r>
          </w:p>
        </w:tc>
        <w:tc>
          <w:tcPr>
            <w:tcW w:w="554" w:type="pct"/>
            <w:tcBorders>
              <w:top w:val="nil"/>
              <w:left w:val="nil"/>
              <w:bottom w:val="single" w:sz="4" w:space="0" w:color="auto"/>
              <w:right w:val="single" w:sz="4" w:space="0" w:color="auto"/>
            </w:tcBorders>
            <w:hideMark/>
          </w:tcPr>
          <w:p w14:paraId="4DF24224"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107.835</w:t>
            </w:r>
          </w:p>
        </w:tc>
      </w:tr>
      <w:tr w:rsidR="000C6BE9" w14:paraId="3BFF15FF"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7108ABA5" w14:textId="77777777" w:rsidR="000C6BE9" w:rsidRDefault="000C6BE9">
            <w:pPr>
              <w:rPr>
                <w:rFonts w:eastAsia="Times New Roman" w:cs="Arial"/>
                <w:b/>
                <w:sz w:val="18"/>
                <w:szCs w:val="18"/>
                <w:lang w:val="es-CO" w:eastAsia="es-CO"/>
              </w:rPr>
            </w:pPr>
            <w:r>
              <w:rPr>
                <w:rFonts w:eastAsia="Times New Roman" w:cs="Arial"/>
                <w:b/>
                <w:sz w:val="18"/>
                <w:szCs w:val="18"/>
                <w:lang w:val="es-CO" w:eastAsia="es-CO"/>
              </w:rPr>
              <w:t xml:space="preserve"> Prestación de servicios </w:t>
            </w:r>
          </w:p>
        </w:tc>
        <w:tc>
          <w:tcPr>
            <w:tcW w:w="728" w:type="pct"/>
            <w:tcBorders>
              <w:top w:val="nil"/>
              <w:left w:val="nil"/>
              <w:bottom w:val="single" w:sz="4" w:space="0" w:color="auto"/>
              <w:right w:val="single" w:sz="4" w:space="0" w:color="auto"/>
            </w:tcBorders>
            <w:noWrap/>
            <w:vAlign w:val="bottom"/>
            <w:hideMark/>
          </w:tcPr>
          <w:p w14:paraId="74ADD159"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97.747 </w:t>
            </w:r>
          </w:p>
        </w:tc>
        <w:tc>
          <w:tcPr>
            <w:tcW w:w="736" w:type="pct"/>
            <w:tcBorders>
              <w:top w:val="nil"/>
              <w:left w:val="nil"/>
              <w:bottom w:val="single" w:sz="4" w:space="0" w:color="auto"/>
              <w:right w:val="single" w:sz="4" w:space="0" w:color="auto"/>
            </w:tcBorders>
            <w:noWrap/>
            <w:vAlign w:val="bottom"/>
            <w:hideMark/>
          </w:tcPr>
          <w:p w14:paraId="4B453FA3"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102.773 </w:t>
            </w:r>
          </w:p>
        </w:tc>
        <w:tc>
          <w:tcPr>
            <w:tcW w:w="554" w:type="pct"/>
            <w:tcBorders>
              <w:top w:val="nil"/>
              <w:left w:val="nil"/>
              <w:bottom w:val="single" w:sz="4" w:space="0" w:color="auto"/>
              <w:right w:val="single" w:sz="4" w:space="0" w:color="auto"/>
            </w:tcBorders>
            <w:hideMark/>
          </w:tcPr>
          <w:p w14:paraId="3AA7373E"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103.553</w:t>
            </w:r>
          </w:p>
        </w:tc>
      </w:tr>
      <w:tr w:rsidR="000C6BE9" w14:paraId="57DB9EF2"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43FBB49F" w14:textId="77777777" w:rsidR="000C6BE9" w:rsidRDefault="000C6BE9">
            <w:pPr>
              <w:ind w:firstLineChars="100" w:firstLine="180"/>
              <w:rPr>
                <w:rFonts w:eastAsia="Times New Roman" w:cs="Arial"/>
                <w:sz w:val="18"/>
                <w:szCs w:val="18"/>
                <w:lang w:val="es-CO" w:eastAsia="es-CO"/>
              </w:rPr>
            </w:pPr>
            <w:r>
              <w:rPr>
                <w:rFonts w:eastAsia="Times New Roman" w:cs="Arial"/>
                <w:sz w:val="18"/>
                <w:szCs w:val="18"/>
                <w:lang w:val="es-CO" w:eastAsia="es-CO"/>
              </w:rPr>
              <w:t xml:space="preserve"> Con Situación de Fondos </w:t>
            </w:r>
          </w:p>
        </w:tc>
        <w:tc>
          <w:tcPr>
            <w:tcW w:w="728" w:type="pct"/>
            <w:tcBorders>
              <w:top w:val="nil"/>
              <w:left w:val="nil"/>
              <w:bottom w:val="single" w:sz="4" w:space="0" w:color="auto"/>
              <w:right w:val="single" w:sz="4" w:space="0" w:color="auto"/>
            </w:tcBorders>
            <w:vAlign w:val="center"/>
            <w:hideMark/>
          </w:tcPr>
          <w:p w14:paraId="2A4D2190"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82.092 </w:t>
            </w:r>
          </w:p>
        </w:tc>
        <w:tc>
          <w:tcPr>
            <w:tcW w:w="736" w:type="pct"/>
            <w:tcBorders>
              <w:top w:val="nil"/>
              <w:left w:val="nil"/>
              <w:bottom w:val="single" w:sz="4" w:space="0" w:color="auto"/>
              <w:right w:val="single" w:sz="4" w:space="0" w:color="auto"/>
            </w:tcBorders>
            <w:vAlign w:val="center"/>
            <w:hideMark/>
          </w:tcPr>
          <w:p w14:paraId="6C0D5712"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85.322 </w:t>
            </w:r>
          </w:p>
        </w:tc>
        <w:tc>
          <w:tcPr>
            <w:tcW w:w="554" w:type="pct"/>
            <w:tcBorders>
              <w:top w:val="nil"/>
              <w:left w:val="nil"/>
              <w:bottom w:val="single" w:sz="4" w:space="0" w:color="auto"/>
              <w:right w:val="single" w:sz="4" w:space="0" w:color="auto"/>
            </w:tcBorders>
            <w:hideMark/>
          </w:tcPr>
          <w:p w14:paraId="56D22B80"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92.117</w:t>
            </w:r>
          </w:p>
        </w:tc>
      </w:tr>
      <w:tr w:rsidR="000C6BE9" w14:paraId="29FE7F07"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1F6D94C4" w14:textId="77777777" w:rsidR="000C6BE9" w:rsidRDefault="000C6BE9">
            <w:pPr>
              <w:ind w:firstLineChars="100" w:firstLine="180"/>
              <w:rPr>
                <w:rFonts w:eastAsia="Times New Roman" w:cs="Arial"/>
                <w:sz w:val="18"/>
                <w:szCs w:val="18"/>
                <w:lang w:val="es-CO" w:eastAsia="es-CO"/>
              </w:rPr>
            </w:pPr>
            <w:r>
              <w:rPr>
                <w:rFonts w:eastAsia="Times New Roman" w:cs="Arial"/>
                <w:sz w:val="18"/>
                <w:szCs w:val="18"/>
                <w:lang w:val="es-CO" w:eastAsia="es-CO"/>
              </w:rPr>
              <w:t xml:space="preserve"> Sin Situación de Fondos </w:t>
            </w:r>
          </w:p>
        </w:tc>
        <w:tc>
          <w:tcPr>
            <w:tcW w:w="728" w:type="pct"/>
            <w:tcBorders>
              <w:top w:val="nil"/>
              <w:left w:val="nil"/>
              <w:bottom w:val="single" w:sz="4" w:space="0" w:color="auto"/>
              <w:right w:val="single" w:sz="4" w:space="0" w:color="auto"/>
            </w:tcBorders>
            <w:vAlign w:val="center"/>
            <w:hideMark/>
          </w:tcPr>
          <w:p w14:paraId="49F0D76E"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15.655 </w:t>
            </w:r>
          </w:p>
        </w:tc>
        <w:tc>
          <w:tcPr>
            <w:tcW w:w="736" w:type="pct"/>
            <w:tcBorders>
              <w:top w:val="nil"/>
              <w:left w:val="nil"/>
              <w:bottom w:val="single" w:sz="4" w:space="0" w:color="auto"/>
              <w:right w:val="single" w:sz="4" w:space="0" w:color="auto"/>
            </w:tcBorders>
            <w:vAlign w:val="center"/>
            <w:hideMark/>
          </w:tcPr>
          <w:p w14:paraId="37856197"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17.451 </w:t>
            </w:r>
          </w:p>
        </w:tc>
        <w:tc>
          <w:tcPr>
            <w:tcW w:w="554" w:type="pct"/>
            <w:tcBorders>
              <w:top w:val="nil"/>
              <w:left w:val="nil"/>
              <w:bottom w:val="single" w:sz="4" w:space="0" w:color="auto"/>
              <w:right w:val="single" w:sz="4" w:space="0" w:color="auto"/>
            </w:tcBorders>
            <w:hideMark/>
          </w:tcPr>
          <w:p w14:paraId="12FDB467"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11.436</w:t>
            </w:r>
          </w:p>
        </w:tc>
      </w:tr>
      <w:tr w:rsidR="000C6BE9" w14:paraId="4BC391D5"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235BFE72" w14:textId="77777777" w:rsidR="000C6BE9" w:rsidRDefault="000C6BE9">
            <w:pPr>
              <w:rPr>
                <w:rFonts w:eastAsia="Times New Roman" w:cs="Arial"/>
                <w:b/>
                <w:sz w:val="18"/>
                <w:szCs w:val="18"/>
                <w:lang w:val="es-CO" w:eastAsia="es-CO"/>
              </w:rPr>
            </w:pPr>
            <w:r>
              <w:rPr>
                <w:rFonts w:eastAsia="Times New Roman" w:cs="Arial"/>
                <w:b/>
                <w:sz w:val="18"/>
                <w:szCs w:val="18"/>
                <w:lang w:val="es-CO" w:eastAsia="es-CO"/>
              </w:rPr>
              <w:t xml:space="preserve"> Calidad </w:t>
            </w:r>
          </w:p>
        </w:tc>
        <w:tc>
          <w:tcPr>
            <w:tcW w:w="728" w:type="pct"/>
            <w:tcBorders>
              <w:top w:val="nil"/>
              <w:left w:val="nil"/>
              <w:bottom w:val="single" w:sz="4" w:space="0" w:color="auto"/>
              <w:right w:val="single" w:sz="4" w:space="0" w:color="auto"/>
            </w:tcBorders>
            <w:vAlign w:val="center"/>
            <w:hideMark/>
          </w:tcPr>
          <w:p w14:paraId="1B3D1928" w14:textId="77777777" w:rsidR="000C6BE9" w:rsidRDefault="000C6BE9">
            <w:pPr>
              <w:jc w:val="right"/>
              <w:rPr>
                <w:rFonts w:eastAsia="Times New Roman" w:cs="Arial"/>
                <w:b/>
                <w:bCs/>
                <w:sz w:val="18"/>
                <w:szCs w:val="18"/>
                <w:lang w:val="es-CO" w:eastAsia="es-CO"/>
              </w:rPr>
            </w:pPr>
            <w:r>
              <w:rPr>
                <w:rFonts w:eastAsia="Times New Roman" w:cs="Arial"/>
                <w:b/>
                <w:bCs/>
                <w:color w:val="FF0000"/>
                <w:sz w:val="14"/>
                <w:szCs w:val="18"/>
                <w:lang w:val="es-CO" w:eastAsia="es-CO"/>
              </w:rPr>
              <w:t xml:space="preserve"> (2) </w:t>
            </w:r>
            <w:r>
              <w:rPr>
                <w:rFonts w:eastAsia="Times New Roman" w:cs="Arial"/>
                <w:b/>
                <w:bCs/>
                <w:sz w:val="18"/>
                <w:szCs w:val="18"/>
                <w:lang w:val="es-CO" w:eastAsia="es-CO"/>
              </w:rPr>
              <w:t xml:space="preserve">1.095 </w:t>
            </w:r>
          </w:p>
        </w:tc>
        <w:tc>
          <w:tcPr>
            <w:tcW w:w="736" w:type="pct"/>
            <w:tcBorders>
              <w:top w:val="nil"/>
              <w:left w:val="nil"/>
              <w:bottom w:val="single" w:sz="4" w:space="0" w:color="auto"/>
              <w:right w:val="single" w:sz="4" w:space="0" w:color="auto"/>
            </w:tcBorders>
            <w:vAlign w:val="center"/>
            <w:hideMark/>
          </w:tcPr>
          <w:p w14:paraId="11FAE0C9" w14:textId="77777777" w:rsidR="000C6BE9" w:rsidRDefault="000C6BE9">
            <w:pPr>
              <w:jc w:val="right"/>
              <w:rPr>
                <w:rFonts w:eastAsia="Times New Roman" w:cs="Arial"/>
                <w:b/>
                <w:bCs/>
                <w:sz w:val="18"/>
                <w:szCs w:val="18"/>
                <w:lang w:val="es-CO" w:eastAsia="es-CO"/>
              </w:rPr>
            </w:pPr>
            <w:r>
              <w:rPr>
                <w:rFonts w:eastAsia="Times New Roman" w:cs="Arial"/>
                <w:b/>
                <w:bCs/>
                <w:sz w:val="18"/>
                <w:szCs w:val="18"/>
                <w:lang w:val="es-CO" w:eastAsia="es-CO"/>
              </w:rPr>
              <w:t xml:space="preserve"> - </w:t>
            </w:r>
          </w:p>
        </w:tc>
        <w:tc>
          <w:tcPr>
            <w:tcW w:w="554" w:type="pct"/>
            <w:tcBorders>
              <w:top w:val="nil"/>
              <w:left w:val="nil"/>
              <w:bottom w:val="single" w:sz="4" w:space="0" w:color="auto"/>
              <w:right w:val="single" w:sz="4" w:space="0" w:color="auto"/>
            </w:tcBorders>
            <w:hideMark/>
          </w:tcPr>
          <w:p w14:paraId="608E3CE9" w14:textId="77777777" w:rsidR="000C6BE9" w:rsidRDefault="000C6BE9">
            <w:pPr>
              <w:jc w:val="right"/>
              <w:rPr>
                <w:rFonts w:eastAsia="Times New Roman" w:cs="Arial"/>
                <w:b/>
                <w:bCs/>
                <w:sz w:val="18"/>
                <w:szCs w:val="18"/>
                <w:lang w:val="es-CO" w:eastAsia="es-CO"/>
              </w:rPr>
            </w:pPr>
            <w:r>
              <w:rPr>
                <w:rFonts w:eastAsia="Times New Roman" w:cs="Arial"/>
                <w:b/>
                <w:bCs/>
                <w:sz w:val="18"/>
                <w:szCs w:val="18"/>
                <w:lang w:val="es-CO" w:eastAsia="es-CO"/>
              </w:rPr>
              <w:t>2.338</w:t>
            </w:r>
          </w:p>
        </w:tc>
      </w:tr>
      <w:tr w:rsidR="000C6BE9" w14:paraId="66FC7C1E"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28BE7465" w14:textId="77777777" w:rsidR="000C6BE9" w:rsidRDefault="000C6BE9">
            <w:pPr>
              <w:rPr>
                <w:rFonts w:eastAsia="Times New Roman" w:cs="Arial"/>
                <w:b/>
                <w:sz w:val="18"/>
                <w:szCs w:val="18"/>
                <w:lang w:val="es-CO" w:eastAsia="es-CO"/>
              </w:rPr>
            </w:pPr>
            <w:r>
              <w:rPr>
                <w:rFonts w:eastAsia="Times New Roman" w:cs="Arial"/>
                <w:b/>
                <w:sz w:val="18"/>
                <w:szCs w:val="18"/>
                <w:lang w:val="es-CO" w:eastAsia="es-CO"/>
              </w:rPr>
              <w:t xml:space="preserve"> Gratuidad </w:t>
            </w:r>
          </w:p>
        </w:tc>
        <w:tc>
          <w:tcPr>
            <w:tcW w:w="728" w:type="pct"/>
            <w:tcBorders>
              <w:top w:val="nil"/>
              <w:left w:val="nil"/>
              <w:bottom w:val="single" w:sz="4" w:space="0" w:color="auto"/>
              <w:right w:val="single" w:sz="4" w:space="0" w:color="auto"/>
            </w:tcBorders>
            <w:vAlign w:val="center"/>
            <w:hideMark/>
          </w:tcPr>
          <w:p w14:paraId="2D83FC44" w14:textId="77777777" w:rsidR="000C6BE9" w:rsidRDefault="000C6BE9">
            <w:pPr>
              <w:jc w:val="right"/>
              <w:rPr>
                <w:rFonts w:eastAsia="Times New Roman" w:cs="Arial"/>
                <w:b/>
                <w:bCs/>
                <w:sz w:val="18"/>
                <w:szCs w:val="18"/>
                <w:lang w:val="es-CO" w:eastAsia="es-CO"/>
              </w:rPr>
            </w:pPr>
            <w:r>
              <w:rPr>
                <w:rFonts w:eastAsia="Times New Roman" w:cs="Arial"/>
                <w:b/>
                <w:bCs/>
                <w:sz w:val="18"/>
                <w:szCs w:val="18"/>
                <w:lang w:val="es-CO" w:eastAsia="es-CO"/>
              </w:rPr>
              <w:t xml:space="preserve"> 2.688 </w:t>
            </w:r>
          </w:p>
        </w:tc>
        <w:tc>
          <w:tcPr>
            <w:tcW w:w="736" w:type="pct"/>
            <w:tcBorders>
              <w:top w:val="nil"/>
              <w:left w:val="nil"/>
              <w:bottom w:val="single" w:sz="4" w:space="0" w:color="auto"/>
              <w:right w:val="single" w:sz="4" w:space="0" w:color="auto"/>
            </w:tcBorders>
            <w:vAlign w:val="center"/>
            <w:hideMark/>
          </w:tcPr>
          <w:p w14:paraId="3B7191AC" w14:textId="77777777" w:rsidR="000C6BE9" w:rsidRDefault="000C6BE9">
            <w:pPr>
              <w:jc w:val="right"/>
              <w:rPr>
                <w:rFonts w:eastAsia="Times New Roman" w:cs="Arial"/>
                <w:b/>
                <w:bCs/>
                <w:sz w:val="18"/>
                <w:szCs w:val="18"/>
                <w:lang w:val="es-CO" w:eastAsia="es-CO"/>
              </w:rPr>
            </w:pPr>
            <w:r>
              <w:rPr>
                <w:rFonts w:eastAsia="Times New Roman" w:cs="Arial"/>
                <w:b/>
                <w:bCs/>
                <w:sz w:val="18"/>
                <w:szCs w:val="18"/>
                <w:lang w:val="es-CO" w:eastAsia="es-CO"/>
              </w:rPr>
              <w:t xml:space="preserve"> 1.996 </w:t>
            </w:r>
          </w:p>
        </w:tc>
        <w:tc>
          <w:tcPr>
            <w:tcW w:w="554" w:type="pct"/>
            <w:tcBorders>
              <w:top w:val="nil"/>
              <w:left w:val="nil"/>
              <w:bottom w:val="single" w:sz="4" w:space="0" w:color="auto"/>
              <w:right w:val="single" w:sz="4" w:space="0" w:color="auto"/>
            </w:tcBorders>
            <w:hideMark/>
          </w:tcPr>
          <w:p w14:paraId="0EEE4C94" w14:textId="77777777" w:rsidR="000C6BE9" w:rsidRDefault="000C6BE9">
            <w:pPr>
              <w:jc w:val="right"/>
              <w:rPr>
                <w:rFonts w:eastAsia="Times New Roman" w:cs="Arial"/>
                <w:b/>
                <w:bCs/>
                <w:sz w:val="18"/>
                <w:szCs w:val="18"/>
                <w:lang w:val="es-CO" w:eastAsia="es-CO"/>
              </w:rPr>
            </w:pPr>
            <w:r>
              <w:rPr>
                <w:rFonts w:eastAsia="Times New Roman" w:cs="Arial"/>
                <w:b/>
                <w:bCs/>
                <w:sz w:val="18"/>
                <w:szCs w:val="18"/>
                <w:lang w:val="es-CO" w:eastAsia="es-CO"/>
              </w:rPr>
              <w:t>1.944</w:t>
            </w:r>
          </w:p>
        </w:tc>
      </w:tr>
      <w:tr w:rsidR="000C6BE9" w14:paraId="1DC85797" w14:textId="77777777" w:rsidTr="000C6BE9">
        <w:trPr>
          <w:trHeight w:val="20"/>
          <w:jc w:val="center"/>
        </w:trPr>
        <w:tc>
          <w:tcPr>
            <w:tcW w:w="2983" w:type="pct"/>
            <w:tcBorders>
              <w:top w:val="nil"/>
              <w:left w:val="single" w:sz="4" w:space="0" w:color="auto"/>
              <w:bottom w:val="single" w:sz="4" w:space="0" w:color="auto"/>
              <w:right w:val="single" w:sz="4" w:space="0" w:color="auto"/>
            </w:tcBorders>
            <w:shd w:val="clear" w:color="auto" w:fill="D9D9D9"/>
            <w:vAlign w:val="center"/>
            <w:hideMark/>
          </w:tcPr>
          <w:p w14:paraId="7F326722" w14:textId="77777777" w:rsidR="000C6BE9" w:rsidRDefault="000C6BE9">
            <w:pPr>
              <w:jc w:val="both"/>
              <w:rPr>
                <w:rFonts w:eastAsia="Times New Roman" w:cs="Arial"/>
                <w:b/>
                <w:sz w:val="18"/>
                <w:szCs w:val="18"/>
                <w:lang w:val="es-CO" w:eastAsia="es-CO"/>
              </w:rPr>
            </w:pPr>
            <w:r>
              <w:rPr>
                <w:rFonts w:eastAsia="Times New Roman" w:cs="Arial"/>
                <w:b/>
                <w:sz w:val="18"/>
                <w:szCs w:val="18"/>
                <w:lang w:val="es-CO" w:eastAsia="es-CO"/>
              </w:rPr>
              <w:t xml:space="preserve"> INGRESOS DE CAPITAL </w:t>
            </w:r>
          </w:p>
        </w:tc>
        <w:tc>
          <w:tcPr>
            <w:tcW w:w="728" w:type="pct"/>
            <w:tcBorders>
              <w:top w:val="nil"/>
              <w:left w:val="nil"/>
              <w:bottom w:val="single" w:sz="4" w:space="0" w:color="auto"/>
              <w:right w:val="single" w:sz="4" w:space="0" w:color="auto"/>
            </w:tcBorders>
            <w:shd w:val="clear" w:color="auto" w:fill="D9D9D9"/>
            <w:vAlign w:val="center"/>
            <w:hideMark/>
          </w:tcPr>
          <w:p w14:paraId="4BAB7431"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282 </w:t>
            </w:r>
          </w:p>
        </w:tc>
        <w:tc>
          <w:tcPr>
            <w:tcW w:w="736" w:type="pct"/>
            <w:tcBorders>
              <w:top w:val="nil"/>
              <w:left w:val="nil"/>
              <w:bottom w:val="single" w:sz="4" w:space="0" w:color="auto"/>
              <w:right w:val="single" w:sz="4" w:space="0" w:color="auto"/>
            </w:tcBorders>
            <w:shd w:val="clear" w:color="auto" w:fill="D9D9D9"/>
            <w:vAlign w:val="center"/>
            <w:hideMark/>
          </w:tcPr>
          <w:p w14:paraId="0B956AEC"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576 </w:t>
            </w:r>
          </w:p>
        </w:tc>
        <w:tc>
          <w:tcPr>
            <w:tcW w:w="554" w:type="pct"/>
            <w:tcBorders>
              <w:top w:val="nil"/>
              <w:left w:val="nil"/>
              <w:bottom w:val="single" w:sz="4" w:space="0" w:color="auto"/>
              <w:right w:val="single" w:sz="4" w:space="0" w:color="auto"/>
            </w:tcBorders>
            <w:shd w:val="clear" w:color="auto" w:fill="D9D9D9"/>
            <w:hideMark/>
          </w:tcPr>
          <w:p w14:paraId="7E33A185"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3.136</w:t>
            </w:r>
          </w:p>
        </w:tc>
      </w:tr>
      <w:tr w:rsidR="000C6BE9" w14:paraId="44A55D43"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29D50177" w14:textId="77777777" w:rsidR="000C6BE9" w:rsidRDefault="000C6BE9">
            <w:pPr>
              <w:jc w:val="both"/>
              <w:rPr>
                <w:rFonts w:eastAsia="Times New Roman" w:cs="Arial"/>
                <w:b/>
                <w:sz w:val="18"/>
                <w:szCs w:val="18"/>
                <w:lang w:val="es-CO" w:eastAsia="es-CO"/>
              </w:rPr>
            </w:pPr>
            <w:r>
              <w:rPr>
                <w:rFonts w:eastAsia="Times New Roman" w:cs="Arial"/>
                <w:b/>
                <w:sz w:val="18"/>
                <w:szCs w:val="18"/>
                <w:lang w:val="es-CO" w:eastAsia="es-CO"/>
              </w:rPr>
              <w:t xml:space="preserve"> Rendimientos Financieros </w:t>
            </w:r>
          </w:p>
        </w:tc>
        <w:tc>
          <w:tcPr>
            <w:tcW w:w="728" w:type="pct"/>
            <w:tcBorders>
              <w:top w:val="nil"/>
              <w:left w:val="nil"/>
              <w:bottom w:val="single" w:sz="4" w:space="0" w:color="auto"/>
              <w:right w:val="single" w:sz="4" w:space="0" w:color="auto"/>
            </w:tcBorders>
            <w:noWrap/>
            <w:vAlign w:val="bottom"/>
            <w:hideMark/>
          </w:tcPr>
          <w:p w14:paraId="6BA60240"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64 </w:t>
            </w:r>
          </w:p>
        </w:tc>
        <w:tc>
          <w:tcPr>
            <w:tcW w:w="736" w:type="pct"/>
            <w:tcBorders>
              <w:top w:val="nil"/>
              <w:left w:val="nil"/>
              <w:bottom w:val="single" w:sz="4" w:space="0" w:color="auto"/>
              <w:right w:val="single" w:sz="4" w:space="0" w:color="auto"/>
            </w:tcBorders>
            <w:vAlign w:val="center"/>
            <w:hideMark/>
          </w:tcPr>
          <w:p w14:paraId="5AB15127"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17 </w:t>
            </w:r>
          </w:p>
        </w:tc>
        <w:tc>
          <w:tcPr>
            <w:tcW w:w="554" w:type="pct"/>
            <w:tcBorders>
              <w:top w:val="nil"/>
              <w:left w:val="nil"/>
              <w:bottom w:val="single" w:sz="4" w:space="0" w:color="auto"/>
              <w:right w:val="single" w:sz="4" w:space="0" w:color="auto"/>
            </w:tcBorders>
            <w:hideMark/>
          </w:tcPr>
          <w:p w14:paraId="5F832167"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16</w:t>
            </w:r>
          </w:p>
        </w:tc>
      </w:tr>
      <w:tr w:rsidR="000C6BE9" w14:paraId="1F74B463"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16F79BF3" w14:textId="77777777" w:rsidR="000C6BE9" w:rsidRDefault="000C6BE9">
            <w:pPr>
              <w:jc w:val="both"/>
              <w:rPr>
                <w:rFonts w:eastAsia="Times New Roman" w:cs="Arial"/>
                <w:sz w:val="18"/>
                <w:szCs w:val="18"/>
                <w:lang w:val="es-CO" w:eastAsia="es-CO"/>
              </w:rPr>
            </w:pPr>
            <w:r>
              <w:rPr>
                <w:rFonts w:eastAsia="Times New Roman" w:cs="Arial"/>
                <w:sz w:val="18"/>
                <w:szCs w:val="18"/>
                <w:lang w:val="es-CO" w:eastAsia="es-CO"/>
              </w:rPr>
              <w:t xml:space="preserve"> Rendimiento Prestación </w:t>
            </w:r>
          </w:p>
        </w:tc>
        <w:tc>
          <w:tcPr>
            <w:tcW w:w="728" w:type="pct"/>
            <w:tcBorders>
              <w:top w:val="nil"/>
              <w:left w:val="nil"/>
              <w:bottom w:val="single" w:sz="4" w:space="0" w:color="auto"/>
              <w:right w:val="single" w:sz="4" w:space="0" w:color="auto"/>
            </w:tcBorders>
            <w:vAlign w:val="center"/>
            <w:hideMark/>
          </w:tcPr>
          <w:p w14:paraId="34266D21"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56 </w:t>
            </w:r>
          </w:p>
        </w:tc>
        <w:tc>
          <w:tcPr>
            <w:tcW w:w="736" w:type="pct"/>
            <w:tcBorders>
              <w:top w:val="nil"/>
              <w:left w:val="nil"/>
              <w:bottom w:val="single" w:sz="4" w:space="0" w:color="auto"/>
              <w:right w:val="single" w:sz="4" w:space="0" w:color="auto"/>
            </w:tcBorders>
            <w:vAlign w:val="center"/>
            <w:hideMark/>
          </w:tcPr>
          <w:p w14:paraId="41355924"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15 </w:t>
            </w:r>
          </w:p>
        </w:tc>
        <w:tc>
          <w:tcPr>
            <w:tcW w:w="554" w:type="pct"/>
            <w:tcBorders>
              <w:top w:val="nil"/>
              <w:left w:val="nil"/>
              <w:bottom w:val="single" w:sz="4" w:space="0" w:color="auto"/>
              <w:right w:val="single" w:sz="4" w:space="0" w:color="auto"/>
            </w:tcBorders>
            <w:hideMark/>
          </w:tcPr>
          <w:p w14:paraId="36A97EDD"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11</w:t>
            </w:r>
          </w:p>
        </w:tc>
      </w:tr>
      <w:tr w:rsidR="000C6BE9" w14:paraId="4DE17ECB"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5B38F41C" w14:textId="77777777" w:rsidR="000C6BE9" w:rsidRDefault="000C6BE9">
            <w:pPr>
              <w:jc w:val="both"/>
              <w:rPr>
                <w:rFonts w:eastAsia="Times New Roman" w:cs="Arial"/>
                <w:sz w:val="18"/>
                <w:szCs w:val="18"/>
                <w:lang w:val="es-CO" w:eastAsia="es-CO"/>
              </w:rPr>
            </w:pPr>
            <w:r>
              <w:rPr>
                <w:rFonts w:eastAsia="Times New Roman" w:cs="Arial"/>
                <w:sz w:val="18"/>
                <w:szCs w:val="18"/>
                <w:lang w:val="es-CO" w:eastAsia="es-CO"/>
              </w:rPr>
              <w:t xml:space="preserve"> Rendimiento Calidad </w:t>
            </w:r>
          </w:p>
        </w:tc>
        <w:tc>
          <w:tcPr>
            <w:tcW w:w="728" w:type="pct"/>
            <w:tcBorders>
              <w:top w:val="nil"/>
              <w:left w:val="nil"/>
              <w:bottom w:val="single" w:sz="4" w:space="0" w:color="auto"/>
              <w:right w:val="single" w:sz="4" w:space="0" w:color="auto"/>
            </w:tcBorders>
            <w:vAlign w:val="center"/>
            <w:hideMark/>
          </w:tcPr>
          <w:p w14:paraId="32F9AE37"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8 </w:t>
            </w:r>
          </w:p>
        </w:tc>
        <w:tc>
          <w:tcPr>
            <w:tcW w:w="736" w:type="pct"/>
            <w:tcBorders>
              <w:top w:val="nil"/>
              <w:left w:val="nil"/>
              <w:bottom w:val="single" w:sz="4" w:space="0" w:color="auto"/>
              <w:right w:val="single" w:sz="4" w:space="0" w:color="auto"/>
            </w:tcBorders>
            <w:vAlign w:val="center"/>
            <w:hideMark/>
          </w:tcPr>
          <w:p w14:paraId="2F9D37DE"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3 </w:t>
            </w:r>
          </w:p>
        </w:tc>
        <w:tc>
          <w:tcPr>
            <w:tcW w:w="554" w:type="pct"/>
            <w:tcBorders>
              <w:top w:val="nil"/>
              <w:left w:val="nil"/>
              <w:bottom w:val="single" w:sz="4" w:space="0" w:color="auto"/>
              <w:right w:val="single" w:sz="4" w:space="0" w:color="auto"/>
            </w:tcBorders>
            <w:hideMark/>
          </w:tcPr>
          <w:p w14:paraId="3D7508DB"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5</w:t>
            </w:r>
          </w:p>
        </w:tc>
      </w:tr>
      <w:tr w:rsidR="000C6BE9" w14:paraId="6EEA7329"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5ECA054A" w14:textId="77777777" w:rsidR="000C6BE9" w:rsidRDefault="000C6BE9">
            <w:pPr>
              <w:jc w:val="both"/>
              <w:rPr>
                <w:rFonts w:eastAsia="Times New Roman" w:cs="Arial"/>
                <w:sz w:val="18"/>
                <w:szCs w:val="18"/>
                <w:lang w:val="es-CO" w:eastAsia="es-CO"/>
              </w:rPr>
            </w:pPr>
            <w:r>
              <w:rPr>
                <w:rFonts w:eastAsia="Times New Roman" w:cs="Arial"/>
                <w:sz w:val="18"/>
                <w:szCs w:val="18"/>
                <w:lang w:val="es-CO" w:eastAsia="es-CO"/>
              </w:rPr>
              <w:t xml:space="preserve"> Rendimiento Cancelaciones </w:t>
            </w:r>
          </w:p>
        </w:tc>
        <w:tc>
          <w:tcPr>
            <w:tcW w:w="728" w:type="pct"/>
            <w:tcBorders>
              <w:top w:val="nil"/>
              <w:left w:val="nil"/>
              <w:bottom w:val="single" w:sz="4" w:space="0" w:color="auto"/>
              <w:right w:val="single" w:sz="4" w:space="0" w:color="auto"/>
            </w:tcBorders>
            <w:vAlign w:val="center"/>
            <w:hideMark/>
          </w:tcPr>
          <w:p w14:paraId="0739D608"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 </w:t>
            </w:r>
          </w:p>
        </w:tc>
        <w:tc>
          <w:tcPr>
            <w:tcW w:w="736" w:type="pct"/>
            <w:tcBorders>
              <w:top w:val="nil"/>
              <w:left w:val="nil"/>
              <w:bottom w:val="single" w:sz="4" w:space="0" w:color="auto"/>
              <w:right w:val="single" w:sz="4" w:space="0" w:color="auto"/>
            </w:tcBorders>
            <w:vAlign w:val="center"/>
            <w:hideMark/>
          </w:tcPr>
          <w:p w14:paraId="50D4A4D5"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 xml:space="preserve"> - </w:t>
            </w:r>
          </w:p>
        </w:tc>
        <w:tc>
          <w:tcPr>
            <w:tcW w:w="554" w:type="pct"/>
            <w:tcBorders>
              <w:top w:val="nil"/>
              <w:left w:val="nil"/>
              <w:bottom w:val="single" w:sz="4" w:space="0" w:color="auto"/>
              <w:right w:val="single" w:sz="4" w:space="0" w:color="auto"/>
            </w:tcBorders>
            <w:hideMark/>
          </w:tcPr>
          <w:p w14:paraId="08C45480" w14:textId="77777777" w:rsidR="000C6BE9" w:rsidRDefault="000C6BE9">
            <w:pPr>
              <w:jc w:val="right"/>
              <w:rPr>
                <w:rFonts w:eastAsia="Times New Roman" w:cs="Arial"/>
                <w:sz w:val="18"/>
                <w:szCs w:val="18"/>
                <w:lang w:val="es-CO" w:eastAsia="es-CO"/>
              </w:rPr>
            </w:pPr>
            <w:r>
              <w:rPr>
                <w:rFonts w:eastAsia="Times New Roman" w:cs="Arial"/>
                <w:sz w:val="18"/>
                <w:szCs w:val="18"/>
                <w:lang w:val="es-CO" w:eastAsia="es-CO"/>
              </w:rPr>
              <w:t>-</w:t>
            </w:r>
          </w:p>
        </w:tc>
      </w:tr>
      <w:tr w:rsidR="000C6BE9" w14:paraId="46129564"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3350E2BB" w14:textId="77777777" w:rsidR="000C6BE9" w:rsidRDefault="000C6BE9">
            <w:pPr>
              <w:jc w:val="both"/>
              <w:rPr>
                <w:rFonts w:eastAsia="Times New Roman" w:cs="Arial"/>
                <w:b/>
                <w:sz w:val="18"/>
                <w:szCs w:val="18"/>
                <w:lang w:val="es-CO" w:eastAsia="es-CO"/>
              </w:rPr>
            </w:pPr>
            <w:r>
              <w:rPr>
                <w:rFonts w:eastAsia="Times New Roman" w:cs="Arial"/>
                <w:b/>
                <w:sz w:val="18"/>
                <w:szCs w:val="18"/>
                <w:lang w:val="es-CO" w:eastAsia="es-CO"/>
              </w:rPr>
              <w:t xml:space="preserve"> Recursos del Balance </w:t>
            </w:r>
          </w:p>
        </w:tc>
        <w:tc>
          <w:tcPr>
            <w:tcW w:w="728" w:type="pct"/>
            <w:tcBorders>
              <w:top w:val="nil"/>
              <w:left w:val="nil"/>
              <w:bottom w:val="single" w:sz="4" w:space="0" w:color="auto"/>
              <w:right w:val="single" w:sz="4" w:space="0" w:color="auto"/>
            </w:tcBorders>
            <w:vAlign w:val="center"/>
            <w:hideMark/>
          </w:tcPr>
          <w:p w14:paraId="4116FD12"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218 </w:t>
            </w:r>
          </w:p>
        </w:tc>
        <w:tc>
          <w:tcPr>
            <w:tcW w:w="736" w:type="pct"/>
            <w:tcBorders>
              <w:top w:val="nil"/>
              <w:left w:val="nil"/>
              <w:bottom w:val="single" w:sz="4" w:space="0" w:color="auto"/>
              <w:right w:val="single" w:sz="4" w:space="0" w:color="auto"/>
            </w:tcBorders>
            <w:vAlign w:val="center"/>
            <w:hideMark/>
          </w:tcPr>
          <w:p w14:paraId="29F76CEA"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559 </w:t>
            </w:r>
          </w:p>
        </w:tc>
        <w:tc>
          <w:tcPr>
            <w:tcW w:w="554" w:type="pct"/>
            <w:tcBorders>
              <w:top w:val="nil"/>
              <w:left w:val="nil"/>
              <w:bottom w:val="single" w:sz="4" w:space="0" w:color="auto"/>
              <w:right w:val="single" w:sz="4" w:space="0" w:color="auto"/>
            </w:tcBorders>
            <w:hideMark/>
          </w:tcPr>
          <w:p w14:paraId="141A0A87"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3.120</w:t>
            </w:r>
          </w:p>
        </w:tc>
      </w:tr>
      <w:tr w:rsidR="000C6BE9" w14:paraId="400D48EC"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51F9E795" w14:textId="77777777" w:rsidR="000C6BE9" w:rsidRDefault="000C6BE9">
            <w:pPr>
              <w:jc w:val="both"/>
              <w:rPr>
                <w:rFonts w:eastAsia="Times New Roman" w:cs="Arial"/>
                <w:sz w:val="18"/>
                <w:szCs w:val="18"/>
                <w:lang w:val="es-CO" w:eastAsia="es-CO"/>
              </w:rPr>
            </w:pPr>
            <w:r>
              <w:rPr>
                <w:rFonts w:eastAsia="Times New Roman" w:cs="Arial"/>
                <w:sz w:val="18"/>
                <w:szCs w:val="18"/>
                <w:lang w:val="es-CO" w:eastAsia="es-CO"/>
              </w:rPr>
              <w:t xml:space="preserve"> Superávit fiscal Prestación </w:t>
            </w:r>
          </w:p>
        </w:tc>
        <w:tc>
          <w:tcPr>
            <w:tcW w:w="728" w:type="pct"/>
            <w:tcBorders>
              <w:top w:val="nil"/>
              <w:left w:val="nil"/>
              <w:bottom w:val="single" w:sz="4" w:space="0" w:color="auto"/>
              <w:right w:val="single" w:sz="4" w:space="0" w:color="auto"/>
            </w:tcBorders>
            <w:vAlign w:val="center"/>
            <w:hideMark/>
          </w:tcPr>
          <w:p w14:paraId="7B361930"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 </w:t>
            </w:r>
          </w:p>
        </w:tc>
        <w:tc>
          <w:tcPr>
            <w:tcW w:w="736" w:type="pct"/>
            <w:tcBorders>
              <w:top w:val="nil"/>
              <w:left w:val="nil"/>
              <w:bottom w:val="single" w:sz="4" w:space="0" w:color="auto"/>
              <w:right w:val="single" w:sz="4" w:space="0" w:color="auto"/>
            </w:tcBorders>
            <w:vAlign w:val="center"/>
            <w:hideMark/>
          </w:tcPr>
          <w:p w14:paraId="65715360"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 </w:t>
            </w:r>
          </w:p>
        </w:tc>
        <w:tc>
          <w:tcPr>
            <w:tcW w:w="554" w:type="pct"/>
            <w:tcBorders>
              <w:top w:val="nil"/>
              <w:left w:val="nil"/>
              <w:bottom w:val="single" w:sz="4" w:space="0" w:color="auto"/>
              <w:right w:val="single" w:sz="4" w:space="0" w:color="auto"/>
            </w:tcBorders>
            <w:hideMark/>
          </w:tcPr>
          <w:p w14:paraId="47987D57"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w:t>
            </w:r>
          </w:p>
        </w:tc>
      </w:tr>
      <w:tr w:rsidR="000C6BE9" w14:paraId="0A8809D1" w14:textId="77777777" w:rsidTr="000C6BE9">
        <w:trPr>
          <w:trHeight w:val="20"/>
          <w:jc w:val="center"/>
        </w:trPr>
        <w:tc>
          <w:tcPr>
            <w:tcW w:w="2983" w:type="pct"/>
            <w:tcBorders>
              <w:top w:val="nil"/>
              <w:left w:val="single" w:sz="4" w:space="0" w:color="auto"/>
              <w:bottom w:val="single" w:sz="4" w:space="0" w:color="auto"/>
              <w:right w:val="single" w:sz="4" w:space="0" w:color="auto"/>
            </w:tcBorders>
            <w:vAlign w:val="center"/>
            <w:hideMark/>
          </w:tcPr>
          <w:p w14:paraId="58B3692A" w14:textId="77777777" w:rsidR="000C6BE9" w:rsidRDefault="000C6BE9">
            <w:pPr>
              <w:jc w:val="both"/>
              <w:rPr>
                <w:rFonts w:eastAsia="Times New Roman" w:cs="Arial"/>
                <w:sz w:val="18"/>
                <w:szCs w:val="18"/>
                <w:lang w:val="es-CO" w:eastAsia="es-CO"/>
              </w:rPr>
            </w:pPr>
            <w:r>
              <w:rPr>
                <w:rFonts w:eastAsia="Times New Roman" w:cs="Arial"/>
                <w:sz w:val="18"/>
                <w:szCs w:val="18"/>
                <w:lang w:val="es-CO" w:eastAsia="es-CO"/>
              </w:rPr>
              <w:t xml:space="preserve"> Superávit fiscal Calidad </w:t>
            </w:r>
          </w:p>
        </w:tc>
        <w:tc>
          <w:tcPr>
            <w:tcW w:w="728" w:type="pct"/>
            <w:tcBorders>
              <w:top w:val="nil"/>
              <w:left w:val="nil"/>
              <w:bottom w:val="single" w:sz="4" w:space="0" w:color="auto"/>
              <w:right w:val="single" w:sz="4" w:space="0" w:color="auto"/>
            </w:tcBorders>
            <w:vAlign w:val="center"/>
            <w:hideMark/>
          </w:tcPr>
          <w:p w14:paraId="75D64B84" w14:textId="77777777" w:rsidR="000C6BE9" w:rsidRDefault="000C6BE9">
            <w:pPr>
              <w:jc w:val="right"/>
              <w:rPr>
                <w:rFonts w:eastAsia="Times New Roman" w:cs="Arial"/>
                <w:b/>
                <w:sz w:val="18"/>
                <w:szCs w:val="18"/>
                <w:lang w:val="es-CO" w:eastAsia="es-CO"/>
              </w:rPr>
            </w:pPr>
            <w:r>
              <w:rPr>
                <w:rFonts w:eastAsia="Times New Roman" w:cs="Arial"/>
                <w:b/>
                <w:color w:val="FF0000"/>
                <w:sz w:val="18"/>
                <w:szCs w:val="18"/>
                <w:lang w:val="es-CO" w:eastAsia="es-CO"/>
              </w:rPr>
              <w:t xml:space="preserve"> </w:t>
            </w:r>
            <w:r>
              <w:rPr>
                <w:rFonts w:eastAsia="Times New Roman" w:cs="Arial"/>
                <w:b/>
                <w:color w:val="FF0000"/>
                <w:sz w:val="14"/>
                <w:szCs w:val="18"/>
                <w:lang w:val="es-CO" w:eastAsia="es-CO"/>
              </w:rPr>
              <w:t xml:space="preserve">(3) </w:t>
            </w:r>
            <w:r>
              <w:rPr>
                <w:rFonts w:eastAsia="Times New Roman" w:cs="Arial"/>
                <w:b/>
                <w:sz w:val="18"/>
                <w:szCs w:val="18"/>
                <w:lang w:val="es-CO" w:eastAsia="es-CO"/>
              </w:rPr>
              <w:t xml:space="preserve">218 </w:t>
            </w:r>
          </w:p>
        </w:tc>
        <w:tc>
          <w:tcPr>
            <w:tcW w:w="736" w:type="pct"/>
            <w:tcBorders>
              <w:top w:val="nil"/>
              <w:left w:val="nil"/>
              <w:bottom w:val="single" w:sz="4" w:space="0" w:color="auto"/>
              <w:right w:val="single" w:sz="4" w:space="0" w:color="auto"/>
            </w:tcBorders>
            <w:vAlign w:val="center"/>
            <w:hideMark/>
          </w:tcPr>
          <w:p w14:paraId="391C104C" w14:textId="77777777" w:rsidR="000C6BE9" w:rsidRDefault="000C6BE9">
            <w:pPr>
              <w:jc w:val="right"/>
              <w:rPr>
                <w:rFonts w:eastAsia="Times New Roman" w:cs="Arial"/>
                <w:b/>
                <w:sz w:val="18"/>
                <w:szCs w:val="18"/>
                <w:lang w:val="es-CO" w:eastAsia="es-CO"/>
              </w:rPr>
            </w:pPr>
            <w:r>
              <w:rPr>
                <w:rFonts w:eastAsia="Times New Roman" w:cs="Arial"/>
                <w:b/>
                <w:sz w:val="14"/>
                <w:szCs w:val="18"/>
                <w:lang w:val="es-CO" w:eastAsia="es-CO"/>
              </w:rPr>
              <w:t xml:space="preserve"> </w:t>
            </w:r>
            <w:r>
              <w:rPr>
                <w:rFonts w:eastAsia="Times New Roman" w:cs="Arial"/>
                <w:b/>
                <w:color w:val="FF0000"/>
                <w:sz w:val="14"/>
                <w:szCs w:val="18"/>
                <w:lang w:val="es-CO" w:eastAsia="es-CO"/>
              </w:rPr>
              <w:t xml:space="preserve">(5) </w:t>
            </w:r>
            <w:r>
              <w:rPr>
                <w:rFonts w:eastAsia="Times New Roman" w:cs="Arial"/>
                <w:b/>
                <w:sz w:val="18"/>
                <w:szCs w:val="18"/>
                <w:lang w:val="es-CO" w:eastAsia="es-CO"/>
              </w:rPr>
              <w:t xml:space="preserve">559 </w:t>
            </w:r>
          </w:p>
        </w:tc>
        <w:tc>
          <w:tcPr>
            <w:tcW w:w="554" w:type="pct"/>
            <w:tcBorders>
              <w:top w:val="nil"/>
              <w:left w:val="nil"/>
              <w:bottom w:val="single" w:sz="4" w:space="0" w:color="auto"/>
              <w:right w:val="single" w:sz="4" w:space="0" w:color="auto"/>
            </w:tcBorders>
            <w:hideMark/>
          </w:tcPr>
          <w:p w14:paraId="04AA0B81" w14:textId="77777777" w:rsidR="000C6BE9" w:rsidRDefault="000C6BE9">
            <w:pPr>
              <w:jc w:val="right"/>
              <w:rPr>
                <w:rFonts w:eastAsia="Times New Roman" w:cs="Arial"/>
                <w:b/>
                <w:sz w:val="14"/>
                <w:szCs w:val="18"/>
                <w:lang w:val="es-CO" w:eastAsia="es-CO"/>
              </w:rPr>
            </w:pPr>
            <w:r>
              <w:rPr>
                <w:rFonts w:eastAsia="Times New Roman" w:cs="Arial"/>
                <w:b/>
                <w:sz w:val="18"/>
                <w:szCs w:val="22"/>
                <w:lang w:val="es-CO" w:eastAsia="es-CO"/>
              </w:rPr>
              <w:t>3.120</w:t>
            </w:r>
          </w:p>
        </w:tc>
      </w:tr>
      <w:tr w:rsidR="000C6BE9" w14:paraId="6C022454" w14:textId="77777777" w:rsidTr="000C6BE9">
        <w:trPr>
          <w:trHeight w:val="20"/>
          <w:jc w:val="center"/>
        </w:trPr>
        <w:tc>
          <w:tcPr>
            <w:tcW w:w="2983" w:type="pct"/>
            <w:tcBorders>
              <w:top w:val="nil"/>
              <w:left w:val="single" w:sz="4" w:space="0" w:color="auto"/>
              <w:bottom w:val="single" w:sz="4" w:space="0" w:color="auto"/>
              <w:right w:val="single" w:sz="4" w:space="0" w:color="auto"/>
            </w:tcBorders>
            <w:shd w:val="clear" w:color="auto" w:fill="203764"/>
            <w:vAlign w:val="center"/>
            <w:hideMark/>
          </w:tcPr>
          <w:p w14:paraId="1FED4203" w14:textId="77777777" w:rsidR="000C6BE9" w:rsidRDefault="000C6BE9">
            <w:pPr>
              <w:jc w:val="both"/>
              <w:rPr>
                <w:rFonts w:eastAsia="Times New Roman" w:cs="Arial"/>
                <w:b/>
                <w:sz w:val="18"/>
                <w:szCs w:val="18"/>
                <w:lang w:val="es-CO" w:eastAsia="es-CO"/>
              </w:rPr>
            </w:pPr>
            <w:r>
              <w:rPr>
                <w:rFonts w:eastAsia="Times New Roman" w:cs="Arial"/>
                <w:b/>
                <w:sz w:val="18"/>
                <w:szCs w:val="18"/>
                <w:lang w:val="es-CO" w:eastAsia="es-CO"/>
              </w:rPr>
              <w:t xml:space="preserve"> INGRESOS TOTALES </w:t>
            </w:r>
          </w:p>
        </w:tc>
        <w:tc>
          <w:tcPr>
            <w:tcW w:w="728" w:type="pct"/>
            <w:tcBorders>
              <w:top w:val="nil"/>
              <w:left w:val="nil"/>
              <w:bottom w:val="single" w:sz="4" w:space="0" w:color="auto"/>
              <w:right w:val="single" w:sz="4" w:space="0" w:color="auto"/>
            </w:tcBorders>
            <w:shd w:val="clear" w:color="auto" w:fill="203764"/>
            <w:vAlign w:val="center"/>
            <w:hideMark/>
          </w:tcPr>
          <w:p w14:paraId="6C0A3192"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101.813 </w:t>
            </w:r>
          </w:p>
        </w:tc>
        <w:tc>
          <w:tcPr>
            <w:tcW w:w="736" w:type="pct"/>
            <w:tcBorders>
              <w:top w:val="nil"/>
              <w:left w:val="nil"/>
              <w:bottom w:val="single" w:sz="4" w:space="0" w:color="auto"/>
              <w:right w:val="single" w:sz="4" w:space="0" w:color="auto"/>
            </w:tcBorders>
            <w:shd w:val="clear" w:color="auto" w:fill="203764"/>
            <w:vAlign w:val="center"/>
            <w:hideMark/>
          </w:tcPr>
          <w:p w14:paraId="5E1CAEFD"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 xml:space="preserve"> 105.345 </w:t>
            </w:r>
          </w:p>
        </w:tc>
        <w:tc>
          <w:tcPr>
            <w:tcW w:w="554" w:type="pct"/>
            <w:tcBorders>
              <w:top w:val="nil"/>
              <w:left w:val="nil"/>
              <w:bottom w:val="single" w:sz="4" w:space="0" w:color="auto"/>
              <w:right w:val="single" w:sz="4" w:space="0" w:color="auto"/>
            </w:tcBorders>
            <w:shd w:val="clear" w:color="auto" w:fill="203764"/>
            <w:hideMark/>
          </w:tcPr>
          <w:p w14:paraId="0D7210FB" w14:textId="77777777" w:rsidR="000C6BE9" w:rsidRDefault="000C6BE9">
            <w:pPr>
              <w:jc w:val="right"/>
              <w:rPr>
                <w:rFonts w:eastAsia="Times New Roman" w:cs="Arial"/>
                <w:b/>
                <w:sz w:val="18"/>
                <w:szCs w:val="18"/>
                <w:lang w:val="es-CO" w:eastAsia="es-CO"/>
              </w:rPr>
            </w:pPr>
            <w:r>
              <w:rPr>
                <w:rFonts w:eastAsia="Times New Roman" w:cs="Arial"/>
                <w:b/>
                <w:sz w:val="18"/>
                <w:szCs w:val="18"/>
                <w:lang w:val="es-CO" w:eastAsia="es-CO"/>
              </w:rPr>
              <w:t>110.971</w:t>
            </w:r>
          </w:p>
        </w:tc>
      </w:tr>
    </w:tbl>
    <w:p w14:paraId="29389EBB" w14:textId="77777777" w:rsidR="000C6BE9" w:rsidRDefault="000C6BE9" w:rsidP="000C6BE9">
      <w:pPr>
        <w:jc w:val="center"/>
        <w:rPr>
          <w:rFonts w:cs="Arial"/>
          <w:sz w:val="16"/>
          <w:szCs w:val="16"/>
          <w:lang w:val="es-ES_tradnl"/>
        </w:rPr>
      </w:pPr>
      <w:r>
        <w:rPr>
          <w:rFonts w:cs="Arial"/>
          <w:sz w:val="16"/>
          <w:szCs w:val="16"/>
          <w:lang w:val="es-ES_tradnl"/>
        </w:rPr>
        <w:t>Fuente: Ejecución presupuestal suministrada por la Entidad Territorial a 2020 y 2021 – Reporte CUIPO 2022.</w:t>
      </w:r>
    </w:p>
    <w:p w14:paraId="7C2E3B48" w14:textId="77777777" w:rsidR="000C6BE9" w:rsidRDefault="000C6BE9" w:rsidP="000C6BE9">
      <w:pPr>
        <w:jc w:val="center"/>
        <w:rPr>
          <w:rFonts w:cs="Arial"/>
          <w:b/>
          <w:szCs w:val="22"/>
        </w:rPr>
      </w:pPr>
    </w:p>
    <w:p w14:paraId="14A520B6" w14:textId="77777777" w:rsidR="000C6BE9" w:rsidRDefault="000C6BE9" w:rsidP="000C6BE9">
      <w:pPr>
        <w:numPr>
          <w:ilvl w:val="0"/>
          <w:numId w:val="5"/>
        </w:numPr>
        <w:ind w:left="426" w:hanging="426"/>
        <w:contextualSpacing/>
        <w:jc w:val="both"/>
        <w:rPr>
          <w:rFonts w:cs="Arial"/>
          <w:b/>
          <w:szCs w:val="22"/>
        </w:rPr>
      </w:pPr>
      <w:r>
        <w:rPr>
          <w:rFonts w:cs="Arial"/>
          <w:szCs w:val="22"/>
        </w:rPr>
        <w:t xml:space="preserve">Como se puede observar, en 2020 existen diferencias entre el total asignado por la Nación y lo girado por $773 millones, las cuales corresponden a los recursos de Calidad – Matrícula Oficial suspendidos en el marco de la medida Correctiva de mayo a diciembre de dicha vigencia, luego del levantamiento parcial ordenado en abril de 2020 mediante la Resolución 1047. </w:t>
      </w:r>
    </w:p>
    <w:p w14:paraId="1DE49ACB" w14:textId="77777777" w:rsidR="000C6BE9" w:rsidRDefault="000C6BE9" w:rsidP="000C6BE9">
      <w:pPr>
        <w:ind w:left="426"/>
        <w:contextualSpacing/>
        <w:jc w:val="both"/>
        <w:rPr>
          <w:rFonts w:cs="Arial"/>
          <w:b/>
          <w:szCs w:val="22"/>
        </w:rPr>
      </w:pPr>
    </w:p>
    <w:p w14:paraId="66132BD2" w14:textId="77777777" w:rsidR="000C6BE9" w:rsidRDefault="000C6BE9" w:rsidP="000C6BE9">
      <w:pPr>
        <w:numPr>
          <w:ilvl w:val="0"/>
          <w:numId w:val="5"/>
        </w:numPr>
        <w:ind w:left="426" w:hanging="426"/>
        <w:contextualSpacing/>
        <w:jc w:val="both"/>
        <w:rPr>
          <w:rFonts w:cs="Arial"/>
          <w:b/>
          <w:szCs w:val="22"/>
        </w:rPr>
      </w:pPr>
      <w:r>
        <w:rPr>
          <w:rFonts w:cs="Arial"/>
          <w:szCs w:val="22"/>
        </w:rPr>
        <w:t>Con respecto a lo girado por el Ministerio de Educación Nacional frente a lo incorporado por la entidad en su ejecución presupuestal hay una diferencia de $13 millones, la cual corresponde a recursos de calidad. Se giraron $1.108 millones y se incorporaron $1.095 millones.</w:t>
      </w:r>
    </w:p>
    <w:p w14:paraId="0884FB79" w14:textId="77777777" w:rsidR="000C6BE9" w:rsidRDefault="000C6BE9" w:rsidP="000C6BE9">
      <w:pPr>
        <w:ind w:left="426"/>
        <w:contextualSpacing/>
        <w:jc w:val="both"/>
        <w:rPr>
          <w:rFonts w:cs="Arial"/>
          <w:szCs w:val="22"/>
        </w:rPr>
      </w:pPr>
    </w:p>
    <w:p w14:paraId="70AFFECF" w14:textId="77777777" w:rsidR="000C6BE9" w:rsidRDefault="000C6BE9" w:rsidP="000C6BE9">
      <w:pPr>
        <w:numPr>
          <w:ilvl w:val="0"/>
          <w:numId w:val="5"/>
        </w:numPr>
        <w:ind w:left="426" w:hanging="426"/>
        <w:contextualSpacing/>
        <w:jc w:val="both"/>
        <w:rPr>
          <w:rFonts w:cs="Arial"/>
          <w:szCs w:val="22"/>
        </w:rPr>
      </w:pPr>
      <w:r>
        <w:rPr>
          <w:rFonts w:cs="Arial"/>
          <w:szCs w:val="22"/>
        </w:rPr>
        <w:t>De acuerdo con el análisis presupuestal de la vigencia 2019, la entidad debió haber quedado con un superávit de $271 millones y como se evidencia en la ejecución de ingresos de 2020 se incorporaron solamente $218 millones de superávit fiscal, quedando pendiente la incorporación de $53 millones.</w:t>
      </w:r>
    </w:p>
    <w:p w14:paraId="2ACF51B2" w14:textId="77777777" w:rsidR="000C6BE9" w:rsidRDefault="000C6BE9" w:rsidP="000C6BE9">
      <w:pPr>
        <w:pStyle w:val="Prrafodelista"/>
        <w:rPr>
          <w:rFonts w:cs="Arial"/>
          <w:szCs w:val="22"/>
        </w:rPr>
      </w:pPr>
    </w:p>
    <w:p w14:paraId="6E7DF54D" w14:textId="77777777" w:rsidR="000C6BE9" w:rsidRDefault="000C6BE9" w:rsidP="000C6BE9">
      <w:pPr>
        <w:numPr>
          <w:ilvl w:val="0"/>
          <w:numId w:val="5"/>
        </w:numPr>
        <w:ind w:left="426" w:hanging="426"/>
        <w:contextualSpacing/>
        <w:jc w:val="both"/>
        <w:rPr>
          <w:rFonts w:cs="Arial"/>
          <w:szCs w:val="22"/>
        </w:rPr>
      </w:pPr>
      <w:r>
        <w:rPr>
          <w:rFonts w:cs="Arial"/>
          <w:szCs w:val="22"/>
        </w:rPr>
        <w:t>En 2021 también existen diferencias entre el total asignado por la Nación y lo girado de $2.283 millones, lo cual corresponde a los recursos de Calidad – Matrícula Oficial de la vigencia 2021 suspendidos en el marco de la medida Correctiva.</w:t>
      </w:r>
    </w:p>
    <w:p w14:paraId="71386A6E" w14:textId="77777777" w:rsidR="000C6BE9" w:rsidRDefault="000C6BE9" w:rsidP="000C6BE9">
      <w:pPr>
        <w:pStyle w:val="Prrafodelista"/>
        <w:rPr>
          <w:rFonts w:cs="Arial"/>
          <w:szCs w:val="22"/>
        </w:rPr>
      </w:pPr>
    </w:p>
    <w:p w14:paraId="1C57E7B0" w14:textId="77777777" w:rsidR="000C6BE9" w:rsidRDefault="000C6BE9" w:rsidP="000C6BE9">
      <w:pPr>
        <w:numPr>
          <w:ilvl w:val="0"/>
          <w:numId w:val="5"/>
        </w:numPr>
        <w:ind w:left="426" w:hanging="426"/>
        <w:contextualSpacing/>
        <w:jc w:val="both"/>
        <w:rPr>
          <w:rFonts w:cs="Arial"/>
          <w:szCs w:val="22"/>
        </w:rPr>
      </w:pPr>
      <w:r>
        <w:rPr>
          <w:rFonts w:cs="Arial"/>
          <w:szCs w:val="22"/>
        </w:rPr>
        <w:t>Al cierre de la vigencia 2020 de acuerdo con el análisis presupuestal debieron quedar como mínimo en tesorería $490 millones de superávit. Sin embargo, como se observa en la vigencia 2021 se incorporaron en la ejecución de ingresos $559 millones, es decir $69 millones por encima del superávit presupuestal de 2020, por lo que se infiere que en dicha incorporación se incluyeron los $53 millones que faltaron por incorporar en la vigencia 2020 provenientes del superávit de 2019.</w:t>
      </w:r>
    </w:p>
    <w:p w14:paraId="736009CD" w14:textId="77777777" w:rsidR="000C6BE9" w:rsidRDefault="000C6BE9" w:rsidP="000C6BE9">
      <w:pPr>
        <w:jc w:val="both"/>
        <w:rPr>
          <w:rFonts w:cs="Arial"/>
          <w:szCs w:val="22"/>
        </w:rPr>
      </w:pPr>
    </w:p>
    <w:p w14:paraId="4664E686" w14:textId="77777777" w:rsidR="000C6BE9" w:rsidRDefault="000C6BE9" w:rsidP="000C6BE9">
      <w:pPr>
        <w:pStyle w:val="Prrafodelista"/>
        <w:keepNext/>
        <w:keepLines/>
        <w:numPr>
          <w:ilvl w:val="0"/>
          <w:numId w:val="45"/>
        </w:numPr>
        <w:ind w:left="426" w:hanging="426"/>
        <w:outlineLvl w:val="0"/>
        <w:rPr>
          <w:rFonts w:eastAsiaTheme="majorEastAsia" w:cs="Arial"/>
          <w:b/>
          <w:color w:val="365F91" w:themeColor="accent1" w:themeShade="BF"/>
          <w:szCs w:val="22"/>
          <w:u w:val="single"/>
        </w:rPr>
      </w:pPr>
      <w:r>
        <w:rPr>
          <w:rFonts w:eastAsiaTheme="majorEastAsia" w:cs="Arial"/>
          <w:b/>
          <w:szCs w:val="22"/>
          <w:u w:val="single"/>
        </w:rPr>
        <w:t>Gastos</w:t>
      </w:r>
    </w:p>
    <w:p w14:paraId="27EC6FA2" w14:textId="77777777" w:rsidR="000C6BE9" w:rsidRDefault="000C6BE9" w:rsidP="000C6BE9">
      <w:pPr>
        <w:jc w:val="both"/>
        <w:rPr>
          <w:rFonts w:cs="Arial"/>
          <w:szCs w:val="22"/>
        </w:rPr>
      </w:pPr>
    </w:p>
    <w:p w14:paraId="3483623C" w14:textId="77777777" w:rsidR="000C6BE9" w:rsidRDefault="000C6BE9" w:rsidP="000C6BE9">
      <w:pPr>
        <w:jc w:val="both"/>
        <w:rPr>
          <w:rFonts w:cs="Arial"/>
          <w:szCs w:val="22"/>
        </w:rPr>
      </w:pPr>
      <w:r>
        <w:rPr>
          <w:rFonts w:cs="Arial"/>
          <w:szCs w:val="22"/>
        </w:rPr>
        <w:t xml:space="preserve">En lo correspondiente al gasto, a diciembre de 2022, se comprometieron $108.388 millones con cargo a los recursos de SGP asignados al sector, según el reporte CUIPO. Los gastos financiados con recursos del SGP de la vigencia y anteriores se comprometieron de la siguiente manera: $102.562 millones en cobertura, $2.851 millones en calidad, $792 millones para conectividad, $202 millones para atender las necesidades educativas especiales, $37 millones para proyectos educativos transversales y $1.944 millones en gratuidad. De acuerdo con la siguiente tabla: </w:t>
      </w:r>
    </w:p>
    <w:p w14:paraId="2F5C5D1B" w14:textId="77777777" w:rsidR="000C6BE9" w:rsidRDefault="000C6BE9" w:rsidP="000C6BE9">
      <w:pPr>
        <w:jc w:val="both"/>
        <w:rPr>
          <w:rFonts w:cs="Arial"/>
          <w:szCs w:val="22"/>
        </w:rPr>
      </w:pPr>
    </w:p>
    <w:tbl>
      <w:tblPr>
        <w:tblW w:w="0" w:type="dxa"/>
        <w:jc w:val="center"/>
        <w:tblLayout w:type="fixed"/>
        <w:tblCellMar>
          <w:left w:w="70" w:type="dxa"/>
          <w:right w:w="70" w:type="dxa"/>
        </w:tblCellMar>
        <w:tblLook w:val="04A0" w:firstRow="1" w:lastRow="0" w:firstColumn="1" w:lastColumn="0" w:noHBand="0" w:noVBand="1"/>
      </w:tblPr>
      <w:tblGrid>
        <w:gridCol w:w="5844"/>
        <w:gridCol w:w="1091"/>
        <w:gridCol w:w="1003"/>
        <w:gridCol w:w="1003"/>
      </w:tblGrid>
      <w:tr w:rsidR="000C6BE9" w14:paraId="358EC6D0" w14:textId="77777777" w:rsidTr="000C6BE9">
        <w:trPr>
          <w:trHeight w:val="20"/>
          <w:tblHeader/>
          <w:jc w:val="center"/>
        </w:trPr>
        <w:tc>
          <w:tcPr>
            <w:tcW w:w="8941" w:type="dxa"/>
            <w:gridSpan w:val="4"/>
            <w:tcBorders>
              <w:top w:val="single" w:sz="4" w:space="0" w:color="auto"/>
              <w:left w:val="single" w:sz="4" w:space="0" w:color="auto"/>
              <w:bottom w:val="single" w:sz="4" w:space="0" w:color="auto"/>
              <w:right w:val="single" w:sz="4" w:space="0" w:color="auto"/>
            </w:tcBorders>
            <w:shd w:val="clear" w:color="auto" w:fill="203764"/>
            <w:vAlign w:val="center"/>
            <w:hideMark/>
          </w:tcPr>
          <w:p w14:paraId="056CAF53" w14:textId="77777777" w:rsidR="000C6BE9" w:rsidRDefault="000C6BE9">
            <w:pPr>
              <w:jc w:val="center"/>
              <w:rPr>
                <w:rFonts w:eastAsia="Times New Roman" w:cs="Arial"/>
                <w:b/>
                <w:color w:val="FFFFFF"/>
                <w:sz w:val="18"/>
                <w:szCs w:val="18"/>
                <w:lang w:val="es-CO" w:eastAsia="es-CO"/>
              </w:rPr>
            </w:pPr>
            <w:r>
              <w:rPr>
                <w:rFonts w:eastAsia="Times New Roman" w:cs="Arial"/>
                <w:b/>
                <w:color w:val="FFFFFF"/>
                <w:sz w:val="18"/>
                <w:szCs w:val="18"/>
                <w:lang w:val="es-CO" w:eastAsia="es-CO"/>
              </w:rPr>
              <w:t>TABLA 2. GASTOS DE LA ENTIDAD TERRITORIAL (MILLONES DE $)</w:t>
            </w:r>
            <w:r>
              <w:rPr>
                <w:rFonts w:eastAsia="Times New Roman" w:cs="Arial"/>
                <w:color w:val="FFFFFF"/>
                <w:sz w:val="18"/>
                <w:szCs w:val="18"/>
                <w:lang w:val="es-CO" w:eastAsia="es-CO"/>
              </w:rPr>
              <w:t> </w:t>
            </w:r>
          </w:p>
        </w:tc>
      </w:tr>
      <w:tr w:rsidR="000C6BE9" w14:paraId="594FB7D8" w14:textId="77777777" w:rsidTr="000C6BE9">
        <w:trPr>
          <w:trHeight w:val="20"/>
          <w:tblHeader/>
          <w:jc w:val="center"/>
        </w:trPr>
        <w:tc>
          <w:tcPr>
            <w:tcW w:w="5844" w:type="dxa"/>
            <w:tcBorders>
              <w:top w:val="nil"/>
              <w:left w:val="single" w:sz="4" w:space="0" w:color="auto"/>
              <w:bottom w:val="single" w:sz="4" w:space="0" w:color="auto"/>
              <w:right w:val="single" w:sz="4" w:space="0" w:color="auto"/>
            </w:tcBorders>
            <w:shd w:val="clear" w:color="auto" w:fill="8EA9DB"/>
            <w:vAlign w:val="center"/>
            <w:hideMark/>
          </w:tcPr>
          <w:p w14:paraId="416DF43A"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RUBRO</w:t>
            </w:r>
            <w:r>
              <w:rPr>
                <w:rFonts w:eastAsia="Times New Roman" w:cs="Arial"/>
                <w:color w:val="000000"/>
                <w:sz w:val="18"/>
                <w:szCs w:val="18"/>
                <w:lang w:val="es-CO" w:eastAsia="es-CO"/>
              </w:rPr>
              <w:t> </w:t>
            </w:r>
          </w:p>
        </w:tc>
        <w:tc>
          <w:tcPr>
            <w:tcW w:w="1091" w:type="dxa"/>
            <w:tcBorders>
              <w:top w:val="nil"/>
              <w:left w:val="nil"/>
              <w:bottom w:val="single" w:sz="4" w:space="0" w:color="auto"/>
              <w:right w:val="single" w:sz="4" w:space="0" w:color="auto"/>
            </w:tcBorders>
            <w:shd w:val="clear" w:color="auto" w:fill="8EA9DB"/>
            <w:vAlign w:val="center"/>
            <w:hideMark/>
          </w:tcPr>
          <w:p w14:paraId="323F26AB"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2020</w:t>
            </w:r>
          </w:p>
        </w:tc>
        <w:tc>
          <w:tcPr>
            <w:tcW w:w="1003" w:type="dxa"/>
            <w:tcBorders>
              <w:top w:val="nil"/>
              <w:left w:val="nil"/>
              <w:bottom w:val="single" w:sz="4" w:space="0" w:color="auto"/>
              <w:right w:val="single" w:sz="4" w:space="0" w:color="auto"/>
            </w:tcBorders>
            <w:shd w:val="clear" w:color="auto" w:fill="8EA9DB"/>
            <w:vAlign w:val="center"/>
            <w:hideMark/>
          </w:tcPr>
          <w:p w14:paraId="3BBB408B"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2021</w:t>
            </w:r>
          </w:p>
        </w:tc>
        <w:tc>
          <w:tcPr>
            <w:tcW w:w="1003" w:type="dxa"/>
            <w:tcBorders>
              <w:top w:val="nil"/>
              <w:left w:val="nil"/>
              <w:bottom w:val="single" w:sz="4" w:space="0" w:color="auto"/>
              <w:right w:val="single" w:sz="4" w:space="0" w:color="auto"/>
            </w:tcBorders>
            <w:shd w:val="clear" w:color="auto" w:fill="8EA9DB"/>
            <w:hideMark/>
          </w:tcPr>
          <w:p w14:paraId="19A7E6D8"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2022</w:t>
            </w:r>
          </w:p>
        </w:tc>
      </w:tr>
      <w:tr w:rsidR="000C6BE9" w14:paraId="65721F32"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624CCF54"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 xml:space="preserve"> COBERTURA </w:t>
            </w:r>
          </w:p>
        </w:tc>
        <w:tc>
          <w:tcPr>
            <w:tcW w:w="1091" w:type="dxa"/>
            <w:tcBorders>
              <w:top w:val="nil"/>
              <w:left w:val="nil"/>
              <w:bottom w:val="single" w:sz="4" w:space="0" w:color="auto"/>
              <w:right w:val="single" w:sz="4" w:space="0" w:color="auto"/>
            </w:tcBorders>
            <w:shd w:val="clear" w:color="auto" w:fill="D9D9D9"/>
            <w:vAlign w:val="center"/>
            <w:hideMark/>
          </w:tcPr>
          <w:p w14:paraId="37BABF01"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96.918</w:t>
            </w:r>
          </w:p>
        </w:tc>
        <w:tc>
          <w:tcPr>
            <w:tcW w:w="1003" w:type="dxa"/>
            <w:tcBorders>
              <w:top w:val="nil"/>
              <w:left w:val="nil"/>
              <w:bottom w:val="single" w:sz="4" w:space="0" w:color="auto"/>
              <w:right w:val="single" w:sz="4" w:space="0" w:color="auto"/>
            </w:tcBorders>
            <w:shd w:val="clear" w:color="auto" w:fill="D9D9D9"/>
            <w:vAlign w:val="center"/>
            <w:hideMark/>
          </w:tcPr>
          <w:p w14:paraId="123E5C03"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101.779</w:t>
            </w:r>
          </w:p>
        </w:tc>
        <w:tc>
          <w:tcPr>
            <w:tcW w:w="1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C9FF9" w14:textId="77777777" w:rsidR="000C6BE9" w:rsidRDefault="000C6BE9">
            <w:pPr>
              <w:jc w:val="right"/>
              <w:rPr>
                <w:rFonts w:eastAsia="Times New Roman" w:cs="Arial"/>
                <w:b/>
                <w:color w:val="000000"/>
                <w:sz w:val="18"/>
                <w:szCs w:val="18"/>
                <w:lang w:val="es-CO" w:eastAsia="es-CO"/>
              </w:rPr>
            </w:pPr>
            <w:r>
              <w:rPr>
                <w:rFonts w:cs="Arial"/>
                <w:b/>
                <w:bCs/>
                <w:color w:val="000000"/>
                <w:sz w:val="18"/>
                <w:szCs w:val="18"/>
              </w:rPr>
              <w:t>102.562</w:t>
            </w:r>
          </w:p>
        </w:tc>
      </w:tr>
      <w:tr w:rsidR="000C6BE9" w14:paraId="686B5B92"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6623B839"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 xml:space="preserve">Gastos de Personal </w:t>
            </w:r>
          </w:p>
        </w:tc>
        <w:tc>
          <w:tcPr>
            <w:tcW w:w="1091" w:type="dxa"/>
            <w:tcBorders>
              <w:top w:val="nil"/>
              <w:left w:val="nil"/>
              <w:bottom w:val="single" w:sz="4" w:space="0" w:color="auto"/>
              <w:right w:val="single" w:sz="4" w:space="0" w:color="auto"/>
            </w:tcBorders>
            <w:vAlign w:val="center"/>
            <w:hideMark/>
          </w:tcPr>
          <w:p w14:paraId="035F549A"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73.839</w:t>
            </w:r>
          </w:p>
        </w:tc>
        <w:tc>
          <w:tcPr>
            <w:tcW w:w="1003" w:type="dxa"/>
            <w:tcBorders>
              <w:top w:val="nil"/>
              <w:left w:val="nil"/>
              <w:bottom w:val="single" w:sz="4" w:space="0" w:color="auto"/>
              <w:right w:val="single" w:sz="4" w:space="0" w:color="auto"/>
            </w:tcBorders>
            <w:vAlign w:val="center"/>
            <w:hideMark/>
          </w:tcPr>
          <w:p w14:paraId="7B3D4F04"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76.885</w:t>
            </w:r>
          </w:p>
        </w:tc>
        <w:tc>
          <w:tcPr>
            <w:tcW w:w="1003" w:type="dxa"/>
            <w:tcBorders>
              <w:top w:val="nil"/>
              <w:left w:val="single" w:sz="4" w:space="0" w:color="auto"/>
              <w:bottom w:val="single" w:sz="4" w:space="0" w:color="auto"/>
              <w:right w:val="single" w:sz="4" w:space="0" w:color="auto"/>
            </w:tcBorders>
            <w:vAlign w:val="center"/>
            <w:hideMark/>
          </w:tcPr>
          <w:p w14:paraId="7A0D39B2" w14:textId="77777777" w:rsidR="000C6BE9" w:rsidRDefault="000C6BE9">
            <w:pPr>
              <w:jc w:val="right"/>
              <w:rPr>
                <w:rFonts w:eastAsia="Times New Roman" w:cs="Arial"/>
                <w:b/>
                <w:color w:val="000000"/>
                <w:sz w:val="18"/>
                <w:szCs w:val="18"/>
                <w:lang w:val="es-CO" w:eastAsia="es-CO"/>
              </w:rPr>
            </w:pPr>
            <w:r>
              <w:rPr>
                <w:rFonts w:cs="Arial"/>
                <w:b/>
                <w:bCs/>
                <w:sz w:val="18"/>
                <w:szCs w:val="18"/>
              </w:rPr>
              <w:t>83.301</w:t>
            </w:r>
          </w:p>
        </w:tc>
      </w:tr>
      <w:tr w:rsidR="000C6BE9" w14:paraId="69284E89"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79A4DE41"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 xml:space="preserve"> Personal Docente </w:t>
            </w:r>
          </w:p>
        </w:tc>
        <w:tc>
          <w:tcPr>
            <w:tcW w:w="1091" w:type="dxa"/>
            <w:tcBorders>
              <w:top w:val="nil"/>
              <w:left w:val="nil"/>
              <w:bottom w:val="single" w:sz="4" w:space="0" w:color="auto"/>
              <w:right w:val="single" w:sz="4" w:space="0" w:color="auto"/>
            </w:tcBorders>
            <w:vAlign w:val="center"/>
            <w:hideMark/>
          </w:tcPr>
          <w:p w14:paraId="44EF6B3C"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61.262</w:t>
            </w:r>
          </w:p>
        </w:tc>
        <w:tc>
          <w:tcPr>
            <w:tcW w:w="1003" w:type="dxa"/>
            <w:tcBorders>
              <w:top w:val="nil"/>
              <w:left w:val="nil"/>
              <w:bottom w:val="single" w:sz="4" w:space="0" w:color="auto"/>
              <w:right w:val="single" w:sz="4" w:space="0" w:color="auto"/>
            </w:tcBorders>
            <w:vAlign w:val="center"/>
            <w:hideMark/>
          </w:tcPr>
          <w:p w14:paraId="2FF1ADF2"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64.439</w:t>
            </w:r>
          </w:p>
        </w:tc>
        <w:tc>
          <w:tcPr>
            <w:tcW w:w="1003" w:type="dxa"/>
            <w:tcBorders>
              <w:top w:val="nil"/>
              <w:left w:val="single" w:sz="4" w:space="0" w:color="auto"/>
              <w:bottom w:val="single" w:sz="4" w:space="0" w:color="auto"/>
              <w:right w:val="single" w:sz="4" w:space="0" w:color="auto"/>
            </w:tcBorders>
            <w:vAlign w:val="center"/>
            <w:hideMark/>
          </w:tcPr>
          <w:p w14:paraId="65AAEBE3" w14:textId="77777777" w:rsidR="000C6BE9" w:rsidRDefault="000C6BE9">
            <w:pPr>
              <w:jc w:val="right"/>
              <w:rPr>
                <w:rFonts w:eastAsia="Times New Roman" w:cs="Arial"/>
                <w:color w:val="000000"/>
                <w:sz w:val="18"/>
                <w:szCs w:val="18"/>
                <w:lang w:val="es-CO" w:eastAsia="es-CO"/>
              </w:rPr>
            </w:pPr>
            <w:r>
              <w:rPr>
                <w:rFonts w:cs="Arial"/>
                <w:sz w:val="18"/>
                <w:szCs w:val="18"/>
              </w:rPr>
              <w:t>69.326</w:t>
            </w:r>
          </w:p>
        </w:tc>
      </w:tr>
      <w:tr w:rsidR="000C6BE9" w14:paraId="498BDA83"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4A59CD43"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 xml:space="preserve"> Personal Directivo - Docente </w:t>
            </w:r>
          </w:p>
        </w:tc>
        <w:tc>
          <w:tcPr>
            <w:tcW w:w="1091" w:type="dxa"/>
            <w:tcBorders>
              <w:top w:val="nil"/>
              <w:left w:val="nil"/>
              <w:bottom w:val="single" w:sz="4" w:space="0" w:color="auto"/>
              <w:right w:val="single" w:sz="4" w:space="0" w:color="auto"/>
            </w:tcBorders>
            <w:vAlign w:val="center"/>
            <w:hideMark/>
          </w:tcPr>
          <w:p w14:paraId="722467F7"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6.083</w:t>
            </w:r>
          </w:p>
        </w:tc>
        <w:tc>
          <w:tcPr>
            <w:tcW w:w="1003" w:type="dxa"/>
            <w:tcBorders>
              <w:top w:val="nil"/>
              <w:left w:val="nil"/>
              <w:bottom w:val="single" w:sz="4" w:space="0" w:color="auto"/>
              <w:right w:val="single" w:sz="4" w:space="0" w:color="auto"/>
            </w:tcBorders>
            <w:vAlign w:val="center"/>
            <w:hideMark/>
          </w:tcPr>
          <w:p w14:paraId="79B56CC2"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6.041</w:t>
            </w:r>
          </w:p>
        </w:tc>
        <w:tc>
          <w:tcPr>
            <w:tcW w:w="1003" w:type="dxa"/>
            <w:tcBorders>
              <w:top w:val="nil"/>
              <w:left w:val="single" w:sz="4" w:space="0" w:color="auto"/>
              <w:bottom w:val="single" w:sz="4" w:space="0" w:color="auto"/>
              <w:right w:val="single" w:sz="4" w:space="0" w:color="auto"/>
            </w:tcBorders>
            <w:vAlign w:val="center"/>
            <w:hideMark/>
          </w:tcPr>
          <w:p w14:paraId="401A3C66" w14:textId="77777777" w:rsidR="000C6BE9" w:rsidRDefault="000C6BE9">
            <w:pPr>
              <w:jc w:val="right"/>
              <w:rPr>
                <w:rFonts w:eastAsia="Times New Roman" w:cs="Arial"/>
                <w:color w:val="000000"/>
                <w:sz w:val="18"/>
                <w:szCs w:val="18"/>
                <w:lang w:val="es-CO" w:eastAsia="es-CO"/>
              </w:rPr>
            </w:pPr>
            <w:r>
              <w:rPr>
                <w:rFonts w:cs="Arial"/>
                <w:sz w:val="18"/>
                <w:szCs w:val="18"/>
              </w:rPr>
              <w:t>6.817</w:t>
            </w:r>
          </w:p>
        </w:tc>
      </w:tr>
      <w:tr w:rsidR="000C6BE9" w14:paraId="4F573475"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154ABC0B"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 Personal Administrativo de Instituciones Educativas </w:t>
            </w:r>
          </w:p>
        </w:tc>
        <w:tc>
          <w:tcPr>
            <w:tcW w:w="1091" w:type="dxa"/>
            <w:tcBorders>
              <w:top w:val="nil"/>
              <w:left w:val="nil"/>
              <w:bottom w:val="single" w:sz="4" w:space="0" w:color="auto"/>
              <w:right w:val="single" w:sz="4" w:space="0" w:color="auto"/>
            </w:tcBorders>
            <w:vAlign w:val="center"/>
            <w:hideMark/>
          </w:tcPr>
          <w:p w14:paraId="6F1CAD69" w14:textId="77777777" w:rsidR="000C6BE9" w:rsidRDefault="000C6BE9">
            <w:pPr>
              <w:jc w:val="right"/>
              <w:rPr>
                <w:rFonts w:eastAsia="Times New Roman" w:cs="Arial"/>
                <w:color w:val="000000"/>
                <w:sz w:val="18"/>
                <w:szCs w:val="18"/>
                <w:lang w:val="es-CO" w:eastAsia="es-CO"/>
              </w:rPr>
            </w:pPr>
            <w:r>
              <w:rPr>
                <w:rFonts w:eastAsia="Times New Roman" w:cs="Arial"/>
                <w:color w:val="FF0000"/>
                <w:sz w:val="18"/>
                <w:szCs w:val="18"/>
                <w:lang w:val="es-CO" w:eastAsia="es-CO"/>
              </w:rPr>
              <w:t xml:space="preserve">(1) </w:t>
            </w:r>
            <w:r>
              <w:rPr>
                <w:rFonts w:eastAsia="Times New Roman" w:cs="Arial"/>
                <w:color w:val="000000"/>
                <w:sz w:val="18"/>
                <w:szCs w:val="18"/>
                <w:lang w:val="es-CO" w:eastAsia="es-CO"/>
              </w:rPr>
              <w:t>6.492</w:t>
            </w:r>
          </w:p>
        </w:tc>
        <w:tc>
          <w:tcPr>
            <w:tcW w:w="1003" w:type="dxa"/>
            <w:tcBorders>
              <w:top w:val="nil"/>
              <w:left w:val="nil"/>
              <w:bottom w:val="single" w:sz="4" w:space="0" w:color="auto"/>
              <w:right w:val="single" w:sz="4" w:space="0" w:color="auto"/>
            </w:tcBorders>
            <w:vAlign w:val="center"/>
            <w:hideMark/>
          </w:tcPr>
          <w:p w14:paraId="3A3596EC"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6.406</w:t>
            </w:r>
          </w:p>
        </w:tc>
        <w:tc>
          <w:tcPr>
            <w:tcW w:w="1003" w:type="dxa"/>
            <w:tcBorders>
              <w:top w:val="nil"/>
              <w:left w:val="single" w:sz="4" w:space="0" w:color="auto"/>
              <w:bottom w:val="single" w:sz="4" w:space="0" w:color="auto"/>
              <w:right w:val="single" w:sz="4" w:space="0" w:color="auto"/>
            </w:tcBorders>
            <w:vAlign w:val="center"/>
            <w:hideMark/>
          </w:tcPr>
          <w:p w14:paraId="34EBA64A" w14:textId="77777777" w:rsidR="000C6BE9" w:rsidRDefault="000C6BE9">
            <w:pPr>
              <w:jc w:val="right"/>
              <w:rPr>
                <w:rFonts w:eastAsia="Times New Roman" w:cs="Arial"/>
                <w:color w:val="000000"/>
                <w:sz w:val="18"/>
                <w:szCs w:val="18"/>
                <w:lang w:val="es-CO" w:eastAsia="es-CO"/>
              </w:rPr>
            </w:pPr>
            <w:r>
              <w:rPr>
                <w:rFonts w:cs="Arial"/>
                <w:sz w:val="18"/>
                <w:szCs w:val="18"/>
              </w:rPr>
              <w:t>7.151</w:t>
            </w:r>
          </w:p>
        </w:tc>
      </w:tr>
      <w:tr w:rsidR="000C6BE9" w14:paraId="3F37F3F6"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5F844298"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 Personal Administrativo Secretaría de Educación </w:t>
            </w:r>
          </w:p>
        </w:tc>
        <w:tc>
          <w:tcPr>
            <w:tcW w:w="1091" w:type="dxa"/>
            <w:tcBorders>
              <w:top w:val="nil"/>
              <w:left w:val="nil"/>
              <w:bottom w:val="single" w:sz="4" w:space="0" w:color="auto"/>
              <w:right w:val="single" w:sz="4" w:space="0" w:color="auto"/>
            </w:tcBorders>
            <w:vAlign w:val="center"/>
            <w:hideMark/>
          </w:tcPr>
          <w:p w14:paraId="6FFBB61B"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nil"/>
              <w:bottom w:val="single" w:sz="4" w:space="0" w:color="auto"/>
              <w:right w:val="single" w:sz="4" w:space="0" w:color="auto"/>
            </w:tcBorders>
            <w:vAlign w:val="center"/>
            <w:hideMark/>
          </w:tcPr>
          <w:p w14:paraId="26861170"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single" w:sz="4" w:space="0" w:color="auto"/>
              <w:bottom w:val="single" w:sz="4" w:space="0" w:color="auto"/>
              <w:right w:val="single" w:sz="4" w:space="0" w:color="auto"/>
            </w:tcBorders>
            <w:vAlign w:val="center"/>
            <w:hideMark/>
          </w:tcPr>
          <w:p w14:paraId="0057B142" w14:textId="77777777" w:rsidR="000C6BE9" w:rsidRDefault="000C6BE9">
            <w:pPr>
              <w:jc w:val="right"/>
              <w:rPr>
                <w:rFonts w:eastAsia="Times New Roman" w:cs="Arial"/>
                <w:color w:val="000000"/>
                <w:sz w:val="18"/>
                <w:szCs w:val="18"/>
                <w:lang w:val="es-CO" w:eastAsia="es-CO"/>
              </w:rPr>
            </w:pPr>
            <w:r>
              <w:rPr>
                <w:rFonts w:cs="Arial"/>
                <w:sz w:val="18"/>
                <w:szCs w:val="18"/>
              </w:rPr>
              <w:t>-</w:t>
            </w:r>
          </w:p>
        </w:tc>
      </w:tr>
      <w:tr w:rsidR="000C6BE9" w14:paraId="2EA3E4F6"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60970D0B"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 Viáticos y Gastos de Viaje </w:t>
            </w:r>
          </w:p>
        </w:tc>
        <w:tc>
          <w:tcPr>
            <w:tcW w:w="1091" w:type="dxa"/>
            <w:tcBorders>
              <w:top w:val="nil"/>
              <w:left w:val="nil"/>
              <w:bottom w:val="single" w:sz="4" w:space="0" w:color="auto"/>
              <w:right w:val="single" w:sz="4" w:space="0" w:color="auto"/>
            </w:tcBorders>
            <w:vAlign w:val="center"/>
            <w:hideMark/>
          </w:tcPr>
          <w:p w14:paraId="1DDC3DB5"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2</w:t>
            </w:r>
          </w:p>
        </w:tc>
        <w:tc>
          <w:tcPr>
            <w:tcW w:w="1003" w:type="dxa"/>
            <w:tcBorders>
              <w:top w:val="nil"/>
              <w:left w:val="nil"/>
              <w:bottom w:val="single" w:sz="4" w:space="0" w:color="auto"/>
              <w:right w:val="single" w:sz="4" w:space="0" w:color="auto"/>
            </w:tcBorders>
            <w:vAlign w:val="center"/>
            <w:hideMark/>
          </w:tcPr>
          <w:p w14:paraId="25381303"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single" w:sz="4" w:space="0" w:color="auto"/>
              <w:bottom w:val="single" w:sz="4" w:space="0" w:color="auto"/>
              <w:right w:val="single" w:sz="4" w:space="0" w:color="auto"/>
            </w:tcBorders>
            <w:vAlign w:val="center"/>
            <w:hideMark/>
          </w:tcPr>
          <w:p w14:paraId="733E0DCA" w14:textId="77777777" w:rsidR="000C6BE9" w:rsidRDefault="000C6BE9">
            <w:pPr>
              <w:jc w:val="right"/>
              <w:rPr>
                <w:rFonts w:eastAsia="Times New Roman" w:cs="Arial"/>
                <w:color w:val="000000"/>
                <w:sz w:val="18"/>
                <w:szCs w:val="18"/>
                <w:lang w:val="es-CO" w:eastAsia="es-CO"/>
              </w:rPr>
            </w:pPr>
            <w:r>
              <w:rPr>
                <w:rFonts w:cs="Arial"/>
                <w:sz w:val="18"/>
                <w:szCs w:val="18"/>
              </w:rPr>
              <w:t>7</w:t>
            </w:r>
          </w:p>
        </w:tc>
      </w:tr>
      <w:tr w:rsidR="000C6BE9" w14:paraId="681C433C"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60937E77"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 xml:space="preserve">Aportes Patronales </w:t>
            </w:r>
          </w:p>
        </w:tc>
        <w:tc>
          <w:tcPr>
            <w:tcW w:w="1091" w:type="dxa"/>
            <w:tcBorders>
              <w:top w:val="nil"/>
              <w:left w:val="nil"/>
              <w:bottom w:val="single" w:sz="4" w:space="0" w:color="auto"/>
              <w:right w:val="single" w:sz="4" w:space="0" w:color="auto"/>
            </w:tcBorders>
            <w:vAlign w:val="center"/>
            <w:hideMark/>
          </w:tcPr>
          <w:p w14:paraId="156797EA"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23.034</w:t>
            </w:r>
          </w:p>
        </w:tc>
        <w:tc>
          <w:tcPr>
            <w:tcW w:w="1003" w:type="dxa"/>
            <w:tcBorders>
              <w:top w:val="nil"/>
              <w:left w:val="nil"/>
              <w:bottom w:val="single" w:sz="4" w:space="0" w:color="auto"/>
              <w:right w:val="single" w:sz="4" w:space="0" w:color="auto"/>
            </w:tcBorders>
            <w:vAlign w:val="center"/>
            <w:hideMark/>
          </w:tcPr>
          <w:p w14:paraId="423BA913"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24.783</w:t>
            </w:r>
          </w:p>
        </w:tc>
        <w:tc>
          <w:tcPr>
            <w:tcW w:w="1003" w:type="dxa"/>
            <w:tcBorders>
              <w:top w:val="nil"/>
              <w:left w:val="single" w:sz="4" w:space="0" w:color="auto"/>
              <w:bottom w:val="single" w:sz="4" w:space="0" w:color="auto"/>
              <w:right w:val="single" w:sz="4" w:space="0" w:color="auto"/>
            </w:tcBorders>
            <w:shd w:val="clear" w:color="auto" w:fill="FFFFFF"/>
            <w:vAlign w:val="center"/>
            <w:hideMark/>
          </w:tcPr>
          <w:p w14:paraId="05D2192B" w14:textId="77777777" w:rsidR="000C6BE9" w:rsidRDefault="000C6BE9">
            <w:pPr>
              <w:jc w:val="right"/>
              <w:rPr>
                <w:rFonts w:eastAsia="Times New Roman" w:cs="Arial"/>
                <w:b/>
                <w:color w:val="000000"/>
                <w:sz w:val="18"/>
                <w:szCs w:val="18"/>
                <w:lang w:val="es-CO" w:eastAsia="es-CO"/>
              </w:rPr>
            </w:pPr>
            <w:r>
              <w:rPr>
                <w:rFonts w:cs="Arial"/>
                <w:b/>
                <w:bCs/>
                <w:color w:val="000000"/>
                <w:sz w:val="18"/>
                <w:szCs w:val="18"/>
              </w:rPr>
              <w:t>19.151</w:t>
            </w:r>
          </w:p>
        </w:tc>
      </w:tr>
      <w:tr w:rsidR="000C6BE9" w14:paraId="50E1FCBC"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1F4C52FA"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 Sin Situación de Fondos (Docentes y Directivos Docentes) </w:t>
            </w:r>
          </w:p>
        </w:tc>
        <w:tc>
          <w:tcPr>
            <w:tcW w:w="1091" w:type="dxa"/>
            <w:tcBorders>
              <w:top w:val="nil"/>
              <w:left w:val="nil"/>
              <w:bottom w:val="single" w:sz="4" w:space="0" w:color="auto"/>
              <w:right w:val="single" w:sz="4" w:space="0" w:color="auto"/>
            </w:tcBorders>
            <w:vAlign w:val="center"/>
            <w:hideMark/>
          </w:tcPr>
          <w:p w14:paraId="4E18162A"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15.655</w:t>
            </w:r>
          </w:p>
        </w:tc>
        <w:tc>
          <w:tcPr>
            <w:tcW w:w="1003" w:type="dxa"/>
            <w:tcBorders>
              <w:top w:val="nil"/>
              <w:left w:val="nil"/>
              <w:bottom w:val="single" w:sz="4" w:space="0" w:color="auto"/>
              <w:right w:val="single" w:sz="4" w:space="0" w:color="auto"/>
            </w:tcBorders>
            <w:vAlign w:val="center"/>
            <w:hideMark/>
          </w:tcPr>
          <w:p w14:paraId="0D171ED4"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17.444</w:t>
            </w:r>
          </w:p>
        </w:tc>
        <w:tc>
          <w:tcPr>
            <w:tcW w:w="1003" w:type="dxa"/>
            <w:tcBorders>
              <w:top w:val="nil"/>
              <w:left w:val="single" w:sz="4" w:space="0" w:color="auto"/>
              <w:bottom w:val="single" w:sz="4" w:space="0" w:color="auto"/>
              <w:right w:val="single" w:sz="4" w:space="0" w:color="auto"/>
            </w:tcBorders>
            <w:vAlign w:val="center"/>
            <w:hideMark/>
          </w:tcPr>
          <w:p w14:paraId="4B066F20" w14:textId="77777777" w:rsidR="000C6BE9" w:rsidRDefault="00603CE8">
            <w:pPr>
              <w:jc w:val="right"/>
              <w:rPr>
                <w:rFonts w:eastAsia="Times New Roman" w:cs="Arial"/>
                <w:color w:val="000000"/>
                <w:sz w:val="18"/>
                <w:szCs w:val="18"/>
                <w:lang w:val="es-CO" w:eastAsia="es-CO"/>
              </w:rPr>
            </w:pPr>
            <w:r w:rsidRPr="00603CE8">
              <w:rPr>
                <w:rFonts w:cs="Arial"/>
                <w:color w:val="FF0000"/>
                <w:sz w:val="18"/>
                <w:szCs w:val="18"/>
              </w:rPr>
              <w:t xml:space="preserve">(2) </w:t>
            </w:r>
            <w:r w:rsidR="000C6BE9">
              <w:rPr>
                <w:rFonts w:cs="Arial"/>
                <w:sz w:val="18"/>
                <w:szCs w:val="18"/>
              </w:rPr>
              <w:t>11.454</w:t>
            </w:r>
          </w:p>
        </w:tc>
      </w:tr>
      <w:tr w:rsidR="000C6BE9" w14:paraId="67B024B5"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08A99789"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 Con situación de fondos (Docentes y Directivos Docentes) </w:t>
            </w:r>
          </w:p>
        </w:tc>
        <w:tc>
          <w:tcPr>
            <w:tcW w:w="1091" w:type="dxa"/>
            <w:tcBorders>
              <w:top w:val="nil"/>
              <w:left w:val="nil"/>
              <w:bottom w:val="single" w:sz="4" w:space="0" w:color="auto"/>
              <w:right w:val="single" w:sz="4" w:space="0" w:color="auto"/>
            </w:tcBorders>
            <w:vAlign w:val="center"/>
            <w:hideMark/>
          </w:tcPr>
          <w:p w14:paraId="6D271113"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5.645</w:t>
            </w:r>
          </w:p>
        </w:tc>
        <w:tc>
          <w:tcPr>
            <w:tcW w:w="1003" w:type="dxa"/>
            <w:tcBorders>
              <w:top w:val="nil"/>
              <w:left w:val="nil"/>
              <w:bottom w:val="single" w:sz="4" w:space="0" w:color="auto"/>
              <w:right w:val="single" w:sz="4" w:space="0" w:color="auto"/>
            </w:tcBorders>
            <w:vAlign w:val="center"/>
            <w:hideMark/>
          </w:tcPr>
          <w:p w14:paraId="0EC6E97C"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5.326</w:t>
            </w:r>
          </w:p>
        </w:tc>
        <w:tc>
          <w:tcPr>
            <w:tcW w:w="1003" w:type="dxa"/>
            <w:tcBorders>
              <w:top w:val="nil"/>
              <w:left w:val="single" w:sz="4" w:space="0" w:color="auto"/>
              <w:bottom w:val="single" w:sz="4" w:space="0" w:color="auto"/>
              <w:right w:val="single" w:sz="4" w:space="0" w:color="auto"/>
            </w:tcBorders>
            <w:vAlign w:val="center"/>
            <w:hideMark/>
          </w:tcPr>
          <w:p w14:paraId="7FF7FCF4" w14:textId="77777777" w:rsidR="000C6BE9" w:rsidRDefault="000C6BE9">
            <w:pPr>
              <w:jc w:val="right"/>
              <w:rPr>
                <w:rFonts w:eastAsia="Times New Roman" w:cs="Arial"/>
                <w:color w:val="000000"/>
                <w:sz w:val="18"/>
                <w:szCs w:val="18"/>
                <w:lang w:val="es-CO" w:eastAsia="es-CO"/>
              </w:rPr>
            </w:pPr>
            <w:r>
              <w:rPr>
                <w:rFonts w:cs="Arial"/>
                <w:sz w:val="18"/>
                <w:szCs w:val="18"/>
              </w:rPr>
              <w:t>5.725</w:t>
            </w:r>
          </w:p>
        </w:tc>
      </w:tr>
      <w:tr w:rsidR="000C6BE9" w14:paraId="31E38DEF"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6B7D2E8F"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 Personal Administrativo de Instituciones Educativas (A.P)</w:t>
            </w:r>
          </w:p>
        </w:tc>
        <w:tc>
          <w:tcPr>
            <w:tcW w:w="1091" w:type="dxa"/>
            <w:tcBorders>
              <w:top w:val="nil"/>
              <w:left w:val="nil"/>
              <w:bottom w:val="single" w:sz="4" w:space="0" w:color="auto"/>
              <w:right w:val="single" w:sz="4" w:space="0" w:color="auto"/>
            </w:tcBorders>
            <w:vAlign w:val="center"/>
            <w:hideMark/>
          </w:tcPr>
          <w:p w14:paraId="3C7018FD"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1.734</w:t>
            </w:r>
          </w:p>
        </w:tc>
        <w:tc>
          <w:tcPr>
            <w:tcW w:w="1003" w:type="dxa"/>
            <w:tcBorders>
              <w:top w:val="nil"/>
              <w:left w:val="nil"/>
              <w:bottom w:val="single" w:sz="4" w:space="0" w:color="auto"/>
              <w:right w:val="single" w:sz="4" w:space="0" w:color="auto"/>
            </w:tcBorders>
            <w:vAlign w:val="center"/>
            <w:hideMark/>
          </w:tcPr>
          <w:p w14:paraId="337B7143"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2.013</w:t>
            </w:r>
          </w:p>
        </w:tc>
        <w:tc>
          <w:tcPr>
            <w:tcW w:w="1003" w:type="dxa"/>
            <w:tcBorders>
              <w:top w:val="nil"/>
              <w:left w:val="single" w:sz="4" w:space="0" w:color="auto"/>
              <w:bottom w:val="single" w:sz="4" w:space="0" w:color="auto"/>
              <w:right w:val="single" w:sz="4" w:space="0" w:color="auto"/>
            </w:tcBorders>
            <w:vAlign w:val="center"/>
            <w:hideMark/>
          </w:tcPr>
          <w:p w14:paraId="21B4D888" w14:textId="77777777" w:rsidR="000C6BE9" w:rsidRDefault="000C6BE9">
            <w:pPr>
              <w:jc w:val="right"/>
              <w:rPr>
                <w:rFonts w:eastAsia="Times New Roman" w:cs="Arial"/>
                <w:color w:val="000000"/>
                <w:sz w:val="18"/>
                <w:szCs w:val="18"/>
                <w:lang w:val="es-CO" w:eastAsia="es-CO"/>
              </w:rPr>
            </w:pPr>
            <w:r>
              <w:rPr>
                <w:rFonts w:cs="Arial"/>
                <w:sz w:val="18"/>
                <w:szCs w:val="18"/>
              </w:rPr>
              <w:t>1.971</w:t>
            </w:r>
          </w:p>
        </w:tc>
      </w:tr>
      <w:tr w:rsidR="000C6BE9" w14:paraId="45217B38"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01C8C9F8"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 Personal Administrativo Secretaría de Educación (A.P)</w:t>
            </w:r>
          </w:p>
        </w:tc>
        <w:tc>
          <w:tcPr>
            <w:tcW w:w="1091" w:type="dxa"/>
            <w:tcBorders>
              <w:top w:val="nil"/>
              <w:left w:val="nil"/>
              <w:bottom w:val="single" w:sz="4" w:space="0" w:color="auto"/>
              <w:right w:val="single" w:sz="4" w:space="0" w:color="auto"/>
            </w:tcBorders>
            <w:vAlign w:val="center"/>
            <w:hideMark/>
          </w:tcPr>
          <w:p w14:paraId="0EF8CECB"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nil"/>
              <w:bottom w:val="single" w:sz="4" w:space="0" w:color="auto"/>
              <w:right w:val="single" w:sz="4" w:space="0" w:color="auto"/>
            </w:tcBorders>
            <w:vAlign w:val="center"/>
            <w:hideMark/>
          </w:tcPr>
          <w:p w14:paraId="7A21EEDA"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single" w:sz="4" w:space="0" w:color="auto"/>
              <w:bottom w:val="single" w:sz="4" w:space="0" w:color="auto"/>
              <w:right w:val="single" w:sz="4" w:space="0" w:color="auto"/>
            </w:tcBorders>
            <w:vAlign w:val="center"/>
            <w:hideMark/>
          </w:tcPr>
          <w:p w14:paraId="02D51F61" w14:textId="77777777" w:rsidR="000C6BE9" w:rsidRDefault="000C6BE9">
            <w:pPr>
              <w:jc w:val="right"/>
              <w:rPr>
                <w:rFonts w:eastAsia="Times New Roman" w:cs="Arial"/>
                <w:color w:val="000000"/>
                <w:sz w:val="18"/>
                <w:szCs w:val="18"/>
                <w:lang w:val="es-CO" w:eastAsia="es-CO"/>
              </w:rPr>
            </w:pPr>
            <w:r>
              <w:rPr>
                <w:rFonts w:cs="Arial"/>
                <w:sz w:val="18"/>
                <w:szCs w:val="18"/>
              </w:rPr>
              <w:t>-</w:t>
            </w:r>
          </w:p>
        </w:tc>
      </w:tr>
      <w:tr w:rsidR="000C6BE9" w14:paraId="39181570"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3080E8EA"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Gastos Generales</w:t>
            </w:r>
            <w:r>
              <w:rPr>
                <w:rFonts w:eastAsia="Times New Roman" w:cs="Arial"/>
                <w:color w:val="000000"/>
                <w:sz w:val="18"/>
                <w:szCs w:val="18"/>
                <w:lang w:val="es-CO" w:eastAsia="es-CO"/>
              </w:rPr>
              <w:t> </w:t>
            </w:r>
          </w:p>
        </w:tc>
        <w:tc>
          <w:tcPr>
            <w:tcW w:w="1091" w:type="dxa"/>
            <w:tcBorders>
              <w:top w:val="nil"/>
              <w:left w:val="nil"/>
              <w:bottom w:val="single" w:sz="4" w:space="0" w:color="auto"/>
              <w:right w:val="single" w:sz="4" w:space="0" w:color="auto"/>
            </w:tcBorders>
            <w:vAlign w:val="center"/>
            <w:hideMark/>
          </w:tcPr>
          <w:p w14:paraId="5C74341F"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46</w:t>
            </w:r>
          </w:p>
        </w:tc>
        <w:tc>
          <w:tcPr>
            <w:tcW w:w="1003" w:type="dxa"/>
            <w:tcBorders>
              <w:top w:val="nil"/>
              <w:left w:val="nil"/>
              <w:bottom w:val="single" w:sz="4" w:space="0" w:color="auto"/>
              <w:right w:val="single" w:sz="4" w:space="0" w:color="auto"/>
            </w:tcBorders>
            <w:vAlign w:val="center"/>
            <w:hideMark/>
          </w:tcPr>
          <w:p w14:paraId="71005E4D"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110</w:t>
            </w:r>
          </w:p>
        </w:tc>
        <w:tc>
          <w:tcPr>
            <w:tcW w:w="1003" w:type="dxa"/>
            <w:tcBorders>
              <w:top w:val="nil"/>
              <w:left w:val="single" w:sz="4" w:space="0" w:color="auto"/>
              <w:bottom w:val="single" w:sz="4" w:space="0" w:color="auto"/>
              <w:right w:val="single" w:sz="4" w:space="0" w:color="auto"/>
            </w:tcBorders>
            <w:vAlign w:val="center"/>
            <w:hideMark/>
          </w:tcPr>
          <w:p w14:paraId="362EB665" w14:textId="77777777" w:rsidR="000C6BE9" w:rsidRDefault="000C6BE9">
            <w:pPr>
              <w:jc w:val="right"/>
              <w:rPr>
                <w:rFonts w:eastAsia="Times New Roman" w:cs="Arial"/>
                <w:b/>
                <w:color w:val="000000"/>
                <w:sz w:val="18"/>
                <w:szCs w:val="18"/>
                <w:lang w:val="es-CO" w:eastAsia="es-CO"/>
              </w:rPr>
            </w:pPr>
            <w:r>
              <w:rPr>
                <w:rFonts w:cs="Arial"/>
                <w:b/>
                <w:bCs/>
                <w:sz w:val="18"/>
                <w:szCs w:val="18"/>
              </w:rPr>
              <w:t>59</w:t>
            </w:r>
          </w:p>
        </w:tc>
      </w:tr>
      <w:tr w:rsidR="000C6BE9" w14:paraId="2FB5092A" w14:textId="77777777" w:rsidTr="000C6BE9">
        <w:trPr>
          <w:trHeight w:val="20"/>
          <w:jc w:val="center"/>
        </w:trPr>
        <w:tc>
          <w:tcPr>
            <w:tcW w:w="5844" w:type="dxa"/>
            <w:tcBorders>
              <w:top w:val="nil"/>
              <w:left w:val="single" w:sz="4" w:space="0" w:color="auto"/>
              <w:bottom w:val="single" w:sz="4" w:space="0" w:color="auto"/>
              <w:right w:val="single" w:sz="4" w:space="0" w:color="auto"/>
            </w:tcBorders>
            <w:vAlign w:val="center"/>
            <w:hideMark/>
          </w:tcPr>
          <w:p w14:paraId="6BFB2DDF"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Servicios Personales Indirectos</w:t>
            </w:r>
          </w:p>
        </w:tc>
        <w:tc>
          <w:tcPr>
            <w:tcW w:w="1091" w:type="dxa"/>
            <w:tcBorders>
              <w:top w:val="nil"/>
              <w:left w:val="nil"/>
              <w:bottom w:val="single" w:sz="4" w:space="0" w:color="auto"/>
              <w:right w:val="single" w:sz="4" w:space="0" w:color="auto"/>
            </w:tcBorders>
            <w:vAlign w:val="center"/>
            <w:hideMark/>
          </w:tcPr>
          <w:p w14:paraId="1E1BA918"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w:t>
            </w:r>
          </w:p>
        </w:tc>
        <w:tc>
          <w:tcPr>
            <w:tcW w:w="1003" w:type="dxa"/>
            <w:tcBorders>
              <w:top w:val="nil"/>
              <w:left w:val="nil"/>
              <w:bottom w:val="single" w:sz="4" w:space="0" w:color="auto"/>
              <w:right w:val="single" w:sz="4" w:space="0" w:color="auto"/>
            </w:tcBorders>
            <w:vAlign w:val="center"/>
            <w:hideMark/>
          </w:tcPr>
          <w:p w14:paraId="2632B28C"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w:t>
            </w:r>
          </w:p>
        </w:tc>
        <w:tc>
          <w:tcPr>
            <w:tcW w:w="1003" w:type="dxa"/>
            <w:tcBorders>
              <w:top w:val="nil"/>
              <w:left w:val="single" w:sz="4" w:space="0" w:color="auto"/>
              <w:bottom w:val="single" w:sz="4" w:space="0" w:color="auto"/>
              <w:right w:val="single" w:sz="4" w:space="0" w:color="auto"/>
            </w:tcBorders>
            <w:vAlign w:val="center"/>
            <w:hideMark/>
          </w:tcPr>
          <w:p w14:paraId="01F85A83" w14:textId="77777777" w:rsidR="000C6BE9" w:rsidRDefault="000C6BE9">
            <w:pPr>
              <w:jc w:val="right"/>
              <w:rPr>
                <w:rFonts w:eastAsia="Times New Roman" w:cs="Arial"/>
                <w:b/>
                <w:color w:val="000000"/>
                <w:sz w:val="18"/>
                <w:szCs w:val="18"/>
                <w:lang w:val="es-CO" w:eastAsia="es-CO"/>
              </w:rPr>
            </w:pPr>
            <w:r>
              <w:rPr>
                <w:rFonts w:cs="Arial"/>
                <w:b/>
                <w:bCs/>
                <w:sz w:val="18"/>
                <w:szCs w:val="18"/>
              </w:rPr>
              <w:t>50</w:t>
            </w:r>
          </w:p>
        </w:tc>
      </w:tr>
      <w:tr w:rsidR="000C6BE9" w14:paraId="77657B5F"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4F2D653A"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 xml:space="preserve"> CALIDAD </w:t>
            </w:r>
          </w:p>
        </w:tc>
        <w:tc>
          <w:tcPr>
            <w:tcW w:w="1091" w:type="dxa"/>
            <w:tcBorders>
              <w:top w:val="nil"/>
              <w:left w:val="nil"/>
              <w:bottom w:val="single" w:sz="4" w:space="0" w:color="auto"/>
              <w:right w:val="single" w:sz="4" w:space="0" w:color="auto"/>
            </w:tcBorders>
            <w:shd w:val="clear" w:color="auto" w:fill="D9D9D9"/>
            <w:vAlign w:val="center"/>
            <w:hideMark/>
          </w:tcPr>
          <w:p w14:paraId="1B91522A"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887</w:t>
            </w:r>
          </w:p>
        </w:tc>
        <w:tc>
          <w:tcPr>
            <w:tcW w:w="1003" w:type="dxa"/>
            <w:tcBorders>
              <w:top w:val="nil"/>
              <w:left w:val="nil"/>
              <w:bottom w:val="single" w:sz="4" w:space="0" w:color="auto"/>
              <w:right w:val="single" w:sz="4" w:space="0" w:color="auto"/>
            </w:tcBorders>
            <w:shd w:val="clear" w:color="auto" w:fill="D9D9D9"/>
            <w:vAlign w:val="center"/>
            <w:hideMark/>
          </w:tcPr>
          <w:p w14:paraId="3109E4E8"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555</w:t>
            </w:r>
          </w:p>
        </w:tc>
        <w:tc>
          <w:tcPr>
            <w:tcW w:w="1003" w:type="dxa"/>
            <w:tcBorders>
              <w:top w:val="nil"/>
              <w:left w:val="single" w:sz="4" w:space="0" w:color="auto"/>
              <w:bottom w:val="single" w:sz="4" w:space="0" w:color="auto"/>
              <w:right w:val="single" w:sz="4" w:space="0" w:color="auto"/>
            </w:tcBorders>
            <w:shd w:val="clear" w:color="auto" w:fill="D9D9D9"/>
            <w:vAlign w:val="center"/>
            <w:hideMark/>
          </w:tcPr>
          <w:p w14:paraId="639F7557" w14:textId="77777777" w:rsidR="000C6BE9" w:rsidRDefault="000C6BE9">
            <w:pPr>
              <w:jc w:val="right"/>
              <w:rPr>
                <w:rFonts w:eastAsia="Times New Roman" w:cs="Arial"/>
                <w:b/>
                <w:color w:val="000000"/>
                <w:sz w:val="18"/>
                <w:szCs w:val="18"/>
                <w:lang w:val="es-CO" w:eastAsia="es-CO"/>
              </w:rPr>
            </w:pPr>
            <w:r>
              <w:rPr>
                <w:rFonts w:cs="Arial"/>
                <w:b/>
                <w:bCs/>
                <w:color w:val="000000"/>
                <w:sz w:val="18"/>
                <w:szCs w:val="18"/>
              </w:rPr>
              <w:t>2.851</w:t>
            </w:r>
          </w:p>
        </w:tc>
      </w:tr>
      <w:tr w:rsidR="000C6BE9" w14:paraId="1DBB63BC"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0B3AD384"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Mantenimiento de Infraestructura Educativa</w:t>
            </w:r>
          </w:p>
        </w:tc>
        <w:tc>
          <w:tcPr>
            <w:tcW w:w="1091" w:type="dxa"/>
            <w:tcBorders>
              <w:top w:val="nil"/>
              <w:left w:val="nil"/>
              <w:bottom w:val="single" w:sz="4" w:space="0" w:color="auto"/>
              <w:right w:val="single" w:sz="4" w:space="0" w:color="auto"/>
            </w:tcBorders>
            <w:vAlign w:val="center"/>
            <w:hideMark/>
          </w:tcPr>
          <w:p w14:paraId="6AD126EC"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35</w:t>
            </w:r>
          </w:p>
        </w:tc>
        <w:tc>
          <w:tcPr>
            <w:tcW w:w="1003" w:type="dxa"/>
            <w:tcBorders>
              <w:top w:val="nil"/>
              <w:left w:val="nil"/>
              <w:bottom w:val="single" w:sz="4" w:space="0" w:color="auto"/>
              <w:right w:val="single" w:sz="4" w:space="0" w:color="auto"/>
            </w:tcBorders>
            <w:vAlign w:val="center"/>
            <w:hideMark/>
          </w:tcPr>
          <w:p w14:paraId="74CF1FDF"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127</w:t>
            </w:r>
          </w:p>
        </w:tc>
        <w:tc>
          <w:tcPr>
            <w:tcW w:w="1003" w:type="dxa"/>
            <w:tcBorders>
              <w:top w:val="nil"/>
              <w:left w:val="single" w:sz="4" w:space="0" w:color="auto"/>
              <w:bottom w:val="single" w:sz="4" w:space="0" w:color="auto"/>
              <w:right w:val="single" w:sz="4" w:space="0" w:color="auto"/>
            </w:tcBorders>
            <w:vAlign w:val="center"/>
            <w:hideMark/>
          </w:tcPr>
          <w:p w14:paraId="49069CD5" w14:textId="77777777" w:rsidR="000C6BE9" w:rsidRDefault="000C6BE9">
            <w:pPr>
              <w:jc w:val="right"/>
              <w:rPr>
                <w:rFonts w:eastAsia="Times New Roman" w:cs="Arial"/>
                <w:color w:val="000000"/>
                <w:sz w:val="18"/>
                <w:szCs w:val="18"/>
                <w:lang w:val="es-CO" w:eastAsia="es-CO"/>
              </w:rPr>
            </w:pPr>
            <w:r>
              <w:rPr>
                <w:rFonts w:cs="Arial"/>
                <w:sz w:val="18"/>
                <w:szCs w:val="18"/>
              </w:rPr>
              <w:t>60</w:t>
            </w:r>
          </w:p>
        </w:tc>
      </w:tr>
      <w:tr w:rsidR="000C6BE9" w14:paraId="4F31DAC3"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38EDDA4C"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Pago Servicios Públicos de las Instituciones Educativas </w:t>
            </w:r>
          </w:p>
        </w:tc>
        <w:tc>
          <w:tcPr>
            <w:tcW w:w="1091" w:type="dxa"/>
            <w:tcBorders>
              <w:top w:val="nil"/>
              <w:left w:val="nil"/>
              <w:bottom w:val="single" w:sz="4" w:space="0" w:color="auto"/>
              <w:right w:val="single" w:sz="4" w:space="0" w:color="auto"/>
            </w:tcBorders>
            <w:vAlign w:val="center"/>
            <w:hideMark/>
          </w:tcPr>
          <w:p w14:paraId="17DC5587"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341</w:t>
            </w:r>
          </w:p>
        </w:tc>
        <w:tc>
          <w:tcPr>
            <w:tcW w:w="1003" w:type="dxa"/>
            <w:tcBorders>
              <w:top w:val="nil"/>
              <w:left w:val="nil"/>
              <w:bottom w:val="single" w:sz="4" w:space="0" w:color="auto"/>
              <w:right w:val="single" w:sz="4" w:space="0" w:color="auto"/>
            </w:tcBorders>
            <w:vAlign w:val="center"/>
            <w:hideMark/>
          </w:tcPr>
          <w:p w14:paraId="7AC9CD31"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428</w:t>
            </w:r>
          </w:p>
        </w:tc>
        <w:tc>
          <w:tcPr>
            <w:tcW w:w="1003" w:type="dxa"/>
            <w:tcBorders>
              <w:top w:val="nil"/>
              <w:left w:val="single" w:sz="4" w:space="0" w:color="auto"/>
              <w:bottom w:val="single" w:sz="4" w:space="0" w:color="auto"/>
              <w:right w:val="single" w:sz="4" w:space="0" w:color="auto"/>
            </w:tcBorders>
            <w:vAlign w:val="center"/>
            <w:hideMark/>
          </w:tcPr>
          <w:p w14:paraId="2AD1D700" w14:textId="77777777" w:rsidR="000C6BE9" w:rsidRDefault="000C6BE9">
            <w:pPr>
              <w:jc w:val="right"/>
              <w:rPr>
                <w:rFonts w:eastAsia="Times New Roman" w:cs="Arial"/>
                <w:color w:val="000000"/>
                <w:sz w:val="18"/>
                <w:szCs w:val="18"/>
                <w:lang w:val="es-CO" w:eastAsia="es-CO"/>
              </w:rPr>
            </w:pPr>
            <w:r>
              <w:rPr>
                <w:rFonts w:cs="Arial"/>
                <w:sz w:val="18"/>
                <w:szCs w:val="18"/>
              </w:rPr>
              <w:t>539</w:t>
            </w:r>
          </w:p>
        </w:tc>
      </w:tr>
      <w:tr w:rsidR="000C6BE9" w14:paraId="7488909A"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46A25AC8"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Capacitación a Docentes y Directivos Docentes </w:t>
            </w:r>
          </w:p>
        </w:tc>
        <w:tc>
          <w:tcPr>
            <w:tcW w:w="1091" w:type="dxa"/>
            <w:tcBorders>
              <w:top w:val="nil"/>
              <w:left w:val="nil"/>
              <w:bottom w:val="single" w:sz="4" w:space="0" w:color="auto"/>
              <w:right w:val="single" w:sz="4" w:space="0" w:color="auto"/>
            </w:tcBorders>
            <w:vAlign w:val="center"/>
            <w:hideMark/>
          </w:tcPr>
          <w:p w14:paraId="5D8192BB"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nil"/>
              <w:bottom w:val="single" w:sz="4" w:space="0" w:color="auto"/>
              <w:right w:val="single" w:sz="4" w:space="0" w:color="auto"/>
            </w:tcBorders>
            <w:vAlign w:val="center"/>
            <w:hideMark/>
          </w:tcPr>
          <w:p w14:paraId="4EE6F53C"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single" w:sz="4" w:space="0" w:color="auto"/>
              <w:bottom w:val="single" w:sz="4" w:space="0" w:color="auto"/>
              <w:right w:val="single" w:sz="4" w:space="0" w:color="auto"/>
            </w:tcBorders>
            <w:vAlign w:val="center"/>
            <w:hideMark/>
          </w:tcPr>
          <w:p w14:paraId="0D5AEED1" w14:textId="77777777" w:rsidR="000C6BE9" w:rsidRDefault="000C6BE9">
            <w:pPr>
              <w:jc w:val="right"/>
              <w:rPr>
                <w:rFonts w:eastAsia="Times New Roman" w:cs="Arial"/>
                <w:color w:val="000000"/>
                <w:sz w:val="18"/>
                <w:szCs w:val="18"/>
                <w:lang w:val="es-CO" w:eastAsia="es-CO"/>
              </w:rPr>
            </w:pPr>
            <w:r>
              <w:rPr>
                <w:rFonts w:cs="Arial"/>
                <w:sz w:val="18"/>
                <w:szCs w:val="18"/>
              </w:rPr>
              <w:t>-</w:t>
            </w:r>
          </w:p>
        </w:tc>
      </w:tr>
      <w:tr w:rsidR="000C6BE9" w14:paraId="0DB01E2A"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36206B7E"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Dotación Institucional de Material y Medio pedagógicos para el Aprendizaje</w:t>
            </w:r>
          </w:p>
        </w:tc>
        <w:tc>
          <w:tcPr>
            <w:tcW w:w="1091" w:type="dxa"/>
            <w:tcBorders>
              <w:top w:val="nil"/>
              <w:left w:val="nil"/>
              <w:bottom w:val="single" w:sz="4" w:space="0" w:color="auto"/>
              <w:right w:val="single" w:sz="4" w:space="0" w:color="auto"/>
            </w:tcBorders>
            <w:vAlign w:val="center"/>
            <w:hideMark/>
          </w:tcPr>
          <w:p w14:paraId="14C88AE1"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406</w:t>
            </w:r>
          </w:p>
        </w:tc>
        <w:tc>
          <w:tcPr>
            <w:tcW w:w="1003" w:type="dxa"/>
            <w:tcBorders>
              <w:top w:val="nil"/>
              <w:left w:val="nil"/>
              <w:bottom w:val="single" w:sz="4" w:space="0" w:color="auto"/>
              <w:right w:val="single" w:sz="4" w:space="0" w:color="auto"/>
            </w:tcBorders>
            <w:vAlign w:val="center"/>
            <w:hideMark/>
          </w:tcPr>
          <w:p w14:paraId="6C84A5DD"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single" w:sz="4" w:space="0" w:color="auto"/>
              <w:bottom w:val="single" w:sz="4" w:space="0" w:color="auto"/>
              <w:right w:val="single" w:sz="4" w:space="0" w:color="auto"/>
            </w:tcBorders>
            <w:vAlign w:val="center"/>
            <w:hideMark/>
          </w:tcPr>
          <w:p w14:paraId="37DBFE1B" w14:textId="77777777" w:rsidR="000C6BE9" w:rsidRDefault="000C6BE9">
            <w:pPr>
              <w:jc w:val="right"/>
              <w:rPr>
                <w:rFonts w:eastAsia="Times New Roman" w:cs="Arial"/>
                <w:color w:val="000000"/>
                <w:sz w:val="18"/>
                <w:szCs w:val="18"/>
                <w:lang w:val="es-CO" w:eastAsia="es-CO"/>
              </w:rPr>
            </w:pPr>
            <w:r>
              <w:rPr>
                <w:rFonts w:cs="Arial"/>
                <w:sz w:val="18"/>
                <w:szCs w:val="18"/>
              </w:rPr>
              <w:t>658</w:t>
            </w:r>
          </w:p>
        </w:tc>
      </w:tr>
      <w:tr w:rsidR="000C6BE9" w14:paraId="526F3A86"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3881E842"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Alimentación Escolar</w:t>
            </w:r>
          </w:p>
        </w:tc>
        <w:tc>
          <w:tcPr>
            <w:tcW w:w="1091" w:type="dxa"/>
            <w:tcBorders>
              <w:top w:val="nil"/>
              <w:left w:val="nil"/>
              <w:bottom w:val="single" w:sz="4" w:space="0" w:color="auto"/>
              <w:right w:val="single" w:sz="4" w:space="0" w:color="auto"/>
            </w:tcBorders>
            <w:vAlign w:val="center"/>
            <w:hideMark/>
          </w:tcPr>
          <w:p w14:paraId="6AB7EBE3"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nil"/>
              <w:bottom w:val="single" w:sz="4" w:space="0" w:color="auto"/>
              <w:right w:val="single" w:sz="4" w:space="0" w:color="auto"/>
            </w:tcBorders>
            <w:vAlign w:val="center"/>
            <w:hideMark/>
          </w:tcPr>
          <w:p w14:paraId="2CE16159"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single" w:sz="4" w:space="0" w:color="auto"/>
              <w:bottom w:val="single" w:sz="4" w:space="0" w:color="auto"/>
              <w:right w:val="single" w:sz="4" w:space="0" w:color="auto"/>
            </w:tcBorders>
            <w:vAlign w:val="center"/>
            <w:hideMark/>
          </w:tcPr>
          <w:p w14:paraId="5D604CCD" w14:textId="77777777" w:rsidR="000C6BE9" w:rsidRDefault="000C6BE9">
            <w:pPr>
              <w:jc w:val="right"/>
              <w:rPr>
                <w:rFonts w:eastAsia="Times New Roman" w:cs="Arial"/>
                <w:color w:val="000000"/>
                <w:sz w:val="18"/>
                <w:szCs w:val="18"/>
                <w:lang w:val="es-CO" w:eastAsia="es-CO"/>
              </w:rPr>
            </w:pPr>
            <w:r>
              <w:rPr>
                <w:rFonts w:cs="Arial"/>
                <w:sz w:val="18"/>
                <w:szCs w:val="18"/>
              </w:rPr>
              <w:t>1.594</w:t>
            </w:r>
          </w:p>
        </w:tc>
      </w:tr>
      <w:tr w:rsidR="000C6BE9" w14:paraId="37CC0EB0"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10250FA8" w14:textId="77777777" w:rsidR="000C6BE9" w:rsidRDefault="000C6BE9">
            <w:pPr>
              <w:ind w:firstLineChars="200" w:firstLine="360"/>
              <w:rPr>
                <w:rFonts w:eastAsia="Times New Roman" w:cs="Arial"/>
                <w:color w:val="000000"/>
                <w:sz w:val="18"/>
                <w:szCs w:val="18"/>
                <w:lang w:val="es-CO" w:eastAsia="es-CO"/>
              </w:rPr>
            </w:pPr>
            <w:r>
              <w:rPr>
                <w:rFonts w:eastAsia="Times New Roman" w:cs="Arial"/>
                <w:color w:val="000000"/>
                <w:sz w:val="18"/>
                <w:szCs w:val="18"/>
                <w:lang w:val="es-CO" w:eastAsia="es-CO"/>
              </w:rPr>
              <w:t>Diseño e implementación de Planes de Mejoramiento</w:t>
            </w:r>
          </w:p>
        </w:tc>
        <w:tc>
          <w:tcPr>
            <w:tcW w:w="1091" w:type="dxa"/>
            <w:tcBorders>
              <w:top w:val="nil"/>
              <w:left w:val="nil"/>
              <w:bottom w:val="single" w:sz="4" w:space="0" w:color="auto"/>
              <w:right w:val="single" w:sz="4" w:space="0" w:color="auto"/>
            </w:tcBorders>
            <w:vAlign w:val="center"/>
            <w:hideMark/>
          </w:tcPr>
          <w:p w14:paraId="78D665DC"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105</w:t>
            </w:r>
          </w:p>
        </w:tc>
        <w:tc>
          <w:tcPr>
            <w:tcW w:w="1003" w:type="dxa"/>
            <w:tcBorders>
              <w:top w:val="nil"/>
              <w:left w:val="nil"/>
              <w:bottom w:val="single" w:sz="4" w:space="0" w:color="auto"/>
              <w:right w:val="single" w:sz="4" w:space="0" w:color="auto"/>
            </w:tcBorders>
            <w:vAlign w:val="center"/>
            <w:hideMark/>
          </w:tcPr>
          <w:p w14:paraId="540EB436"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c>
          <w:tcPr>
            <w:tcW w:w="1003" w:type="dxa"/>
            <w:tcBorders>
              <w:top w:val="nil"/>
              <w:left w:val="single" w:sz="4" w:space="0" w:color="auto"/>
              <w:bottom w:val="single" w:sz="4" w:space="0" w:color="auto"/>
              <w:right w:val="single" w:sz="4" w:space="0" w:color="auto"/>
            </w:tcBorders>
            <w:vAlign w:val="center"/>
            <w:hideMark/>
          </w:tcPr>
          <w:p w14:paraId="53246F3B" w14:textId="77777777" w:rsidR="000C6BE9" w:rsidRDefault="000C6BE9">
            <w:pPr>
              <w:jc w:val="right"/>
              <w:rPr>
                <w:rFonts w:eastAsia="Times New Roman" w:cs="Arial"/>
                <w:color w:val="000000"/>
                <w:sz w:val="18"/>
                <w:szCs w:val="18"/>
                <w:lang w:val="es-CO" w:eastAsia="es-CO"/>
              </w:rPr>
            </w:pPr>
            <w:r>
              <w:rPr>
                <w:rFonts w:cs="Arial"/>
                <w:sz w:val="18"/>
                <w:szCs w:val="18"/>
              </w:rPr>
              <w:t>-</w:t>
            </w:r>
          </w:p>
        </w:tc>
      </w:tr>
      <w:tr w:rsidR="000C6BE9" w14:paraId="5579A5CE"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2A5C5120"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lastRenderedPageBreak/>
              <w:t xml:space="preserve"> CONECTIVIDAD </w:t>
            </w:r>
          </w:p>
        </w:tc>
        <w:tc>
          <w:tcPr>
            <w:tcW w:w="1091" w:type="dxa"/>
            <w:tcBorders>
              <w:top w:val="nil"/>
              <w:left w:val="nil"/>
              <w:bottom w:val="single" w:sz="4" w:space="0" w:color="auto"/>
              <w:right w:val="single" w:sz="4" w:space="0" w:color="auto"/>
            </w:tcBorders>
            <w:shd w:val="clear" w:color="auto" w:fill="D9D9D9"/>
            <w:vAlign w:val="center"/>
            <w:hideMark/>
          </w:tcPr>
          <w:p w14:paraId="32A114A3"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661</w:t>
            </w:r>
          </w:p>
        </w:tc>
        <w:tc>
          <w:tcPr>
            <w:tcW w:w="1003" w:type="dxa"/>
            <w:tcBorders>
              <w:top w:val="nil"/>
              <w:left w:val="nil"/>
              <w:bottom w:val="single" w:sz="4" w:space="0" w:color="auto"/>
              <w:right w:val="single" w:sz="4" w:space="0" w:color="auto"/>
            </w:tcBorders>
            <w:shd w:val="clear" w:color="auto" w:fill="D9D9D9"/>
            <w:vAlign w:val="center"/>
            <w:hideMark/>
          </w:tcPr>
          <w:p w14:paraId="68A18D26"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754</w:t>
            </w:r>
          </w:p>
        </w:tc>
        <w:tc>
          <w:tcPr>
            <w:tcW w:w="1003" w:type="dxa"/>
            <w:tcBorders>
              <w:top w:val="nil"/>
              <w:left w:val="single" w:sz="4" w:space="0" w:color="auto"/>
              <w:bottom w:val="single" w:sz="4" w:space="0" w:color="auto"/>
              <w:right w:val="single" w:sz="4" w:space="0" w:color="auto"/>
            </w:tcBorders>
            <w:shd w:val="clear" w:color="auto" w:fill="D9D9D9"/>
            <w:vAlign w:val="center"/>
            <w:hideMark/>
          </w:tcPr>
          <w:p w14:paraId="18B0E624" w14:textId="77777777" w:rsidR="000C6BE9" w:rsidRDefault="000C6BE9">
            <w:pPr>
              <w:jc w:val="right"/>
              <w:rPr>
                <w:rFonts w:eastAsia="Times New Roman" w:cs="Arial"/>
                <w:b/>
                <w:color w:val="000000"/>
                <w:sz w:val="18"/>
                <w:szCs w:val="18"/>
                <w:lang w:val="es-CO" w:eastAsia="es-CO"/>
              </w:rPr>
            </w:pPr>
            <w:r>
              <w:rPr>
                <w:rFonts w:cs="Arial"/>
                <w:b/>
                <w:bCs/>
                <w:color w:val="000000"/>
                <w:sz w:val="18"/>
                <w:szCs w:val="18"/>
              </w:rPr>
              <w:t>792</w:t>
            </w:r>
          </w:p>
        </w:tc>
      </w:tr>
      <w:tr w:rsidR="000C6BE9" w14:paraId="43D69125"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36DAA88D"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 xml:space="preserve"> NECESIDADES EDUCATIVAS ESPECIALES </w:t>
            </w:r>
          </w:p>
        </w:tc>
        <w:tc>
          <w:tcPr>
            <w:tcW w:w="1091" w:type="dxa"/>
            <w:tcBorders>
              <w:top w:val="nil"/>
              <w:left w:val="nil"/>
              <w:bottom w:val="single" w:sz="4" w:space="0" w:color="auto"/>
              <w:right w:val="single" w:sz="4" w:space="0" w:color="auto"/>
            </w:tcBorders>
            <w:shd w:val="clear" w:color="auto" w:fill="D9D9D9"/>
            <w:vAlign w:val="center"/>
            <w:hideMark/>
          </w:tcPr>
          <w:p w14:paraId="7D810575"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169</w:t>
            </w:r>
          </w:p>
        </w:tc>
        <w:tc>
          <w:tcPr>
            <w:tcW w:w="1003" w:type="dxa"/>
            <w:tcBorders>
              <w:top w:val="nil"/>
              <w:left w:val="nil"/>
              <w:bottom w:val="single" w:sz="4" w:space="0" w:color="auto"/>
              <w:right w:val="single" w:sz="4" w:space="0" w:color="auto"/>
            </w:tcBorders>
            <w:shd w:val="clear" w:color="auto" w:fill="D9D9D9"/>
            <w:vAlign w:val="center"/>
            <w:hideMark/>
          </w:tcPr>
          <w:p w14:paraId="59BB4A58"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220</w:t>
            </w:r>
          </w:p>
        </w:tc>
        <w:tc>
          <w:tcPr>
            <w:tcW w:w="1003" w:type="dxa"/>
            <w:tcBorders>
              <w:top w:val="nil"/>
              <w:left w:val="nil"/>
              <w:bottom w:val="single" w:sz="4" w:space="0" w:color="auto"/>
              <w:right w:val="single" w:sz="4" w:space="0" w:color="auto"/>
            </w:tcBorders>
            <w:shd w:val="clear" w:color="auto" w:fill="D9D9D9"/>
            <w:vAlign w:val="center"/>
            <w:hideMark/>
          </w:tcPr>
          <w:p w14:paraId="01200117" w14:textId="77777777" w:rsidR="000C6BE9" w:rsidRDefault="000C6BE9">
            <w:pPr>
              <w:jc w:val="right"/>
              <w:rPr>
                <w:rFonts w:eastAsia="Times New Roman" w:cs="Arial"/>
                <w:b/>
                <w:color w:val="000000"/>
                <w:sz w:val="18"/>
                <w:szCs w:val="18"/>
                <w:lang w:val="es-CO" w:eastAsia="es-CO"/>
              </w:rPr>
            </w:pPr>
            <w:r>
              <w:rPr>
                <w:rFonts w:cs="Arial"/>
                <w:b/>
                <w:bCs/>
                <w:color w:val="000000"/>
                <w:sz w:val="18"/>
                <w:szCs w:val="18"/>
              </w:rPr>
              <w:t>202</w:t>
            </w:r>
          </w:p>
        </w:tc>
      </w:tr>
      <w:tr w:rsidR="000C6BE9" w14:paraId="31B55A5A"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198AFE5A"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 xml:space="preserve"> INTERNADOS (SI APLICA) </w:t>
            </w:r>
          </w:p>
        </w:tc>
        <w:tc>
          <w:tcPr>
            <w:tcW w:w="1091" w:type="dxa"/>
            <w:tcBorders>
              <w:top w:val="nil"/>
              <w:left w:val="nil"/>
              <w:bottom w:val="single" w:sz="4" w:space="0" w:color="auto"/>
              <w:right w:val="single" w:sz="4" w:space="0" w:color="auto"/>
            </w:tcBorders>
            <w:shd w:val="clear" w:color="auto" w:fill="D9D9D9"/>
            <w:vAlign w:val="center"/>
            <w:hideMark/>
          </w:tcPr>
          <w:p w14:paraId="044C93B2"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w:t>
            </w:r>
          </w:p>
        </w:tc>
        <w:tc>
          <w:tcPr>
            <w:tcW w:w="1003" w:type="dxa"/>
            <w:tcBorders>
              <w:top w:val="nil"/>
              <w:left w:val="nil"/>
              <w:bottom w:val="single" w:sz="4" w:space="0" w:color="auto"/>
              <w:right w:val="single" w:sz="4" w:space="0" w:color="auto"/>
            </w:tcBorders>
            <w:shd w:val="clear" w:color="auto" w:fill="D9D9D9"/>
            <w:vAlign w:val="center"/>
            <w:hideMark/>
          </w:tcPr>
          <w:p w14:paraId="08CAD4B5"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w:t>
            </w:r>
          </w:p>
        </w:tc>
        <w:tc>
          <w:tcPr>
            <w:tcW w:w="1003" w:type="dxa"/>
            <w:tcBorders>
              <w:top w:val="nil"/>
              <w:left w:val="nil"/>
              <w:bottom w:val="single" w:sz="4" w:space="0" w:color="auto"/>
              <w:right w:val="single" w:sz="4" w:space="0" w:color="auto"/>
            </w:tcBorders>
            <w:shd w:val="clear" w:color="auto" w:fill="D9D9D9"/>
            <w:vAlign w:val="center"/>
            <w:hideMark/>
          </w:tcPr>
          <w:p w14:paraId="684ECA57" w14:textId="77777777" w:rsidR="000C6BE9" w:rsidRDefault="000C6BE9">
            <w:pPr>
              <w:jc w:val="right"/>
              <w:rPr>
                <w:rFonts w:eastAsia="Times New Roman" w:cs="Arial"/>
                <w:b/>
                <w:color w:val="000000"/>
                <w:sz w:val="18"/>
                <w:szCs w:val="18"/>
                <w:lang w:val="es-CO" w:eastAsia="es-CO"/>
              </w:rPr>
            </w:pPr>
            <w:r>
              <w:rPr>
                <w:rFonts w:cs="Arial"/>
                <w:b/>
                <w:bCs/>
                <w:color w:val="000000"/>
                <w:sz w:val="18"/>
                <w:szCs w:val="18"/>
              </w:rPr>
              <w:t>-</w:t>
            </w:r>
          </w:p>
        </w:tc>
      </w:tr>
      <w:tr w:rsidR="000C6BE9" w14:paraId="0E1BE272"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1557F402"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 xml:space="preserve"> PROYECTOS EDUCATIVOS</w:t>
            </w:r>
          </w:p>
        </w:tc>
        <w:tc>
          <w:tcPr>
            <w:tcW w:w="1091" w:type="dxa"/>
            <w:tcBorders>
              <w:top w:val="nil"/>
              <w:left w:val="nil"/>
              <w:bottom w:val="single" w:sz="4" w:space="0" w:color="auto"/>
              <w:right w:val="single" w:sz="4" w:space="0" w:color="auto"/>
            </w:tcBorders>
            <w:shd w:val="clear" w:color="auto" w:fill="D9D9D9"/>
            <w:vAlign w:val="center"/>
          </w:tcPr>
          <w:p w14:paraId="6A38A4E0" w14:textId="77777777" w:rsidR="000C6BE9" w:rsidRDefault="000C6BE9">
            <w:pPr>
              <w:jc w:val="right"/>
              <w:rPr>
                <w:rFonts w:eastAsia="Times New Roman" w:cs="Arial"/>
                <w:b/>
                <w:color w:val="000000"/>
                <w:sz w:val="18"/>
                <w:szCs w:val="18"/>
                <w:lang w:val="es-CO" w:eastAsia="es-CO"/>
              </w:rPr>
            </w:pPr>
          </w:p>
        </w:tc>
        <w:tc>
          <w:tcPr>
            <w:tcW w:w="1003" w:type="dxa"/>
            <w:tcBorders>
              <w:top w:val="nil"/>
              <w:left w:val="nil"/>
              <w:bottom w:val="single" w:sz="4" w:space="0" w:color="auto"/>
              <w:right w:val="single" w:sz="4" w:space="0" w:color="auto"/>
            </w:tcBorders>
            <w:shd w:val="clear" w:color="auto" w:fill="D9D9D9"/>
            <w:vAlign w:val="center"/>
          </w:tcPr>
          <w:p w14:paraId="1A1A0F67" w14:textId="77777777" w:rsidR="000C6BE9" w:rsidRDefault="000C6BE9">
            <w:pPr>
              <w:jc w:val="right"/>
              <w:rPr>
                <w:rFonts w:eastAsia="Times New Roman" w:cs="Arial"/>
                <w:b/>
                <w:color w:val="000000"/>
                <w:sz w:val="18"/>
                <w:szCs w:val="18"/>
                <w:lang w:val="es-CO" w:eastAsia="es-CO"/>
              </w:rPr>
            </w:pPr>
          </w:p>
        </w:tc>
        <w:tc>
          <w:tcPr>
            <w:tcW w:w="1003" w:type="dxa"/>
            <w:tcBorders>
              <w:top w:val="nil"/>
              <w:left w:val="nil"/>
              <w:bottom w:val="single" w:sz="4" w:space="0" w:color="auto"/>
              <w:right w:val="single" w:sz="4" w:space="0" w:color="auto"/>
            </w:tcBorders>
            <w:shd w:val="clear" w:color="auto" w:fill="D9D9D9"/>
            <w:vAlign w:val="center"/>
            <w:hideMark/>
          </w:tcPr>
          <w:p w14:paraId="74CD96B7" w14:textId="77777777" w:rsidR="000C6BE9" w:rsidRDefault="000C6BE9">
            <w:pPr>
              <w:jc w:val="right"/>
              <w:rPr>
                <w:rFonts w:eastAsia="Times New Roman" w:cs="Arial"/>
                <w:b/>
                <w:color w:val="000000"/>
                <w:sz w:val="18"/>
                <w:szCs w:val="18"/>
                <w:lang w:val="es-CO" w:eastAsia="es-CO"/>
              </w:rPr>
            </w:pPr>
            <w:r>
              <w:rPr>
                <w:rFonts w:cs="Arial"/>
                <w:b/>
                <w:bCs/>
                <w:color w:val="000000"/>
                <w:sz w:val="18"/>
                <w:szCs w:val="18"/>
              </w:rPr>
              <w:t>37</w:t>
            </w:r>
          </w:p>
        </w:tc>
      </w:tr>
      <w:tr w:rsidR="000C6BE9" w14:paraId="4A2ED4AD"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5ECADB8C" w14:textId="77777777" w:rsidR="000C6BE9" w:rsidRDefault="000C6BE9">
            <w:pPr>
              <w:rPr>
                <w:rFonts w:eastAsia="Times New Roman" w:cs="Arial"/>
                <w:b/>
                <w:color w:val="000000"/>
                <w:sz w:val="18"/>
                <w:szCs w:val="18"/>
                <w:lang w:val="es-CO" w:eastAsia="es-CO"/>
              </w:rPr>
            </w:pPr>
            <w:r>
              <w:rPr>
                <w:rFonts w:eastAsia="Times New Roman" w:cs="Arial"/>
                <w:b/>
                <w:color w:val="000000"/>
                <w:sz w:val="18"/>
                <w:szCs w:val="18"/>
                <w:lang w:val="es-CO" w:eastAsia="es-CO"/>
              </w:rPr>
              <w:t xml:space="preserve"> GRATUIDAD </w:t>
            </w:r>
          </w:p>
        </w:tc>
        <w:tc>
          <w:tcPr>
            <w:tcW w:w="1091" w:type="dxa"/>
            <w:tcBorders>
              <w:top w:val="nil"/>
              <w:left w:val="nil"/>
              <w:bottom w:val="single" w:sz="4" w:space="0" w:color="auto"/>
              <w:right w:val="single" w:sz="4" w:space="0" w:color="auto"/>
            </w:tcBorders>
            <w:shd w:val="clear" w:color="auto" w:fill="D9D9D9"/>
            <w:vAlign w:val="center"/>
            <w:hideMark/>
          </w:tcPr>
          <w:p w14:paraId="2755632D"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2.688</w:t>
            </w:r>
          </w:p>
        </w:tc>
        <w:tc>
          <w:tcPr>
            <w:tcW w:w="1003" w:type="dxa"/>
            <w:tcBorders>
              <w:top w:val="nil"/>
              <w:left w:val="nil"/>
              <w:bottom w:val="single" w:sz="4" w:space="0" w:color="auto"/>
              <w:right w:val="single" w:sz="4" w:space="0" w:color="auto"/>
            </w:tcBorders>
            <w:shd w:val="clear" w:color="auto" w:fill="D9D9D9"/>
            <w:vAlign w:val="center"/>
            <w:hideMark/>
          </w:tcPr>
          <w:p w14:paraId="11CA7C9C" w14:textId="77777777" w:rsidR="000C6BE9" w:rsidRDefault="000C6BE9">
            <w:pPr>
              <w:jc w:val="right"/>
              <w:rPr>
                <w:rFonts w:eastAsia="Times New Roman" w:cs="Arial"/>
                <w:b/>
                <w:color w:val="000000"/>
                <w:sz w:val="18"/>
                <w:szCs w:val="18"/>
                <w:lang w:val="es-CO" w:eastAsia="es-CO"/>
              </w:rPr>
            </w:pPr>
            <w:r>
              <w:rPr>
                <w:rFonts w:eastAsia="Times New Roman" w:cs="Arial"/>
                <w:b/>
                <w:color w:val="000000"/>
                <w:sz w:val="18"/>
                <w:szCs w:val="18"/>
                <w:lang w:val="es-CO" w:eastAsia="es-CO"/>
              </w:rPr>
              <w:t>1.996</w:t>
            </w:r>
          </w:p>
        </w:tc>
        <w:tc>
          <w:tcPr>
            <w:tcW w:w="1003" w:type="dxa"/>
            <w:tcBorders>
              <w:top w:val="nil"/>
              <w:left w:val="nil"/>
              <w:bottom w:val="single" w:sz="4" w:space="0" w:color="auto"/>
              <w:right w:val="single" w:sz="4" w:space="0" w:color="auto"/>
            </w:tcBorders>
            <w:shd w:val="clear" w:color="auto" w:fill="D9D9D9"/>
            <w:vAlign w:val="center"/>
            <w:hideMark/>
          </w:tcPr>
          <w:p w14:paraId="201B162F" w14:textId="77777777" w:rsidR="000C6BE9" w:rsidRDefault="000C6BE9">
            <w:pPr>
              <w:jc w:val="right"/>
              <w:rPr>
                <w:rFonts w:eastAsia="Times New Roman" w:cs="Arial"/>
                <w:b/>
                <w:color w:val="000000"/>
                <w:sz w:val="18"/>
                <w:szCs w:val="18"/>
                <w:lang w:val="es-CO" w:eastAsia="es-CO"/>
              </w:rPr>
            </w:pPr>
            <w:r>
              <w:rPr>
                <w:rFonts w:cs="Arial"/>
                <w:b/>
                <w:bCs/>
                <w:color w:val="000000"/>
                <w:sz w:val="18"/>
                <w:szCs w:val="18"/>
              </w:rPr>
              <w:t>1.944</w:t>
            </w:r>
          </w:p>
        </w:tc>
      </w:tr>
      <w:tr w:rsidR="000C6BE9" w14:paraId="644603C6" w14:textId="77777777" w:rsidTr="000C6BE9">
        <w:trPr>
          <w:trHeight w:val="20"/>
          <w:jc w:val="center"/>
        </w:trPr>
        <w:tc>
          <w:tcPr>
            <w:tcW w:w="5844" w:type="dxa"/>
            <w:tcBorders>
              <w:top w:val="nil"/>
              <w:left w:val="single" w:sz="4" w:space="0" w:color="auto"/>
              <w:bottom w:val="single" w:sz="4" w:space="0" w:color="auto"/>
              <w:right w:val="single" w:sz="4" w:space="0" w:color="auto"/>
            </w:tcBorders>
            <w:shd w:val="clear" w:color="auto" w:fill="203764"/>
            <w:vAlign w:val="center"/>
            <w:hideMark/>
          </w:tcPr>
          <w:p w14:paraId="01A1D541" w14:textId="77777777" w:rsidR="000C6BE9" w:rsidRDefault="000C6BE9">
            <w:pPr>
              <w:rPr>
                <w:rFonts w:eastAsia="Times New Roman" w:cs="Arial"/>
                <w:b/>
                <w:color w:val="FFFFFF"/>
                <w:sz w:val="18"/>
                <w:szCs w:val="18"/>
                <w:lang w:val="es-CO" w:eastAsia="es-CO"/>
              </w:rPr>
            </w:pPr>
            <w:r>
              <w:rPr>
                <w:rFonts w:eastAsia="Times New Roman" w:cs="Arial"/>
                <w:b/>
                <w:color w:val="FFFFFF"/>
                <w:sz w:val="18"/>
                <w:szCs w:val="18"/>
                <w:lang w:val="es-CO" w:eastAsia="es-CO"/>
              </w:rPr>
              <w:t>TOTAL COMPROMISOS SGP – Educación</w:t>
            </w:r>
            <w:r>
              <w:rPr>
                <w:rFonts w:eastAsia="Times New Roman" w:cs="Arial"/>
                <w:color w:val="FFFFFF"/>
                <w:sz w:val="18"/>
                <w:szCs w:val="18"/>
                <w:lang w:val="es-CO" w:eastAsia="es-CO"/>
              </w:rPr>
              <w:t> </w:t>
            </w:r>
          </w:p>
        </w:tc>
        <w:tc>
          <w:tcPr>
            <w:tcW w:w="1091" w:type="dxa"/>
            <w:tcBorders>
              <w:top w:val="nil"/>
              <w:left w:val="nil"/>
              <w:bottom w:val="single" w:sz="4" w:space="0" w:color="auto"/>
              <w:right w:val="single" w:sz="4" w:space="0" w:color="auto"/>
            </w:tcBorders>
            <w:shd w:val="clear" w:color="auto" w:fill="203764"/>
            <w:vAlign w:val="center"/>
            <w:hideMark/>
          </w:tcPr>
          <w:p w14:paraId="387EE160"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101.323</w:t>
            </w:r>
          </w:p>
        </w:tc>
        <w:tc>
          <w:tcPr>
            <w:tcW w:w="1003" w:type="dxa"/>
            <w:tcBorders>
              <w:top w:val="nil"/>
              <w:left w:val="nil"/>
              <w:bottom w:val="single" w:sz="4" w:space="0" w:color="auto"/>
              <w:right w:val="single" w:sz="4" w:space="0" w:color="auto"/>
            </w:tcBorders>
            <w:shd w:val="clear" w:color="auto" w:fill="203764"/>
            <w:vAlign w:val="center"/>
            <w:hideMark/>
          </w:tcPr>
          <w:p w14:paraId="7698F3A5"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105.304</w:t>
            </w:r>
          </w:p>
        </w:tc>
        <w:tc>
          <w:tcPr>
            <w:tcW w:w="1003" w:type="dxa"/>
            <w:tcBorders>
              <w:top w:val="nil"/>
              <w:left w:val="nil"/>
              <w:bottom w:val="single" w:sz="4" w:space="0" w:color="auto"/>
              <w:right w:val="single" w:sz="4" w:space="0" w:color="auto"/>
            </w:tcBorders>
            <w:shd w:val="clear" w:color="auto" w:fill="203764"/>
            <w:vAlign w:val="center"/>
            <w:hideMark/>
          </w:tcPr>
          <w:p w14:paraId="64C7E917" w14:textId="77777777" w:rsidR="000C6BE9" w:rsidRDefault="000C6BE9">
            <w:pPr>
              <w:jc w:val="right"/>
              <w:rPr>
                <w:rFonts w:eastAsia="Times New Roman" w:cs="Arial"/>
                <w:b/>
                <w:color w:val="FFFFFF"/>
                <w:sz w:val="18"/>
                <w:szCs w:val="18"/>
                <w:lang w:val="es-CO" w:eastAsia="es-CO"/>
              </w:rPr>
            </w:pPr>
            <w:r>
              <w:rPr>
                <w:rFonts w:cs="Arial"/>
                <w:b/>
                <w:bCs/>
                <w:color w:val="FFFFFF"/>
                <w:sz w:val="18"/>
                <w:szCs w:val="18"/>
              </w:rPr>
              <w:t>108.388</w:t>
            </w:r>
          </w:p>
        </w:tc>
      </w:tr>
    </w:tbl>
    <w:p w14:paraId="6D0BBCC3" w14:textId="77777777" w:rsidR="000C6BE9" w:rsidRDefault="000C6BE9" w:rsidP="000C6BE9">
      <w:pPr>
        <w:jc w:val="center"/>
        <w:rPr>
          <w:rFonts w:cs="Arial"/>
          <w:sz w:val="16"/>
          <w:szCs w:val="16"/>
        </w:rPr>
      </w:pPr>
      <w:r>
        <w:rPr>
          <w:rFonts w:cs="Arial"/>
          <w:sz w:val="16"/>
          <w:szCs w:val="16"/>
        </w:rPr>
        <w:t xml:space="preserve">Fuente: </w:t>
      </w:r>
      <w:r>
        <w:rPr>
          <w:rFonts w:cs="Arial"/>
          <w:sz w:val="16"/>
          <w:szCs w:val="16"/>
          <w:lang w:val="es-ES_tradnl"/>
        </w:rPr>
        <w:t>Ejecución presupuestal suministrada por la Entidad Territorial a 2020 y 2021 – Reporte CUIPO 2022.</w:t>
      </w:r>
    </w:p>
    <w:p w14:paraId="76556C03" w14:textId="77777777" w:rsidR="000C6BE9" w:rsidRDefault="000C6BE9" w:rsidP="000C6BE9">
      <w:pPr>
        <w:jc w:val="center"/>
        <w:rPr>
          <w:rFonts w:cs="Arial"/>
          <w:sz w:val="16"/>
          <w:szCs w:val="16"/>
        </w:rPr>
      </w:pPr>
    </w:p>
    <w:p w14:paraId="461DB3F0" w14:textId="77777777" w:rsidR="000C6BE9" w:rsidRDefault="000C6BE9" w:rsidP="000C6BE9">
      <w:pPr>
        <w:numPr>
          <w:ilvl w:val="0"/>
          <w:numId w:val="36"/>
        </w:numPr>
        <w:ind w:left="426" w:hanging="426"/>
        <w:contextualSpacing/>
        <w:jc w:val="both"/>
        <w:rPr>
          <w:rFonts w:cs="Arial"/>
          <w:szCs w:val="22"/>
        </w:rPr>
      </w:pPr>
      <w:r>
        <w:rPr>
          <w:rFonts w:cs="Arial"/>
          <w:szCs w:val="22"/>
        </w:rPr>
        <w:t>Como se puede observar, el gasto del personal administrativo de la secretaría de educación se reporta en la ejecución presupuestal de manera agregada con el gasto administrativo de las instituciones educativas.</w:t>
      </w:r>
    </w:p>
    <w:p w14:paraId="7C8CD9F9" w14:textId="77777777" w:rsidR="00603CE8" w:rsidRDefault="00603CE8" w:rsidP="000C6BE9">
      <w:pPr>
        <w:numPr>
          <w:ilvl w:val="0"/>
          <w:numId w:val="36"/>
        </w:numPr>
        <w:ind w:left="426" w:hanging="426"/>
        <w:contextualSpacing/>
        <w:jc w:val="both"/>
        <w:rPr>
          <w:rFonts w:cs="Arial"/>
          <w:szCs w:val="22"/>
        </w:rPr>
      </w:pPr>
      <w:r>
        <w:rPr>
          <w:rFonts w:cs="Arial"/>
          <w:szCs w:val="22"/>
        </w:rPr>
        <w:t xml:space="preserve">Entre 2021 y 2022 se evidencia una disminución de los recursos correspondientes a aportes patronales y del empleado sin situación de fondos, </w:t>
      </w:r>
      <w:r w:rsidRPr="00603CE8">
        <w:rPr>
          <w:rFonts w:cs="Arial"/>
          <w:szCs w:val="22"/>
        </w:rPr>
        <w:t>debido a</w:t>
      </w:r>
      <w:r>
        <w:rPr>
          <w:rFonts w:cs="Arial"/>
          <w:szCs w:val="22"/>
        </w:rPr>
        <w:t xml:space="preserve">l lineamiento del Ministerio de Educación Nacional de </w:t>
      </w:r>
      <w:r w:rsidRPr="00603CE8">
        <w:rPr>
          <w:rFonts w:cs="Arial"/>
          <w:szCs w:val="22"/>
        </w:rPr>
        <w:t>aplaz</w:t>
      </w:r>
      <w:r>
        <w:rPr>
          <w:rFonts w:cs="Arial"/>
          <w:szCs w:val="22"/>
        </w:rPr>
        <w:t>ar</w:t>
      </w:r>
      <w:r w:rsidRPr="00603CE8">
        <w:rPr>
          <w:rFonts w:cs="Arial"/>
          <w:szCs w:val="22"/>
        </w:rPr>
        <w:t xml:space="preserve"> para la siguiente vigencia tanto el giro como la asignación de dichos recursos.</w:t>
      </w:r>
    </w:p>
    <w:p w14:paraId="429312DA" w14:textId="77777777" w:rsidR="000C6BE9" w:rsidRDefault="000C6BE9" w:rsidP="000C6BE9">
      <w:pPr>
        <w:rPr>
          <w:rFonts w:cs="Arial"/>
          <w:szCs w:val="22"/>
        </w:rPr>
      </w:pPr>
    </w:p>
    <w:p w14:paraId="1F471688" w14:textId="77777777" w:rsidR="000C6BE9" w:rsidRDefault="000C6BE9" w:rsidP="000C6BE9">
      <w:pPr>
        <w:jc w:val="both"/>
        <w:rPr>
          <w:rFonts w:cs="Arial"/>
          <w:b/>
          <w:szCs w:val="22"/>
        </w:rPr>
      </w:pPr>
      <w:r>
        <w:rPr>
          <w:rFonts w:cs="Arial"/>
          <w:b/>
          <w:szCs w:val="22"/>
        </w:rPr>
        <w:t>Gastos Administrativos</w:t>
      </w:r>
    </w:p>
    <w:p w14:paraId="05381103" w14:textId="77777777" w:rsidR="000C6BE9" w:rsidRDefault="000C6BE9" w:rsidP="000C6BE9">
      <w:pPr>
        <w:jc w:val="both"/>
        <w:rPr>
          <w:rFonts w:cs="Arial"/>
          <w:szCs w:val="22"/>
        </w:rPr>
      </w:pPr>
      <w:r>
        <w:rPr>
          <w:rFonts w:cs="Arial"/>
          <w:szCs w:val="22"/>
        </w:rPr>
        <w:t xml:space="preserve"> </w:t>
      </w:r>
    </w:p>
    <w:p w14:paraId="52F15D01" w14:textId="77777777" w:rsidR="000C6BE9" w:rsidRDefault="000C6BE9" w:rsidP="000C6BE9">
      <w:pPr>
        <w:jc w:val="both"/>
        <w:rPr>
          <w:rFonts w:cs="Arial"/>
          <w:szCs w:val="22"/>
        </w:rPr>
      </w:pPr>
      <w:r>
        <w:rPr>
          <w:rFonts w:cs="Arial"/>
          <w:szCs w:val="22"/>
        </w:rPr>
        <w:t xml:space="preserve">En cuanto a los gastos administrativos, a continuación, se relacionan los montos máximos autorizados por la Nación mediante Documentos de Distribución en las últimas vigencias y los compromisos identificados en la ejecución presupuestal de gastos, para los rubros asociados a este concepto: </w:t>
      </w:r>
    </w:p>
    <w:p w14:paraId="1089E30E" w14:textId="77777777" w:rsidR="000C6BE9" w:rsidRDefault="000C6BE9" w:rsidP="000C6BE9">
      <w:pPr>
        <w:jc w:val="both"/>
        <w:rPr>
          <w:rFonts w:cs="Arial"/>
          <w:szCs w:val="22"/>
        </w:rPr>
      </w:pPr>
    </w:p>
    <w:tbl>
      <w:tblPr>
        <w:tblW w:w="5000" w:type="pct"/>
        <w:jc w:val="center"/>
        <w:tblCellMar>
          <w:left w:w="70" w:type="dxa"/>
          <w:right w:w="70" w:type="dxa"/>
        </w:tblCellMar>
        <w:tblLook w:val="04A0" w:firstRow="1" w:lastRow="0" w:firstColumn="1" w:lastColumn="0" w:noHBand="0" w:noVBand="1"/>
      </w:tblPr>
      <w:tblGrid>
        <w:gridCol w:w="5299"/>
        <w:gridCol w:w="1212"/>
        <w:gridCol w:w="1134"/>
        <w:gridCol w:w="1173"/>
      </w:tblGrid>
      <w:tr w:rsidR="000C6BE9" w14:paraId="4A3F9EFB" w14:textId="77777777" w:rsidTr="000C6BE9">
        <w:trPr>
          <w:trHeight w:val="2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244061"/>
            <w:vAlign w:val="center"/>
            <w:hideMark/>
          </w:tcPr>
          <w:p w14:paraId="14D854F3" w14:textId="77777777" w:rsidR="000C6BE9" w:rsidRDefault="000C6BE9">
            <w:pPr>
              <w:jc w:val="center"/>
              <w:rPr>
                <w:rFonts w:eastAsia="Times New Roman" w:cs="Arial"/>
                <w:b/>
                <w:color w:val="FFFFFF"/>
                <w:sz w:val="18"/>
                <w:szCs w:val="18"/>
                <w:lang w:val="es-CO" w:eastAsia="es-CO"/>
              </w:rPr>
            </w:pPr>
            <w:r>
              <w:rPr>
                <w:rFonts w:eastAsia="Times New Roman" w:cs="Arial"/>
                <w:b/>
                <w:color w:val="FFFFFF"/>
                <w:sz w:val="18"/>
                <w:szCs w:val="18"/>
                <w:lang w:val="es-CO" w:eastAsia="es-CO"/>
              </w:rPr>
              <w:t>TABLA 3. GASTOS ADMINISTRATIVOS DE LA ENTIDAD TERRITORIAL (MILLONES DE $)</w:t>
            </w:r>
          </w:p>
        </w:tc>
      </w:tr>
      <w:tr w:rsidR="000C6BE9" w14:paraId="5074C524" w14:textId="77777777" w:rsidTr="000C6BE9">
        <w:trPr>
          <w:trHeight w:val="20"/>
          <w:jc w:val="center"/>
        </w:trPr>
        <w:tc>
          <w:tcPr>
            <w:tcW w:w="3005" w:type="pct"/>
            <w:tcBorders>
              <w:top w:val="nil"/>
              <w:left w:val="single" w:sz="8" w:space="0" w:color="auto"/>
              <w:bottom w:val="single" w:sz="8" w:space="0" w:color="auto"/>
              <w:right w:val="single" w:sz="8" w:space="0" w:color="auto"/>
            </w:tcBorders>
            <w:shd w:val="clear" w:color="auto" w:fill="95B3D7"/>
            <w:vAlign w:val="center"/>
            <w:hideMark/>
          </w:tcPr>
          <w:p w14:paraId="05C2DF93"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RUBRO</w:t>
            </w:r>
          </w:p>
        </w:tc>
        <w:tc>
          <w:tcPr>
            <w:tcW w:w="687" w:type="pct"/>
            <w:tcBorders>
              <w:top w:val="nil"/>
              <w:left w:val="nil"/>
              <w:bottom w:val="single" w:sz="8" w:space="0" w:color="auto"/>
              <w:right w:val="single" w:sz="8" w:space="0" w:color="auto"/>
            </w:tcBorders>
            <w:shd w:val="clear" w:color="auto" w:fill="95B3D7"/>
            <w:vAlign w:val="center"/>
            <w:hideMark/>
          </w:tcPr>
          <w:p w14:paraId="2007BC75"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2020</w:t>
            </w:r>
          </w:p>
        </w:tc>
        <w:tc>
          <w:tcPr>
            <w:tcW w:w="643" w:type="pct"/>
            <w:tcBorders>
              <w:top w:val="nil"/>
              <w:left w:val="nil"/>
              <w:bottom w:val="single" w:sz="8" w:space="0" w:color="auto"/>
              <w:right w:val="single" w:sz="8" w:space="0" w:color="auto"/>
            </w:tcBorders>
            <w:shd w:val="clear" w:color="auto" w:fill="95B3D7"/>
            <w:vAlign w:val="center"/>
            <w:hideMark/>
          </w:tcPr>
          <w:p w14:paraId="63D594DE"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2021</w:t>
            </w:r>
          </w:p>
        </w:tc>
        <w:tc>
          <w:tcPr>
            <w:tcW w:w="665" w:type="pct"/>
            <w:tcBorders>
              <w:top w:val="nil"/>
              <w:left w:val="nil"/>
              <w:bottom w:val="single" w:sz="8" w:space="0" w:color="auto"/>
              <w:right w:val="single" w:sz="8" w:space="0" w:color="auto"/>
            </w:tcBorders>
            <w:shd w:val="clear" w:color="auto" w:fill="95B3D7"/>
            <w:vAlign w:val="center"/>
            <w:hideMark/>
          </w:tcPr>
          <w:p w14:paraId="13BCE39D"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2022</w:t>
            </w:r>
          </w:p>
        </w:tc>
      </w:tr>
      <w:tr w:rsidR="000C6BE9" w14:paraId="0E72F8C6"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2ABBDE61"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Personal Administrativo de Instituciones Educativas</w:t>
            </w:r>
          </w:p>
        </w:tc>
        <w:tc>
          <w:tcPr>
            <w:tcW w:w="687" w:type="pct"/>
            <w:tcBorders>
              <w:top w:val="nil"/>
              <w:left w:val="nil"/>
              <w:bottom w:val="single" w:sz="8" w:space="0" w:color="auto"/>
              <w:right w:val="single" w:sz="8" w:space="0" w:color="auto"/>
            </w:tcBorders>
            <w:noWrap/>
            <w:vAlign w:val="center"/>
            <w:hideMark/>
          </w:tcPr>
          <w:p w14:paraId="044F0316"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6.492</w:t>
            </w:r>
          </w:p>
        </w:tc>
        <w:tc>
          <w:tcPr>
            <w:tcW w:w="643" w:type="pct"/>
            <w:tcBorders>
              <w:top w:val="nil"/>
              <w:left w:val="nil"/>
              <w:bottom w:val="single" w:sz="8" w:space="0" w:color="auto"/>
              <w:right w:val="single" w:sz="8" w:space="0" w:color="auto"/>
            </w:tcBorders>
            <w:noWrap/>
            <w:vAlign w:val="center"/>
            <w:hideMark/>
          </w:tcPr>
          <w:p w14:paraId="66362048"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6.406</w:t>
            </w:r>
          </w:p>
        </w:tc>
        <w:tc>
          <w:tcPr>
            <w:tcW w:w="665" w:type="pct"/>
            <w:tcBorders>
              <w:top w:val="nil"/>
              <w:left w:val="nil"/>
              <w:bottom w:val="single" w:sz="8" w:space="0" w:color="auto"/>
              <w:right w:val="single" w:sz="8" w:space="0" w:color="auto"/>
            </w:tcBorders>
            <w:vAlign w:val="center"/>
            <w:hideMark/>
          </w:tcPr>
          <w:p w14:paraId="45815A53"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7.151</w:t>
            </w:r>
          </w:p>
        </w:tc>
      </w:tr>
      <w:tr w:rsidR="000C6BE9" w14:paraId="26E15E1C"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6BBE7681"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Personal Administrativo Secretaría de Educación</w:t>
            </w:r>
          </w:p>
        </w:tc>
        <w:tc>
          <w:tcPr>
            <w:tcW w:w="687" w:type="pct"/>
            <w:tcBorders>
              <w:top w:val="nil"/>
              <w:left w:val="nil"/>
              <w:bottom w:val="single" w:sz="8" w:space="0" w:color="auto"/>
              <w:right w:val="single" w:sz="8" w:space="0" w:color="auto"/>
            </w:tcBorders>
            <w:noWrap/>
            <w:vAlign w:val="center"/>
            <w:hideMark/>
          </w:tcPr>
          <w:p w14:paraId="04D52402"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0</w:t>
            </w:r>
          </w:p>
        </w:tc>
        <w:tc>
          <w:tcPr>
            <w:tcW w:w="643" w:type="pct"/>
            <w:tcBorders>
              <w:top w:val="nil"/>
              <w:left w:val="nil"/>
              <w:bottom w:val="single" w:sz="8" w:space="0" w:color="auto"/>
              <w:right w:val="single" w:sz="8" w:space="0" w:color="auto"/>
            </w:tcBorders>
            <w:noWrap/>
            <w:vAlign w:val="center"/>
            <w:hideMark/>
          </w:tcPr>
          <w:p w14:paraId="7FD31EFD"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0</w:t>
            </w:r>
          </w:p>
        </w:tc>
        <w:tc>
          <w:tcPr>
            <w:tcW w:w="665" w:type="pct"/>
            <w:tcBorders>
              <w:top w:val="nil"/>
              <w:left w:val="nil"/>
              <w:bottom w:val="single" w:sz="8" w:space="0" w:color="auto"/>
              <w:right w:val="single" w:sz="8" w:space="0" w:color="auto"/>
            </w:tcBorders>
            <w:vAlign w:val="center"/>
            <w:hideMark/>
          </w:tcPr>
          <w:p w14:paraId="6158CDF0"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0</w:t>
            </w:r>
          </w:p>
        </w:tc>
      </w:tr>
      <w:tr w:rsidR="000C6BE9" w14:paraId="311ABACC"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2EE41D8F"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Aportes Personal Administrativo de Instituciones Educativas</w:t>
            </w:r>
          </w:p>
        </w:tc>
        <w:tc>
          <w:tcPr>
            <w:tcW w:w="687" w:type="pct"/>
            <w:tcBorders>
              <w:top w:val="nil"/>
              <w:left w:val="nil"/>
              <w:bottom w:val="single" w:sz="8" w:space="0" w:color="auto"/>
              <w:right w:val="single" w:sz="8" w:space="0" w:color="auto"/>
            </w:tcBorders>
            <w:noWrap/>
            <w:vAlign w:val="center"/>
            <w:hideMark/>
          </w:tcPr>
          <w:p w14:paraId="004EB212"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1.734</w:t>
            </w:r>
          </w:p>
        </w:tc>
        <w:tc>
          <w:tcPr>
            <w:tcW w:w="643" w:type="pct"/>
            <w:tcBorders>
              <w:top w:val="nil"/>
              <w:left w:val="nil"/>
              <w:bottom w:val="single" w:sz="8" w:space="0" w:color="auto"/>
              <w:right w:val="single" w:sz="8" w:space="0" w:color="auto"/>
            </w:tcBorders>
            <w:noWrap/>
            <w:vAlign w:val="center"/>
            <w:hideMark/>
          </w:tcPr>
          <w:p w14:paraId="66121C14"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2.013</w:t>
            </w:r>
          </w:p>
        </w:tc>
        <w:tc>
          <w:tcPr>
            <w:tcW w:w="665" w:type="pct"/>
            <w:tcBorders>
              <w:top w:val="nil"/>
              <w:left w:val="nil"/>
              <w:bottom w:val="single" w:sz="8" w:space="0" w:color="auto"/>
              <w:right w:val="single" w:sz="8" w:space="0" w:color="auto"/>
            </w:tcBorders>
            <w:vAlign w:val="center"/>
            <w:hideMark/>
          </w:tcPr>
          <w:p w14:paraId="5FCC064E"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1.971</w:t>
            </w:r>
          </w:p>
        </w:tc>
      </w:tr>
      <w:tr w:rsidR="000C6BE9" w14:paraId="73ED8842"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697D037E"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Aportes Personal Administrativo de secretaría de Educación</w:t>
            </w:r>
          </w:p>
        </w:tc>
        <w:tc>
          <w:tcPr>
            <w:tcW w:w="687" w:type="pct"/>
            <w:tcBorders>
              <w:top w:val="nil"/>
              <w:left w:val="nil"/>
              <w:bottom w:val="single" w:sz="8" w:space="0" w:color="auto"/>
              <w:right w:val="single" w:sz="8" w:space="0" w:color="auto"/>
            </w:tcBorders>
            <w:noWrap/>
            <w:vAlign w:val="center"/>
            <w:hideMark/>
          </w:tcPr>
          <w:p w14:paraId="7BFBDB60"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 </w:t>
            </w:r>
          </w:p>
        </w:tc>
        <w:tc>
          <w:tcPr>
            <w:tcW w:w="643" w:type="pct"/>
            <w:tcBorders>
              <w:top w:val="nil"/>
              <w:left w:val="nil"/>
              <w:bottom w:val="single" w:sz="8" w:space="0" w:color="auto"/>
              <w:right w:val="single" w:sz="8" w:space="0" w:color="auto"/>
            </w:tcBorders>
            <w:noWrap/>
            <w:vAlign w:val="center"/>
            <w:hideMark/>
          </w:tcPr>
          <w:p w14:paraId="081BF394"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 </w:t>
            </w:r>
          </w:p>
        </w:tc>
        <w:tc>
          <w:tcPr>
            <w:tcW w:w="665" w:type="pct"/>
            <w:tcBorders>
              <w:top w:val="nil"/>
              <w:left w:val="nil"/>
              <w:bottom w:val="single" w:sz="8" w:space="0" w:color="auto"/>
              <w:right w:val="single" w:sz="8" w:space="0" w:color="auto"/>
            </w:tcBorders>
            <w:vAlign w:val="center"/>
            <w:hideMark/>
          </w:tcPr>
          <w:p w14:paraId="335C386D"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r>
      <w:tr w:rsidR="000C6BE9" w14:paraId="2BD031C2"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7A9143EF"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Gastos Generales</w:t>
            </w:r>
          </w:p>
        </w:tc>
        <w:tc>
          <w:tcPr>
            <w:tcW w:w="687" w:type="pct"/>
            <w:tcBorders>
              <w:top w:val="nil"/>
              <w:left w:val="nil"/>
              <w:bottom w:val="single" w:sz="8" w:space="0" w:color="auto"/>
              <w:right w:val="single" w:sz="8" w:space="0" w:color="auto"/>
            </w:tcBorders>
            <w:noWrap/>
            <w:vAlign w:val="center"/>
            <w:hideMark/>
          </w:tcPr>
          <w:p w14:paraId="31E820AF"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46</w:t>
            </w:r>
          </w:p>
        </w:tc>
        <w:tc>
          <w:tcPr>
            <w:tcW w:w="643" w:type="pct"/>
            <w:tcBorders>
              <w:top w:val="nil"/>
              <w:left w:val="nil"/>
              <w:bottom w:val="single" w:sz="8" w:space="0" w:color="auto"/>
              <w:right w:val="single" w:sz="8" w:space="0" w:color="auto"/>
            </w:tcBorders>
            <w:noWrap/>
            <w:vAlign w:val="center"/>
            <w:hideMark/>
          </w:tcPr>
          <w:p w14:paraId="313AB2F7"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110</w:t>
            </w:r>
          </w:p>
        </w:tc>
        <w:tc>
          <w:tcPr>
            <w:tcW w:w="665" w:type="pct"/>
            <w:tcBorders>
              <w:top w:val="nil"/>
              <w:left w:val="nil"/>
              <w:bottom w:val="single" w:sz="8" w:space="0" w:color="auto"/>
              <w:right w:val="single" w:sz="8" w:space="0" w:color="auto"/>
            </w:tcBorders>
            <w:vAlign w:val="center"/>
            <w:hideMark/>
          </w:tcPr>
          <w:p w14:paraId="33F07BF5"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59</w:t>
            </w:r>
          </w:p>
        </w:tc>
      </w:tr>
      <w:tr w:rsidR="000C6BE9" w14:paraId="5C06F774" w14:textId="77777777" w:rsidTr="000C6BE9">
        <w:trPr>
          <w:trHeight w:val="20"/>
          <w:jc w:val="center"/>
        </w:trPr>
        <w:tc>
          <w:tcPr>
            <w:tcW w:w="3005" w:type="pct"/>
            <w:tcBorders>
              <w:top w:val="nil"/>
              <w:left w:val="single" w:sz="8" w:space="0" w:color="auto"/>
              <w:bottom w:val="single" w:sz="8" w:space="0" w:color="auto"/>
              <w:right w:val="single" w:sz="8" w:space="0" w:color="auto"/>
            </w:tcBorders>
            <w:shd w:val="clear" w:color="auto" w:fill="244061"/>
            <w:vAlign w:val="center"/>
            <w:hideMark/>
          </w:tcPr>
          <w:p w14:paraId="6D11AB74" w14:textId="77777777" w:rsidR="000C6BE9" w:rsidRDefault="000C6BE9">
            <w:pPr>
              <w:ind w:firstLineChars="100" w:firstLine="181"/>
              <w:rPr>
                <w:rFonts w:eastAsia="Times New Roman" w:cs="Arial"/>
                <w:b/>
                <w:color w:val="FFFFFF"/>
                <w:sz w:val="18"/>
                <w:szCs w:val="18"/>
                <w:lang w:val="es-CO" w:eastAsia="es-CO"/>
              </w:rPr>
            </w:pPr>
            <w:r>
              <w:rPr>
                <w:rFonts w:eastAsia="Times New Roman" w:cs="Arial"/>
                <w:b/>
                <w:color w:val="FFFFFF"/>
                <w:sz w:val="18"/>
                <w:szCs w:val="18"/>
                <w:lang w:eastAsia="es-CO"/>
              </w:rPr>
              <w:t>TOTAL</w:t>
            </w:r>
          </w:p>
        </w:tc>
        <w:tc>
          <w:tcPr>
            <w:tcW w:w="687" w:type="pct"/>
            <w:tcBorders>
              <w:top w:val="nil"/>
              <w:left w:val="nil"/>
              <w:bottom w:val="single" w:sz="8" w:space="0" w:color="auto"/>
              <w:right w:val="single" w:sz="8" w:space="0" w:color="auto"/>
            </w:tcBorders>
            <w:shd w:val="clear" w:color="auto" w:fill="244061"/>
            <w:vAlign w:val="center"/>
            <w:hideMark/>
          </w:tcPr>
          <w:p w14:paraId="59EB6206"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8.272</w:t>
            </w:r>
          </w:p>
        </w:tc>
        <w:tc>
          <w:tcPr>
            <w:tcW w:w="643" w:type="pct"/>
            <w:tcBorders>
              <w:top w:val="nil"/>
              <w:left w:val="nil"/>
              <w:bottom w:val="single" w:sz="8" w:space="0" w:color="auto"/>
              <w:right w:val="single" w:sz="8" w:space="0" w:color="auto"/>
            </w:tcBorders>
            <w:shd w:val="clear" w:color="auto" w:fill="244061"/>
            <w:vAlign w:val="center"/>
            <w:hideMark/>
          </w:tcPr>
          <w:p w14:paraId="361C54C6"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8.529</w:t>
            </w:r>
          </w:p>
        </w:tc>
        <w:tc>
          <w:tcPr>
            <w:tcW w:w="665" w:type="pct"/>
            <w:tcBorders>
              <w:top w:val="nil"/>
              <w:left w:val="nil"/>
              <w:bottom w:val="single" w:sz="8" w:space="0" w:color="auto"/>
              <w:right w:val="single" w:sz="8" w:space="0" w:color="auto"/>
            </w:tcBorders>
            <w:shd w:val="clear" w:color="auto" w:fill="244061"/>
            <w:vAlign w:val="center"/>
            <w:hideMark/>
          </w:tcPr>
          <w:p w14:paraId="77ED0C8A"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9.181</w:t>
            </w:r>
          </w:p>
        </w:tc>
      </w:tr>
      <w:tr w:rsidR="000C6BE9" w14:paraId="59E2A991" w14:textId="77777777" w:rsidTr="000C6BE9">
        <w:trPr>
          <w:trHeight w:val="20"/>
          <w:jc w:val="center"/>
        </w:trPr>
        <w:tc>
          <w:tcPr>
            <w:tcW w:w="3005" w:type="pct"/>
            <w:tcBorders>
              <w:top w:val="nil"/>
              <w:left w:val="single" w:sz="8" w:space="0" w:color="auto"/>
              <w:bottom w:val="single" w:sz="8" w:space="0" w:color="auto"/>
              <w:right w:val="single" w:sz="8" w:space="0" w:color="auto"/>
            </w:tcBorders>
            <w:shd w:val="clear" w:color="auto" w:fill="244061"/>
            <w:vAlign w:val="center"/>
            <w:hideMark/>
          </w:tcPr>
          <w:p w14:paraId="124FF795" w14:textId="77777777" w:rsidR="000C6BE9" w:rsidRDefault="000C6BE9">
            <w:pPr>
              <w:ind w:firstLineChars="100" w:firstLine="181"/>
              <w:rPr>
                <w:rFonts w:eastAsia="Times New Roman" w:cs="Arial"/>
                <w:b/>
                <w:color w:val="FFFFFF"/>
                <w:sz w:val="18"/>
                <w:szCs w:val="18"/>
                <w:lang w:val="es-CO" w:eastAsia="es-CO"/>
              </w:rPr>
            </w:pPr>
            <w:r>
              <w:rPr>
                <w:rFonts w:eastAsia="Times New Roman" w:cs="Arial"/>
                <w:b/>
                <w:color w:val="FFFFFF"/>
                <w:sz w:val="18"/>
                <w:szCs w:val="18"/>
                <w:lang w:eastAsia="es-CO"/>
              </w:rPr>
              <w:t>AUTORIZADO POR DOCUMENTO DE DISTRIBUCIÓN</w:t>
            </w:r>
          </w:p>
        </w:tc>
        <w:tc>
          <w:tcPr>
            <w:tcW w:w="687" w:type="pct"/>
            <w:tcBorders>
              <w:top w:val="nil"/>
              <w:left w:val="nil"/>
              <w:bottom w:val="single" w:sz="8" w:space="0" w:color="auto"/>
              <w:right w:val="single" w:sz="8" w:space="0" w:color="auto"/>
            </w:tcBorders>
            <w:shd w:val="clear" w:color="auto" w:fill="244061"/>
            <w:vAlign w:val="center"/>
            <w:hideMark/>
          </w:tcPr>
          <w:p w14:paraId="20D9CBD3"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7.799</w:t>
            </w:r>
          </w:p>
        </w:tc>
        <w:tc>
          <w:tcPr>
            <w:tcW w:w="643" w:type="pct"/>
            <w:tcBorders>
              <w:top w:val="nil"/>
              <w:left w:val="nil"/>
              <w:bottom w:val="single" w:sz="8" w:space="0" w:color="auto"/>
              <w:right w:val="single" w:sz="8" w:space="0" w:color="auto"/>
            </w:tcBorders>
            <w:shd w:val="clear" w:color="auto" w:fill="244061"/>
            <w:vAlign w:val="center"/>
            <w:hideMark/>
          </w:tcPr>
          <w:p w14:paraId="5E6D1612"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8.002</w:t>
            </w:r>
          </w:p>
        </w:tc>
        <w:tc>
          <w:tcPr>
            <w:tcW w:w="665" w:type="pct"/>
            <w:tcBorders>
              <w:top w:val="nil"/>
              <w:left w:val="nil"/>
              <w:bottom w:val="single" w:sz="8" w:space="0" w:color="auto"/>
              <w:right w:val="single" w:sz="8" w:space="0" w:color="auto"/>
            </w:tcBorders>
            <w:shd w:val="clear" w:color="auto" w:fill="244061"/>
            <w:vAlign w:val="center"/>
            <w:hideMark/>
          </w:tcPr>
          <w:p w14:paraId="19F4A821"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8.774</w:t>
            </w:r>
          </w:p>
        </w:tc>
      </w:tr>
      <w:tr w:rsidR="000C6BE9" w14:paraId="74B65909" w14:textId="77777777" w:rsidTr="000C6BE9">
        <w:trPr>
          <w:trHeight w:val="20"/>
          <w:jc w:val="center"/>
        </w:trPr>
        <w:tc>
          <w:tcPr>
            <w:tcW w:w="3005" w:type="pct"/>
            <w:tcBorders>
              <w:top w:val="nil"/>
              <w:left w:val="single" w:sz="8" w:space="0" w:color="auto"/>
              <w:bottom w:val="single" w:sz="8" w:space="0" w:color="auto"/>
              <w:right w:val="single" w:sz="8" w:space="0" w:color="auto"/>
            </w:tcBorders>
            <w:shd w:val="clear" w:color="auto" w:fill="244061"/>
            <w:vAlign w:val="center"/>
            <w:hideMark/>
          </w:tcPr>
          <w:p w14:paraId="679006A0" w14:textId="77777777" w:rsidR="000C6BE9" w:rsidRDefault="000C6BE9">
            <w:pPr>
              <w:ind w:firstLineChars="100" w:firstLine="181"/>
              <w:rPr>
                <w:rFonts w:eastAsia="Times New Roman" w:cs="Arial"/>
                <w:b/>
                <w:color w:val="FFFFFF"/>
                <w:sz w:val="18"/>
                <w:szCs w:val="18"/>
                <w:lang w:val="es-CO" w:eastAsia="es-CO"/>
              </w:rPr>
            </w:pPr>
            <w:r>
              <w:rPr>
                <w:rFonts w:eastAsia="Times New Roman" w:cs="Arial"/>
                <w:b/>
                <w:color w:val="FFFFFF"/>
                <w:sz w:val="18"/>
                <w:szCs w:val="18"/>
                <w:lang w:eastAsia="es-CO"/>
              </w:rPr>
              <w:t>DIFERENCIA</w:t>
            </w:r>
          </w:p>
        </w:tc>
        <w:tc>
          <w:tcPr>
            <w:tcW w:w="687" w:type="pct"/>
            <w:tcBorders>
              <w:top w:val="nil"/>
              <w:left w:val="nil"/>
              <w:bottom w:val="single" w:sz="8" w:space="0" w:color="auto"/>
              <w:right w:val="single" w:sz="8" w:space="0" w:color="auto"/>
            </w:tcBorders>
            <w:shd w:val="clear" w:color="auto" w:fill="244061"/>
            <w:vAlign w:val="center"/>
            <w:hideMark/>
          </w:tcPr>
          <w:p w14:paraId="1B5B17FF"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473</w:t>
            </w:r>
          </w:p>
        </w:tc>
        <w:tc>
          <w:tcPr>
            <w:tcW w:w="643" w:type="pct"/>
            <w:tcBorders>
              <w:top w:val="nil"/>
              <w:left w:val="nil"/>
              <w:bottom w:val="single" w:sz="8" w:space="0" w:color="auto"/>
              <w:right w:val="single" w:sz="8" w:space="0" w:color="auto"/>
            </w:tcBorders>
            <w:shd w:val="clear" w:color="auto" w:fill="244061"/>
            <w:vAlign w:val="center"/>
            <w:hideMark/>
          </w:tcPr>
          <w:p w14:paraId="10B44C62"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527</w:t>
            </w:r>
          </w:p>
        </w:tc>
        <w:tc>
          <w:tcPr>
            <w:tcW w:w="665" w:type="pct"/>
            <w:tcBorders>
              <w:top w:val="nil"/>
              <w:left w:val="nil"/>
              <w:bottom w:val="single" w:sz="8" w:space="0" w:color="auto"/>
              <w:right w:val="single" w:sz="8" w:space="0" w:color="auto"/>
            </w:tcBorders>
            <w:shd w:val="clear" w:color="auto" w:fill="244061"/>
            <w:vAlign w:val="center"/>
            <w:hideMark/>
          </w:tcPr>
          <w:p w14:paraId="6FE30EA9"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407</w:t>
            </w:r>
          </w:p>
        </w:tc>
      </w:tr>
    </w:tbl>
    <w:p w14:paraId="1282A0FD" w14:textId="77777777" w:rsidR="000C6BE9" w:rsidRDefault="000C6BE9" w:rsidP="000C6BE9">
      <w:pPr>
        <w:jc w:val="center"/>
        <w:rPr>
          <w:rFonts w:cs="Arial"/>
          <w:sz w:val="16"/>
          <w:szCs w:val="16"/>
        </w:rPr>
      </w:pPr>
      <w:r>
        <w:rPr>
          <w:rFonts w:cs="Arial"/>
          <w:sz w:val="16"/>
          <w:szCs w:val="16"/>
        </w:rPr>
        <w:t>Fuente: Documentos de Distribución SGP, ejecución presupuestal 2020 y 2021.</w:t>
      </w:r>
    </w:p>
    <w:p w14:paraId="3866C0FC" w14:textId="77777777" w:rsidR="000C6BE9" w:rsidRDefault="000C6BE9" w:rsidP="000C6BE9">
      <w:pPr>
        <w:jc w:val="both"/>
        <w:rPr>
          <w:rFonts w:cs="Arial"/>
          <w:b/>
          <w:szCs w:val="22"/>
          <w:lang w:eastAsia="en-US"/>
        </w:rPr>
      </w:pPr>
    </w:p>
    <w:p w14:paraId="59064A6E" w14:textId="77777777" w:rsidR="000C6BE9" w:rsidRDefault="000C6BE9" w:rsidP="000C6BE9">
      <w:pPr>
        <w:jc w:val="both"/>
        <w:rPr>
          <w:rFonts w:cs="Arial"/>
          <w:szCs w:val="22"/>
        </w:rPr>
      </w:pPr>
      <w:r>
        <w:rPr>
          <w:rFonts w:cs="Arial"/>
          <w:szCs w:val="22"/>
        </w:rPr>
        <w:t>Se concluye que la entidad superó el límite máximo autorizado para gastos administrativos durante las vigencias 2020, 2021 y 2022.</w:t>
      </w:r>
    </w:p>
    <w:p w14:paraId="6162315B" w14:textId="77777777" w:rsidR="000C6BE9" w:rsidRDefault="000C6BE9" w:rsidP="000C6BE9">
      <w:pPr>
        <w:jc w:val="both"/>
        <w:rPr>
          <w:rFonts w:cs="Arial"/>
          <w:b/>
          <w:szCs w:val="22"/>
        </w:rPr>
      </w:pPr>
    </w:p>
    <w:p w14:paraId="0F0C5045" w14:textId="77777777" w:rsidR="000C6BE9" w:rsidRDefault="000C6BE9" w:rsidP="000C6BE9">
      <w:pPr>
        <w:pStyle w:val="Prrafodelista"/>
        <w:keepNext/>
        <w:keepLines/>
        <w:numPr>
          <w:ilvl w:val="0"/>
          <w:numId w:val="45"/>
        </w:numPr>
        <w:ind w:left="426" w:hanging="426"/>
        <w:outlineLvl w:val="0"/>
        <w:rPr>
          <w:rFonts w:eastAsiaTheme="majorEastAsia" w:cs="Arial"/>
          <w:b/>
          <w:szCs w:val="22"/>
          <w:u w:val="single"/>
          <w:lang w:val="es-CO" w:eastAsia="en-US"/>
        </w:rPr>
      </w:pPr>
      <w:r>
        <w:rPr>
          <w:rFonts w:eastAsiaTheme="majorEastAsia" w:cs="Arial"/>
          <w:b/>
          <w:szCs w:val="22"/>
          <w:u w:val="single"/>
          <w:lang w:val="es-CO" w:eastAsia="en-US"/>
        </w:rPr>
        <w:t>Cierre Fiscal</w:t>
      </w:r>
    </w:p>
    <w:p w14:paraId="6670233B" w14:textId="77777777" w:rsidR="000C6BE9" w:rsidRDefault="000C6BE9" w:rsidP="000C6BE9">
      <w:pPr>
        <w:jc w:val="both"/>
        <w:rPr>
          <w:rFonts w:cs="Arial"/>
          <w:szCs w:val="22"/>
          <w:lang w:val="es-CO" w:eastAsia="en-US"/>
        </w:rPr>
      </w:pPr>
    </w:p>
    <w:p w14:paraId="7704892A" w14:textId="77777777" w:rsidR="000C6BE9" w:rsidRDefault="000C6BE9" w:rsidP="000C6BE9">
      <w:pPr>
        <w:jc w:val="both"/>
        <w:rPr>
          <w:rFonts w:cs="Arial"/>
          <w:szCs w:val="22"/>
        </w:rPr>
      </w:pPr>
      <w:r>
        <w:rPr>
          <w:rFonts w:cs="Arial"/>
          <w:szCs w:val="22"/>
        </w:rPr>
        <w:t xml:space="preserve">Respecto al cierre de la vigencia 2022, el reporte CUIPO arrojó un resultado presupuestal superavitario para el sector educativo de $2.583 millones; mientras que el reporte de tesorería del cierre fiscal FUT arrojó uno de $2.819 millones, lo cual indica que hay suficientes recursos disponibles para amparar el resultado presupuestal. </w:t>
      </w:r>
    </w:p>
    <w:p w14:paraId="040EFE55" w14:textId="77777777" w:rsidR="000C6BE9" w:rsidRDefault="000C6BE9" w:rsidP="000C6BE9">
      <w:pPr>
        <w:jc w:val="both"/>
        <w:rPr>
          <w:rFonts w:cs="Arial"/>
          <w:szCs w:val="22"/>
        </w:rPr>
      </w:pPr>
    </w:p>
    <w:p w14:paraId="4E3FAFE9" w14:textId="77777777" w:rsidR="000C6BE9" w:rsidRDefault="000C6BE9" w:rsidP="000C6BE9">
      <w:pPr>
        <w:jc w:val="center"/>
        <w:rPr>
          <w:rFonts w:cs="Arial"/>
          <w:sz w:val="16"/>
          <w:szCs w:val="16"/>
          <w:lang w:eastAsia="en-US"/>
        </w:rPr>
      </w:pPr>
      <w:r>
        <w:rPr>
          <w:noProof/>
          <w:lang w:val="es-CO" w:eastAsia="es-CO"/>
        </w:rPr>
        <w:lastRenderedPageBreak/>
        <w:drawing>
          <wp:inline distT="0" distB="0" distL="0" distR="0" wp14:anchorId="2DD477CE" wp14:editId="4B04E237">
            <wp:extent cx="5756910" cy="18370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1837055"/>
                    </a:xfrm>
                    <a:prstGeom prst="rect">
                      <a:avLst/>
                    </a:prstGeom>
                    <a:noFill/>
                    <a:ln>
                      <a:noFill/>
                    </a:ln>
                  </pic:spPr>
                </pic:pic>
              </a:graphicData>
            </a:graphic>
          </wp:inline>
        </w:drawing>
      </w:r>
      <w:r>
        <w:rPr>
          <w:rFonts w:cs="Arial"/>
          <w:sz w:val="16"/>
          <w:szCs w:val="16"/>
          <w:lang w:eastAsia="en-US"/>
        </w:rPr>
        <w:t>Fuente: Cálculos DAF según ejecución presupuestal y cierre de tesorería 2020 y 2021 suministrado por la Entidad Territorial – Reporte FUT 2022.</w:t>
      </w:r>
    </w:p>
    <w:p w14:paraId="7C4C5DD9" w14:textId="77777777" w:rsidR="000C6BE9" w:rsidRDefault="000C6BE9" w:rsidP="000C6BE9">
      <w:pPr>
        <w:jc w:val="both"/>
        <w:rPr>
          <w:rFonts w:cs="Arial"/>
          <w:szCs w:val="22"/>
          <w:lang w:eastAsia="en-US"/>
        </w:rPr>
      </w:pPr>
    </w:p>
    <w:p w14:paraId="18B956BB" w14:textId="77777777" w:rsidR="000C6BE9" w:rsidRDefault="000C6BE9" w:rsidP="000C6BE9">
      <w:pPr>
        <w:numPr>
          <w:ilvl w:val="0"/>
          <w:numId w:val="37"/>
        </w:numPr>
        <w:ind w:left="426" w:hanging="426"/>
        <w:contextualSpacing/>
        <w:jc w:val="both"/>
        <w:rPr>
          <w:rFonts w:eastAsiaTheme="minorEastAsia" w:cs="Arial"/>
          <w:szCs w:val="22"/>
        </w:rPr>
      </w:pPr>
      <w:r>
        <w:rPr>
          <w:rFonts w:cs="Arial"/>
          <w:szCs w:val="22"/>
        </w:rPr>
        <w:t>De la vigencia 2020 llama la atención que de la fuente prestación de servicios en tesorería se certificó un déficit de $38 millones, y de acuerdo con el análisis presupuestal debieron haber quedado $56 millones de superávit de rendimientos financieros. Sin embargo, estos se trasladaron a calidad por la destinación específica definida en la Ley 715 de 2001. Es decir, el saldo en bancos de las cuentas de prestación fue de $211 millones, de este valor descontamos $56 millones de rendimientos destinados para calidad y quedan como disponibilidades $155 millones; a éstos se les descuenta $193 millones de cuentas por pagar y queda un déficit en tesorería de prestación de servicios de $38 millones. Al respecto, la entidad manifestó que dicho déficit se cubrió con recursos propios, como soporte entregó un documento denominado traslados bancarios del 15 de enero de 2021 en donde se indica que de la cuenta No. 408-12962-5 de sobre tasa a la gasolina se trasladó a la cuenta No. 408-38212-5 de prestación de servicios nomina docente el valor de $87 millones.</w:t>
      </w:r>
    </w:p>
    <w:p w14:paraId="1940F204" w14:textId="77777777" w:rsidR="000C6BE9" w:rsidRDefault="000C6BE9" w:rsidP="000C6BE9">
      <w:pPr>
        <w:ind w:left="426"/>
        <w:contextualSpacing/>
        <w:jc w:val="both"/>
        <w:rPr>
          <w:rFonts w:eastAsiaTheme="minorEastAsia" w:cs="Arial"/>
          <w:szCs w:val="22"/>
        </w:rPr>
      </w:pPr>
    </w:p>
    <w:p w14:paraId="6B915220" w14:textId="77777777" w:rsidR="000C6BE9" w:rsidRDefault="000C6BE9" w:rsidP="000C6BE9">
      <w:pPr>
        <w:numPr>
          <w:ilvl w:val="0"/>
          <w:numId w:val="37"/>
        </w:numPr>
        <w:ind w:left="426" w:hanging="426"/>
        <w:contextualSpacing/>
        <w:jc w:val="both"/>
        <w:rPr>
          <w:rFonts w:eastAsiaTheme="minorEastAsia" w:cs="Arial"/>
          <w:szCs w:val="22"/>
        </w:rPr>
      </w:pPr>
      <w:r>
        <w:rPr>
          <w:rFonts w:eastAsiaTheme="minorEastAsia" w:cs="Arial"/>
          <w:szCs w:val="22"/>
        </w:rPr>
        <w:t>En cuanto al superávit de calidad de 2020, se obtiene dado que el saldo en bancos es de $854 millones, menos $408 millones de cuentas por pagar al final quedan $446 millones, a lo cual la entidad le suma los $56 millones de rendimientos de prestación, certificando al final un superávit de calidad de $502 millones</w:t>
      </w:r>
    </w:p>
    <w:p w14:paraId="41088B30" w14:textId="77777777" w:rsidR="000C6BE9" w:rsidRDefault="000C6BE9" w:rsidP="000C6BE9">
      <w:pPr>
        <w:pStyle w:val="Prrafodelista"/>
        <w:rPr>
          <w:rFonts w:eastAsiaTheme="minorEastAsia" w:cs="Arial"/>
          <w:szCs w:val="22"/>
        </w:rPr>
      </w:pPr>
    </w:p>
    <w:p w14:paraId="7FD08A20" w14:textId="77777777" w:rsidR="000C6BE9" w:rsidRDefault="000C6BE9" w:rsidP="000C6BE9">
      <w:pPr>
        <w:numPr>
          <w:ilvl w:val="0"/>
          <w:numId w:val="37"/>
        </w:numPr>
        <w:ind w:left="426" w:hanging="426"/>
        <w:contextualSpacing/>
        <w:jc w:val="both"/>
        <w:rPr>
          <w:rFonts w:eastAsiaTheme="minorEastAsia" w:cs="Arial"/>
          <w:szCs w:val="22"/>
        </w:rPr>
      </w:pPr>
      <w:r>
        <w:rPr>
          <w:rFonts w:eastAsiaTheme="minorEastAsia" w:cs="Arial"/>
          <w:szCs w:val="22"/>
        </w:rPr>
        <w:t>La información del superávit de tesorería 2020 no es consistente con la que arroja el análisis presupuestal. No obstante, los saldos en tesorería en calidad son suficientes para cubrir el valor del resultado presupuestal.</w:t>
      </w:r>
    </w:p>
    <w:p w14:paraId="7E4FD7B8" w14:textId="77777777" w:rsidR="000C6BE9" w:rsidRDefault="000C6BE9" w:rsidP="000C6BE9">
      <w:pPr>
        <w:ind w:left="426"/>
        <w:contextualSpacing/>
        <w:jc w:val="both"/>
        <w:rPr>
          <w:rFonts w:eastAsiaTheme="minorEastAsia" w:cs="Arial"/>
          <w:szCs w:val="22"/>
        </w:rPr>
      </w:pPr>
    </w:p>
    <w:p w14:paraId="5813B5D6" w14:textId="77777777" w:rsidR="000C6BE9" w:rsidRDefault="000C6BE9" w:rsidP="000C6BE9">
      <w:pPr>
        <w:numPr>
          <w:ilvl w:val="0"/>
          <w:numId w:val="37"/>
        </w:numPr>
        <w:ind w:left="426" w:hanging="426"/>
        <w:contextualSpacing/>
        <w:jc w:val="both"/>
        <w:rPr>
          <w:rFonts w:eastAsiaTheme="minorEastAsia" w:cs="Arial"/>
          <w:szCs w:val="22"/>
        </w:rPr>
      </w:pPr>
      <w:r>
        <w:rPr>
          <w:rFonts w:eastAsiaTheme="minorEastAsia" w:cs="Arial"/>
          <w:szCs w:val="22"/>
        </w:rPr>
        <w:t>El superávit tesoral de prestación de servicio de la vigencia 2021 no concuerda con el presupuestal dado que en tesorería se descontaron 15 millones de rendimientos financieros, los cuales fueron contabilizados en el superávit de calidad. Por tanto, el superávit presupuestal descontando los $15 millones de rendimientos financieros quedaría en $20 millones, y como el superávit tesoral se certificó por 14 millones faltarían $6 millones en tesorería para que concuerde con el superávit presupuestal de prestación de servicios.</w:t>
      </w:r>
    </w:p>
    <w:p w14:paraId="0733C6A9" w14:textId="77777777" w:rsidR="000C6BE9" w:rsidRDefault="000C6BE9" w:rsidP="000C6BE9">
      <w:pPr>
        <w:ind w:left="426"/>
        <w:contextualSpacing/>
        <w:jc w:val="both"/>
        <w:rPr>
          <w:rFonts w:eastAsiaTheme="minorEastAsia" w:cs="Arial"/>
          <w:szCs w:val="22"/>
        </w:rPr>
      </w:pPr>
    </w:p>
    <w:p w14:paraId="6858F4CB" w14:textId="77777777" w:rsidR="000C6BE9" w:rsidRDefault="000C6BE9" w:rsidP="000C6BE9">
      <w:pPr>
        <w:numPr>
          <w:ilvl w:val="0"/>
          <w:numId w:val="37"/>
        </w:numPr>
        <w:ind w:left="426" w:hanging="426"/>
        <w:contextualSpacing/>
        <w:jc w:val="both"/>
        <w:rPr>
          <w:rFonts w:cs="Arial"/>
          <w:szCs w:val="22"/>
          <w:lang w:val="es-CO"/>
        </w:rPr>
      </w:pPr>
      <w:r>
        <w:rPr>
          <w:rFonts w:eastAsiaTheme="minorEastAsia" w:cs="Arial"/>
          <w:szCs w:val="22"/>
        </w:rPr>
        <w:t xml:space="preserve">El superávit de calidad de 2021 es el saldo en bancos por $35 millones, ya que no se constituyeron cuentas por pagar ni reservas. Sin embargo, a dicho valor se le suman </w:t>
      </w:r>
      <w:r>
        <w:rPr>
          <w:rFonts w:eastAsiaTheme="minorEastAsia" w:cs="Arial"/>
          <w:szCs w:val="22"/>
        </w:rPr>
        <w:lastRenderedPageBreak/>
        <w:t>los rendimientos de prestación por $15 millones, por lo que al final la entidad certifica un superávit en tesorería de calidad por $50 millones.</w:t>
      </w:r>
    </w:p>
    <w:p w14:paraId="37B400D0" w14:textId="77777777" w:rsidR="000C6BE9" w:rsidRDefault="000C6BE9" w:rsidP="000C6BE9">
      <w:pPr>
        <w:jc w:val="both"/>
        <w:rPr>
          <w:rFonts w:cs="Arial"/>
          <w:lang w:val="es-CO"/>
        </w:rPr>
      </w:pPr>
    </w:p>
    <w:p w14:paraId="0F900914" w14:textId="77777777" w:rsidR="000C6BE9" w:rsidRDefault="000C6BE9" w:rsidP="000C6BE9">
      <w:pPr>
        <w:pStyle w:val="Ttulo1"/>
        <w:numPr>
          <w:ilvl w:val="0"/>
          <w:numId w:val="33"/>
        </w:numPr>
        <w:spacing w:before="0"/>
        <w:jc w:val="both"/>
        <w:rPr>
          <w:rFonts w:ascii="Arial" w:hAnsi="Arial" w:cs="Arial"/>
          <w:color w:val="auto"/>
          <w:sz w:val="22"/>
          <w:szCs w:val="22"/>
          <w:lang w:val="es-CO"/>
        </w:rPr>
      </w:pPr>
      <w:r>
        <w:rPr>
          <w:rFonts w:ascii="Arial" w:hAnsi="Arial" w:cs="Arial"/>
          <w:b/>
          <w:color w:val="auto"/>
          <w:sz w:val="22"/>
          <w:szCs w:val="22"/>
          <w:lang w:val="es-CO"/>
        </w:rPr>
        <w:t xml:space="preserve">RESULTADOS DE EVALUACIÓN DE LA MEDIDA </w:t>
      </w:r>
    </w:p>
    <w:p w14:paraId="23B8EBC1" w14:textId="77777777" w:rsidR="000C6BE9" w:rsidRDefault="000C6BE9" w:rsidP="000C6BE9">
      <w:pPr>
        <w:rPr>
          <w:rFonts w:cs="Arial"/>
          <w:lang w:val="es-CO" w:eastAsia="en-US"/>
        </w:rPr>
      </w:pPr>
    </w:p>
    <w:p w14:paraId="08391A64" w14:textId="77777777" w:rsidR="000C6BE9" w:rsidRDefault="000C6BE9" w:rsidP="000C6BE9">
      <w:pPr>
        <w:pStyle w:val="Ttulo2"/>
        <w:spacing w:before="0"/>
        <w:jc w:val="both"/>
        <w:rPr>
          <w:rFonts w:cs="Arial"/>
          <w:b/>
          <w:bCs/>
          <w:lang w:val="es-CO"/>
        </w:rPr>
      </w:pPr>
      <w:r>
        <w:rPr>
          <w:rStyle w:val="Ttulo2Car"/>
          <w:rFonts w:cs="Arial"/>
          <w:b/>
          <w:bCs/>
        </w:rPr>
        <w:t>CATEGORÍA</w:t>
      </w:r>
      <w:r>
        <w:rPr>
          <w:rFonts w:cs="Arial"/>
          <w:b/>
          <w:bCs/>
          <w:lang w:val="es-CO"/>
        </w:rPr>
        <w:t xml:space="preserve"> 1: ADMINISTRATIVO Y FINANCIERO</w:t>
      </w:r>
    </w:p>
    <w:p w14:paraId="11B6288D" w14:textId="77777777" w:rsidR="000C6BE9" w:rsidRDefault="000C6BE9" w:rsidP="000C6BE9">
      <w:pPr>
        <w:jc w:val="both"/>
        <w:rPr>
          <w:rFonts w:eastAsiaTheme="minorHAnsi" w:cs="Arial"/>
          <w:szCs w:val="22"/>
          <w:lang w:val="es-CO" w:eastAsia="en-US"/>
        </w:rPr>
      </w:pPr>
    </w:p>
    <w:p w14:paraId="143E61DF" w14:textId="77777777" w:rsidR="000C6BE9" w:rsidRDefault="000C6BE9" w:rsidP="000C6BE9">
      <w:pPr>
        <w:pStyle w:val="Ttulo2"/>
        <w:spacing w:before="0"/>
        <w:jc w:val="both"/>
        <w:rPr>
          <w:rFonts w:eastAsiaTheme="minorHAnsi" w:cs="Arial"/>
          <w:lang w:val="es-CO" w:eastAsia="en-US"/>
        </w:rPr>
      </w:pPr>
      <w:r>
        <w:rPr>
          <w:rFonts w:eastAsiaTheme="minorHAnsi" w:cs="Arial"/>
          <w:b/>
          <w:bCs/>
          <w:lang w:val="es-CO" w:eastAsia="en-US"/>
        </w:rPr>
        <w:t>Objetivo 1.1. Optimizar el manejo de la información presupuestal y tesoral de los recursos del SGP asignados al sector</w:t>
      </w:r>
    </w:p>
    <w:p w14:paraId="383D67C7" w14:textId="77777777" w:rsidR="000C6BE9" w:rsidRDefault="000C6BE9" w:rsidP="000C6BE9">
      <w:pPr>
        <w:jc w:val="both"/>
        <w:rPr>
          <w:rFonts w:cs="Arial"/>
          <w:lang w:val="es-CO" w:eastAsia="en-US"/>
        </w:rPr>
      </w:pPr>
    </w:p>
    <w:p w14:paraId="26C306E0" w14:textId="77777777" w:rsidR="000C6BE9" w:rsidRDefault="000C6BE9" w:rsidP="000C6BE9">
      <w:pPr>
        <w:pStyle w:val="Ttulo3"/>
        <w:spacing w:before="0"/>
        <w:jc w:val="both"/>
        <w:rPr>
          <w:rFonts w:eastAsiaTheme="minorHAnsi" w:cs="Arial"/>
          <w:lang w:val="es-CO" w:eastAsia="en-US"/>
        </w:rPr>
      </w:pPr>
      <w:r>
        <w:rPr>
          <w:rFonts w:eastAsiaTheme="minorHAnsi" w:cs="Arial"/>
          <w:b/>
          <w:bCs/>
          <w:lang w:val="es-CO" w:eastAsia="en-US"/>
        </w:rPr>
        <w:t xml:space="preserve">Actividad 1.1.1. </w:t>
      </w:r>
      <w:r>
        <w:rPr>
          <w:rFonts w:eastAsiaTheme="minorHAnsi" w:cs="Arial"/>
          <w:lang w:val="es-CO" w:eastAsia="en-US"/>
        </w:rPr>
        <w:t>Incorporar en el ingreso y ejecutar en el gasto, los recursos asignados y girados del SGP en Educación CSF y SSF - Aportes del Patrono y Aportes del Docente (Realizando toda la cadena presupuestal, contable y de Tesorería)</w:t>
      </w:r>
    </w:p>
    <w:p w14:paraId="22EB8117" w14:textId="77777777" w:rsidR="000C6BE9" w:rsidRDefault="000C6BE9" w:rsidP="000C6BE9">
      <w:pPr>
        <w:jc w:val="both"/>
        <w:rPr>
          <w:lang w:val="es-CO" w:eastAsia="en-US"/>
        </w:rPr>
      </w:pPr>
    </w:p>
    <w:p w14:paraId="3FC40E4C" w14:textId="77777777" w:rsidR="000C6BE9" w:rsidRDefault="000C6BE9" w:rsidP="000C6BE9">
      <w:pPr>
        <w:jc w:val="both"/>
        <w:rPr>
          <w:lang w:val="es-CO" w:eastAsia="en-US"/>
        </w:rPr>
      </w:pPr>
      <w:r>
        <w:rPr>
          <w:b/>
        </w:rPr>
        <w:t>Productos esperados:</w:t>
      </w:r>
      <w:r>
        <w:rPr>
          <w:lang w:val="es-CO" w:eastAsia="en-US"/>
        </w:rPr>
        <w:t xml:space="preserve"> Acta donde se evidencie el análisis de la incorporación de los ingresos versus los recursos asignados y girados, ejecuciones presupuestales de ingresos y gastos y la conciliación con la Fiduprevisora.</w:t>
      </w:r>
    </w:p>
    <w:p w14:paraId="5F654343" w14:textId="77777777" w:rsidR="000C6BE9" w:rsidRDefault="000C6BE9" w:rsidP="000C6BE9">
      <w:pPr>
        <w:jc w:val="both"/>
        <w:rPr>
          <w:rFonts w:cs="Arial"/>
          <w:lang w:val="es-CO" w:eastAsia="en-US"/>
        </w:rPr>
      </w:pPr>
    </w:p>
    <w:p w14:paraId="4AD25062" w14:textId="77777777" w:rsidR="000C6BE9" w:rsidRDefault="000C6BE9" w:rsidP="000C6BE9">
      <w:pPr>
        <w:rPr>
          <w:b/>
          <w:lang w:val="es-CO" w:eastAsia="en-US"/>
        </w:rPr>
      </w:pPr>
      <w:r>
        <w:rPr>
          <w:b/>
          <w:lang w:val="es-CO" w:eastAsia="en-US"/>
        </w:rPr>
        <w:t>Evaluación:</w:t>
      </w:r>
    </w:p>
    <w:p w14:paraId="0162A0CA" w14:textId="77777777" w:rsidR="000C6BE9" w:rsidRDefault="000C6BE9" w:rsidP="000C6BE9">
      <w:pPr>
        <w:rPr>
          <w:lang w:val="es-CO" w:eastAsia="en-US"/>
        </w:rPr>
      </w:pPr>
    </w:p>
    <w:p w14:paraId="3FBF090D" w14:textId="77777777" w:rsidR="000C6BE9" w:rsidRDefault="000C6BE9" w:rsidP="000C6BE9">
      <w:pPr>
        <w:jc w:val="both"/>
        <w:rPr>
          <w:rFonts w:eastAsiaTheme="minorHAnsi" w:cs="Arial"/>
          <w:lang w:val="es-CO" w:eastAsia="en-US"/>
        </w:rPr>
      </w:pPr>
      <w:r>
        <w:rPr>
          <w:rFonts w:eastAsiaTheme="minorHAnsi" w:cs="Arial"/>
          <w:lang w:val="es-CO" w:eastAsia="en-US"/>
        </w:rPr>
        <w:t>La Entidad Territorial remitió a esta Dirección, con radicado número 1-2022-057111, información financiera en la cual se relacionan tres actas de Reuniones Trimestrales del Comité de Seguimiento Financiero, entre ellas, el Acta No. 01.01.F05 del 30 de marzo del 2022, en la que se indica que la Entidad Territorial analizó los ajustes resultantes de los documentos de distribución SGP, la incorporación de ingresos vs recursos asignados y girados y se proyectaron adiciones y reducciones del Sistema General de Participaciones.</w:t>
      </w:r>
    </w:p>
    <w:p w14:paraId="1ECAFCE3" w14:textId="77777777" w:rsidR="000C6BE9" w:rsidRDefault="000C6BE9" w:rsidP="000C6BE9">
      <w:pPr>
        <w:jc w:val="both"/>
        <w:rPr>
          <w:rFonts w:eastAsiaTheme="minorHAnsi" w:cs="Arial"/>
          <w:lang w:val="es-CO" w:eastAsia="en-US"/>
        </w:rPr>
      </w:pPr>
    </w:p>
    <w:p w14:paraId="6C544224" w14:textId="77777777" w:rsidR="000C6BE9" w:rsidRDefault="000C6BE9" w:rsidP="000C6BE9">
      <w:pPr>
        <w:jc w:val="both"/>
        <w:rPr>
          <w:rFonts w:eastAsiaTheme="minorHAnsi" w:cs="Arial"/>
          <w:lang w:val="es-CO" w:eastAsia="en-US"/>
        </w:rPr>
      </w:pPr>
      <w:r>
        <w:rPr>
          <w:rFonts w:eastAsiaTheme="minorHAnsi" w:cs="Arial"/>
          <w:lang w:val="es-CO" w:eastAsia="en-US"/>
        </w:rPr>
        <w:t xml:space="preserve">Así mismo, de acuerdo con la Conciliación de aportes SGP Sin Situación de Fondos de Fiduprevisora a mayo de 2022, remitida por el Municipio, el total de los aportes Patronales reportados por la Secretaría de Educación es de $7.881 millones y el total de aportes girados por el MEN según PAC de 2022 es de $7.575 millones. </w:t>
      </w:r>
    </w:p>
    <w:p w14:paraId="777A4953" w14:textId="77777777" w:rsidR="000C6BE9" w:rsidRDefault="000C6BE9" w:rsidP="000C6BE9">
      <w:pPr>
        <w:jc w:val="both"/>
        <w:rPr>
          <w:rFonts w:eastAsiaTheme="minorHAnsi" w:cs="Arial"/>
          <w:lang w:val="es-CO" w:eastAsia="en-US"/>
        </w:rPr>
      </w:pPr>
    </w:p>
    <w:p w14:paraId="295BE4DF" w14:textId="77777777" w:rsidR="000C6BE9" w:rsidRDefault="000C6BE9" w:rsidP="000C6BE9">
      <w:pPr>
        <w:jc w:val="both"/>
        <w:rPr>
          <w:rFonts w:eastAsiaTheme="minorHAnsi" w:cs="Arial"/>
          <w:lang w:val="es-CO" w:eastAsia="en-US"/>
        </w:rPr>
      </w:pPr>
      <w:r>
        <w:rPr>
          <w:rFonts w:eastAsiaTheme="minorHAnsi" w:cs="Arial"/>
          <w:lang w:val="es-CO" w:eastAsia="en-US"/>
        </w:rPr>
        <w:t xml:space="preserve">Adicionalmente, con respecto al análisis de las ejecuciones presupuestales, se puede evidenciar que el Municipio incorporó en sus ingresos Sin Situación de Fondos $15.655 millones para la vigencia 2020 y $17.451 millones para la vigencia 2021, los cuales coinciden con el monto girado por el MEN según PAC de 2020 y 2021. En relación con los gastos, la Entidad comprometió $15.655 millones para la vigencia 2020 y $17.444 millones para la vigencia 2021. </w:t>
      </w:r>
    </w:p>
    <w:p w14:paraId="45681242" w14:textId="77777777" w:rsidR="000C6BE9" w:rsidRDefault="000C6BE9" w:rsidP="000C6BE9">
      <w:pPr>
        <w:jc w:val="both"/>
        <w:rPr>
          <w:rFonts w:eastAsiaTheme="minorHAnsi" w:cs="Arial"/>
          <w:lang w:val="es-CO" w:eastAsia="en-US"/>
        </w:rPr>
      </w:pPr>
    </w:p>
    <w:p w14:paraId="4491403F" w14:textId="77777777" w:rsidR="000C6BE9" w:rsidRDefault="000C6BE9" w:rsidP="000C6BE9">
      <w:pPr>
        <w:jc w:val="both"/>
        <w:rPr>
          <w:rFonts w:eastAsiaTheme="minorHAnsi" w:cs="Arial"/>
          <w:lang w:val="es-CO" w:eastAsia="en-US"/>
        </w:rPr>
      </w:pPr>
      <w:r>
        <w:rPr>
          <w:rFonts w:eastAsiaTheme="minorHAnsi" w:cs="Arial"/>
          <w:lang w:val="es-CO" w:eastAsia="en-US"/>
        </w:rPr>
        <w:t>Para la vigencia 2022, se analizaron las ejecuciones presupuestales con corte a marzo, evidenciando que la Entidad Territorial incorporó en sus ingresos Sin Situación de Fondos $3.518 millones de los $5.575 millones girados por el MEN según PAC de 2022, de los cuales había comprometido $3.301millones.</w:t>
      </w:r>
    </w:p>
    <w:p w14:paraId="135A9BAA" w14:textId="77777777" w:rsidR="000C6BE9" w:rsidRDefault="000C6BE9" w:rsidP="000C6BE9">
      <w:pPr>
        <w:jc w:val="both"/>
        <w:rPr>
          <w:rFonts w:eastAsiaTheme="minorHAnsi" w:cs="Arial"/>
          <w:lang w:val="es-CO" w:eastAsia="en-US"/>
        </w:rPr>
      </w:pPr>
    </w:p>
    <w:p w14:paraId="16127604" w14:textId="77777777" w:rsidR="000C6BE9" w:rsidRDefault="000C6BE9" w:rsidP="000C6BE9">
      <w:pPr>
        <w:jc w:val="both"/>
        <w:rPr>
          <w:rFonts w:eastAsiaTheme="minorHAnsi" w:cs="Arial"/>
          <w:lang w:val="es-CO" w:eastAsia="en-US"/>
        </w:rPr>
      </w:pPr>
      <w:r>
        <w:rPr>
          <w:rFonts w:eastAsiaTheme="minorHAnsi" w:cs="Arial"/>
          <w:lang w:val="es-CO" w:eastAsia="en-US"/>
        </w:rPr>
        <w:t xml:space="preserve">Por otro lado, respecto a los recursos Con Situación de Fondos se evidencia que los valores incorporados en el ingreso de 2020 y 2021 coinciden con los montos girados por el MEN según el PAC de cada vigencia, asimismo lo incorporado en la ejecución de ingresos es coherente con los compromisos, dado que la Entidad incorporó en los ingresos $82.092 </w:t>
      </w:r>
      <w:r>
        <w:rPr>
          <w:rFonts w:eastAsiaTheme="minorHAnsi" w:cs="Arial"/>
          <w:lang w:val="es-CO" w:eastAsia="en-US"/>
        </w:rPr>
        <w:lastRenderedPageBreak/>
        <w:t>millones para la vigencia 2020 de los cuales comprometió $82.092 millones y para la vigencia 2021 incorporó en el ingreso $85.322</w:t>
      </w:r>
      <w:r>
        <w:rPr>
          <w:rFonts w:eastAsia="Times New Roman" w:cs="Arial"/>
          <w:sz w:val="18"/>
          <w:szCs w:val="18"/>
          <w:lang w:val="es-CO" w:eastAsia="es-CO"/>
        </w:rPr>
        <w:t xml:space="preserve"> </w:t>
      </w:r>
      <w:r>
        <w:rPr>
          <w:rFonts w:eastAsiaTheme="minorHAnsi" w:cs="Arial"/>
          <w:lang w:val="es-CO" w:eastAsia="en-US"/>
        </w:rPr>
        <w:t>millones comprometiendo $85.308 millones para la misma anualidad.</w:t>
      </w:r>
    </w:p>
    <w:p w14:paraId="5D464634" w14:textId="77777777" w:rsidR="000C6BE9" w:rsidRDefault="000C6BE9" w:rsidP="000C6BE9">
      <w:pPr>
        <w:jc w:val="both"/>
        <w:rPr>
          <w:rFonts w:eastAsiaTheme="minorHAnsi" w:cs="Arial"/>
          <w:lang w:val="es-CO" w:eastAsia="en-US"/>
        </w:rPr>
      </w:pPr>
    </w:p>
    <w:p w14:paraId="6C000F0E" w14:textId="77777777" w:rsidR="000C6BE9" w:rsidRDefault="000C6BE9" w:rsidP="000C6BE9">
      <w:pPr>
        <w:jc w:val="both"/>
        <w:rPr>
          <w:rFonts w:eastAsiaTheme="minorHAnsi" w:cs="Arial"/>
          <w:lang w:val="es-CO" w:eastAsia="en-US"/>
        </w:rPr>
      </w:pPr>
      <w:r>
        <w:rPr>
          <w:rFonts w:eastAsiaTheme="minorHAnsi" w:cs="Arial"/>
          <w:lang w:val="es-CO" w:eastAsia="en-US"/>
        </w:rPr>
        <w:t>Así mismo, para la vigencia 2022 se analizaron las ejecuciones presupuestales con corte a marzo, evidenciando que de los $43.871 millones girados por el MEN según el PAC, incorporó en sus ingresos Con Situación de Fondos $23.150 millones, de los cuales ha comprometido $20.820 millones.</w:t>
      </w:r>
    </w:p>
    <w:p w14:paraId="594E87F1" w14:textId="77777777" w:rsidR="000C6BE9" w:rsidRDefault="000C6BE9" w:rsidP="000C6BE9">
      <w:pPr>
        <w:jc w:val="both"/>
        <w:rPr>
          <w:rFonts w:eastAsiaTheme="minorHAnsi" w:cs="Arial"/>
          <w:lang w:val="es-CO" w:eastAsia="en-US"/>
        </w:rPr>
      </w:pPr>
    </w:p>
    <w:p w14:paraId="34C20C22" w14:textId="77777777" w:rsidR="000C6BE9" w:rsidRDefault="000C6BE9" w:rsidP="000C6BE9">
      <w:pPr>
        <w:jc w:val="both"/>
        <w:rPr>
          <w:rFonts w:eastAsiaTheme="minorHAnsi" w:cs="Arial"/>
          <w:lang w:val="es-CO" w:eastAsia="en-US"/>
        </w:rPr>
      </w:pPr>
      <w:r>
        <w:rPr>
          <w:rFonts w:eastAsiaTheme="minorHAnsi" w:cs="Arial"/>
          <w:lang w:val="es-CO" w:eastAsia="en-US"/>
        </w:rPr>
        <w:t>Teniendo en cuenta lo anterior, la entidad demuestra cumplimiento al incorporar en el ingreso y ejecutar en el gasto, los recursos asignados y girados del SGP en Educación CSF y SSF - Aportes del Patrono y Aportes del Docente.</w:t>
      </w:r>
    </w:p>
    <w:p w14:paraId="13583731" w14:textId="77777777" w:rsidR="000C6BE9" w:rsidRDefault="000C6BE9" w:rsidP="000C6BE9">
      <w:pPr>
        <w:jc w:val="both"/>
        <w:rPr>
          <w:rFonts w:eastAsiaTheme="minorHAnsi" w:cs="Arial"/>
          <w:lang w:val="es-CO" w:eastAsia="en-US"/>
        </w:rPr>
      </w:pPr>
    </w:p>
    <w:p w14:paraId="3A4A072D" w14:textId="77777777" w:rsidR="000C6BE9" w:rsidRDefault="000C6BE9" w:rsidP="000C6BE9">
      <w:pPr>
        <w:jc w:val="both"/>
        <w:rPr>
          <w:rFonts w:eastAsiaTheme="minorHAnsi" w:cs="Arial"/>
          <w:lang w:val="es-CO" w:eastAsia="en-US"/>
        </w:rPr>
      </w:pPr>
      <w:r>
        <w:rPr>
          <w:rFonts w:eastAsiaTheme="minorHAnsi" w:cs="Arial"/>
          <w:lang w:val="es-CO" w:eastAsia="en-US"/>
        </w:rPr>
        <w:t>Evaluación de la actividad: Cumple</w:t>
      </w:r>
    </w:p>
    <w:p w14:paraId="450221EA" w14:textId="77777777" w:rsidR="000C6BE9" w:rsidRDefault="000C6BE9" w:rsidP="000C6BE9">
      <w:pPr>
        <w:jc w:val="both"/>
        <w:rPr>
          <w:rFonts w:eastAsiaTheme="minorHAnsi" w:cs="Arial"/>
          <w:lang w:val="es-CO" w:eastAsia="en-US"/>
        </w:rPr>
      </w:pPr>
    </w:p>
    <w:p w14:paraId="7DDBDC4E" w14:textId="77777777" w:rsidR="000C6BE9" w:rsidRDefault="000C6BE9" w:rsidP="000C6BE9">
      <w:pPr>
        <w:rPr>
          <w:b/>
          <w:lang w:val="es-CO" w:eastAsia="en-US"/>
        </w:rPr>
      </w:pPr>
      <w:r>
        <w:rPr>
          <w:b/>
          <w:lang w:val="es-CO" w:eastAsia="en-US"/>
        </w:rPr>
        <w:t>Recomendación:</w:t>
      </w:r>
    </w:p>
    <w:p w14:paraId="769F956B" w14:textId="77777777" w:rsidR="000C6BE9" w:rsidRDefault="000C6BE9" w:rsidP="000C6BE9">
      <w:pPr>
        <w:rPr>
          <w:lang w:val="es-CO" w:eastAsia="en-US"/>
        </w:rPr>
      </w:pPr>
    </w:p>
    <w:p w14:paraId="63341817" w14:textId="77777777" w:rsidR="000C6BE9" w:rsidRDefault="000C6BE9" w:rsidP="000C6BE9">
      <w:pPr>
        <w:jc w:val="both"/>
        <w:rPr>
          <w:rFonts w:eastAsiaTheme="minorHAnsi" w:cs="Arial"/>
          <w:lang w:val="es-CO" w:eastAsia="en-US"/>
        </w:rPr>
      </w:pPr>
      <w:r>
        <w:rPr>
          <w:rFonts w:eastAsiaTheme="minorHAnsi" w:cs="Arial"/>
          <w:lang w:val="es-CO" w:eastAsia="en-US"/>
        </w:rPr>
        <w:t>Se recomienda que la entidad mantenga el avance alcanzado en esta materia. De igual manera, se recomienda que el Comité de Seguimiento Financiero continúe reuniéndose trimestralmente, de manera que pueda conciliar la información de ingresos y gastos y realizar toda la cadena presupuestal, contable y de Tesorería</w:t>
      </w:r>
    </w:p>
    <w:p w14:paraId="608D0BB0" w14:textId="77777777" w:rsidR="000C6BE9" w:rsidRDefault="000C6BE9" w:rsidP="000C6BE9">
      <w:pPr>
        <w:jc w:val="both"/>
        <w:rPr>
          <w:rFonts w:eastAsiaTheme="minorHAnsi" w:cs="Arial"/>
          <w:szCs w:val="22"/>
          <w:lang w:val="es-CO" w:eastAsia="en-US"/>
        </w:rPr>
      </w:pPr>
    </w:p>
    <w:p w14:paraId="1E0636E8" w14:textId="77777777" w:rsidR="000C6BE9" w:rsidRDefault="000C6BE9" w:rsidP="000C6BE9">
      <w:pPr>
        <w:pStyle w:val="Ttulo3"/>
        <w:spacing w:before="0"/>
        <w:jc w:val="both"/>
        <w:rPr>
          <w:rFonts w:eastAsiaTheme="minorHAnsi" w:cs="Arial"/>
          <w:lang w:val="es-CO" w:eastAsia="en-US"/>
        </w:rPr>
      </w:pPr>
      <w:r>
        <w:rPr>
          <w:rFonts w:eastAsiaTheme="minorHAnsi" w:cs="Arial"/>
          <w:b/>
          <w:bCs/>
          <w:lang w:val="es-CO" w:eastAsia="en-US"/>
        </w:rPr>
        <w:t>Actividad 1.1.2.</w:t>
      </w:r>
      <w:r>
        <w:rPr>
          <w:rFonts w:eastAsiaTheme="minorHAnsi" w:cs="Arial"/>
          <w:lang w:val="es-CO" w:eastAsia="en-US"/>
        </w:rPr>
        <w:t xml:space="preserve"> Articular y documentar los procesos de Gestión Financiera, Presupuestal, Tesorería y Contable del Sector Educación entre la Secretaría de Educación y la Secretaría de Hacienda territorial, que garantice la coherencia de dicha información y su reporte al Formulario Único territorial -FUT (Hoy CUIPO) con criterios de consistencia, calidad, oportunidad, formalidad y suficiencia.</w:t>
      </w:r>
    </w:p>
    <w:p w14:paraId="6F751F32" w14:textId="77777777" w:rsidR="000C6BE9" w:rsidRDefault="000C6BE9" w:rsidP="000C6BE9">
      <w:pPr>
        <w:jc w:val="both"/>
        <w:rPr>
          <w:rFonts w:cs="Arial"/>
          <w:lang w:val="es-CO" w:eastAsia="en-US"/>
        </w:rPr>
      </w:pPr>
    </w:p>
    <w:p w14:paraId="7B3AB4DA" w14:textId="77777777" w:rsidR="000C6BE9" w:rsidRDefault="000C6BE9" w:rsidP="000C6BE9">
      <w:pPr>
        <w:jc w:val="both"/>
        <w:rPr>
          <w:b/>
          <w:lang w:val="es-CO" w:eastAsia="en-US"/>
        </w:rPr>
      </w:pPr>
      <w:r>
        <w:rPr>
          <w:b/>
          <w:lang w:val="es-CO" w:eastAsia="en-US"/>
        </w:rPr>
        <w:t xml:space="preserve">Productos esperados: </w:t>
      </w:r>
      <w:r>
        <w:rPr>
          <w:lang w:val="es-CO" w:eastAsia="en-US"/>
        </w:rPr>
        <w:t>Acto administrativo que crea el Comité de Seguimiento Financiero de la Entidad Territorial constituido entre las secretarías de Educación y de Hacienda, en el que se establezcan las funciones del comité, entre ellas la revisión de los manuales de procedimientos para articular los procesos financieros y de reporte de la Entidad; Actas de las reuniones trimestrales previas al reporte; Acta donde se evidencie la comparación entre el cierre de tesorería, presupuesto de ingresos y gastos versus lo reportado en el FUT (o con el sistema de información que la Nación determine para tal fin); Informe de la oficina de control interno, que dé cuenta de la formalización de los ajustes de los procedimientos de la entidad para el correcto reporte de la información en el FUT y cuadro de análisis de ejecución de los gastos administrativos de la entidad con respecto al porcentaje autorizado de la Nación.</w:t>
      </w:r>
    </w:p>
    <w:p w14:paraId="1638FA6C" w14:textId="77777777" w:rsidR="000C6BE9" w:rsidRDefault="000C6BE9" w:rsidP="000C6BE9">
      <w:pPr>
        <w:jc w:val="both"/>
        <w:rPr>
          <w:rFonts w:eastAsiaTheme="minorHAnsi" w:cs="Arial"/>
          <w:lang w:val="es-CO" w:eastAsia="en-US"/>
        </w:rPr>
      </w:pPr>
    </w:p>
    <w:p w14:paraId="22EBB204" w14:textId="77777777" w:rsidR="000C6BE9" w:rsidRDefault="000C6BE9" w:rsidP="000C6BE9">
      <w:pPr>
        <w:rPr>
          <w:b/>
          <w:lang w:val="es-CO" w:eastAsia="en-US"/>
        </w:rPr>
      </w:pPr>
      <w:r>
        <w:rPr>
          <w:b/>
          <w:lang w:val="es-CO" w:eastAsia="en-US"/>
        </w:rPr>
        <w:t>Evaluación:</w:t>
      </w:r>
    </w:p>
    <w:p w14:paraId="47190072" w14:textId="77777777" w:rsidR="000C6BE9" w:rsidRDefault="000C6BE9" w:rsidP="000C6BE9">
      <w:pPr>
        <w:jc w:val="both"/>
        <w:rPr>
          <w:rFonts w:cs="Arial"/>
          <w:b/>
          <w:lang w:val="es-CO" w:eastAsia="en-US"/>
        </w:rPr>
      </w:pPr>
    </w:p>
    <w:p w14:paraId="2532E9B6" w14:textId="77777777" w:rsidR="000C6BE9" w:rsidRDefault="000C6BE9" w:rsidP="000C6BE9">
      <w:pPr>
        <w:jc w:val="both"/>
        <w:rPr>
          <w:rFonts w:eastAsiaTheme="minorHAnsi" w:cs="Arial"/>
          <w:lang w:val="es-CO" w:eastAsia="en-US"/>
        </w:rPr>
      </w:pPr>
      <w:r>
        <w:rPr>
          <w:rFonts w:eastAsiaTheme="minorHAnsi" w:cs="Arial"/>
          <w:lang w:val="es-CO" w:eastAsia="en-US"/>
        </w:rPr>
        <w:t xml:space="preserve">En el marco del cumplimiento de esta actividad, el Municipio expidió el Decreto No. 1028 del 6 de diciembre de 2021 </w:t>
      </w:r>
      <w:r>
        <w:rPr>
          <w:rFonts w:eastAsiaTheme="minorHAnsi" w:cs="Arial"/>
          <w:i/>
          <w:lang w:val="es-CO" w:eastAsia="en-US"/>
        </w:rPr>
        <w:t>“por el cual se crea el comité de seguimiento financiero de la Secretaría de Educación Municipal de Santa Cruz de Lorica y Secretaría De Hacienda Municipal”,</w:t>
      </w:r>
      <w:r>
        <w:rPr>
          <w:rFonts w:eastAsiaTheme="minorHAnsi" w:cs="Arial"/>
          <w:lang w:val="es-CO" w:eastAsia="en-US"/>
        </w:rPr>
        <w:t xml:space="preserve"> el cual realizará el seguimiento a los procesos de gestión presupuestal y financiera del sector educación en el municipio. En dicho documento, se incluyeron los </w:t>
      </w:r>
      <w:r>
        <w:rPr>
          <w:rFonts w:eastAsiaTheme="minorHAnsi" w:cs="Arial"/>
          <w:lang w:val="es-CO" w:eastAsia="en-US"/>
        </w:rPr>
        <w:lastRenderedPageBreak/>
        <w:t>funcionarios que componen el comité, la regularidad de las sesiones y las siguientes funciones:</w:t>
      </w:r>
    </w:p>
    <w:p w14:paraId="2D3CABDB" w14:textId="77777777" w:rsidR="000C6BE9" w:rsidRDefault="000C6BE9" w:rsidP="000C6BE9">
      <w:pPr>
        <w:jc w:val="both"/>
        <w:rPr>
          <w:rFonts w:eastAsiaTheme="minorHAnsi" w:cs="Arial"/>
          <w:lang w:val="es-CO" w:eastAsia="en-US"/>
        </w:rPr>
      </w:pPr>
    </w:p>
    <w:p w14:paraId="0B99C801" w14:textId="77777777" w:rsidR="000C6BE9" w:rsidRDefault="000C6BE9" w:rsidP="000C6BE9">
      <w:pPr>
        <w:pStyle w:val="Prrafodelista"/>
        <w:numPr>
          <w:ilvl w:val="0"/>
          <w:numId w:val="45"/>
        </w:numPr>
        <w:ind w:left="426" w:hanging="426"/>
        <w:jc w:val="both"/>
        <w:rPr>
          <w:rFonts w:eastAsiaTheme="minorHAnsi" w:cs="Arial"/>
          <w:i/>
          <w:lang w:val="es-CO" w:eastAsia="en-US"/>
        </w:rPr>
      </w:pPr>
      <w:r>
        <w:rPr>
          <w:rFonts w:eastAsiaTheme="minorHAnsi" w:cs="Arial"/>
          <w:lang w:val="es-CO" w:eastAsia="en-US"/>
        </w:rPr>
        <w:t>“</w:t>
      </w:r>
      <w:r>
        <w:rPr>
          <w:rFonts w:eastAsiaTheme="minorHAnsi" w:cs="Arial"/>
          <w:i/>
          <w:lang w:val="es-CO" w:eastAsia="en-US"/>
        </w:rPr>
        <w:t>Proponer y liderar la implementación de políticas institucionales de planeación, ejecución y seguimiento financiero orientadas al sector educación.</w:t>
      </w:r>
    </w:p>
    <w:p w14:paraId="259A80DE" w14:textId="77777777" w:rsidR="000C6BE9" w:rsidRDefault="000C6BE9" w:rsidP="000C6BE9">
      <w:pPr>
        <w:pStyle w:val="Prrafodelista"/>
        <w:numPr>
          <w:ilvl w:val="0"/>
          <w:numId w:val="45"/>
        </w:numPr>
        <w:ind w:left="426" w:hanging="426"/>
        <w:jc w:val="both"/>
        <w:rPr>
          <w:rFonts w:eastAsiaTheme="minorHAnsi" w:cs="Arial"/>
          <w:i/>
          <w:lang w:val="es-CO" w:eastAsia="en-US"/>
        </w:rPr>
      </w:pPr>
      <w:r>
        <w:rPr>
          <w:rFonts w:eastAsiaTheme="minorHAnsi" w:cs="Arial"/>
          <w:i/>
          <w:lang w:val="es-CO" w:eastAsia="en-US"/>
        </w:rPr>
        <w:t>Proponer y socializar procesos, procedimientos y estrategias que contribuyan al mejoramiento financiero en lo relacionado con el sector educación.</w:t>
      </w:r>
    </w:p>
    <w:p w14:paraId="334E8876" w14:textId="77777777" w:rsidR="000C6BE9" w:rsidRDefault="000C6BE9" w:rsidP="000C6BE9">
      <w:pPr>
        <w:pStyle w:val="Prrafodelista"/>
        <w:numPr>
          <w:ilvl w:val="0"/>
          <w:numId w:val="45"/>
        </w:numPr>
        <w:ind w:left="426" w:hanging="426"/>
        <w:jc w:val="both"/>
        <w:rPr>
          <w:rFonts w:eastAsiaTheme="minorHAnsi" w:cs="Arial"/>
          <w:i/>
          <w:lang w:val="es-CO" w:eastAsia="en-US"/>
        </w:rPr>
      </w:pPr>
      <w:r>
        <w:rPr>
          <w:rFonts w:eastAsiaTheme="minorHAnsi" w:cs="Arial"/>
          <w:i/>
          <w:lang w:val="es-CO" w:eastAsia="en-US"/>
        </w:rPr>
        <w:t>Promover y garantizar la coordinación interinstitucional en el desarrollo de los procesos financieros a cargo de la Secretaría de Educación</w:t>
      </w:r>
    </w:p>
    <w:p w14:paraId="66D5D91A" w14:textId="77777777" w:rsidR="000C6BE9" w:rsidRDefault="000C6BE9" w:rsidP="000C6BE9">
      <w:pPr>
        <w:pStyle w:val="Prrafodelista"/>
        <w:numPr>
          <w:ilvl w:val="0"/>
          <w:numId w:val="45"/>
        </w:numPr>
        <w:ind w:left="426" w:hanging="426"/>
        <w:jc w:val="both"/>
        <w:rPr>
          <w:rFonts w:eastAsiaTheme="minorHAnsi" w:cs="Arial"/>
          <w:i/>
          <w:lang w:val="es-CO" w:eastAsia="en-US"/>
        </w:rPr>
      </w:pPr>
      <w:r>
        <w:rPr>
          <w:rFonts w:eastAsiaTheme="minorHAnsi" w:cs="Arial"/>
          <w:i/>
          <w:lang w:val="es-CO" w:eastAsia="en-US"/>
        </w:rPr>
        <w:t>Realizar seguimiento a los procesos que tienden a comprometer el presupuesto del sector educación, particularmente a sus niveles de crecimiento.</w:t>
      </w:r>
    </w:p>
    <w:p w14:paraId="34F6AA2A" w14:textId="77777777" w:rsidR="000C6BE9" w:rsidRDefault="000C6BE9" w:rsidP="000C6BE9">
      <w:pPr>
        <w:pStyle w:val="Prrafodelista"/>
        <w:numPr>
          <w:ilvl w:val="0"/>
          <w:numId w:val="45"/>
        </w:numPr>
        <w:ind w:left="426" w:hanging="426"/>
        <w:jc w:val="both"/>
        <w:rPr>
          <w:rFonts w:eastAsiaTheme="minorHAnsi" w:cs="Arial"/>
          <w:i/>
          <w:lang w:val="es-CO" w:eastAsia="en-US"/>
        </w:rPr>
      </w:pPr>
      <w:r>
        <w:rPr>
          <w:rFonts w:eastAsiaTheme="minorHAnsi" w:cs="Arial"/>
          <w:i/>
          <w:lang w:val="es-CO" w:eastAsia="en-US"/>
        </w:rPr>
        <w:t>Identificar posibles riesgos que puedan surgir dentro de los procesos financieros del sector educación con miras a proponer medidas de prevención.</w:t>
      </w:r>
    </w:p>
    <w:p w14:paraId="75EAE06D" w14:textId="77777777" w:rsidR="000C6BE9" w:rsidRDefault="000C6BE9" w:rsidP="000C6BE9">
      <w:pPr>
        <w:pStyle w:val="Prrafodelista"/>
        <w:numPr>
          <w:ilvl w:val="0"/>
          <w:numId w:val="45"/>
        </w:numPr>
        <w:ind w:left="426" w:hanging="426"/>
        <w:jc w:val="both"/>
        <w:rPr>
          <w:rFonts w:eastAsiaTheme="minorHAnsi" w:cs="Arial"/>
          <w:i/>
          <w:lang w:val="es-CO" w:eastAsia="en-US"/>
        </w:rPr>
      </w:pPr>
      <w:r>
        <w:rPr>
          <w:rFonts w:eastAsiaTheme="minorHAnsi" w:cs="Arial"/>
          <w:i/>
          <w:lang w:val="es-CO" w:eastAsia="en-US"/>
        </w:rPr>
        <w:t>Elaborar y hacer seguimiento al plan de trabajo o diseñar las estrategias que permitan superar los riesgos que dieron lugar a la medida preventiva de Plan de Desempeño y den cumplimiento al mismo.</w:t>
      </w:r>
    </w:p>
    <w:p w14:paraId="4EB0A743" w14:textId="77777777" w:rsidR="000C6BE9" w:rsidRDefault="000C6BE9" w:rsidP="000C6BE9">
      <w:pPr>
        <w:pStyle w:val="Prrafodelista"/>
        <w:numPr>
          <w:ilvl w:val="0"/>
          <w:numId w:val="45"/>
        </w:numPr>
        <w:ind w:left="426" w:hanging="426"/>
        <w:jc w:val="both"/>
        <w:rPr>
          <w:rFonts w:eastAsiaTheme="minorHAnsi" w:cs="Arial"/>
          <w:i/>
          <w:lang w:val="es-CO" w:eastAsia="en-US"/>
        </w:rPr>
      </w:pPr>
      <w:r>
        <w:rPr>
          <w:rFonts w:eastAsiaTheme="minorHAnsi" w:cs="Arial"/>
          <w:i/>
          <w:lang w:val="es-CO" w:eastAsia="en-US"/>
        </w:rPr>
        <w:t>Revisión de los manuales de procedimientos para articular los procesos financieros y de reporte de la Entidad”.</w:t>
      </w:r>
    </w:p>
    <w:p w14:paraId="6A0DA44E" w14:textId="77777777" w:rsidR="000C6BE9" w:rsidRDefault="000C6BE9" w:rsidP="000C6BE9">
      <w:pPr>
        <w:jc w:val="both"/>
        <w:rPr>
          <w:rFonts w:eastAsiaTheme="minorHAnsi" w:cs="Arial"/>
          <w:lang w:val="es-CO" w:eastAsia="en-US"/>
        </w:rPr>
      </w:pPr>
    </w:p>
    <w:p w14:paraId="286544EA" w14:textId="77777777" w:rsidR="000C6BE9" w:rsidRDefault="000C6BE9" w:rsidP="000C6BE9">
      <w:pPr>
        <w:jc w:val="both"/>
        <w:rPr>
          <w:rFonts w:eastAsiaTheme="minorHAnsi" w:cs="Arial"/>
          <w:lang w:val="es-CO" w:eastAsia="en-US"/>
        </w:rPr>
      </w:pPr>
      <w:r>
        <w:rPr>
          <w:rFonts w:eastAsiaTheme="minorHAnsi" w:cs="Arial"/>
          <w:lang w:val="es-CO" w:eastAsia="en-US"/>
        </w:rPr>
        <w:t>Adicionalmente, la Entidad Territorial remitió a esta Dirección, con radicado número 01-2022-057111, información financiera en la cual se relacionan tres actas de Reuniones del Comité de Seguimiento Financiero realizadas los días 30 de marzo, 26 de mayo y 7 de julio de 2022. En esta última acta se evidencia que la Entidad Territorial realizó la comparación entre el cierre de tesorería, presupuesto de ingresos y gastos y la información reportada en CUIPO para el primer trimestre del año.</w:t>
      </w:r>
    </w:p>
    <w:p w14:paraId="50119328" w14:textId="77777777" w:rsidR="000C6BE9" w:rsidRDefault="000C6BE9" w:rsidP="000C6BE9">
      <w:pPr>
        <w:jc w:val="both"/>
        <w:rPr>
          <w:rFonts w:eastAsiaTheme="minorHAnsi" w:cs="Arial"/>
          <w:lang w:val="es-CO" w:eastAsia="en-US"/>
        </w:rPr>
      </w:pPr>
    </w:p>
    <w:p w14:paraId="4D4750AE" w14:textId="77777777" w:rsidR="000C6BE9" w:rsidRDefault="000C6BE9" w:rsidP="000C6BE9">
      <w:pPr>
        <w:jc w:val="both"/>
        <w:rPr>
          <w:rFonts w:eastAsiaTheme="minorHAnsi" w:cs="Arial"/>
          <w:lang w:val="es-CO" w:eastAsia="en-US"/>
        </w:rPr>
      </w:pPr>
      <w:r>
        <w:rPr>
          <w:rFonts w:eastAsiaTheme="minorHAnsi" w:cs="Arial"/>
          <w:lang w:val="es-CO" w:eastAsia="en-US"/>
        </w:rPr>
        <w:t>Así mismo, el Municipio de Santa Cruz de Lorica allegó a esta Dirección el Informe de Gestión evaluativa emitido por el jefe de la Oficia de Control Interno de la Entidad, en el cual se señala que esta oficina realizará seguimiento semestral para verificar la adopción y cumplimiento de los procedimientos y obligaciones respecto al reporte en el FUT. De igual manera, se indica que los reportes trimestrales en FUT de ingresos, gastos, servicio de la deuda y reservas para el segundo semestre de la vigencia 2021 se realizaron de manera oportuna por parte de la Secretaría de Hacienda municipal.</w:t>
      </w:r>
    </w:p>
    <w:p w14:paraId="43EEF34F" w14:textId="77777777" w:rsidR="000C6BE9" w:rsidRDefault="000C6BE9" w:rsidP="000C6BE9">
      <w:pPr>
        <w:jc w:val="both"/>
        <w:rPr>
          <w:rFonts w:eastAsiaTheme="minorHAnsi" w:cs="Arial"/>
          <w:lang w:val="es-CO" w:eastAsia="en-US"/>
        </w:rPr>
      </w:pPr>
    </w:p>
    <w:p w14:paraId="40F8FE35" w14:textId="77777777" w:rsidR="000C6BE9" w:rsidRDefault="000C6BE9" w:rsidP="000C6BE9">
      <w:pPr>
        <w:jc w:val="both"/>
        <w:rPr>
          <w:rFonts w:eastAsiaTheme="minorHAnsi" w:cs="Arial"/>
          <w:lang w:val="es-CO" w:eastAsia="en-US"/>
        </w:rPr>
      </w:pPr>
      <w:r>
        <w:rPr>
          <w:rFonts w:eastAsiaTheme="minorHAnsi" w:cs="Arial"/>
          <w:lang w:val="es-CO" w:eastAsia="en-US"/>
        </w:rPr>
        <w:t>Respecto al análisis realizado por la Entidad, en relación con la ejecución de los gastos administrativos, se evidencia que a junio de 2022 el municipio había comprometido $4.709 millones en gastos administrativos, lo que representa el 54% de ejecución con respecto al valor autorizado $8.774 millones.</w:t>
      </w:r>
    </w:p>
    <w:p w14:paraId="2B3D0F4C" w14:textId="77777777" w:rsidR="000C6BE9" w:rsidRDefault="000C6BE9" w:rsidP="000C6BE9">
      <w:pPr>
        <w:jc w:val="both"/>
        <w:rPr>
          <w:rFonts w:eastAsiaTheme="minorHAnsi" w:cs="Arial"/>
          <w:lang w:val="es-CO" w:eastAsia="en-US"/>
        </w:rPr>
      </w:pPr>
    </w:p>
    <w:p w14:paraId="60809A7E" w14:textId="77777777" w:rsidR="000C6BE9" w:rsidRDefault="000C6BE9" w:rsidP="000C6BE9">
      <w:pPr>
        <w:jc w:val="both"/>
        <w:rPr>
          <w:rFonts w:eastAsiaTheme="minorHAnsi" w:cs="Arial"/>
          <w:lang w:val="es-CO" w:eastAsia="en-US"/>
        </w:rPr>
      </w:pPr>
      <w:r>
        <w:rPr>
          <w:rFonts w:eastAsiaTheme="minorHAnsi" w:cs="Arial"/>
          <w:lang w:val="es-CO" w:eastAsia="en-US"/>
        </w:rPr>
        <w:t>Evaluación de la actividad: Cumple</w:t>
      </w:r>
    </w:p>
    <w:p w14:paraId="40B3C358" w14:textId="77777777" w:rsidR="000C6BE9" w:rsidRDefault="000C6BE9" w:rsidP="000C6BE9">
      <w:pPr>
        <w:jc w:val="both"/>
        <w:rPr>
          <w:rFonts w:eastAsiaTheme="minorHAnsi" w:cs="Arial"/>
          <w:lang w:val="es-CO" w:eastAsia="en-US"/>
        </w:rPr>
      </w:pPr>
    </w:p>
    <w:p w14:paraId="4B59CC34" w14:textId="77777777" w:rsidR="000C6BE9" w:rsidRDefault="000C6BE9" w:rsidP="000C6BE9">
      <w:pPr>
        <w:rPr>
          <w:b/>
          <w:lang w:val="es-CO" w:eastAsia="en-US"/>
        </w:rPr>
      </w:pPr>
      <w:r>
        <w:rPr>
          <w:b/>
          <w:lang w:val="es-CO" w:eastAsia="en-US"/>
        </w:rPr>
        <w:t>Recomendación:</w:t>
      </w:r>
    </w:p>
    <w:p w14:paraId="4EFBBA6F" w14:textId="77777777" w:rsidR="000C6BE9" w:rsidRDefault="000C6BE9" w:rsidP="000C6BE9">
      <w:pPr>
        <w:rPr>
          <w:lang w:val="es-CO" w:eastAsia="en-US"/>
        </w:rPr>
      </w:pPr>
    </w:p>
    <w:p w14:paraId="2A2C2278" w14:textId="77777777" w:rsidR="000C6BE9" w:rsidRDefault="000C6BE9" w:rsidP="000C6BE9">
      <w:pPr>
        <w:jc w:val="both"/>
        <w:rPr>
          <w:lang w:val="es-CO" w:eastAsia="en-US"/>
        </w:rPr>
      </w:pPr>
      <w:r>
        <w:rPr>
          <w:rFonts w:eastAsiaTheme="minorHAnsi" w:cs="Arial"/>
          <w:lang w:val="es-CO" w:eastAsia="en-US"/>
        </w:rPr>
        <w:t>Se recomienda a la Entidad territorial que el Comité de Seguimiento Financiero continúe reuniéndose periódicamente, de manera que pueda conciliar la información de ingresos y gastos y realizar toda la cadena presupuestal, contable y de Tesorería y efectuar un adecuado reporte al CUIPO, p</w:t>
      </w:r>
      <w:r w:rsidR="00717922">
        <w:rPr>
          <w:rFonts w:eastAsiaTheme="minorHAnsi" w:cs="Arial"/>
          <w:lang w:val="es-CO" w:eastAsia="en-US"/>
        </w:rPr>
        <w:t xml:space="preserve">ara lo cual cuenta con la </w:t>
      </w:r>
      <w:r>
        <w:rPr>
          <w:lang w:val="es-CO" w:eastAsia="en-US"/>
        </w:rPr>
        <w:t xml:space="preserve">asistencia técnica y </w:t>
      </w:r>
      <w:r>
        <w:rPr>
          <w:lang w:val="es-CO" w:eastAsia="en-US"/>
        </w:rPr>
        <w:lastRenderedPageBreak/>
        <w:t xml:space="preserve">acompañamiento </w:t>
      </w:r>
      <w:r w:rsidR="00717922">
        <w:rPr>
          <w:lang w:val="es-CO" w:eastAsia="en-US"/>
        </w:rPr>
        <w:t>que requiera por parte de esta Dirección y el Ministerio de Educación Nacional</w:t>
      </w:r>
      <w:r>
        <w:rPr>
          <w:lang w:val="es-CO" w:eastAsia="en-US"/>
        </w:rPr>
        <w:t>.</w:t>
      </w:r>
      <w:r>
        <w:rPr>
          <w:rFonts w:eastAsiaTheme="minorHAnsi" w:cs="Arial"/>
          <w:lang w:val="es-CO" w:eastAsia="en-US"/>
        </w:rPr>
        <w:t xml:space="preserve"> Así mismo es importante que el municipio de Lorica en adelante proyecte de la mejor manera su gasto administrativo para evitar exceder el monto autorizado por el MEN. </w:t>
      </w:r>
    </w:p>
    <w:p w14:paraId="7A332FE1" w14:textId="77777777" w:rsidR="000C6BE9" w:rsidRDefault="000C6BE9" w:rsidP="000C6BE9">
      <w:pPr>
        <w:jc w:val="both"/>
        <w:rPr>
          <w:rFonts w:eastAsiaTheme="minorHAnsi" w:cs="Arial"/>
          <w:szCs w:val="22"/>
          <w:lang w:val="es-CO" w:eastAsia="en-US"/>
        </w:rPr>
      </w:pPr>
    </w:p>
    <w:p w14:paraId="18C0C639" w14:textId="77777777" w:rsidR="000C6BE9" w:rsidRDefault="000C6BE9" w:rsidP="000C6BE9">
      <w:pPr>
        <w:pStyle w:val="Ttulo2"/>
        <w:spacing w:before="0"/>
        <w:jc w:val="both"/>
        <w:rPr>
          <w:rFonts w:eastAsiaTheme="minorHAnsi" w:cs="Arial"/>
          <w:b/>
          <w:bCs/>
          <w:lang w:val="es-CO" w:eastAsia="en-US"/>
        </w:rPr>
      </w:pPr>
      <w:r>
        <w:rPr>
          <w:rStyle w:val="Ttulo3Car"/>
          <w:rFonts w:cs="Arial"/>
          <w:b/>
          <w:bCs/>
        </w:rPr>
        <w:t>Objetivo</w:t>
      </w:r>
      <w:r>
        <w:rPr>
          <w:rFonts w:eastAsiaTheme="minorHAnsi" w:cs="Arial"/>
          <w:b/>
          <w:bCs/>
          <w:lang w:val="es-CO" w:eastAsia="en-US"/>
        </w:rPr>
        <w:t xml:space="preserve"> 1.2. Normalizar los reportes de información en los aplicativos destinados para este fin.</w:t>
      </w:r>
    </w:p>
    <w:p w14:paraId="3681395F" w14:textId="77777777" w:rsidR="000C6BE9" w:rsidRDefault="000C6BE9" w:rsidP="000C6BE9">
      <w:pPr>
        <w:jc w:val="both"/>
        <w:rPr>
          <w:rFonts w:eastAsiaTheme="minorHAnsi" w:cs="Arial"/>
          <w:szCs w:val="22"/>
          <w:lang w:val="es-CO" w:eastAsia="en-US"/>
        </w:rPr>
      </w:pPr>
    </w:p>
    <w:p w14:paraId="1682C1FD" w14:textId="77777777" w:rsidR="000C6BE9" w:rsidRDefault="000C6BE9" w:rsidP="000C6BE9">
      <w:pPr>
        <w:pStyle w:val="Ttulo3"/>
        <w:spacing w:before="0"/>
        <w:rPr>
          <w:rFonts w:eastAsiaTheme="minorHAnsi"/>
          <w:lang w:val="es-CO" w:eastAsia="en-US"/>
        </w:rPr>
      </w:pPr>
      <w:r>
        <w:rPr>
          <w:rFonts w:eastAsiaTheme="minorHAnsi"/>
          <w:b/>
          <w:lang w:val="es-CO" w:eastAsia="en-US"/>
        </w:rPr>
        <w:t>Actividad 1.2.1.</w:t>
      </w:r>
      <w:r>
        <w:rPr>
          <w:rFonts w:eastAsiaTheme="minorHAnsi"/>
          <w:lang w:val="es-CO" w:eastAsia="en-US"/>
        </w:rPr>
        <w:t xml:space="preserve"> Reportar la información financiera de ingresos, gastos y cierre fiscal del sector, en el Formulario único territorial -FUT (o en sistema de información que la Nación determine para tal fin), con criterios de consistencia, calidad, oportunidad, formalidad y suficiencia, de conformidad con lo establecido en la normatividad vigente.</w:t>
      </w:r>
    </w:p>
    <w:p w14:paraId="3158BD89" w14:textId="77777777" w:rsidR="000C6BE9" w:rsidRDefault="000C6BE9" w:rsidP="000C6BE9">
      <w:pPr>
        <w:jc w:val="both"/>
        <w:rPr>
          <w:rFonts w:cs="Arial"/>
          <w:lang w:val="es-CO" w:eastAsia="en-US"/>
        </w:rPr>
      </w:pPr>
    </w:p>
    <w:p w14:paraId="346BF435" w14:textId="77777777" w:rsidR="000C6BE9" w:rsidRDefault="000C6BE9" w:rsidP="000C6BE9">
      <w:pPr>
        <w:jc w:val="both"/>
        <w:rPr>
          <w:b/>
          <w:lang w:val="es-CO" w:eastAsia="en-US"/>
        </w:rPr>
      </w:pPr>
      <w:r>
        <w:rPr>
          <w:b/>
          <w:lang w:val="es-CO" w:eastAsia="en-US"/>
        </w:rPr>
        <w:t xml:space="preserve">Productos esperados: </w:t>
      </w:r>
      <w:r>
        <w:rPr>
          <w:lang w:val="es-CO" w:eastAsia="en-US"/>
        </w:rPr>
        <w:t>Ejecuciones presupuestales de ingresos y de gastos consistentes con FUT (o con el sistema de información que la Nación determine para tal fin), cierres de tesorería de cada vigencia, actos administrativos de constitución de reservas presupuestales, cuentas por pagar y superávit al cierre de cada vigencia, acto administrativo que formalice la responsabilidad de reporte al CHIP en un cargo de planta y acta donde se evidencie la comparación entre el cierre de tesorería, presupuesto de ingresos y gastos versus lo reportado en el FUT (o en el sistema de información que la Nación determine para tal fin).</w:t>
      </w:r>
    </w:p>
    <w:p w14:paraId="2C845B03" w14:textId="77777777" w:rsidR="000C6BE9" w:rsidRDefault="000C6BE9" w:rsidP="000C6BE9">
      <w:pPr>
        <w:jc w:val="both"/>
        <w:rPr>
          <w:rFonts w:cs="Arial"/>
          <w:lang w:val="es-CO" w:eastAsia="en-US"/>
        </w:rPr>
      </w:pPr>
    </w:p>
    <w:p w14:paraId="6CA4600C" w14:textId="77777777" w:rsidR="000C6BE9" w:rsidRDefault="000C6BE9" w:rsidP="000C6BE9">
      <w:pPr>
        <w:rPr>
          <w:b/>
          <w:lang w:val="es-CO" w:eastAsia="en-US"/>
        </w:rPr>
      </w:pPr>
      <w:r>
        <w:rPr>
          <w:b/>
          <w:lang w:val="es-CO" w:eastAsia="en-US"/>
        </w:rPr>
        <w:t>Evaluación:</w:t>
      </w:r>
    </w:p>
    <w:p w14:paraId="7905A404" w14:textId="77777777" w:rsidR="000C6BE9" w:rsidRDefault="000C6BE9" w:rsidP="000C6BE9">
      <w:pPr>
        <w:rPr>
          <w:rFonts w:eastAsiaTheme="minorHAnsi" w:cs="Arial"/>
          <w:lang w:val="es-CO" w:eastAsia="en-US"/>
        </w:rPr>
      </w:pPr>
    </w:p>
    <w:p w14:paraId="687230CD" w14:textId="77777777" w:rsidR="000C6BE9" w:rsidRDefault="000C6BE9" w:rsidP="000C6BE9">
      <w:pPr>
        <w:jc w:val="both"/>
        <w:rPr>
          <w:rFonts w:eastAsiaTheme="minorHAnsi" w:cs="Arial"/>
          <w:lang w:val="es-CO" w:eastAsia="en-US"/>
        </w:rPr>
      </w:pPr>
      <w:r>
        <w:rPr>
          <w:rFonts w:eastAsiaTheme="minorHAnsi" w:cs="Arial"/>
          <w:lang w:val="es-CO" w:eastAsia="en-US"/>
        </w:rPr>
        <w:t>Con respecto al reporte de información financiera en el Formulario Único Territorial de la vigencia 2021 se pudo constatar el reporte adecuado de los ingreso y gastos.</w:t>
      </w:r>
    </w:p>
    <w:p w14:paraId="7FC71258" w14:textId="77777777" w:rsidR="000C6BE9" w:rsidRDefault="000C6BE9" w:rsidP="000C6BE9">
      <w:pPr>
        <w:jc w:val="both"/>
        <w:rPr>
          <w:rFonts w:eastAsiaTheme="minorHAnsi" w:cs="Arial"/>
          <w:lang w:val="es-CO" w:eastAsia="en-US"/>
        </w:rPr>
      </w:pPr>
    </w:p>
    <w:p w14:paraId="1317AD10" w14:textId="77777777" w:rsidR="000C6BE9" w:rsidRDefault="000C6BE9" w:rsidP="000C6BE9">
      <w:pPr>
        <w:jc w:val="both"/>
        <w:rPr>
          <w:rFonts w:eastAsiaTheme="minorHAnsi" w:cs="Arial"/>
          <w:lang w:val="es-CO" w:eastAsia="en-US"/>
        </w:rPr>
      </w:pPr>
      <w:r>
        <w:rPr>
          <w:rFonts w:eastAsiaTheme="minorHAnsi" w:cs="Arial"/>
          <w:lang w:val="es-CO" w:eastAsia="en-US"/>
        </w:rPr>
        <w:t>Para la vigencia 2022 teniendo en cuenta la implementación de categoría única de información del presupuesto ordinario – CUIPO, la información de las ejecuciones presupuestales se comparó con dicho reporte, encontrándose éste adecuado para los formularios de ingresos. En cuanto a los gastos, a marzo de 2022 se evidencian en CUIPO compromisos por $24.722 millones y la ejecución presupuestal presenta compromisos a marzo por $24.152 millones. A continuación, se presentan algunos de los rubros en los que se encontraron diferencias:</w:t>
      </w:r>
    </w:p>
    <w:p w14:paraId="0E56F24B" w14:textId="77777777" w:rsidR="000C6BE9" w:rsidRDefault="000C6BE9" w:rsidP="000C6BE9">
      <w:pPr>
        <w:jc w:val="both"/>
        <w:rPr>
          <w:rFonts w:eastAsiaTheme="minorHAnsi" w:cs="Arial"/>
          <w:lang w:val="es-CO" w:eastAsia="en-US"/>
        </w:rPr>
      </w:pPr>
    </w:p>
    <w:p w14:paraId="3899D28E" w14:textId="77777777" w:rsidR="000C6BE9" w:rsidRDefault="000C6BE9" w:rsidP="000C6BE9">
      <w:pPr>
        <w:jc w:val="center"/>
        <w:rPr>
          <w:rFonts w:eastAsiaTheme="minorHAnsi" w:cs="Arial"/>
          <w:lang w:val="es-CO" w:eastAsia="en-US"/>
        </w:rPr>
      </w:pPr>
      <w:r>
        <w:rPr>
          <w:noProof/>
          <w:lang w:val="es-CO" w:eastAsia="es-CO"/>
        </w:rPr>
        <w:drawing>
          <wp:inline distT="0" distB="0" distL="0" distR="0" wp14:anchorId="156743A8" wp14:editId="359B382F">
            <wp:extent cx="5144770" cy="8667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4770" cy="866775"/>
                    </a:xfrm>
                    <a:prstGeom prst="rect">
                      <a:avLst/>
                    </a:prstGeom>
                    <a:noFill/>
                    <a:ln>
                      <a:noFill/>
                    </a:ln>
                  </pic:spPr>
                </pic:pic>
              </a:graphicData>
            </a:graphic>
          </wp:inline>
        </w:drawing>
      </w:r>
    </w:p>
    <w:p w14:paraId="002F6AFB" w14:textId="77777777" w:rsidR="000C6BE9" w:rsidRDefault="000C6BE9" w:rsidP="000C6BE9">
      <w:pPr>
        <w:jc w:val="both"/>
        <w:rPr>
          <w:rFonts w:eastAsiaTheme="minorHAnsi" w:cs="Arial"/>
          <w:lang w:val="es-CO" w:eastAsia="en-US"/>
        </w:rPr>
      </w:pPr>
    </w:p>
    <w:p w14:paraId="3627C70C" w14:textId="77777777" w:rsidR="000C6BE9" w:rsidRDefault="000C6BE9" w:rsidP="000C6BE9">
      <w:pPr>
        <w:shd w:val="clear" w:color="auto" w:fill="FFFFFF"/>
        <w:jc w:val="both"/>
        <w:rPr>
          <w:rFonts w:eastAsiaTheme="minorHAnsi" w:cs="Arial"/>
          <w:lang w:val="es-CO" w:eastAsia="en-US"/>
        </w:rPr>
      </w:pPr>
      <w:r>
        <w:rPr>
          <w:rFonts w:eastAsiaTheme="minorHAnsi" w:cs="Arial"/>
          <w:lang w:val="es-CO" w:eastAsia="en-US"/>
        </w:rPr>
        <w:t>No obstante, frente a las diferencias identificadas en lo corrido de 2022, se espera que la Entidad Territorial acoja las recomendaciones puntuales de este documento para corregir el registro de la información y su respectivo reporte al cierre de la vigencia, así como la sostenibilidad del proceso en adelante.</w:t>
      </w:r>
    </w:p>
    <w:p w14:paraId="2F0BE31D" w14:textId="77777777" w:rsidR="000C6BE9" w:rsidRDefault="000C6BE9" w:rsidP="000C6BE9">
      <w:pPr>
        <w:shd w:val="clear" w:color="auto" w:fill="FFFFFF"/>
        <w:jc w:val="both"/>
        <w:rPr>
          <w:rFonts w:eastAsiaTheme="minorHAnsi" w:cs="Arial"/>
          <w:lang w:val="es-CO" w:eastAsia="en-US"/>
        </w:rPr>
      </w:pPr>
    </w:p>
    <w:p w14:paraId="7614A9E5" w14:textId="77777777" w:rsidR="000C6BE9" w:rsidRDefault="000C6BE9" w:rsidP="000C6BE9">
      <w:pPr>
        <w:shd w:val="clear" w:color="auto" w:fill="FFFFFF"/>
        <w:jc w:val="both"/>
        <w:rPr>
          <w:rFonts w:eastAsiaTheme="minorHAnsi" w:cs="Arial"/>
          <w:lang w:val="es-CO" w:eastAsia="en-US"/>
        </w:rPr>
      </w:pPr>
      <w:r>
        <w:rPr>
          <w:rFonts w:eastAsiaTheme="minorHAnsi" w:cs="Arial"/>
          <w:lang w:val="es-CO" w:eastAsia="en-US"/>
        </w:rPr>
        <w:t xml:space="preserve">Ahora bien, considerando la reciente implementación del Catálogo de Clasificación Presupuestal para Entidades Territoriales y sus Descentralizadas – CCPET, así como la </w:t>
      </w:r>
      <w:r>
        <w:rPr>
          <w:rFonts w:eastAsiaTheme="minorHAnsi" w:cs="Arial"/>
          <w:lang w:val="es-CO" w:eastAsia="en-US"/>
        </w:rPr>
        <w:lastRenderedPageBreak/>
        <w:t>transición acordada en la Mesa Técnica de FUT para el proceso de reporte de información, será necesario que los Ministerios de Educación Nacional y de Hacienda y Crédito Público, conjuntamente, brinden la asistencia técnica necesaria para que el municipio de Lorica avance adecuadamente en este proceso. Por lo anterior, la actividad no puede evaluarse como cumplida, pero dadas las circunstancias la Entidad Territorial contará con el acompañamiento requerido para superar el evento de riesgo que dio origen a la medida preventiva.</w:t>
      </w:r>
    </w:p>
    <w:p w14:paraId="11C6B8A5" w14:textId="77777777" w:rsidR="000C6BE9" w:rsidRDefault="000C6BE9" w:rsidP="000C6BE9">
      <w:pPr>
        <w:jc w:val="both"/>
        <w:rPr>
          <w:rFonts w:eastAsiaTheme="minorHAnsi" w:cs="Arial"/>
          <w:lang w:val="es-CO" w:eastAsia="en-US"/>
        </w:rPr>
      </w:pPr>
    </w:p>
    <w:p w14:paraId="0FA64E90" w14:textId="77777777" w:rsidR="000C6BE9" w:rsidRDefault="000C6BE9" w:rsidP="000C6BE9">
      <w:pPr>
        <w:jc w:val="both"/>
        <w:rPr>
          <w:b/>
          <w:lang w:val="es-CO" w:eastAsia="en-US"/>
        </w:rPr>
      </w:pPr>
      <w:r>
        <w:rPr>
          <w:b/>
          <w:lang w:val="es-CO" w:eastAsia="en-US"/>
        </w:rPr>
        <w:t>Recomendación:</w:t>
      </w:r>
    </w:p>
    <w:p w14:paraId="7A209BC3" w14:textId="77777777" w:rsidR="000C6BE9" w:rsidRDefault="000C6BE9" w:rsidP="000C6BE9">
      <w:pPr>
        <w:jc w:val="both"/>
        <w:rPr>
          <w:b/>
          <w:lang w:val="es-CO" w:eastAsia="en-US"/>
        </w:rPr>
      </w:pPr>
    </w:p>
    <w:p w14:paraId="5004838C" w14:textId="77777777" w:rsidR="000C6BE9" w:rsidRDefault="000C6BE9" w:rsidP="000C6BE9">
      <w:pPr>
        <w:jc w:val="both"/>
        <w:rPr>
          <w:lang w:val="es-CO" w:eastAsia="en-US"/>
        </w:rPr>
      </w:pPr>
      <w:r>
        <w:rPr>
          <w:lang w:val="es-CO" w:eastAsia="en-US"/>
        </w:rPr>
        <w:t>Solicitar asistencia técnica y acompañamiento en términos de reporte CUIPO para efectuar un adecuado reporte de información financiera.</w:t>
      </w:r>
    </w:p>
    <w:p w14:paraId="58376780" w14:textId="77777777" w:rsidR="000C6BE9" w:rsidRDefault="000C6BE9" w:rsidP="000C6BE9">
      <w:pPr>
        <w:jc w:val="both"/>
        <w:rPr>
          <w:rFonts w:cs="Arial"/>
          <w:lang w:val="es-CO" w:eastAsia="en-US"/>
        </w:rPr>
      </w:pPr>
    </w:p>
    <w:p w14:paraId="608A8AF1" w14:textId="77777777" w:rsidR="000C6BE9" w:rsidRDefault="000C6BE9" w:rsidP="000C6BE9">
      <w:pPr>
        <w:pStyle w:val="Ttulo3"/>
        <w:spacing w:before="0"/>
        <w:jc w:val="both"/>
        <w:rPr>
          <w:lang w:val="es-CO" w:eastAsia="en-US"/>
        </w:rPr>
      </w:pPr>
      <w:r>
        <w:rPr>
          <w:rFonts w:eastAsiaTheme="minorHAnsi"/>
          <w:b/>
          <w:lang w:val="es-CO" w:eastAsia="en-US"/>
        </w:rPr>
        <w:t>Actividad 1.2.2</w:t>
      </w:r>
      <w:r>
        <w:rPr>
          <w:rFonts w:eastAsiaTheme="minorHAnsi"/>
          <w:lang w:val="es-CO" w:eastAsia="en-US"/>
        </w:rPr>
        <w:t xml:space="preserve"> Reportar con oportunidad la información necesaria de tal forma que se pueda evidenciar que los reportes efectuados en el FUC (si aplica) guarden coherencia con la información reportada en el SIMAT, la ejecución presupuestal, el FUT (o en sistema de información que la Nación determine para tal fin) y los expedientes contractuales.</w:t>
      </w:r>
    </w:p>
    <w:p w14:paraId="3E01198A" w14:textId="77777777" w:rsidR="000C6BE9" w:rsidRDefault="000C6BE9" w:rsidP="000C6BE9">
      <w:pPr>
        <w:jc w:val="both"/>
        <w:rPr>
          <w:rFonts w:eastAsiaTheme="minorHAnsi" w:cs="Arial"/>
          <w:szCs w:val="22"/>
          <w:lang w:val="es-CO" w:eastAsia="en-US"/>
        </w:rPr>
      </w:pPr>
    </w:p>
    <w:p w14:paraId="4B3DA2BE" w14:textId="77777777" w:rsidR="000C6BE9" w:rsidRDefault="000C6BE9" w:rsidP="000C6BE9">
      <w:pPr>
        <w:jc w:val="both"/>
        <w:rPr>
          <w:b/>
          <w:lang w:val="es-CO" w:eastAsia="en-US"/>
        </w:rPr>
      </w:pPr>
      <w:r>
        <w:rPr>
          <w:b/>
          <w:lang w:val="es-CO" w:eastAsia="en-US"/>
        </w:rPr>
        <w:t xml:space="preserve">Productos esperados: </w:t>
      </w:r>
      <w:r>
        <w:rPr>
          <w:lang w:val="es-CO" w:eastAsia="en-US"/>
        </w:rPr>
        <w:t>Ejecución presupuestal de gastos consistentes con reporte FUC (sí aplica) y con reporte FUT (o en sistema de información que la Nación determine para tal fin), copia de reporte FUC (sí aplica), copia digital de los expedientes contractuales y comparativo de la información reportada en el SIMAT Vs información reportada en el FUC (si aplica) y en FUT (o en sistema de información que la Nación determine para tal fin).</w:t>
      </w:r>
    </w:p>
    <w:p w14:paraId="1699242C" w14:textId="77777777" w:rsidR="000C6BE9" w:rsidRDefault="000C6BE9" w:rsidP="000C6BE9">
      <w:pPr>
        <w:pStyle w:val="Prrafodelista"/>
        <w:jc w:val="both"/>
        <w:rPr>
          <w:rFonts w:eastAsiaTheme="minorHAnsi" w:cs="Arial"/>
          <w:szCs w:val="22"/>
          <w:lang w:val="es-CO" w:eastAsia="en-US"/>
        </w:rPr>
      </w:pPr>
    </w:p>
    <w:p w14:paraId="0C0D7AF6" w14:textId="77777777" w:rsidR="000C6BE9" w:rsidRDefault="000C6BE9" w:rsidP="000C6BE9">
      <w:pPr>
        <w:jc w:val="both"/>
        <w:rPr>
          <w:b/>
          <w:lang w:val="es-CO" w:eastAsia="en-US"/>
        </w:rPr>
      </w:pPr>
      <w:r>
        <w:rPr>
          <w:b/>
          <w:lang w:val="es-CO" w:eastAsia="en-US"/>
        </w:rPr>
        <w:t>Evaluación</w:t>
      </w:r>
    </w:p>
    <w:p w14:paraId="7C32F413" w14:textId="77777777" w:rsidR="000C6BE9" w:rsidRDefault="000C6BE9" w:rsidP="000C6BE9">
      <w:pPr>
        <w:jc w:val="both"/>
        <w:rPr>
          <w:lang w:val="es-CO" w:eastAsia="en-US"/>
        </w:rPr>
      </w:pPr>
    </w:p>
    <w:p w14:paraId="49CA6C65" w14:textId="77777777" w:rsidR="000C6BE9" w:rsidRDefault="000C6BE9" w:rsidP="000C6BE9">
      <w:pPr>
        <w:jc w:val="both"/>
        <w:rPr>
          <w:rFonts w:eastAsiaTheme="minorHAnsi" w:cs="Arial"/>
          <w:szCs w:val="22"/>
          <w:lang w:val="es-CO" w:eastAsia="en-US"/>
        </w:rPr>
      </w:pPr>
      <w:r>
        <w:rPr>
          <w:rFonts w:eastAsiaTheme="minorHAnsi" w:cs="Arial"/>
          <w:szCs w:val="22"/>
          <w:lang w:val="es-CO" w:eastAsia="en-US"/>
        </w:rPr>
        <w:t>La entidad para la vigencia 2021 y 2022 no contrató la prestación del servicio educativo, por lo tanto, no le aplica el reporte FUC y tampoco cuenta con estudiantes reportados en SIMAT como contratados. Adicionalmente, una vez verificada la ejecución presupuestal se evidenció que la Entidad no registró compromisos por concepto de contratación de la prestación del servicio educativo.</w:t>
      </w:r>
    </w:p>
    <w:p w14:paraId="75AD4351" w14:textId="77777777" w:rsidR="000C6BE9" w:rsidRDefault="000C6BE9" w:rsidP="000C6BE9">
      <w:pPr>
        <w:jc w:val="both"/>
        <w:rPr>
          <w:rFonts w:eastAsiaTheme="minorHAnsi" w:cs="Arial"/>
          <w:lang w:val="es-CO" w:eastAsia="en-US"/>
        </w:rPr>
      </w:pPr>
    </w:p>
    <w:p w14:paraId="12FC7875" w14:textId="77777777" w:rsidR="000C6BE9" w:rsidRDefault="000C6BE9" w:rsidP="000C6BE9">
      <w:pPr>
        <w:jc w:val="both"/>
        <w:rPr>
          <w:rFonts w:eastAsiaTheme="minorHAnsi" w:cs="Arial"/>
          <w:lang w:val="es-CO" w:eastAsia="en-US"/>
        </w:rPr>
      </w:pPr>
      <w:r>
        <w:rPr>
          <w:rFonts w:eastAsiaTheme="minorHAnsi" w:cs="Arial"/>
          <w:lang w:val="es-CO" w:eastAsia="en-US"/>
        </w:rPr>
        <w:t>Evaluación de la actividad: Cumple</w:t>
      </w:r>
    </w:p>
    <w:p w14:paraId="7AA5E80F" w14:textId="77777777" w:rsidR="000C6BE9" w:rsidRDefault="000C6BE9" w:rsidP="000C6BE9">
      <w:pPr>
        <w:jc w:val="both"/>
        <w:rPr>
          <w:b/>
          <w:bCs/>
          <w:lang w:val="es-CO" w:eastAsia="en-US"/>
        </w:rPr>
      </w:pPr>
    </w:p>
    <w:p w14:paraId="49C47332" w14:textId="77777777" w:rsidR="000C6BE9" w:rsidRDefault="000C6BE9" w:rsidP="000C6BE9">
      <w:pPr>
        <w:jc w:val="both"/>
        <w:rPr>
          <w:b/>
          <w:lang w:val="es-CO" w:eastAsia="en-US"/>
        </w:rPr>
      </w:pPr>
      <w:r>
        <w:rPr>
          <w:b/>
          <w:lang w:val="es-CO" w:eastAsia="en-US"/>
        </w:rPr>
        <w:t>Recomendación</w:t>
      </w:r>
    </w:p>
    <w:p w14:paraId="108426CD" w14:textId="77777777" w:rsidR="000C6BE9" w:rsidRDefault="000C6BE9" w:rsidP="000C6BE9">
      <w:pPr>
        <w:jc w:val="both"/>
        <w:rPr>
          <w:b/>
          <w:lang w:val="es-CO" w:eastAsia="en-US"/>
        </w:rPr>
      </w:pPr>
    </w:p>
    <w:p w14:paraId="38D12D96" w14:textId="77777777" w:rsidR="000C6BE9" w:rsidRDefault="000C6BE9" w:rsidP="000C6BE9">
      <w:pPr>
        <w:jc w:val="both"/>
        <w:rPr>
          <w:lang w:val="es-CO" w:eastAsia="en-US"/>
        </w:rPr>
      </w:pPr>
      <w:r>
        <w:rPr>
          <w:lang w:val="es-CO" w:eastAsia="en-US"/>
        </w:rPr>
        <w:t xml:space="preserve">Si después de realizar una adecuada distribución de la planta viabilizada se concluye  que por </w:t>
      </w:r>
      <w:r w:rsidR="00717922">
        <w:rPr>
          <w:lang w:val="es-CO" w:eastAsia="en-US"/>
        </w:rPr>
        <w:t xml:space="preserve">insuficiencia de la planta </w:t>
      </w:r>
      <w:r>
        <w:rPr>
          <w:lang w:val="es-CO" w:eastAsia="en-US"/>
        </w:rPr>
        <w:t>de personal se requiere la contratación de la prestación del servicio educativo, la Entidad deberá efectuar un adecuado reporte del FUC, el cual deberá ser coherente con los valores comprometidos en la ejecución presupuestal y con el número de niños reportados en SIMAT como contratados.</w:t>
      </w:r>
    </w:p>
    <w:p w14:paraId="4BCEA64A" w14:textId="77777777" w:rsidR="000C6BE9" w:rsidRDefault="000C6BE9" w:rsidP="000C6BE9">
      <w:pPr>
        <w:jc w:val="both"/>
        <w:rPr>
          <w:rFonts w:eastAsiaTheme="minorHAnsi" w:cs="Arial"/>
          <w:szCs w:val="22"/>
          <w:highlight w:val="green"/>
          <w:lang w:val="es-CO" w:eastAsia="en-US"/>
        </w:rPr>
      </w:pPr>
    </w:p>
    <w:p w14:paraId="51CE33B5" w14:textId="77777777" w:rsidR="000C6BE9" w:rsidRDefault="000C6BE9" w:rsidP="000C6BE9">
      <w:pPr>
        <w:pStyle w:val="Ttulo3"/>
        <w:spacing w:before="0"/>
        <w:jc w:val="both"/>
        <w:rPr>
          <w:rFonts w:eastAsiaTheme="minorHAnsi"/>
          <w:lang w:val="es-CO" w:eastAsia="en-US"/>
        </w:rPr>
      </w:pPr>
      <w:r>
        <w:rPr>
          <w:rFonts w:eastAsiaTheme="minorHAnsi"/>
          <w:b/>
          <w:lang w:val="es-CO" w:eastAsia="en-US"/>
        </w:rPr>
        <w:t>Actividad 1.2.3.</w:t>
      </w:r>
      <w:r>
        <w:rPr>
          <w:rFonts w:eastAsiaTheme="minorHAnsi"/>
          <w:lang w:val="es-CO" w:eastAsia="en-US"/>
        </w:rPr>
        <w:t xml:space="preserve"> Sincronizar y depurar los sistemas de información del sector de acuerdo con el acto administrativo que define el Directorio Único de Establecimientos Educativos del Municipio. El cual a su vez deberá coincidir con la oferta real de las Instituciones Educativas.</w:t>
      </w:r>
    </w:p>
    <w:p w14:paraId="6EA283E3" w14:textId="77777777" w:rsidR="000C6BE9" w:rsidRDefault="000C6BE9" w:rsidP="000C6BE9">
      <w:pPr>
        <w:jc w:val="both"/>
        <w:rPr>
          <w:rFonts w:cs="Arial"/>
          <w:lang w:val="es-CO" w:eastAsia="en-US"/>
        </w:rPr>
      </w:pPr>
    </w:p>
    <w:p w14:paraId="6BAA9333" w14:textId="77777777" w:rsidR="000C6BE9" w:rsidRDefault="000C6BE9" w:rsidP="000C6BE9">
      <w:pPr>
        <w:jc w:val="both"/>
        <w:rPr>
          <w:b/>
          <w:lang w:val="es-CO" w:eastAsia="en-US"/>
        </w:rPr>
      </w:pPr>
      <w:r>
        <w:rPr>
          <w:b/>
          <w:lang w:val="es-CO" w:eastAsia="en-US"/>
        </w:rPr>
        <w:t xml:space="preserve">Productos esperados: </w:t>
      </w:r>
      <w:r>
        <w:rPr>
          <w:lang w:val="es-CO" w:eastAsia="en-US"/>
        </w:rPr>
        <w:t xml:space="preserve">Actos administrativos Municipales de definición del Directorio Único de Establecimientos – DUE, acto administrativo de distribución de planta, reporte generado </w:t>
      </w:r>
      <w:r>
        <w:rPr>
          <w:lang w:val="es-CO" w:eastAsia="en-US"/>
        </w:rPr>
        <w:lastRenderedPageBreak/>
        <w:t>desde el sistema de información que administra el DUE, donde se evidencie la actualización de acuerdo con el acto administrativo del DUE, reporte trimestral de validaciones del MEN: Evidenciar al finalizar reducción de al menos 90% en el número de inconsistencias en los sistemas de información (SINEB-DUE-HUMANO y SIMAT) y cuadro comparativo entre lo reportado en DUE, HUMANO, SIMAT y en el acto administrativo de distribución de planta.</w:t>
      </w:r>
    </w:p>
    <w:p w14:paraId="09DDEF8F" w14:textId="77777777" w:rsidR="000C6BE9" w:rsidRDefault="000C6BE9" w:rsidP="000C6BE9">
      <w:pPr>
        <w:jc w:val="both"/>
        <w:rPr>
          <w:rFonts w:cs="Arial"/>
          <w:lang w:val="es-CO" w:eastAsia="en-US"/>
        </w:rPr>
      </w:pPr>
    </w:p>
    <w:p w14:paraId="223C074F" w14:textId="77777777" w:rsidR="000C6BE9" w:rsidRDefault="000C6BE9" w:rsidP="000C6BE9">
      <w:pPr>
        <w:rPr>
          <w:b/>
          <w:lang w:val="es-CO" w:eastAsia="en-US"/>
        </w:rPr>
      </w:pPr>
      <w:r>
        <w:rPr>
          <w:b/>
          <w:lang w:val="es-CO" w:eastAsia="en-US"/>
        </w:rPr>
        <w:t>Evaluación</w:t>
      </w:r>
    </w:p>
    <w:p w14:paraId="73F12AAD"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val="es-CO" w:eastAsia="es-CO"/>
        </w:rPr>
        <w:t> </w:t>
      </w:r>
    </w:p>
    <w:p w14:paraId="05FF2BE8"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eastAsia="es-CO"/>
        </w:rPr>
        <w:t>El Municipio de Santa Cruz de Lorica, mediante oficio con radicado 1-2022-062872 del 4 de agosto de 2022, remitió a esta Dirección una nota indicando que no cuentan con el Acto administrativo de definición del Directorio Único de Establecimientos – DUE, el cual están elaborando, en el mismo expediente hacen envío del listado en EXCEL de 31 Establecimientos Educativos activos del sector Oficial del Municipio.</w:t>
      </w:r>
    </w:p>
    <w:p w14:paraId="29441CE7"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val="es-CO" w:eastAsia="es-CO"/>
        </w:rPr>
        <w:t> </w:t>
      </w:r>
    </w:p>
    <w:p w14:paraId="3515978B" w14:textId="77777777" w:rsidR="000C6BE9" w:rsidRDefault="000C6BE9" w:rsidP="000C6BE9">
      <w:pPr>
        <w:jc w:val="both"/>
        <w:textAlignment w:val="baseline"/>
        <w:rPr>
          <w:rFonts w:eastAsia="Times New Roman" w:cs="Arial"/>
          <w:szCs w:val="22"/>
          <w:lang w:eastAsia="es-CO"/>
        </w:rPr>
      </w:pPr>
      <w:r>
        <w:rPr>
          <w:rFonts w:eastAsia="Times New Roman" w:cs="Arial"/>
          <w:szCs w:val="22"/>
          <w:lang w:eastAsia="es-CO"/>
        </w:rPr>
        <w:t>Así mismo, la Entidad Territorial radicó mediante oficio 1-2022-062872 del 4 de agosto de 2022 en la Sede Electrónica los reportes generados desde el sistema de información que administra el DUE, donde se evidencia el cierre temporal de algunos establecimientos educativos. De igual manera, remitieron el cuadro comparativo entre lo reportado en DUE, HUMANO, SIMAT.</w:t>
      </w:r>
    </w:p>
    <w:p w14:paraId="1863903B" w14:textId="77777777" w:rsidR="000C6BE9" w:rsidRDefault="000C6BE9" w:rsidP="000C6BE9">
      <w:pPr>
        <w:jc w:val="both"/>
        <w:textAlignment w:val="baseline"/>
        <w:rPr>
          <w:rFonts w:eastAsiaTheme="minorHAnsi" w:cs="Arial"/>
          <w:lang w:val="es-CO" w:eastAsia="en-US"/>
        </w:rPr>
      </w:pPr>
    </w:p>
    <w:p w14:paraId="3EA0EE04" w14:textId="77777777" w:rsidR="000C6BE9" w:rsidRDefault="000C6BE9" w:rsidP="000C6BE9">
      <w:pPr>
        <w:jc w:val="both"/>
        <w:textAlignment w:val="baseline"/>
        <w:rPr>
          <w:rFonts w:eastAsia="Times New Roman" w:cs="Arial"/>
          <w:szCs w:val="22"/>
          <w:lang w:val="es-CO" w:eastAsia="es-CO"/>
        </w:rPr>
      </w:pPr>
      <w:r>
        <w:rPr>
          <w:rFonts w:eastAsia="Times New Roman" w:cs="Arial"/>
          <w:szCs w:val="22"/>
          <w:lang w:eastAsia="es-CO"/>
        </w:rPr>
        <w:t>Una vez revisados dichos documentos, esta Dirección concluyó que las validaciones realizadas por el Ministerio de Educación Nacional al Municipio de Santa Cruz de Lorica frente al DUE, de conformidad con el último reporte suministrado por el MEN en julio de 2022, solicitado por la Dirección de Apoyo Fiscal mediante radicado del 29 de marzo 2-2022-013262, arroja los siguientes errores por validación, los cuales coinciden con el reporte enviado por la Entidad:</w:t>
      </w:r>
      <w:r>
        <w:rPr>
          <w:rFonts w:eastAsia="Times New Roman" w:cs="Arial"/>
          <w:szCs w:val="22"/>
          <w:lang w:val="es-CO" w:eastAsia="es-CO"/>
        </w:rPr>
        <w:t> </w:t>
      </w:r>
    </w:p>
    <w:p w14:paraId="3ED7ED57" w14:textId="77777777" w:rsidR="000C6BE9" w:rsidRDefault="000C6BE9" w:rsidP="000C6BE9">
      <w:pPr>
        <w:jc w:val="both"/>
        <w:textAlignment w:val="baseline"/>
        <w:rPr>
          <w:rFonts w:eastAsia="Times New Roman" w:cs="Arial"/>
          <w:szCs w:val="22"/>
          <w:lang w:val="es-CO" w:eastAsia="es-CO"/>
        </w:rPr>
      </w:pPr>
    </w:p>
    <w:tbl>
      <w:tblPr>
        <w:tblW w:w="4450" w:type="pct"/>
        <w:jc w:val="center"/>
        <w:tblCellMar>
          <w:left w:w="70" w:type="dxa"/>
          <w:right w:w="70" w:type="dxa"/>
        </w:tblCellMar>
        <w:tblLook w:val="04A0" w:firstRow="1" w:lastRow="0" w:firstColumn="1" w:lastColumn="0" w:noHBand="0" w:noVBand="1"/>
      </w:tblPr>
      <w:tblGrid>
        <w:gridCol w:w="638"/>
        <w:gridCol w:w="841"/>
        <w:gridCol w:w="841"/>
        <w:gridCol w:w="841"/>
        <w:gridCol w:w="841"/>
        <w:gridCol w:w="841"/>
        <w:gridCol w:w="841"/>
        <w:gridCol w:w="841"/>
        <w:gridCol w:w="841"/>
        <w:gridCol w:w="841"/>
        <w:gridCol w:w="475"/>
      </w:tblGrid>
      <w:tr w:rsidR="000C6BE9" w14:paraId="5D666DDB" w14:textId="77777777" w:rsidTr="000C6BE9">
        <w:trPr>
          <w:trHeight w:val="20"/>
          <w:jc w:val="center"/>
        </w:trPr>
        <w:tc>
          <w:tcPr>
            <w:tcW w:w="5000" w:type="pct"/>
            <w:gridSpan w:val="11"/>
            <w:tcBorders>
              <w:top w:val="single" w:sz="8" w:space="0" w:color="auto"/>
              <w:left w:val="single" w:sz="8" w:space="0" w:color="auto"/>
              <w:bottom w:val="nil"/>
              <w:right w:val="single" w:sz="8" w:space="0" w:color="000000"/>
            </w:tcBorders>
            <w:vAlign w:val="center"/>
            <w:hideMark/>
          </w:tcPr>
          <w:p w14:paraId="7CB8ECEE"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VALIDACIONES DUE - SINEB - DUE - SIMAT - HUMANO CORTE JULIO 2022 </w:t>
            </w:r>
          </w:p>
        </w:tc>
      </w:tr>
      <w:tr w:rsidR="000C6BE9" w14:paraId="6098C0E5" w14:textId="77777777" w:rsidTr="000C6BE9">
        <w:trPr>
          <w:trHeight w:val="20"/>
          <w:jc w:val="center"/>
        </w:trPr>
        <w:tc>
          <w:tcPr>
            <w:tcW w:w="440" w:type="pct"/>
            <w:tcBorders>
              <w:top w:val="single" w:sz="8" w:space="0" w:color="auto"/>
              <w:left w:val="single" w:sz="8" w:space="0" w:color="auto"/>
              <w:bottom w:val="single" w:sz="8" w:space="0" w:color="auto"/>
              <w:right w:val="single" w:sz="8" w:space="0" w:color="auto"/>
            </w:tcBorders>
            <w:shd w:val="clear" w:color="auto" w:fill="4472C4"/>
            <w:vAlign w:val="center"/>
            <w:hideMark/>
          </w:tcPr>
          <w:p w14:paraId="3D914D17"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Criterio</w:t>
            </w:r>
          </w:p>
        </w:tc>
        <w:tc>
          <w:tcPr>
            <w:tcW w:w="448" w:type="pct"/>
            <w:tcBorders>
              <w:top w:val="single" w:sz="8" w:space="0" w:color="auto"/>
              <w:left w:val="nil"/>
              <w:bottom w:val="single" w:sz="8" w:space="0" w:color="auto"/>
              <w:right w:val="single" w:sz="8" w:space="0" w:color="auto"/>
            </w:tcBorders>
            <w:shd w:val="clear" w:color="auto" w:fill="4472C4"/>
            <w:vAlign w:val="center"/>
            <w:hideMark/>
          </w:tcPr>
          <w:p w14:paraId="0A473FBA"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Validación 1</w:t>
            </w:r>
            <w:r>
              <w:rPr>
                <w:rFonts w:eastAsia="Times New Roman" w:cs="Arial"/>
                <w:color w:val="FFFFFF"/>
                <w:sz w:val="14"/>
                <w:szCs w:val="14"/>
                <w:lang w:val="es-CO" w:eastAsia="es-CO"/>
              </w:rPr>
              <w:t> </w:t>
            </w:r>
          </w:p>
        </w:tc>
        <w:tc>
          <w:tcPr>
            <w:tcW w:w="446" w:type="pct"/>
            <w:tcBorders>
              <w:top w:val="single" w:sz="8" w:space="0" w:color="auto"/>
              <w:left w:val="nil"/>
              <w:bottom w:val="single" w:sz="8" w:space="0" w:color="auto"/>
              <w:right w:val="single" w:sz="8" w:space="0" w:color="auto"/>
            </w:tcBorders>
            <w:shd w:val="clear" w:color="auto" w:fill="4472C4"/>
            <w:vAlign w:val="center"/>
            <w:hideMark/>
          </w:tcPr>
          <w:p w14:paraId="6A648A46"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Validación 2</w:t>
            </w:r>
            <w:r>
              <w:rPr>
                <w:rFonts w:eastAsia="Times New Roman" w:cs="Arial"/>
                <w:color w:val="FFFFFF"/>
                <w:sz w:val="14"/>
                <w:szCs w:val="14"/>
                <w:lang w:val="es-CO" w:eastAsia="es-CO"/>
              </w:rPr>
              <w:t> </w:t>
            </w:r>
          </w:p>
        </w:tc>
        <w:tc>
          <w:tcPr>
            <w:tcW w:w="445" w:type="pct"/>
            <w:tcBorders>
              <w:top w:val="single" w:sz="8" w:space="0" w:color="auto"/>
              <w:left w:val="nil"/>
              <w:bottom w:val="single" w:sz="8" w:space="0" w:color="auto"/>
              <w:right w:val="single" w:sz="8" w:space="0" w:color="auto"/>
            </w:tcBorders>
            <w:shd w:val="clear" w:color="auto" w:fill="4472C4"/>
            <w:vAlign w:val="center"/>
            <w:hideMark/>
          </w:tcPr>
          <w:p w14:paraId="2E19991D"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Validación 3</w:t>
            </w:r>
            <w:r>
              <w:rPr>
                <w:rFonts w:eastAsia="Times New Roman" w:cs="Arial"/>
                <w:color w:val="FFFFFF"/>
                <w:sz w:val="14"/>
                <w:szCs w:val="14"/>
                <w:lang w:val="es-CO" w:eastAsia="es-CO"/>
              </w:rPr>
              <w:t> </w:t>
            </w:r>
          </w:p>
        </w:tc>
        <w:tc>
          <w:tcPr>
            <w:tcW w:w="446" w:type="pct"/>
            <w:tcBorders>
              <w:top w:val="single" w:sz="8" w:space="0" w:color="auto"/>
              <w:left w:val="nil"/>
              <w:bottom w:val="single" w:sz="8" w:space="0" w:color="auto"/>
              <w:right w:val="single" w:sz="8" w:space="0" w:color="auto"/>
            </w:tcBorders>
            <w:shd w:val="clear" w:color="auto" w:fill="4472C4"/>
            <w:vAlign w:val="center"/>
            <w:hideMark/>
          </w:tcPr>
          <w:p w14:paraId="2713C6C7"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Validación 4</w:t>
            </w:r>
            <w:r>
              <w:rPr>
                <w:rFonts w:eastAsia="Times New Roman" w:cs="Arial"/>
                <w:color w:val="FFFFFF"/>
                <w:sz w:val="14"/>
                <w:szCs w:val="14"/>
                <w:lang w:val="es-CO" w:eastAsia="es-CO"/>
              </w:rPr>
              <w:t> </w:t>
            </w:r>
          </w:p>
        </w:tc>
        <w:tc>
          <w:tcPr>
            <w:tcW w:w="449" w:type="pct"/>
            <w:tcBorders>
              <w:top w:val="single" w:sz="8" w:space="0" w:color="auto"/>
              <w:left w:val="nil"/>
              <w:bottom w:val="single" w:sz="8" w:space="0" w:color="auto"/>
              <w:right w:val="single" w:sz="8" w:space="0" w:color="auto"/>
            </w:tcBorders>
            <w:shd w:val="clear" w:color="auto" w:fill="4472C4"/>
            <w:vAlign w:val="center"/>
            <w:hideMark/>
          </w:tcPr>
          <w:p w14:paraId="3CBD8095"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Validación 5</w:t>
            </w:r>
            <w:r>
              <w:rPr>
                <w:rFonts w:eastAsia="Times New Roman" w:cs="Arial"/>
                <w:color w:val="FFFFFF"/>
                <w:sz w:val="14"/>
                <w:szCs w:val="14"/>
                <w:lang w:val="es-CO" w:eastAsia="es-CO"/>
              </w:rPr>
              <w:t> </w:t>
            </w:r>
          </w:p>
        </w:tc>
        <w:tc>
          <w:tcPr>
            <w:tcW w:w="447" w:type="pct"/>
            <w:tcBorders>
              <w:top w:val="single" w:sz="8" w:space="0" w:color="auto"/>
              <w:left w:val="nil"/>
              <w:bottom w:val="single" w:sz="8" w:space="0" w:color="auto"/>
              <w:right w:val="single" w:sz="8" w:space="0" w:color="auto"/>
            </w:tcBorders>
            <w:shd w:val="clear" w:color="auto" w:fill="4472C4"/>
            <w:vAlign w:val="center"/>
            <w:hideMark/>
          </w:tcPr>
          <w:p w14:paraId="4CFAA820"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Validación 6</w:t>
            </w:r>
            <w:r>
              <w:rPr>
                <w:rFonts w:eastAsia="Times New Roman" w:cs="Arial"/>
                <w:color w:val="FFFFFF"/>
                <w:sz w:val="14"/>
                <w:szCs w:val="14"/>
                <w:lang w:val="es-CO" w:eastAsia="es-CO"/>
              </w:rPr>
              <w:t> </w:t>
            </w:r>
          </w:p>
        </w:tc>
        <w:tc>
          <w:tcPr>
            <w:tcW w:w="447" w:type="pct"/>
            <w:tcBorders>
              <w:top w:val="single" w:sz="8" w:space="0" w:color="auto"/>
              <w:left w:val="nil"/>
              <w:bottom w:val="single" w:sz="8" w:space="0" w:color="auto"/>
              <w:right w:val="single" w:sz="8" w:space="0" w:color="auto"/>
            </w:tcBorders>
            <w:shd w:val="clear" w:color="auto" w:fill="4472C4"/>
            <w:vAlign w:val="center"/>
            <w:hideMark/>
          </w:tcPr>
          <w:p w14:paraId="47109EDA"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Validación 7</w:t>
            </w:r>
            <w:r>
              <w:rPr>
                <w:rFonts w:eastAsia="Times New Roman" w:cs="Arial"/>
                <w:color w:val="FFFFFF"/>
                <w:sz w:val="14"/>
                <w:szCs w:val="14"/>
                <w:lang w:val="es-CO" w:eastAsia="es-CO"/>
              </w:rPr>
              <w:t> </w:t>
            </w:r>
          </w:p>
        </w:tc>
        <w:tc>
          <w:tcPr>
            <w:tcW w:w="447" w:type="pct"/>
            <w:tcBorders>
              <w:top w:val="single" w:sz="8" w:space="0" w:color="auto"/>
              <w:left w:val="nil"/>
              <w:bottom w:val="single" w:sz="8" w:space="0" w:color="auto"/>
              <w:right w:val="single" w:sz="8" w:space="0" w:color="auto"/>
            </w:tcBorders>
            <w:shd w:val="clear" w:color="auto" w:fill="4472C4"/>
            <w:vAlign w:val="center"/>
            <w:hideMark/>
          </w:tcPr>
          <w:p w14:paraId="63AAF91E"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Validación 8</w:t>
            </w:r>
            <w:r>
              <w:rPr>
                <w:rFonts w:eastAsia="Times New Roman" w:cs="Arial"/>
                <w:color w:val="FFFFFF"/>
                <w:sz w:val="14"/>
                <w:szCs w:val="14"/>
                <w:lang w:val="es-CO" w:eastAsia="es-CO"/>
              </w:rPr>
              <w:t> </w:t>
            </w:r>
          </w:p>
        </w:tc>
        <w:tc>
          <w:tcPr>
            <w:tcW w:w="447" w:type="pct"/>
            <w:tcBorders>
              <w:top w:val="single" w:sz="8" w:space="0" w:color="auto"/>
              <w:left w:val="nil"/>
              <w:bottom w:val="single" w:sz="8" w:space="0" w:color="auto"/>
              <w:right w:val="single" w:sz="4" w:space="0" w:color="000000"/>
            </w:tcBorders>
            <w:shd w:val="clear" w:color="auto" w:fill="4472C4"/>
            <w:vAlign w:val="center"/>
            <w:hideMark/>
          </w:tcPr>
          <w:p w14:paraId="3123F1A1"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Validación 9</w:t>
            </w:r>
            <w:r>
              <w:rPr>
                <w:rFonts w:eastAsia="Times New Roman" w:cs="Arial"/>
                <w:color w:val="FFFFFF"/>
                <w:sz w:val="14"/>
                <w:szCs w:val="14"/>
                <w:lang w:val="es-CO" w:eastAsia="es-CO"/>
              </w:rPr>
              <w:t> </w:t>
            </w:r>
          </w:p>
        </w:tc>
        <w:tc>
          <w:tcPr>
            <w:tcW w:w="537" w:type="pct"/>
            <w:tcBorders>
              <w:top w:val="single" w:sz="8" w:space="0" w:color="auto"/>
              <w:left w:val="nil"/>
              <w:bottom w:val="single" w:sz="8" w:space="0" w:color="auto"/>
              <w:right w:val="single" w:sz="8" w:space="0" w:color="auto"/>
            </w:tcBorders>
            <w:shd w:val="clear" w:color="auto" w:fill="4472C4"/>
            <w:vAlign w:val="center"/>
            <w:hideMark/>
          </w:tcPr>
          <w:p w14:paraId="4AF97F62" w14:textId="77777777" w:rsidR="000C6BE9" w:rsidRDefault="000C6BE9">
            <w:pPr>
              <w:jc w:val="center"/>
              <w:rPr>
                <w:rFonts w:eastAsia="Times New Roman" w:cs="Arial"/>
                <w:b/>
                <w:color w:val="FFFFFF"/>
                <w:sz w:val="14"/>
                <w:szCs w:val="14"/>
                <w:lang w:val="es-CO" w:eastAsia="es-CO"/>
              </w:rPr>
            </w:pPr>
            <w:r>
              <w:rPr>
                <w:rFonts w:eastAsia="Times New Roman" w:cs="Arial"/>
                <w:b/>
                <w:color w:val="FFFFFF"/>
                <w:sz w:val="14"/>
                <w:szCs w:val="14"/>
                <w:lang w:val="es-CO" w:eastAsia="es-CO"/>
              </w:rPr>
              <w:t>Total</w:t>
            </w:r>
          </w:p>
        </w:tc>
      </w:tr>
      <w:tr w:rsidR="000C6BE9" w14:paraId="0976E06D" w14:textId="77777777" w:rsidTr="000C6BE9">
        <w:trPr>
          <w:trHeight w:val="20"/>
          <w:jc w:val="center"/>
        </w:trPr>
        <w:tc>
          <w:tcPr>
            <w:tcW w:w="440" w:type="pct"/>
            <w:tcBorders>
              <w:top w:val="nil"/>
              <w:left w:val="single" w:sz="8" w:space="0" w:color="auto"/>
              <w:bottom w:val="single" w:sz="8" w:space="0" w:color="auto"/>
              <w:right w:val="single" w:sz="8" w:space="0" w:color="auto"/>
            </w:tcBorders>
            <w:shd w:val="clear" w:color="auto" w:fill="D9E1F2"/>
            <w:vAlign w:val="center"/>
            <w:hideMark/>
          </w:tcPr>
          <w:p w14:paraId="5F2CF96A" w14:textId="77777777" w:rsidR="000C6BE9" w:rsidRDefault="000C6BE9">
            <w:pPr>
              <w:rPr>
                <w:rFonts w:eastAsia="Times New Roman" w:cs="Arial"/>
                <w:color w:val="000000"/>
                <w:sz w:val="14"/>
                <w:szCs w:val="14"/>
                <w:lang w:val="es-CO" w:eastAsia="es-CO"/>
              </w:rPr>
            </w:pPr>
            <w:r>
              <w:rPr>
                <w:rFonts w:eastAsia="Times New Roman" w:cs="Arial"/>
                <w:color w:val="000000"/>
                <w:sz w:val="14"/>
                <w:szCs w:val="14"/>
                <w:lang w:val="es-CO" w:eastAsia="es-CO"/>
              </w:rPr>
              <w:t>Válido </w:t>
            </w:r>
          </w:p>
        </w:tc>
        <w:tc>
          <w:tcPr>
            <w:tcW w:w="448" w:type="pct"/>
            <w:tcBorders>
              <w:top w:val="nil"/>
              <w:left w:val="nil"/>
              <w:bottom w:val="single" w:sz="8" w:space="0" w:color="auto"/>
              <w:right w:val="single" w:sz="8" w:space="0" w:color="auto"/>
            </w:tcBorders>
            <w:shd w:val="clear" w:color="auto" w:fill="D9E1F2"/>
            <w:vAlign w:val="center"/>
            <w:hideMark/>
          </w:tcPr>
          <w:p w14:paraId="5B694ABF"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120</w:t>
            </w:r>
          </w:p>
        </w:tc>
        <w:tc>
          <w:tcPr>
            <w:tcW w:w="446" w:type="pct"/>
            <w:tcBorders>
              <w:top w:val="nil"/>
              <w:left w:val="nil"/>
              <w:bottom w:val="single" w:sz="8" w:space="0" w:color="auto"/>
              <w:right w:val="single" w:sz="8" w:space="0" w:color="auto"/>
            </w:tcBorders>
            <w:shd w:val="clear" w:color="auto" w:fill="D9E1F2"/>
            <w:vAlign w:val="center"/>
            <w:hideMark/>
          </w:tcPr>
          <w:p w14:paraId="71656929"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135</w:t>
            </w:r>
          </w:p>
        </w:tc>
        <w:tc>
          <w:tcPr>
            <w:tcW w:w="445" w:type="pct"/>
            <w:tcBorders>
              <w:top w:val="nil"/>
              <w:left w:val="nil"/>
              <w:bottom w:val="single" w:sz="8" w:space="0" w:color="auto"/>
              <w:right w:val="single" w:sz="8" w:space="0" w:color="auto"/>
            </w:tcBorders>
            <w:shd w:val="clear" w:color="auto" w:fill="D9E1F2"/>
            <w:vAlign w:val="center"/>
            <w:hideMark/>
          </w:tcPr>
          <w:p w14:paraId="5A8039B0"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133</w:t>
            </w:r>
          </w:p>
        </w:tc>
        <w:tc>
          <w:tcPr>
            <w:tcW w:w="446" w:type="pct"/>
            <w:tcBorders>
              <w:top w:val="nil"/>
              <w:left w:val="nil"/>
              <w:bottom w:val="single" w:sz="8" w:space="0" w:color="auto"/>
              <w:right w:val="single" w:sz="8" w:space="0" w:color="auto"/>
            </w:tcBorders>
            <w:shd w:val="clear" w:color="auto" w:fill="D9E1F2"/>
            <w:vAlign w:val="center"/>
            <w:hideMark/>
          </w:tcPr>
          <w:p w14:paraId="0431EF15"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133</w:t>
            </w:r>
          </w:p>
        </w:tc>
        <w:tc>
          <w:tcPr>
            <w:tcW w:w="449" w:type="pct"/>
            <w:tcBorders>
              <w:top w:val="nil"/>
              <w:left w:val="nil"/>
              <w:bottom w:val="single" w:sz="8" w:space="0" w:color="auto"/>
              <w:right w:val="single" w:sz="8" w:space="0" w:color="auto"/>
            </w:tcBorders>
            <w:shd w:val="clear" w:color="auto" w:fill="D9E1F2"/>
            <w:vAlign w:val="center"/>
            <w:hideMark/>
          </w:tcPr>
          <w:p w14:paraId="0AAD9973"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135</w:t>
            </w:r>
          </w:p>
        </w:tc>
        <w:tc>
          <w:tcPr>
            <w:tcW w:w="447" w:type="pct"/>
            <w:tcBorders>
              <w:top w:val="nil"/>
              <w:left w:val="nil"/>
              <w:bottom w:val="single" w:sz="8" w:space="0" w:color="auto"/>
              <w:right w:val="single" w:sz="8" w:space="0" w:color="auto"/>
            </w:tcBorders>
            <w:shd w:val="clear" w:color="auto" w:fill="D9E1F2"/>
            <w:vAlign w:val="center"/>
            <w:hideMark/>
          </w:tcPr>
          <w:p w14:paraId="40E499AF"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135</w:t>
            </w:r>
          </w:p>
        </w:tc>
        <w:tc>
          <w:tcPr>
            <w:tcW w:w="447" w:type="pct"/>
            <w:tcBorders>
              <w:top w:val="nil"/>
              <w:left w:val="nil"/>
              <w:bottom w:val="single" w:sz="8" w:space="0" w:color="auto"/>
              <w:right w:val="single" w:sz="8" w:space="0" w:color="auto"/>
            </w:tcBorders>
            <w:shd w:val="clear" w:color="auto" w:fill="D9E1F2"/>
            <w:vAlign w:val="center"/>
            <w:hideMark/>
          </w:tcPr>
          <w:p w14:paraId="1CE89E4D"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132</w:t>
            </w:r>
          </w:p>
        </w:tc>
        <w:tc>
          <w:tcPr>
            <w:tcW w:w="447" w:type="pct"/>
            <w:tcBorders>
              <w:top w:val="nil"/>
              <w:left w:val="nil"/>
              <w:bottom w:val="single" w:sz="8" w:space="0" w:color="auto"/>
              <w:right w:val="single" w:sz="8" w:space="0" w:color="auto"/>
            </w:tcBorders>
            <w:shd w:val="clear" w:color="auto" w:fill="D9E1F2"/>
            <w:vAlign w:val="center"/>
            <w:hideMark/>
          </w:tcPr>
          <w:p w14:paraId="230DADA4"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132</w:t>
            </w:r>
          </w:p>
        </w:tc>
        <w:tc>
          <w:tcPr>
            <w:tcW w:w="447" w:type="pct"/>
            <w:tcBorders>
              <w:top w:val="nil"/>
              <w:left w:val="nil"/>
              <w:bottom w:val="single" w:sz="8" w:space="0" w:color="auto"/>
              <w:right w:val="single" w:sz="8" w:space="0" w:color="auto"/>
            </w:tcBorders>
            <w:shd w:val="clear" w:color="auto" w:fill="D9E1F2"/>
            <w:vAlign w:val="center"/>
            <w:hideMark/>
          </w:tcPr>
          <w:p w14:paraId="5ECB32DC"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133</w:t>
            </w:r>
          </w:p>
        </w:tc>
        <w:tc>
          <w:tcPr>
            <w:tcW w:w="537" w:type="pct"/>
            <w:tcBorders>
              <w:top w:val="nil"/>
              <w:left w:val="nil"/>
              <w:bottom w:val="single" w:sz="8" w:space="0" w:color="auto"/>
              <w:right w:val="single" w:sz="8" w:space="0" w:color="auto"/>
            </w:tcBorders>
            <w:shd w:val="clear" w:color="auto" w:fill="D9E1F2"/>
            <w:vAlign w:val="center"/>
            <w:hideMark/>
          </w:tcPr>
          <w:p w14:paraId="346B0A4C"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1188</w:t>
            </w:r>
          </w:p>
        </w:tc>
      </w:tr>
      <w:tr w:rsidR="000C6BE9" w14:paraId="57133771" w14:textId="77777777" w:rsidTr="000C6BE9">
        <w:trPr>
          <w:trHeight w:val="20"/>
          <w:jc w:val="center"/>
        </w:trPr>
        <w:tc>
          <w:tcPr>
            <w:tcW w:w="440" w:type="pct"/>
            <w:tcBorders>
              <w:top w:val="nil"/>
              <w:left w:val="single" w:sz="8" w:space="0" w:color="auto"/>
              <w:bottom w:val="single" w:sz="8" w:space="0" w:color="auto"/>
              <w:right w:val="single" w:sz="8" w:space="0" w:color="auto"/>
            </w:tcBorders>
            <w:vAlign w:val="center"/>
            <w:hideMark/>
          </w:tcPr>
          <w:p w14:paraId="308C6EC5" w14:textId="77777777" w:rsidR="000C6BE9" w:rsidRDefault="000C6BE9">
            <w:pPr>
              <w:rPr>
                <w:rFonts w:eastAsia="Times New Roman" w:cs="Arial"/>
                <w:color w:val="000000"/>
                <w:sz w:val="14"/>
                <w:szCs w:val="14"/>
                <w:lang w:val="es-CO" w:eastAsia="es-CO"/>
              </w:rPr>
            </w:pPr>
            <w:r>
              <w:rPr>
                <w:rFonts w:eastAsia="Times New Roman" w:cs="Arial"/>
                <w:color w:val="000000"/>
                <w:sz w:val="14"/>
                <w:szCs w:val="14"/>
                <w:lang w:val="es-CO" w:eastAsia="es-CO"/>
              </w:rPr>
              <w:t>No Válido </w:t>
            </w:r>
          </w:p>
        </w:tc>
        <w:tc>
          <w:tcPr>
            <w:tcW w:w="448" w:type="pct"/>
            <w:tcBorders>
              <w:top w:val="nil"/>
              <w:left w:val="nil"/>
              <w:bottom w:val="single" w:sz="8" w:space="0" w:color="auto"/>
              <w:right w:val="single" w:sz="8" w:space="0" w:color="auto"/>
            </w:tcBorders>
            <w:shd w:val="clear" w:color="auto" w:fill="D9E1F2"/>
            <w:vAlign w:val="center"/>
            <w:hideMark/>
          </w:tcPr>
          <w:p w14:paraId="168245C0"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15</w:t>
            </w:r>
          </w:p>
        </w:tc>
        <w:tc>
          <w:tcPr>
            <w:tcW w:w="446" w:type="pct"/>
            <w:tcBorders>
              <w:top w:val="nil"/>
              <w:left w:val="nil"/>
              <w:bottom w:val="single" w:sz="8" w:space="0" w:color="auto"/>
              <w:right w:val="single" w:sz="8" w:space="0" w:color="auto"/>
            </w:tcBorders>
            <w:shd w:val="clear" w:color="auto" w:fill="D9E1F2"/>
            <w:vAlign w:val="center"/>
            <w:hideMark/>
          </w:tcPr>
          <w:p w14:paraId="1EBA837C"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0</w:t>
            </w:r>
          </w:p>
        </w:tc>
        <w:tc>
          <w:tcPr>
            <w:tcW w:w="445" w:type="pct"/>
            <w:tcBorders>
              <w:top w:val="nil"/>
              <w:left w:val="nil"/>
              <w:bottom w:val="single" w:sz="8" w:space="0" w:color="auto"/>
              <w:right w:val="single" w:sz="8" w:space="0" w:color="auto"/>
            </w:tcBorders>
            <w:shd w:val="clear" w:color="auto" w:fill="D9E1F2"/>
            <w:vAlign w:val="center"/>
            <w:hideMark/>
          </w:tcPr>
          <w:p w14:paraId="7452F061"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2</w:t>
            </w:r>
          </w:p>
        </w:tc>
        <w:tc>
          <w:tcPr>
            <w:tcW w:w="446" w:type="pct"/>
            <w:tcBorders>
              <w:top w:val="nil"/>
              <w:left w:val="nil"/>
              <w:bottom w:val="single" w:sz="8" w:space="0" w:color="auto"/>
              <w:right w:val="single" w:sz="8" w:space="0" w:color="auto"/>
            </w:tcBorders>
            <w:shd w:val="clear" w:color="auto" w:fill="D9E1F2"/>
            <w:vAlign w:val="center"/>
            <w:hideMark/>
          </w:tcPr>
          <w:p w14:paraId="2CDCAC41"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2</w:t>
            </w:r>
          </w:p>
        </w:tc>
        <w:tc>
          <w:tcPr>
            <w:tcW w:w="449" w:type="pct"/>
            <w:tcBorders>
              <w:top w:val="nil"/>
              <w:left w:val="nil"/>
              <w:bottom w:val="single" w:sz="8" w:space="0" w:color="auto"/>
              <w:right w:val="single" w:sz="8" w:space="0" w:color="auto"/>
            </w:tcBorders>
            <w:shd w:val="clear" w:color="auto" w:fill="D9E1F2"/>
            <w:vAlign w:val="center"/>
            <w:hideMark/>
          </w:tcPr>
          <w:p w14:paraId="28C90C90"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0</w:t>
            </w:r>
          </w:p>
        </w:tc>
        <w:tc>
          <w:tcPr>
            <w:tcW w:w="447" w:type="pct"/>
            <w:tcBorders>
              <w:top w:val="nil"/>
              <w:left w:val="nil"/>
              <w:bottom w:val="single" w:sz="8" w:space="0" w:color="auto"/>
              <w:right w:val="single" w:sz="8" w:space="0" w:color="auto"/>
            </w:tcBorders>
            <w:shd w:val="clear" w:color="auto" w:fill="D9E1F2"/>
            <w:vAlign w:val="center"/>
            <w:hideMark/>
          </w:tcPr>
          <w:p w14:paraId="43F3A6B6"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0</w:t>
            </w:r>
          </w:p>
        </w:tc>
        <w:tc>
          <w:tcPr>
            <w:tcW w:w="447" w:type="pct"/>
            <w:tcBorders>
              <w:top w:val="nil"/>
              <w:left w:val="nil"/>
              <w:bottom w:val="single" w:sz="8" w:space="0" w:color="auto"/>
              <w:right w:val="single" w:sz="8" w:space="0" w:color="auto"/>
            </w:tcBorders>
            <w:shd w:val="clear" w:color="auto" w:fill="D9E1F2"/>
            <w:vAlign w:val="center"/>
            <w:hideMark/>
          </w:tcPr>
          <w:p w14:paraId="754F6902"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3</w:t>
            </w:r>
          </w:p>
        </w:tc>
        <w:tc>
          <w:tcPr>
            <w:tcW w:w="447" w:type="pct"/>
            <w:tcBorders>
              <w:top w:val="nil"/>
              <w:left w:val="nil"/>
              <w:bottom w:val="single" w:sz="8" w:space="0" w:color="auto"/>
              <w:right w:val="single" w:sz="8" w:space="0" w:color="auto"/>
            </w:tcBorders>
            <w:shd w:val="clear" w:color="auto" w:fill="D9E1F2"/>
            <w:vAlign w:val="center"/>
            <w:hideMark/>
          </w:tcPr>
          <w:p w14:paraId="027C6A37"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3</w:t>
            </w:r>
          </w:p>
        </w:tc>
        <w:tc>
          <w:tcPr>
            <w:tcW w:w="447" w:type="pct"/>
            <w:tcBorders>
              <w:top w:val="nil"/>
              <w:left w:val="nil"/>
              <w:bottom w:val="single" w:sz="8" w:space="0" w:color="auto"/>
              <w:right w:val="single" w:sz="8" w:space="0" w:color="auto"/>
            </w:tcBorders>
            <w:shd w:val="clear" w:color="auto" w:fill="D9E1F2"/>
            <w:vAlign w:val="center"/>
            <w:hideMark/>
          </w:tcPr>
          <w:p w14:paraId="7A037673"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2</w:t>
            </w:r>
          </w:p>
        </w:tc>
        <w:tc>
          <w:tcPr>
            <w:tcW w:w="537" w:type="pct"/>
            <w:tcBorders>
              <w:top w:val="nil"/>
              <w:left w:val="nil"/>
              <w:bottom w:val="single" w:sz="8" w:space="0" w:color="auto"/>
              <w:right w:val="single" w:sz="8" w:space="0" w:color="auto"/>
            </w:tcBorders>
            <w:shd w:val="clear" w:color="auto" w:fill="D9E1F2"/>
            <w:vAlign w:val="center"/>
            <w:hideMark/>
          </w:tcPr>
          <w:p w14:paraId="71E41C01" w14:textId="77777777" w:rsidR="000C6BE9" w:rsidRDefault="000C6BE9">
            <w:pPr>
              <w:jc w:val="center"/>
              <w:rPr>
                <w:rFonts w:eastAsia="Times New Roman" w:cs="Arial"/>
                <w:color w:val="000000"/>
                <w:sz w:val="14"/>
                <w:szCs w:val="14"/>
                <w:lang w:val="es-CO" w:eastAsia="es-CO"/>
              </w:rPr>
            </w:pPr>
            <w:r>
              <w:rPr>
                <w:rFonts w:eastAsia="Times New Roman" w:cs="Arial"/>
                <w:color w:val="000000"/>
                <w:sz w:val="14"/>
                <w:szCs w:val="14"/>
                <w:lang w:val="es-CO" w:eastAsia="es-CO"/>
              </w:rPr>
              <w:t>27</w:t>
            </w:r>
          </w:p>
        </w:tc>
      </w:tr>
      <w:tr w:rsidR="000C6BE9" w14:paraId="50E5ECD0" w14:textId="77777777" w:rsidTr="000C6BE9">
        <w:trPr>
          <w:trHeight w:val="20"/>
          <w:jc w:val="center"/>
        </w:trPr>
        <w:tc>
          <w:tcPr>
            <w:tcW w:w="440" w:type="pct"/>
            <w:tcBorders>
              <w:top w:val="nil"/>
              <w:left w:val="single" w:sz="8" w:space="0" w:color="auto"/>
              <w:bottom w:val="single" w:sz="8" w:space="0" w:color="auto"/>
              <w:right w:val="single" w:sz="8" w:space="0" w:color="auto"/>
            </w:tcBorders>
            <w:shd w:val="clear" w:color="auto" w:fill="D9E1F2"/>
            <w:vAlign w:val="center"/>
            <w:hideMark/>
          </w:tcPr>
          <w:p w14:paraId="1742C53E"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Total</w:t>
            </w:r>
            <w:r>
              <w:rPr>
                <w:rFonts w:eastAsia="Times New Roman" w:cs="Arial"/>
                <w:color w:val="000000"/>
                <w:sz w:val="14"/>
                <w:szCs w:val="14"/>
                <w:lang w:val="es-CO" w:eastAsia="es-CO"/>
              </w:rPr>
              <w:t> </w:t>
            </w:r>
          </w:p>
        </w:tc>
        <w:tc>
          <w:tcPr>
            <w:tcW w:w="448" w:type="pct"/>
            <w:tcBorders>
              <w:top w:val="nil"/>
              <w:left w:val="nil"/>
              <w:bottom w:val="single" w:sz="8" w:space="0" w:color="auto"/>
              <w:right w:val="single" w:sz="8" w:space="0" w:color="auto"/>
            </w:tcBorders>
            <w:shd w:val="clear" w:color="auto" w:fill="D9E1F2"/>
            <w:vAlign w:val="center"/>
            <w:hideMark/>
          </w:tcPr>
          <w:p w14:paraId="7795912B"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135</w:t>
            </w:r>
          </w:p>
        </w:tc>
        <w:tc>
          <w:tcPr>
            <w:tcW w:w="446" w:type="pct"/>
            <w:tcBorders>
              <w:top w:val="nil"/>
              <w:left w:val="nil"/>
              <w:bottom w:val="single" w:sz="8" w:space="0" w:color="auto"/>
              <w:right w:val="single" w:sz="8" w:space="0" w:color="auto"/>
            </w:tcBorders>
            <w:shd w:val="clear" w:color="auto" w:fill="D9E1F2"/>
            <w:vAlign w:val="center"/>
            <w:hideMark/>
          </w:tcPr>
          <w:p w14:paraId="3FEF20EC"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135</w:t>
            </w:r>
          </w:p>
        </w:tc>
        <w:tc>
          <w:tcPr>
            <w:tcW w:w="445" w:type="pct"/>
            <w:tcBorders>
              <w:top w:val="nil"/>
              <w:left w:val="nil"/>
              <w:bottom w:val="single" w:sz="8" w:space="0" w:color="auto"/>
              <w:right w:val="single" w:sz="8" w:space="0" w:color="auto"/>
            </w:tcBorders>
            <w:shd w:val="clear" w:color="auto" w:fill="D9E1F2"/>
            <w:vAlign w:val="center"/>
            <w:hideMark/>
          </w:tcPr>
          <w:p w14:paraId="53CED2C7"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135</w:t>
            </w:r>
          </w:p>
        </w:tc>
        <w:tc>
          <w:tcPr>
            <w:tcW w:w="446" w:type="pct"/>
            <w:tcBorders>
              <w:top w:val="nil"/>
              <w:left w:val="nil"/>
              <w:bottom w:val="single" w:sz="8" w:space="0" w:color="auto"/>
              <w:right w:val="single" w:sz="8" w:space="0" w:color="auto"/>
            </w:tcBorders>
            <w:shd w:val="clear" w:color="auto" w:fill="D9E1F2"/>
            <w:vAlign w:val="center"/>
            <w:hideMark/>
          </w:tcPr>
          <w:p w14:paraId="4078FC5A"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135</w:t>
            </w:r>
          </w:p>
        </w:tc>
        <w:tc>
          <w:tcPr>
            <w:tcW w:w="449" w:type="pct"/>
            <w:tcBorders>
              <w:top w:val="nil"/>
              <w:left w:val="nil"/>
              <w:bottom w:val="single" w:sz="8" w:space="0" w:color="auto"/>
              <w:right w:val="single" w:sz="8" w:space="0" w:color="auto"/>
            </w:tcBorders>
            <w:shd w:val="clear" w:color="auto" w:fill="D9E1F2"/>
            <w:vAlign w:val="center"/>
            <w:hideMark/>
          </w:tcPr>
          <w:p w14:paraId="7C75DD49"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135</w:t>
            </w:r>
          </w:p>
        </w:tc>
        <w:tc>
          <w:tcPr>
            <w:tcW w:w="447" w:type="pct"/>
            <w:tcBorders>
              <w:top w:val="nil"/>
              <w:left w:val="nil"/>
              <w:bottom w:val="single" w:sz="8" w:space="0" w:color="auto"/>
              <w:right w:val="single" w:sz="8" w:space="0" w:color="auto"/>
            </w:tcBorders>
            <w:shd w:val="clear" w:color="auto" w:fill="D9E1F2"/>
            <w:vAlign w:val="center"/>
            <w:hideMark/>
          </w:tcPr>
          <w:p w14:paraId="50B73C7E"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135</w:t>
            </w:r>
          </w:p>
        </w:tc>
        <w:tc>
          <w:tcPr>
            <w:tcW w:w="447" w:type="pct"/>
            <w:tcBorders>
              <w:top w:val="nil"/>
              <w:left w:val="nil"/>
              <w:bottom w:val="single" w:sz="8" w:space="0" w:color="auto"/>
              <w:right w:val="single" w:sz="8" w:space="0" w:color="auto"/>
            </w:tcBorders>
            <w:shd w:val="clear" w:color="auto" w:fill="D9E1F2"/>
            <w:vAlign w:val="center"/>
            <w:hideMark/>
          </w:tcPr>
          <w:p w14:paraId="20989B19"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135</w:t>
            </w:r>
          </w:p>
        </w:tc>
        <w:tc>
          <w:tcPr>
            <w:tcW w:w="447" w:type="pct"/>
            <w:tcBorders>
              <w:top w:val="nil"/>
              <w:left w:val="nil"/>
              <w:bottom w:val="single" w:sz="8" w:space="0" w:color="auto"/>
              <w:right w:val="single" w:sz="8" w:space="0" w:color="auto"/>
            </w:tcBorders>
            <w:shd w:val="clear" w:color="auto" w:fill="D9E1F2"/>
            <w:vAlign w:val="center"/>
            <w:hideMark/>
          </w:tcPr>
          <w:p w14:paraId="1982C216"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135</w:t>
            </w:r>
          </w:p>
        </w:tc>
        <w:tc>
          <w:tcPr>
            <w:tcW w:w="447" w:type="pct"/>
            <w:tcBorders>
              <w:top w:val="nil"/>
              <w:left w:val="nil"/>
              <w:bottom w:val="single" w:sz="8" w:space="0" w:color="auto"/>
              <w:right w:val="single" w:sz="8" w:space="0" w:color="auto"/>
            </w:tcBorders>
            <w:shd w:val="clear" w:color="auto" w:fill="D9E1F2"/>
            <w:vAlign w:val="center"/>
            <w:hideMark/>
          </w:tcPr>
          <w:p w14:paraId="485C7BB7"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135</w:t>
            </w:r>
          </w:p>
        </w:tc>
        <w:tc>
          <w:tcPr>
            <w:tcW w:w="537" w:type="pct"/>
            <w:tcBorders>
              <w:top w:val="nil"/>
              <w:left w:val="nil"/>
              <w:bottom w:val="single" w:sz="8" w:space="0" w:color="auto"/>
              <w:right w:val="single" w:sz="8" w:space="0" w:color="auto"/>
            </w:tcBorders>
            <w:shd w:val="clear" w:color="auto" w:fill="D9E1F2"/>
            <w:vAlign w:val="center"/>
            <w:hideMark/>
          </w:tcPr>
          <w:p w14:paraId="1F02FE63" w14:textId="77777777" w:rsidR="000C6BE9" w:rsidRDefault="000C6BE9">
            <w:pPr>
              <w:jc w:val="center"/>
              <w:rPr>
                <w:rFonts w:eastAsia="Times New Roman" w:cs="Arial"/>
                <w:b/>
                <w:color w:val="000000"/>
                <w:sz w:val="14"/>
                <w:szCs w:val="14"/>
                <w:lang w:val="es-CO" w:eastAsia="es-CO"/>
              </w:rPr>
            </w:pPr>
            <w:r>
              <w:rPr>
                <w:rFonts w:eastAsia="Times New Roman" w:cs="Arial"/>
                <w:b/>
                <w:color w:val="000000"/>
                <w:sz w:val="14"/>
                <w:szCs w:val="14"/>
                <w:lang w:val="es-CO" w:eastAsia="es-CO"/>
              </w:rPr>
              <w:t>1215</w:t>
            </w:r>
          </w:p>
        </w:tc>
      </w:tr>
      <w:tr w:rsidR="000C6BE9" w14:paraId="47B8604B" w14:textId="77777777" w:rsidTr="000C6BE9">
        <w:trPr>
          <w:trHeight w:val="20"/>
          <w:jc w:val="center"/>
        </w:trPr>
        <w:tc>
          <w:tcPr>
            <w:tcW w:w="4463" w:type="pct"/>
            <w:gridSpan w:val="10"/>
            <w:noWrap/>
            <w:vAlign w:val="bottom"/>
            <w:hideMark/>
          </w:tcPr>
          <w:p w14:paraId="1FBAC107" w14:textId="77777777" w:rsidR="000C6BE9" w:rsidRDefault="000C6BE9">
            <w:pPr>
              <w:jc w:val="center"/>
              <w:rPr>
                <w:rFonts w:ascii="Calibri" w:eastAsia="Times New Roman" w:hAnsi="Calibri" w:cs="Calibri"/>
                <w:color w:val="000000"/>
                <w:sz w:val="14"/>
                <w:szCs w:val="14"/>
                <w:lang w:val="es-CO" w:eastAsia="es-CO"/>
              </w:rPr>
            </w:pPr>
            <w:r>
              <w:rPr>
                <w:rFonts w:ascii="Calibri" w:eastAsia="Times New Roman" w:hAnsi="Calibri" w:cs="Calibri"/>
                <w:color w:val="000000"/>
                <w:sz w:val="14"/>
                <w:szCs w:val="14"/>
                <w:lang w:val="es-CO" w:eastAsia="es-CO"/>
              </w:rPr>
              <w:t xml:space="preserve">Fuente: Información enviada por el Ministerio de Educación Nacional </w:t>
            </w:r>
          </w:p>
        </w:tc>
        <w:tc>
          <w:tcPr>
            <w:tcW w:w="537" w:type="pct"/>
            <w:noWrap/>
            <w:vAlign w:val="bottom"/>
            <w:hideMark/>
          </w:tcPr>
          <w:p w14:paraId="5A8BFEBC" w14:textId="77777777" w:rsidR="000C6BE9" w:rsidRDefault="000C6BE9">
            <w:pPr>
              <w:rPr>
                <w:rFonts w:ascii="Calibri" w:eastAsia="Times New Roman" w:hAnsi="Calibri" w:cs="Calibri"/>
                <w:color w:val="000000"/>
                <w:sz w:val="14"/>
                <w:szCs w:val="14"/>
                <w:lang w:val="es-CO" w:eastAsia="es-CO"/>
              </w:rPr>
            </w:pPr>
          </w:p>
        </w:tc>
      </w:tr>
    </w:tbl>
    <w:p w14:paraId="0752E99A"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val="es-CO" w:eastAsia="es-CO"/>
        </w:rPr>
        <w:t> </w:t>
      </w:r>
    </w:p>
    <w:p w14:paraId="12D86FF2" w14:textId="77777777" w:rsidR="000C6BE9" w:rsidRDefault="000C6BE9" w:rsidP="000C6BE9">
      <w:pPr>
        <w:textAlignment w:val="baseline"/>
        <w:rPr>
          <w:rFonts w:eastAsia="Times New Roman" w:cs="Arial"/>
          <w:szCs w:val="22"/>
          <w:lang w:eastAsia="es-CO"/>
        </w:rPr>
      </w:pPr>
      <w:r>
        <w:rPr>
          <w:rFonts w:eastAsia="Times New Roman" w:cs="Arial"/>
          <w:szCs w:val="22"/>
          <w:lang w:eastAsia="es-CO"/>
        </w:rPr>
        <w:t>De acuerdo con el cuadro anterior, se concluye que hay 1.215 registros, de los cuales 27 son no válidos. En el diagnóstico inicial, se identificaron 18 registros no válidos por lo que a la fecha no ha habido reducción en los mismos.</w:t>
      </w:r>
    </w:p>
    <w:p w14:paraId="144B56D5" w14:textId="77777777" w:rsidR="000C6BE9" w:rsidRDefault="000C6BE9" w:rsidP="000C6BE9">
      <w:pPr>
        <w:jc w:val="center"/>
        <w:textAlignment w:val="baseline"/>
        <w:rPr>
          <w:rFonts w:ascii="Segoe UI" w:eastAsia="Times New Roman" w:hAnsi="Segoe UI" w:cs="Segoe UI"/>
          <w:sz w:val="18"/>
          <w:szCs w:val="18"/>
          <w:lang w:val="es-CO" w:eastAsia="es-CO"/>
        </w:rPr>
      </w:pPr>
      <w:r>
        <w:rPr>
          <w:rFonts w:eastAsia="Times New Roman" w:cs="Arial"/>
          <w:sz w:val="20"/>
          <w:szCs w:val="20"/>
          <w:lang w:val="es-CO" w:eastAsia="es-CO"/>
        </w:rPr>
        <w:t> </w:t>
      </w:r>
    </w:p>
    <w:p w14:paraId="294EDA89"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eastAsia="es-CO"/>
        </w:rPr>
        <w:t>En conclusión, la actividad se considera incumplida, teniendo en cuenta que la Entidad no ha expedido el Acto administrativo de definición del Directorio Único de Establecimientos – DUE, insumo importante para la evaluación del cumplimiento de la actividad por parte de esta Dirección. Así mismo, se evidencia que la entidad aún cuenta con debilidades en la depuración de la información que está reportando y por ende presenta errores en su validación, hallazgo sobre el cual debe trabajar para cumplir a cabalidad con la actividad del plan.</w:t>
      </w:r>
      <w:r>
        <w:rPr>
          <w:rFonts w:eastAsia="Times New Roman" w:cs="Arial"/>
          <w:szCs w:val="22"/>
          <w:lang w:val="es-CO" w:eastAsia="es-CO"/>
        </w:rPr>
        <w:t> </w:t>
      </w:r>
    </w:p>
    <w:p w14:paraId="5122733D"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val="es-CO" w:eastAsia="es-CO"/>
        </w:rPr>
        <w:t> </w:t>
      </w:r>
    </w:p>
    <w:p w14:paraId="31ABD137"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eastAsia="es-CO"/>
        </w:rPr>
        <w:t>Evaluación de la actividad: No cumple</w:t>
      </w:r>
    </w:p>
    <w:p w14:paraId="2785ED98"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val="es-CO" w:eastAsia="es-CO"/>
        </w:rPr>
        <w:t> </w:t>
      </w:r>
    </w:p>
    <w:p w14:paraId="57F8A60D" w14:textId="77777777" w:rsidR="000C6BE9" w:rsidRDefault="000C6BE9" w:rsidP="000C6BE9">
      <w:pPr>
        <w:rPr>
          <w:b/>
          <w:lang w:val="es-CO" w:eastAsia="en-US"/>
        </w:rPr>
      </w:pPr>
      <w:r>
        <w:rPr>
          <w:b/>
          <w:lang w:val="es-CO" w:eastAsia="en-US"/>
        </w:rPr>
        <w:lastRenderedPageBreak/>
        <w:t>Recomendación</w:t>
      </w:r>
    </w:p>
    <w:p w14:paraId="790725A6" w14:textId="77777777" w:rsidR="000C6BE9" w:rsidRDefault="000C6BE9" w:rsidP="000C6BE9">
      <w:pPr>
        <w:rPr>
          <w:b/>
          <w:lang w:val="es-CO" w:eastAsia="en-US"/>
        </w:rPr>
      </w:pPr>
    </w:p>
    <w:p w14:paraId="223C44D9"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eastAsia="es-CO"/>
        </w:rPr>
        <w:t xml:space="preserve">Se recomienda a la Entidad tener en cuenta el artículo 32 de la Ley 715 de 2001, el cual plantea como obligación de alcaldes y gobernadores, tener un sistema de información del Sector Educativo, mantenerlo actualizado y reportar oficialmente al MEN la información correspondiente a la prestación del Servicio Educativo de forma anual, toda vez que esta información permite una distribución eficiente de los recursos de conformidad con aspectos tales como la matrícula registrada. </w:t>
      </w:r>
    </w:p>
    <w:p w14:paraId="7D29EFE7" w14:textId="77777777" w:rsidR="000C6BE9" w:rsidRDefault="000C6BE9" w:rsidP="000C6BE9">
      <w:pPr>
        <w:rPr>
          <w:lang w:val="es-CO" w:eastAsia="en-US"/>
        </w:rPr>
      </w:pPr>
    </w:p>
    <w:p w14:paraId="4CE55E2A" w14:textId="77777777" w:rsidR="000C6BE9" w:rsidRDefault="000C6BE9" w:rsidP="000C6BE9">
      <w:pPr>
        <w:jc w:val="both"/>
        <w:textAlignment w:val="baseline"/>
        <w:rPr>
          <w:rFonts w:ascii="Segoe UI" w:eastAsia="Times New Roman" w:hAnsi="Segoe UI" w:cs="Segoe UI"/>
          <w:sz w:val="18"/>
          <w:szCs w:val="18"/>
          <w:lang w:val="es-CO" w:eastAsia="es-CO"/>
        </w:rPr>
      </w:pPr>
      <w:r>
        <w:rPr>
          <w:rFonts w:eastAsia="Times New Roman" w:cs="Arial"/>
          <w:szCs w:val="22"/>
          <w:lang w:eastAsia="es-CO"/>
        </w:rPr>
        <w:t>Así mismo, se recomienda analizar en coordinación con el Ministerio de Educación Nacional las variables que están presentando problemas en la validación del Directorio Único de Establecimientos – DUE, corrigiendo las causas que generan el error, de manera tal que tenga el insumo necesario para elaborar el acto administrativo de definición del Directorio Único de Establecimientos - DUE.</w:t>
      </w:r>
      <w:r>
        <w:rPr>
          <w:rFonts w:eastAsia="Times New Roman" w:cs="Arial"/>
          <w:szCs w:val="22"/>
          <w:lang w:val="es-CO" w:eastAsia="es-CO"/>
        </w:rPr>
        <w:t> </w:t>
      </w:r>
    </w:p>
    <w:p w14:paraId="165A44CE" w14:textId="77777777" w:rsidR="000C6BE9" w:rsidRDefault="000C6BE9" w:rsidP="000C6BE9">
      <w:pPr>
        <w:jc w:val="both"/>
        <w:rPr>
          <w:rFonts w:eastAsiaTheme="minorHAnsi" w:cs="Arial"/>
          <w:szCs w:val="22"/>
          <w:lang w:val="es-CO" w:eastAsia="en-US"/>
        </w:rPr>
      </w:pPr>
    </w:p>
    <w:p w14:paraId="200E5A9F" w14:textId="77777777" w:rsidR="000C6BE9" w:rsidRDefault="000C6BE9" w:rsidP="000C6BE9">
      <w:pPr>
        <w:pStyle w:val="Ttulo2"/>
        <w:spacing w:before="0"/>
        <w:jc w:val="both"/>
        <w:rPr>
          <w:rFonts w:eastAsiaTheme="minorHAnsi" w:cs="Arial"/>
          <w:b/>
          <w:bCs/>
          <w:lang w:val="es-CO" w:eastAsia="en-US"/>
        </w:rPr>
      </w:pPr>
      <w:r>
        <w:rPr>
          <w:rStyle w:val="Ttulo2Car"/>
          <w:b/>
          <w:bCs/>
        </w:rPr>
        <w:t>Objetivo 1.3. Optimizar los recursos designados para gastos administrativos</w:t>
      </w:r>
      <w:r>
        <w:rPr>
          <w:rFonts w:eastAsiaTheme="minorHAnsi" w:cs="Arial"/>
          <w:b/>
          <w:bCs/>
          <w:lang w:val="es-CO" w:eastAsia="en-US"/>
        </w:rPr>
        <w:t>.</w:t>
      </w:r>
    </w:p>
    <w:p w14:paraId="61B739AF" w14:textId="77777777" w:rsidR="000C6BE9" w:rsidRDefault="000C6BE9" w:rsidP="000C6BE9">
      <w:pPr>
        <w:jc w:val="both"/>
        <w:rPr>
          <w:rFonts w:eastAsiaTheme="minorHAnsi" w:cs="Arial"/>
          <w:szCs w:val="22"/>
          <w:lang w:val="es-CO" w:eastAsia="en-US"/>
        </w:rPr>
      </w:pPr>
    </w:p>
    <w:p w14:paraId="4D2CEA0E" w14:textId="77777777" w:rsidR="000C6BE9" w:rsidRDefault="000C6BE9" w:rsidP="000C6BE9">
      <w:pPr>
        <w:pStyle w:val="Ttulo3"/>
        <w:spacing w:before="0"/>
        <w:jc w:val="both"/>
        <w:rPr>
          <w:rFonts w:eastAsiaTheme="minorHAnsi"/>
          <w:lang w:val="es-CO" w:eastAsia="en-US"/>
        </w:rPr>
      </w:pPr>
      <w:r>
        <w:rPr>
          <w:rFonts w:eastAsiaTheme="minorHAnsi"/>
          <w:b/>
          <w:lang w:val="es-CO" w:eastAsia="en-US"/>
        </w:rPr>
        <w:t>Actividad 1.3.1.</w:t>
      </w:r>
      <w:r>
        <w:rPr>
          <w:rFonts w:eastAsiaTheme="minorHAnsi"/>
          <w:lang w:val="es-CO" w:eastAsia="en-US"/>
        </w:rPr>
        <w:t xml:space="preserve"> Adoptar mediante acto administrativo la planta de personal administrativo del nivel central viabilizada por el Ministerio de Educación Nacional para el funcionamiento de la Secretaría de Educación, a financiar con recursos del SGP - educación y propios.</w:t>
      </w:r>
      <w:r>
        <w:rPr>
          <w:rFonts w:eastAsiaTheme="minorHAnsi"/>
          <w:lang w:val="es-CO" w:eastAsia="en-US"/>
        </w:rPr>
        <w:tab/>
      </w:r>
    </w:p>
    <w:p w14:paraId="4F1C021D" w14:textId="77777777" w:rsidR="000C6BE9" w:rsidRDefault="000C6BE9" w:rsidP="000C6BE9">
      <w:pPr>
        <w:jc w:val="both"/>
        <w:rPr>
          <w:rFonts w:cs="Arial"/>
          <w:lang w:val="es-CO" w:eastAsia="en-US"/>
        </w:rPr>
      </w:pPr>
    </w:p>
    <w:p w14:paraId="0089E303" w14:textId="77777777" w:rsidR="000C6BE9" w:rsidRDefault="000C6BE9" w:rsidP="000C6BE9">
      <w:pPr>
        <w:jc w:val="both"/>
        <w:rPr>
          <w:b/>
          <w:lang w:val="es-CO" w:eastAsia="en-US"/>
        </w:rPr>
      </w:pPr>
      <w:r>
        <w:rPr>
          <w:b/>
          <w:lang w:val="es-CO" w:eastAsia="en-US"/>
        </w:rPr>
        <w:t xml:space="preserve">Productos esperados: </w:t>
      </w:r>
      <w:r>
        <w:rPr>
          <w:lang w:val="es-CO" w:eastAsia="en-US"/>
        </w:rPr>
        <w:t>Acto administrativo de adopción de planta administrativa de la Secretaría de Educación y relación de personas que trabajan en la Secretaría de Educación en el que se indique su tipo de vinculación, la labor que desempeñan y fuente de financiación.</w:t>
      </w:r>
    </w:p>
    <w:p w14:paraId="44D6A0B6" w14:textId="77777777" w:rsidR="000C6BE9" w:rsidRDefault="000C6BE9" w:rsidP="000C6BE9">
      <w:pPr>
        <w:jc w:val="both"/>
        <w:rPr>
          <w:rFonts w:cs="Arial"/>
          <w:lang w:val="es-CO" w:eastAsia="en-US"/>
        </w:rPr>
      </w:pPr>
    </w:p>
    <w:p w14:paraId="78E04FEA" w14:textId="77777777" w:rsidR="000C6BE9" w:rsidRDefault="000C6BE9" w:rsidP="000C6BE9">
      <w:pPr>
        <w:jc w:val="both"/>
        <w:rPr>
          <w:b/>
          <w:lang w:val="es-CO" w:eastAsia="en-US"/>
        </w:rPr>
      </w:pPr>
      <w:r>
        <w:rPr>
          <w:b/>
          <w:lang w:val="es-CO" w:eastAsia="en-US"/>
        </w:rPr>
        <w:t>Evaluación</w:t>
      </w:r>
    </w:p>
    <w:p w14:paraId="5066BB98" w14:textId="77777777" w:rsidR="000C6BE9" w:rsidRDefault="000C6BE9" w:rsidP="000C6BE9">
      <w:pPr>
        <w:jc w:val="both"/>
        <w:rPr>
          <w:b/>
          <w:lang w:val="es-CO" w:eastAsia="en-US"/>
        </w:rPr>
      </w:pPr>
    </w:p>
    <w:p w14:paraId="10378C2A" w14:textId="77777777" w:rsidR="000C6BE9" w:rsidRDefault="000C6BE9" w:rsidP="000C6BE9">
      <w:pPr>
        <w:jc w:val="both"/>
        <w:rPr>
          <w:lang w:val="es-CO" w:eastAsia="en-US"/>
        </w:rPr>
      </w:pPr>
      <w:r>
        <w:rPr>
          <w:lang w:val="es-CO" w:eastAsia="en-US"/>
        </w:rPr>
        <w:t>En el Acta del 03 de noviembre de 2010 entre el Ministerio de Educación y el municipio de Lorica se sugirió una planta de cargos para la secretaría de educación de 29 cargos los cuales se distribuirían así:</w:t>
      </w:r>
    </w:p>
    <w:p w14:paraId="3E08E7D9" w14:textId="77777777" w:rsidR="000C6BE9" w:rsidRDefault="000C6BE9" w:rsidP="000C6BE9">
      <w:pPr>
        <w:jc w:val="both"/>
        <w:rPr>
          <w:lang w:val="es-CO" w:eastAsia="en-US"/>
        </w:rPr>
      </w:pPr>
    </w:p>
    <w:p w14:paraId="76B33955" w14:textId="77777777" w:rsidR="000C6BE9" w:rsidRDefault="000C6BE9" w:rsidP="000C6BE9">
      <w:pPr>
        <w:jc w:val="both"/>
        <w:rPr>
          <w:lang w:val="es-CO" w:eastAsia="en-US"/>
        </w:rPr>
      </w:pPr>
      <w:r>
        <w:rPr>
          <w:lang w:val="es-CO" w:eastAsia="en-US"/>
        </w:rPr>
        <w:t>1 secretario de despacho</w:t>
      </w:r>
    </w:p>
    <w:p w14:paraId="54AB7959" w14:textId="77777777" w:rsidR="000C6BE9" w:rsidRDefault="000C6BE9" w:rsidP="000C6BE9">
      <w:pPr>
        <w:jc w:val="both"/>
        <w:rPr>
          <w:lang w:val="es-CO" w:eastAsia="en-US"/>
        </w:rPr>
      </w:pPr>
      <w:r>
        <w:rPr>
          <w:lang w:val="es-CO" w:eastAsia="en-US"/>
        </w:rPr>
        <w:t>4 profesionales especializados</w:t>
      </w:r>
    </w:p>
    <w:p w14:paraId="515B34C1" w14:textId="77777777" w:rsidR="000C6BE9" w:rsidRDefault="000C6BE9" w:rsidP="000C6BE9">
      <w:pPr>
        <w:jc w:val="both"/>
        <w:rPr>
          <w:lang w:val="es-CO" w:eastAsia="en-US"/>
        </w:rPr>
      </w:pPr>
      <w:r>
        <w:rPr>
          <w:lang w:val="es-CO" w:eastAsia="en-US"/>
        </w:rPr>
        <w:t>12 profesionales universitarios</w:t>
      </w:r>
    </w:p>
    <w:p w14:paraId="3303BFC2" w14:textId="77777777" w:rsidR="000C6BE9" w:rsidRDefault="000C6BE9" w:rsidP="000C6BE9">
      <w:pPr>
        <w:jc w:val="both"/>
        <w:rPr>
          <w:lang w:val="es-CO" w:eastAsia="en-US"/>
        </w:rPr>
      </w:pPr>
      <w:r>
        <w:rPr>
          <w:lang w:val="es-CO" w:eastAsia="en-US"/>
        </w:rPr>
        <w:t>7 técnicos administrativos</w:t>
      </w:r>
    </w:p>
    <w:p w14:paraId="31E041AE" w14:textId="77777777" w:rsidR="000C6BE9" w:rsidRDefault="000C6BE9" w:rsidP="000C6BE9">
      <w:pPr>
        <w:jc w:val="both"/>
        <w:rPr>
          <w:lang w:val="es-CO" w:eastAsia="en-US"/>
        </w:rPr>
      </w:pPr>
      <w:r>
        <w:rPr>
          <w:lang w:val="es-CO" w:eastAsia="en-US"/>
        </w:rPr>
        <w:t>5 auxiliares administrativos.</w:t>
      </w:r>
    </w:p>
    <w:p w14:paraId="03447FA4" w14:textId="77777777" w:rsidR="000C6BE9" w:rsidRDefault="000C6BE9" w:rsidP="000C6BE9">
      <w:pPr>
        <w:jc w:val="both"/>
        <w:rPr>
          <w:lang w:val="es-CO" w:eastAsia="en-US"/>
        </w:rPr>
      </w:pPr>
    </w:p>
    <w:p w14:paraId="75E1585E" w14:textId="77777777" w:rsidR="000C6BE9" w:rsidRDefault="000C6BE9" w:rsidP="000C6BE9">
      <w:pPr>
        <w:jc w:val="both"/>
        <w:rPr>
          <w:i/>
          <w:lang w:val="es-CO" w:eastAsia="en-US"/>
        </w:rPr>
      </w:pPr>
      <w:r>
        <w:rPr>
          <w:lang w:val="es-CO" w:eastAsia="en-US"/>
        </w:rPr>
        <w:t xml:space="preserve">En el acta también se menciona que: </w:t>
      </w:r>
      <w:r>
        <w:rPr>
          <w:i/>
          <w:lang w:val="es-CO" w:eastAsia="en-US"/>
        </w:rPr>
        <w:t>“La alcaldía mantendrá como mínimo la financiación de los cargos que son pagados actualmente con recursos propios y que se encuentran asignados a la secretaría de educación del municipio de Lorica…”</w:t>
      </w:r>
    </w:p>
    <w:p w14:paraId="61080B48" w14:textId="77777777" w:rsidR="000C6BE9" w:rsidRDefault="000C6BE9" w:rsidP="000C6BE9">
      <w:pPr>
        <w:jc w:val="both"/>
        <w:rPr>
          <w:lang w:val="es-CO" w:eastAsia="en-US"/>
        </w:rPr>
      </w:pPr>
    </w:p>
    <w:p w14:paraId="0CA5A0C0" w14:textId="77777777" w:rsidR="000C6BE9" w:rsidRDefault="000C6BE9" w:rsidP="000C6BE9">
      <w:pPr>
        <w:jc w:val="both"/>
        <w:rPr>
          <w:lang w:val="es-CO" w:eastAsia="en-US"/>
        </w:rPr>
      </w:pPr>
      <w:r>
        <w:rPr>
          <w:lang w:val="es-CO" w:eastAsia="en-US"/>
        </w:rPr>
        <w:t>Por lo anterior, 8 de los 29 cargos de la secretaría de educación se deben continuar financiando con recursos propios, atendiendo la conclusión de la misma Acta, en la cual se menciona que</w:t>
      </w:r>
      <w:r>
        <w:rPr>
          <w:i/>
          <w:lang w:val="es-CO" w:eastAsia="en-US"/>
        </w:rPr>
        <w:t>: “actualmente la SEM de Lorica realiza su gestión con el apoyo de 22 personas (8 funcionarios administrativos por un valor de 239.709.764 con cargo a los recursos propios del municipio…”</w:t>
      </w:r>
      <w:r>
        <w:rPr>
          <w:lang w:val="es-CO" w:eastAsia="en-US"/>
        </w:rPr>
        <w:t>. Asimismo, menciona más adelante que: “</w:t>
      </w:r>
      <w:r>
        <w:rPr>
          <w:i/>
          <w:lang w:val="es-CO" w:eastAsia="en-US"/>
        </w:rPr>
        <w:t xml:space="preserve">considerando que el costo de la planta de veintinueve (29) cargos propuesta por la secretaría de </w:t>
      </w:r>
      <w:r>
        <w:rPr>
          <w:i/>
          <w:lang w:val="es-CO" w:eastAsia="en-US"/>
        </w:rPr>
        <w:lastRenderedPageBreak/>
        <w:t>educación del municipio de Lorica es de $869.551.828, de los cuales el municipio debe continuar financiando con recursos propios el valor de 239.709.764, faltaría por cubrir un valor de $629.842.064 lo que equivaldría a 1.84% de cuota de administración.”</w:t>
      </w:r>
    </w:p>
    <w:p w14:paraId="4914A630" w14:textId="77777777" w:rsidR="000C6BE9" w:rsidRDefault="000C6BE9" w:rsidP="000C6BE9">
      <w:pPr>
        <w:jc w:val="both"/>
        <w:rPr>
          <w:lang w:val="es-CO" w:eastAsia="en-US"/>
        </w:rPr>
      </w:pPr>
    </w:p>
    <w:p w14:paraId="3838615F" w14:textId="77777777" w:rsidR="000C6BE9" w:rsidRDefault="000C6BE9" w:rsidP="000C6BE9">
      <w:pPr>
        <w:jc w:val="both"/>
        <w:rPr>
          <w:lang w:val="es-CO" w:eastAsia="en-US"/>
        </w:rPr>
      </w:pPr>
      <w:r>
        <w:rPr>
          <w:lang w:val="es-CO" w:eastAsia="en-US"/>
        </w:rPr>
        <w:t>Así, la planta acordada entre el MEN y la entidad mediante dicha Acta fue de 29 cargos, de los cuales 8 serían financiados con recursos propios y 21 con recursos del SGP.</w:t>
      </w:r>
    </w:p>
    <w:p w14:paraId="65FC3C7F" w14:textId="77777777" w:rsidR="000C6BE9" w:rsidRDefault="000C6BE9" w:rsidP="000C6BE9">
      <w:pPr>
        <w:jc w:val="both"/>
        <w:rPr>
          <w:lang w:val="es-CO" w:eastAsia="en-US"/>
        </w:rPr>
      </w:pPr>
    </w:p>
    <w:p w14:paraId="18A9BCD0" w14:textId="77777777" w:rsidR="000C6BE9" w:rsidRDefault="000C6BE9" w:rsidP="000C6BE9">
      <w:pPr>
        <w:jc w:val="both"/>
        <w:rPr>
          <w:lang w:val="es-CO" w:eastAsia="en-US"/>
        </w:rPr>
      </w:pPr>
      <w:r>
        <w:rPr>
          <w:lang w:val="es-CO" w:eastAsia="en-US"/>
        </w:rPr>
        <w:t>Ahora bien, en atención a la planta acordada entre la Secretaría de educación municipal de Lorica y el Ministerio de Educación Nacional se expidió el Decreto 029 del 21 de enero de 2011 en el que se menciona que efectivamente la planta consta de 29 cargos, y que el municipio mantendrá como mínimo la financiación de los cargos que eran financiados en su momento con recursos propios.</w:t>
      </w:r>
    </w:p>
    <w:p w14:paraId="42BD47E3" w14:textId="77777777" w:rsidR="000C6BE9" w:rsidRDefault="000C6BE9" w:rsidP="000C6BE9">
      <w:pPr>
        <w:jc w:val="both"/>
        <w:rPr>
          <w:lang w:val="es-CO" w:eastAsia="en-US"/>
        </w:rPr>
      </w:pPr>
    </w:p>
    <w:p w14:paraId="727B9E83" w14:textId="77777777" w:rsidR="000C6BE9" w:rsidRDefault="000C6BE9" w:rsidP="000C6BE9">
      <w:pPr>
        <w:jc w:val="both"/>
        <w:rPr>
          <w:lang w:val="es-CO" w:eastAsia="en-US"/>
        </w:rPr>
      </w:pPr>
      <w:r>
        <w:rPr>
          <w:lang w:val="es-CO" w:eastAsia="en-US"/>
        </w:rPr>
        <w:t>Con respecto a lo anterior, en visita de seguimiento, la entidad informó que en cumplimiento al Decreto 029 del 21 de enero de 2011 se nombraron los 29 cargos, sin embargo, estos fueron adicionales a los 8 que ya venía financiando la entidad, por lo que en su momento tenían 37 cargos en la Secretaría de educación, contrario a lo acordado previamente con el MEN y descrito líneas arriba.</w:t>
      </w:r>
    </w:p>
    <w:p w14:paraId="0B7CF9A2" w14:textId="77777777" w:rsidR="000C6BE9" w:rsidRDefault="000C6BE9" w:rsidP="000C6BE9">
      <w:pPr>
        <w:jc w:val="both"/>
        <w:rPr>
          <w:lang w:val="es-CO" w:eastAsia="en-US"/>
        </w:rPr>
      </w:pPr>
    </w:p>
    <w:p w14:paraId="54818102" w14:textId="77777777" w:rsidR="000C6BE9" w:rsidRDefault="000C6BE9" w:rsidP="000C6BE9">
      <w:pPr>
        <w:jc w:val="both"/>
        <w:rPr>
          <w:lang w:val="es-CO" w:eastAsia="en-US"/>
        </w:rPr>
      </w:pPr>
      <w:r>
        <w:rPr>
          <w:lang w:val="es-CO" w:eastAsia="en-US"/>
        </w:rPr>
        <w:t xml:space="preserve">Posteriormente, en la vigencia 2015 el Acalde de turno expidió el Decreto No. 489 del 05 de mayo de 2015 mediante el cual modifica la estructura organizacional y se crea unos cargos en la nueva planta de personal de la Secretaría de Educación municipal de Santa Cruz de Lorica. En ese momento se crearon 8 nuevos cargos. Por tanto, ya no serían 37 sino 45 los cargos de la Secretaría de educación </w:t>
      </w:r>
    </w:p>
    <w:p w14:paraId="073F1CAC" w14:textId="77777777" w:rsidR="000C6BE9" w:rsidRDefault="000C6BE9" w:rsidP="000C6BE9">
      <w:pPr>
        <w:jc w:val="both"/>
        <w:rPr>
          <w:lang w:val="es-CO" w:eastAsia="en-US"/>
        </w:rPr>
      </w:pPr>
    </w:p>
    <w:p w14:paraId="1B3B9807" w14:textId="77777777" w:rsidR="000C6BE9" w:rsidRDefault="000C6BE9" w:rsidP="000C6BE9">
      <w:pPr>
        <w:jc w:val="both"/>
        <w:rPr>
          <w:lang w:val="es-CO" w:eastAsia="en-US"/>
        </w:rPr>
      </w:pPr>
      <w:r>
        <w:rPr>
          <w:lang w:val="es-CO" w:eastAsia="en-US"/>
        </w:rPr>
        <w:t>Ahora bien, para el presente seguimiento se solicitó la relación de personas que trabajan en la Secretaría de educación y la entidad remitió un listado en el que se encuentran 42 cargos, de los cuales se menciona que 5 son pagados con recursos propios y los 37 restantes con recursos del SGP. Asimismo, se indica que de los 42 cargos, 37 están en periodo de prueba, 1 en propiedad y 4 en provisional vacante definitiva.</w:t>
      </w:r>
    </w:p>
    <w:p w14:paraId="5843F818" w14:textId="77777777" w:rsidR="000C6BE9" w:rsidRDefault="000C6BE9" w:rsidP="000C6BE9">
      <w:pPr>
        <w:jc w:val="both"/>
        <w:rPr>
          <w:lang w:val="es-CO" w:eastAsia="en-US"/>
        </w:rPr>
      </w:pPr>
    </w:p>
    <w:p w14:paraId="4291895C" w14:textId="77777777" w:rsidR="000C6BE9" w:rsidRDefault="000C6BE9" w:rsidP="000C6BE9">
      <w:pPr>
        <w:jc w:val="both"/>
        <w:rPr>
          <w:lang w:val="es-CO" w:eastAsia="en-US"/>
        </w:rPr>
      </w:pPr>
      <w:r>
        <w:rPr>
          <w:lang w:val="es-CO" w:eastAsia="en-US"/>
        </w:rPr>
        <w:t xml:space="preserve">Lo anterior permite concluir que </w:t>
      </w:r>
      <w:r w:rsidR="00717922">
        <w:rPr>
          <w:lang w:val="es-CO" w:eastAsia="en-US"/>
        </w:rPr>
        <w:t xml:space="preserve">la Entidad Territorial supera en 13 cargos adicionales a los 29 viabilizados por el Ministerio de Educación Nacional para </w:t>
      </w:r>
      <w:r>
        <w:rPr>
          <w:lang w:val="es-CO" w:eastAsia="en-US"/>
        </w:rPr>
        <w:t>la Secretaría de educación</w:t>
      </w:r>
      <w:r w:rsidR="00670213">
        <w:rPr>
          <w:lang w:val="es-CO" w:eastAsia="en-US"/>
        </w:rPr>
        <w:t>, dado que tiene en su planta un total de 42 funcionarios</w:t>
      </w:r>
      <w:r w:rsidR="00717922">
        <w:rPr>
          <w:lang w:val="es-CO" w:eastAsia="en-US"/>
        </w:rPr>
        <w:t xml:space="preserve">. </w:t>
      </w:r>
      <w:r>
        <w:rPr>
          <w:lang w:val="es-CO" w:eastAsia="en-US"/>
        </w:rPr>
        <w:t xml:space="preserve">Asimismo de los 29 </w:t>
      </w:r>
      <w:r w:rsidR="00670213">
        <w:rPr>
          <w:lang w:val="es-CO" w:eastAsia="en-US"/>
        </w:rPr>
        <w:t xml:space="preserve">cargos </w:t>
      </w:r>
      <w:r>
        <w:rPr>
          <w:lang w:val="es-CO" w:eastAsia="en-US"/>
        </w:rPr>
        <w:t>viabilizados se debían financiar con SGP 21, no obstante, se están financiando con recursos del SGP 37, es decir 16 cargos por encima de lo autorizado, lo cual repercute en que cada año la Entidad esté superando el límite de gasto administrativo autorizado por la Nación</w:t>
      </w:r>
    </w:p>
    <w:p w14:paraId="644F63B0" w14:textId="77777777" w:rsidR="000C6BE9" w:rsidRDefault="000C6BE9" w:rsidP="000C6BE9">
      <w:pPr>
        <w:jc w:val="both"/>
        <w:rPr>
          <w:lang w:val="es-CO" w:eastAsia="en-US"/>
        </w:rPr>
      </w:pPr>
    </w:p>
    <w:p w14:paraId="54B04BE6" w14:textId="77777777" w:rsidR="000C6BE9" w:rsidRDefault="000C6BE9" w:rsidP="000C6BE9">
      <w:pPr>
        <w:jc w:val="both"/>
        <w:rPr>
          <w:rFonts w:eastAsiaTheme="minorHAnsi"/>
          <w:lang w:val="es-CO" w:eastAsia="en-US"/>
        </w:rPr>
      </w:pPr>
      <w:r>
        <w:rPr>
          <w:lang w:val="es-CO" w:eastAsia="en-US"/>
        </w:rPr>
        <w:t xml:space="preserve">Por lo tanto, para el cumplimiento de esta actividad la entidad debe adoptar </w:t>
      </w:r>
      <w:r>
        <w:rPr>
          <w:rFonts w:eastAsiaTheme="minorHAnsi"/>
          <w:lang w:val="es-CO" w:eastAsia="en-US"/>
        </w:rPr>
        <w:t>mediante acto administrativo la planta de personal administrativo para el funcionamiento de la Secretaría de Educación viabilizada por el Ministerio de Educación Nacional en el que queden establecidos los cargos a financiar con recursos del SGP - educación y propios.</w:t>
      </w:r>
    </w:p>
    <w:p w14:paraId="0A5CA527" w14:textId="77777777" w:rsidR="000C6BE9" w:rsidRDefault="000C6BE9" w:rsidP="000C6BE9">
      <w:pPr>
        <w:jc w:val="both"/>
        <w:rPr>
          <w:rFonts w:eastAsiaTheme="minorHAnsi"/>
          <w:lang w:val="es-CO" w:eastAsia="en-US"/>
        </w:rPr>
      </w:pPr>
    </w:p>
    <w:p w14:paraId="1F38808B" w14:textId="77777777" w:rsidR="000C6BE9" w:rsidRDefault="000C6BE9" w:rsidP="000C6BE9">
      <w:pPr>
        <w:jc w:val="both"/>
        <w:rPr>
          <w:rFonts w:eastAsiaTheme="minorHAnsi"/>
          <w:lang w:val="es-CO" w:eastAsia="en-US"/>
        </w:rPr>
      </w:pPr>
      <w:r>
        <w:rPr>
          <w:rFonts w:eastAsiaTheme="minorHAnsi"/>
          <w:lang w:val="es-CO" w:eastAsia="en-US"/>
        </w:rPr>
        <w:t>La entidad manifestó que se encuentra efectuando reuniones con el MEN para hacer las revisiones pertinentes al tema y poder determinar la planta de la Secretaría de Educación y su financiación.</w:t>
      </w:r>
    </w:p>
    <w:p w14:paraId="55A810E3" w14:textId="77777777" w:rsidR="000C6BE9" w:rsidRDefault="000C6BE9" w:rsidP="000C6BE9">
      <w:pPr>
        <w:jc w:val="both"/>
        <w:rPr>
          <w:rFonts w:eastAsiaTheme="minorHAnsi"/>
          <w:lang w:val="es-CO" w:eastAsia="en-US"/>
        </w:rPr>
      </w:pPr>
    </w:p>
    <w:p w14:paraId="2B9CBDBE" w14:textId="77777777" w:rsidR="000C6BE9" w:rsidRDefault="000C6BE9" w:rsidP="000C6BE9">
      <w:pPr>
        <w:jc w:val="both"/>
        <w:rPr>
          <w:rFonts w:eastAsiaTheme="minorHAnsi" w:cs="Arial"/>
          <w:lang w:val="es-CO" w:eastAsia="en-US"/>
        </w:rPr>
      </w:pPr>
      <w:r>
        <w:rPr>
          <w:rFonts w:eastAsiaTheme="minorHAnsi" w:cs="Arial"/>
          <w:lang w:val="es-CO" w:eastAsia="en-US"/>
        </w:rPr>
        <w:lastRenderedPageBreak/>
        <w:t>Evaluación de la actividad: No Cumple</w:t>
      </w:r>
    </w:p>
    <w:p w14:paraId="3727DD5E" w14:textId="77777777" w:rsidR="000C6BE9" w:rsidRDefault="000C6BE9" w:rsidP="000C6BE9">
      <w:pPr>
        <w:jc w:val="both"/>
        <w:rPr>
          <w:lang w:val="es-CO" w:eastAsia="en-US"/>
        </w:rPr>
      </w:pPr>
    </w:p>
    <w:p w14:paraId="0F643399" w14:textId="77777777" w:rsidR="000C6BE9" w:rsidRDefault="000C6BE9" w:rsidP="000C6BE9">
      <w:pPr>
        <w:jc w:val="both"/>
        <w:rPr>
          <w:b/>
          <w:lang w:val="es-CO" w:eastAsia="en-US"/>
        </w:rPr>
      </w:pPr>
      <w:r>
        <w:rPr>
          <w:b/>
          <w:lang w:val="es-CO" w:eastAsia="en-US"/>
        </w:rPr>
        <w:t>Recomendación</w:t>
      </w:r>
    </w:p>
    <w:p w14:paraId="121C1CE6" w14:textId="77777777" w:rsidR="000C6BE9" w:rsidRDefault="000C6BE9" w:rsidP="000C6BE9">
      <w:pPr>
        <w:jc w:val="both"/>
        <w:rPr>
          <w:lang w:val="es-CO" w:eastAsia="en-US"/>
        </w:rPr>
      </w:pPr>
    </w:p>
    <w:p w14:paraId="5B8D4C64" w14:textId="77777777" w:rsidR="000C6BE9" w:rsidRDefault="000C6BE9" w:rsidP="000C6BE9">
      <w:pPr>
        <w:jc w:val="both"/>
        <w:rPr>
          <w:lang w:val="es-CO" w:eastAsia="en-US"/>
        </w:rPr>
      </w:pPr>
      <w:r>
        <w:rPr>
          <w:lang w:val="es-CO" w:eastAsia="en-US"/>
        </w:rPr>
        <w:t>Gestionar con el Ministerio de Educación un estudio técnico de la planta de cargos de la Secretaría de Educación, el cual arroje como resultado un pronunciamiento formal del MEN sobre la planta de cargos de la Secretaría de Educación y su financiación. Asimismo, acoger las recomendaciones del MEN y expedir un acto administrativo que contengas dichas recomendaciones y los ajustes que sean necesarios de manera que también se pueda ajustar el gasto administrativo a los valores autorizados por la Nación.</w:t>
      </w:r>
    </w:p>
    <w:p w14:paraId="56B871F1" w14:textId="77777777" w:rsidR="000C6BE9" w:rsidRDefault="000C6BE9" w:rsidP="000C6BE9">
      <w:pPr>
        <w:jc w:val="both"/>
        <w:rPr>
          <w:rFonts w:cs="Arial"/>
          <w:lang w:val="es-CO" w:eastAsia="en-US"/>
        </w:rPr>
      </w:pPr>
    </w:p>
    <w:p w14:paraId="7CF80DAD" w14:textId="77777777" w:rsidR="000C6BE9" w:rsidRDefault="000C6BE9" w:rsidP="000C6BE9">
      <w:pPr>
        <w:pStyle w:val="Ttulo3"/>
        <w:spacing w:before="0"/>
        <w:jc w:val="both"/>
        <w:rPr>
          <w:rFonts w:eastAsiaTheme="minorHAnsi"/>
          <w:lang w:val="es-CO" w:eastAsia="en-US"/>
        </w:rPr>
      </w:pPr>
      <w:r>
        <w:rPr>
          <w:rFonts w:eastAsiaTheme="minorHAnsi"/>
          <w:b/>
          <w:lang w:val="es-CO" w:eastAsia="en-US"/>
        </w:rPr>
        <w:t>Actividad 1.3.2.</w:t>
      </w:r>
      <w:r>
        <w:rPr>
          <w:rFonts w:eastAsiaTheme="minorHAnsi"/>
          <w:lang w:val="es-CO" w:eastAsia="en-US"/>
        </w:rPr>
        <w:t xml:space="preserve"> Contratar los servicios administrativos en el marco del estatuto de contratación estatal, dentro del límite de gastos administrativos autorizados para la entidad territorial</w:t>
      </w:r>
    </w:p>
    <w:p w14:paraId="5331B1F6" w14:textId="77777777" w:rsidR="000C6BE9" w:rsidRDefault="000C6BE9" w:rsidP="000C6BE9">
      <w:pPr>
        <w:jc w:val="both"/>
        <w:rPr>
          <w:rFonts w:cs="Arial"/>
          <w:lang w:val="es-CO" w:eastAsia="en-US"/>
        </w:rPr>
      </w:pPr>
    </w:p>
    <w:p w14:paraId="34851DFC" w14:textId="77777777" w:rsidR="000C6BE9" w:rsidRDefault="000C6BE9" w:rsidP="000C6BE9">
      <w:pPr>
        <w:jc w:val="both"/>
        <w:rPr>
          <w:b/>
          <w:lang w:val="es-CO" w:eastAsia="en-US"/>
        </w:rPr>
      </w:pPr>
      <w:r>
        <w:rPr>
          <w:b/>
          <w:lang w:val="es-CO" w:eastAsia="en-US"/>
        </w:rPr>
        <w:t xml:space="preserve">Productos esperados: </w:t>
      </w:r>
      <w:r>
        <w:rPr>
          <w:lang w:val="es-CO" w:eastAsia="en-US"/>
        </w:rPr>
        <w:t>Ejecución presupuestal de ingresos y gastos y cuadro de análisis de ejecución de los gastos administrativos de la entidad con respecto al porcentaje autorizado de la Nación.</w:t>
      </w:r>
    </w:p>
    <w:p w14:paraId="71DC0A6F" w14:textId="77777777" w:rsidR="000C6BE9" w:rsidRDefault="000C6BE9" w:rsidP="000C6BE9">
      <w:pPr>
        <w:jc w:val="both"/>
        <w:rPr>
          <w:rFonts w:cs="Arial"/>
          <w:lang w:val="es-CO" w:eastAsia="en-US"/>
        </w:rPr>
      </w:pPr>
    </w:p>
    <w:p w14:paraId="218945E1" w14:textId="77777777" w:rsidR="000C6BE9" w:rsidRDefault="000C6BE9" w:rsidP="000C6BE9">
      <w:pPr>
        <w:rPr>
          <w:b/>
          <w:lang w:val="es-CO" w:eastAsia="en-US"/>
        </w:rPr>
      </w:pPr>
      <w:r>
        <w:rPr>
          <w:b/>
          <w:lang w:val="es-CO" w:eastAsia="en-US"/>
        </w:rPr>
        <w:t>Evaluación</w:t>
      </w:r>
    </w:p>
    <w:p w14:paraId="2A4A7E77" w14:textId="77777777" w:rsidR="000C6BE9" w:rsidRDefault="000C6BE9" w:rsidP="000C6BE9">
      <w:pPr>
        <w:rPr>
          <w:b/>
          <w:bCs/>
          <w:lang w:val="es-CO" w:eastAsia="en-US"/>
        </w:rPr>
      </w:pPr>
    </w:p>
    <w:p w14:paraId="06E257C7" w14:textId="77777777" w:rsidR="000C6BE9" w:rsidRDefault="000C6BE9" w:rsidP="000C6BE9">
      <w:pPr>
        <w:jc w:val="both"/>
        <w:rPr>
          <w:rFonts w:cs="Arial"/>
          <w:szCs w:val="22"/>
        </w:rPr>
      </w:pPr>
      <w:r>
        <w:rPr>
          <w:rFonts w:cs="Arial"/>
          <w:szCs w:val="22"/>
        </w:rPr>
        <w:t xml:space="preserve">En cuanto a los gastos administrativos, a continuación, se relacionan los montos máximos autorizados por la Nación mediante Documentos de Distribución en las últimas vigencias y los compromisos identificados en la ejecución presupuestal de gastos, para los rubros asociados a este concepto: </w:t>
      </w:r>
    </w:p>
    <w:p w14:paraId="344E17C7" w14:textId="77777777" w:rsidR="000C6BE9" w:rsidRDefault="000C6BE9" w:rsidP="000C6BE9">
      <w:pPr>
        <w:jc w:val="both"/>
        <w:rPr>
          <w:rFonts w:cs="Arial"/>
          <w:szCs w:val="22"/>
        </w:rPr>
      </w:pPr>
    </w:p>
    <w:tbl>
      <w:tblPr>
        <w:tblW w:w="5000" w:type="pct"/>
        <w:jc w:val="center"/>
        <w:tblCellMar>
          <w:left w:w="70" w:type="dxa"/>
          <w:right w:w="70" w:type="dxa"/>
        </w:tblCellMar>
        <w:tblLook w:val="04A0" w:firstRow="1" w:lastRow="0" w:firstColumn="1" w:lastColumn="0" w:noHBand="0" w:noVBand="1"/>
      </w:tblPr>
      <w:tblGrid>
        <w:gridCol w:w="5299"/>
        <w:gridCol w:w="1212"/>
        <w:gridCol w:w="1134"/>
        <w:gridCol w:w="1173"/>
      </w:tblGrid>
      <w:tr w:rsidR="000C6BE9" w14:paraId="305715AC" w14:textId="77777777" w:rsidTr="000C6BE9">
        <w:trPr>
          <w:trHeight w:val="2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244061"/>
            <w:vAlign w:val="center"/>
            <w:hideMark/>
          </w:tcPr>
          <w:p w14:paraId="32F306C2" w14:textId="77777777" w:rsidR="000C6BE9" w:rsidRDefault="000C6BE9">
            <w:pPr>
              <w:jc w:val="center"/>
              <w:rPr>
                <w:rFonts w:eastAsia="Times New Roman" w:cs="Arial"/>
                <w:b/>
                <w:color w:val="FFFFFF"/>
                <w:sz w:val="18"/>
                <w:szCs w:val="18"/>
                <w:lang w:val="es-CO" w:eastAsia="es-CO"/>
              </w:rPr>
            </w:pPr>
            <w:r>
              <w:rPr>
                <w:rFonts w:eastAsia="Times New Roman" w:cs="Arial"/>
                <w:b/>
                <w:color w:val="FFFFFF"/>
                <w:sz w:val="18"/>
                <w:szCs w:val="18"/>
                <w:lang w:val="es-CO" w:eastAsia="es-CO"/>
              </w:rPr>
              <w:t>TABLA 3. GASTOS ADMINISTRATIVOS DE LA ENTIDAD TERRITORIAL (MILLONES DE $)</w:t>
            </w:r>
          </w:p>
        </w:tc>
      </w:tr>
      <w:tr w:rsidR="000C6BE9" w14:paraId="009C99CC" w14:textId="77777777" w:rsidTr="000C6BE9">
        <w:trPr>
          <w:trHeight w:val="20"/>
          <w:jc w:val="center"/>
        </w:trPr>
        <w:tc>
          <w:tcPr>
            <w:tcW w:w="3005" w:type="pct"/>
            <w:tcBorders>
              <w:top w:val="nil"/>
              <w:left w:val="single" w:sz="8" w:space="0" w:color="auto"/>
              <w:bottom w:val="single" w:sz="8" w:space="0" w:color="auto"/>
              <w:right w:val="single" w:sz="8" w:space="0" w:color="auto"/>
            </w:tcBorders>
            <w:shd w:val="clear" w:color="auto" w:fill="95B3D7"/>
            <w:vAlign w:val="center"/>
            <w:hideMark/>
          </w:tcPr>
          <w:p w14:paraId="17E72F1E"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RUBRO</w:t>
            </w:r>
          </w:p>
        </w:tc>
        <w:tc>
          <w:tcPr>
            <w:tcW w:w="687" w:type="pct"/>
            <w:tcBorders>
              <w:top w:val="nil"/>
              <w:left w:val="nil"/>
              <w:bottom w:val="single" w:sz="8" w:space="0" w:color="auto"/>
              <w:right w:val="single" w:sz="8" w:space="0" w:color="auto"/>
            </w:tcBorders>
            <w:shd w:val="clear" w:color="auto" w:fill="95B3D7"/>
            <w:vAlign w:val="center"/>
            <w:hideMark/>
          </w:tcPr>
          <w:p w14:paraId="1B075E41"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2020</w:t>
            </w:r>
          </w:p>
        </w:tc>
        <w:tc>
          <w:tcPr>
            <w:tcW w:w="643" w:type="pct"/>
            <w:tcBorders>
              <w:top w:val="nil"/>
              <w:left w:val="nil"/>
              <w:bottom w:val="single" w:sz="8" w:space="0" w:color="auto"/>
              <w:right w:val="single" w:sz="8" w:space="0" w:color="auto"/>
            </w:tcBorders>
            <w:shd w:val="clear" w:color="auto" w:fill="95B3D7"/>
            <w:vAlign w:val="center"/>
            <w:hideMark/>
          </w:tcPr>
          <w:p w14:paraId="04B79A9D"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2021</w:t>
            </w:r>
          </w:p>
        </w:tc>
        <w:tc>
          <w:tcPr>
            <w:tcW w:w="665" w:type="pct"/>
            <w:tcBorders>
              <w:top w:val="nil"/>
              <w:left w:val="nil"/>
              <w:bottom w:val="single" w:sz="8" w:space="0" w:color="auto"/>
              <w:right w:val="single" w:sz="8" w:space="0" w:color="auto"/>
            </w:tcBorders>
            <w:shd w:val="clear" w:color="auto" w:fill="95B3D7"/>
            <w:vAlign w:val="center"/>
            <w:hideMark/>
          </w:tcPr>
          <w:p w14:paraId="12B338F4" w14:textId="77777777" w:rsidR="000C6BE9" w:rsidRDefault="000C6BE9">
            <w:pPr>
              <w:jc w:val="center"/>
              <w:rPr>
                <w:rFonts w:eastAsia="Times New Roman" w:cs="Arial"/>
                <w:b/>
                <w:color w:val="000000"/>
                <w:sz w:val="18"/>
                <w:szCs w:val="18"/>
                <w:lang w:val="es-CO" w:eastAsia="es-CO"/>
              </w:rPr>
            </w:pPr>
            <w:r>
              <w:rPr>
                <w:rFonts w:eastAsia="Times New Roman" w:cs="Arial"/>
                <w:b/>
                <w:color w:val="000000"/>
                <w:sz w:val="18"/>
                <w:szCs w:val="18"/>
                <w:lang w:val="es-CO" w:eastAsia="es-CO"/>
              </w:rPr>
              <w:t>2022</w:t>
            </w:r>
          </w:p>
        </w:tc>
      </w:tr>
      <w:tr w:rsidR="000C6BE9" w14:paraId="0638E8DD"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12C4E095"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Personal Administrativo de Instituciones Educativas</w:t>
            </w:r>
          </w:p>
        </w:tc>
        <w:tc>
          <w:tcPr>
            <w:tcW w:w="687" w:type="pct"/>
            <w:tcBorders>
              <w:top w:val="nil"/>
              <w:left w:val="nil"/>
              <w:bottom w:val="single" w:sz="8" w:space="0" w:color="auto"/>
              <w:right w:val="single" w:sz="8" w:space="0" w:color="auto"/>
            </w:tcBorders>
            <w:noWrap/>
            <w:vAlign w:val="center"/>
            <w:hideMark/>
          </w:tcPr>
          <w:p w14:paraId="25E873D2"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6.492</w:t>
            </w:r>
          </w:p>
        </w:tc>
        <w:tc>
          <w:tcPr>
            <w:tcW w:w="643" w:type="pct"/>
            <w:tcBorders>
              <w:top w:val="nil"/>
              <w:left w:val="nil"/>
              <w:bottom w:val="single" w:sz="8" w:space="0" w:color="auto"/>
              <w:right w:val="single" w:sz="8" w:space="0" w:color="auto"/>
            </w:tcBorders>
            <w:noWrap/>
            <w:vAlign w:val="center"/>
            <w:hideMark/>
          </w:tcPr>
          <w:p w14:paraId="61B00D66"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6.406</w:t>
            </w:r>
          </w:p>
        </w:tc>
        <w:tc>
          <w:tcPr>
            <w:tcW w:w="665" w:type="pct"/>
            <w:tcBorders>
              <w:top w:val="nil"/>
              <w:left w:val="nil"/>
              <w:bottom w:val="single" w:sz="8" w:space="0" w:color="auto"/>
              <w:right w:val="single" w:sz="8" w:space="0" w:color="auto"/>
            </w:tcBorders>
            <w:vAlign w:val="center"/>
            <w:hideMark/>
          </w:tcPr>
          <w:p w14:paraId="39FEFCE6"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7.151</w:t>
            </w:r>
          </w:p>
        </w:tc>
      </w:tr>
      <w:tr w:rsidR="000C6BE9" w14:paraId="475B1432"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504A0993"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Personal Administrativo Secretaría de Educación</w:t>
            </w:r>
          </w:p>
        </w:tc>
        <w:tc>
          <w:tcPr>
            <w:tcW w:w="687" w:type="pct"/>
            <w:tcBorders>
              <w:top w:val="nil"/>
              <w:left w:val="nil"/>
              <w:bottom w:val="single" w:sz="8" w:space="0" w:color="auto"/>
              <w:right w:val="single" w:sz="8" w:space="0" w:color="auto"/>
            </w:tcBorders>
            <w:noWrap/>
            <w:vAlign w:val="center"/>
            <w:hideMark/>
          </w:tcPr>
          <w:p w14:paraId="435E3B72"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0</w:t>
            </w:r>
          </w:p>
        </w:tc>
        <w:tc>
          <w:tcPr>
            <w:tcW w:w="643" w:type="pct"/>
            <w:tcBorders>
              <w:top w:val="nil"/>
              <w:left w:val="nil"/>
              <w:bottom w:val="single" w:sz="8" w:space="0" w:color="auto"/>
              <w:right w:val="single" w:sz="8" w:space="0" w:color="auto"/>
            </w:tcBorders>
            <w:noWrap/>
            <w:vAlign w:val="center"/>
            <w:hideMark/>
          </w:tcPr>
          <w:p w14:paraId="111B6599"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0</w:t>
            </w:r>
          </w:p>
        </w:tc>
        <w:tc>
          <w:tcPr>
            <w:tcW w:w="665" w:type="pct"/>
            <w:tcBorders>
              <w:top w:val="nil"/>
              <w:left w:val="nil"/>
              <w:bottom w:val="single" w:sz="8" w:space="0" w:color="auto"/>
              <w:right w:val="single" w:sz="8" w:space="0" w:color="auto"/>
            </w:tcBorders>
            <w:vAlign w:val="center"/>
            <w:hideMark/>
          </w:tcPr>
          <w:p w14:paraId="6315689C"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0</w:t>
            </w:r>
          </w:p>
        </w:tc>
      </w:tr>
      <w:tr w:rsidR="000C6BE9" w14:paraId="78C52A33"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0C228EBF"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Aportes Personal Administrativo de Instituciones Educativas</w:t>
            </w:r>
          </w:p>
        </w:tc>
        <w:tc>
          <w:tcPr>
            <w:tcW w:w="687" w:type="pct"/>
            <w:tcBorders>
              <w:top w:val="nil"/>
              <w:left w:val="nil"/>
              <w:bottom w:val="single" w:sz="8" w:space="0" w:color="auto"/>
              <w:right w:val="single" w:sz="8" w:space="0" w:color="auto"/>
            </w:tcBorders>
            <w:noWrap/>
            <w:vAlign w:val="center"/>
            <w:hideMark/>
          </w:tcPr>
          <w:p w14:paraId="24CADAEE"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1.734</w:t>
            </w:r>
          </w:p>
        </w:tc>
        <w:tc>
          <w:tcPr>
            <w:tcW w:w="643" w:type="pct"/>
            <w:tcBorders>
              <w:top w:val="nil"/>
              <w:left w:val="nil"/>
              <w:bottom w:val="single" w:sz="8" w:space="0" w:color="auto"/>
              <w:right w:val="single" w:sz="8" w:space="0" w:color="auto"/>
            </w:tcBorders>
            <w:noWrap/>
            <w:vAlign w:val="center"/>
            <w:hideMark/>
          </w:tcPr>
          <w:p w14:paraId="153D9004"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2.013</w:t>
            </w:r>
          </w:p>
        </w:tc>
        <w:tc>
          <w:tcPr>
            <w:tcW w:w="665" w:type="pct"/>
            <w:tcBorders>
              <w:top w:val="nil"/>
              <w:left w:val="nil"/>
              <w:bottom w:val="single" w:sz="8" w:space="0" w:color="auto"/>
              <w:right w:val="single" w:sz="8" w:space="0" w:color="auto"/>
            </w:tcBorders>
            <w:vAlign w:val="center"/>
            <w:hideMark/>
          </w:tcPr>
          <w:p w14:paraId="75CA9BBA"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1.971</w:t>
            </w:r>
          </w:p>
        </w:tc>
      </w:tr>
      <w:tr w:rsidR="000C6BE9" w14:paraId="5B05B7F5"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3EF0DBA4"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Aportes Personal Administrativo de secretaría de Educación</w:t>
            </w:r>
          </w:p>
        </w:tc>
        <w:tc>
          <w:tcPr>
            <w:tcW w:w="687" w:type="pct"/>
            <w:tcBorders>
              <w:top w:val="nil"/>
              <w:left w:val="nil"/>
              <w:bottom w:val="single" w:sz="8" w:space="0" w:color="auto"/>
              <w:right w:val="single" w:sz="8" w:space="0" w:color="auto"/>
            </w:tcBorders>
            <w:noWrap/>
            <w:vAlign w:val="center"/>
            <w:hideMark/>
          </w:tcPr>
          <w:p w14:paraId="3926F8D2"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 </w:t>
            </w:r>
          </w:p>
        </w:tc>
        <w:tc>
          <w:tcPr>
            <w:tcW w:w="643" w:type="pct"/>
            <w:tcBorders>
              <w:top w:val="nil"/>
              <w:left w:val="nil"/>
              <w:bottom w:val="single" w:sz="8" w:space="0" w:color="auto"/>
              <w:right w:val="single" w:sz="8" w:space="0" w:color="auto"/>
            </w:tcBorders>
            <w:noWrap/>
            <w:vAlign w:val="center"/>
            <w:hideMark/>
          </w:tcPr>
          <w:p w14:paraId="27246CC1"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 </w:t>
            </w:r>
          </w:p>
        </w:tc>
        <w:tc>
          <w:tcPr>
            <w:tcW w:w="665" w:type="pct"/>
            <w:tcBorders>
              <w:top w:val="nil"/>
              <w:left w:val="nil"/>
              <w:bottom w:val="single" w:sz="8" w:space="0" w:color="auto"/>
              <w:right w:val="single" w:sz="8" w:space="0" w:color="auto"/>
            </w:tcBorders>
            <w:vAlign w:val="center"/>
            <w:hideMark/>
          </w:tcPr>
          <w:p w14:paraId="3B6CE122"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w:t>
            </w:r>
          </w:p>
        </w:tc>
      </w:tr>
      <w:tr w:rsidR="000C6BE9" w14:paraId="6951B56B" w14:textId="77777777" w:rsidTr="000C6BE9">
        <w:trPr>
          <w:trHeight w:val="20"/>
          <w:jc w:val="center"/>
        </w:trPr>
        <w:tc>
          <w:tcPr>
            <w:tcW w:w="3005" w:type="pct"/>
            <w:tcBorders>
              <w:top w:val="nil"/>
              <w:left w:val="single" w:sz="8" w:space="0" w:color="auto"/>
              <w:bottom w:val="single" w:sz="8" w:space="0" w:color="auto"/>
              <w:right w:val="single" w:sz="8" w:space="0" w:color="auto"/>
            </w:tcBorders>
            <w:vAlign w:val="center"/>
            <w:hideMark/>
          </w:tcPr>
          <w:p w14:paraId="056F0D58" w14:textId="77777777" w:rsidR="000C6BE9" w:rsidRDefault="000C6BE9">
            <w:pPr>
              <w:ind w:firstLineChars="100" w:firstLine="180"/>
              <w:rPr>
                <w:rFonts w:eastAsia="Times New Roman" w:cs="Arial"/>
                <w:color w:val="000000"/>
                <w:sz w:val="18"/>
                <w:szCs w:val="18"/>
                <w:lang w:val="es-CO" w:eastAsia="es-CO"/>
              </w:rPr>
            </w:pPr>
            <w:r>
              <w:rPr>
                <w:rFonts w:eastAsia="Times New Roman" w:cs="Arial"/>
                <w:color w:val="000000"/>
                <w:sz w:val="18"/>
                <w:szCs w:val="18"/>
                <w:lang w:eastAsia="es-CO"/>
              </w:rPr>
              <w:t>Gastos Generales</w:t>
            </w:r>
          </w:p>
        </w:tc>
        <w:tc>
          <w:tcPr>
            <w:tcW w:w="687" w:type="pct"/>
            <w:tcBorders>
              <w:top w:val="nil"/>
              <w:left w:val="nil"/>
              <w:bottom w:val="single" w:sz="8" w:space="0" w:color="auto"/>
              <w:right w:val="single" w:sz="8" w:space="0" w:color="auto"/>
            </w:tcBorders>
            <w:noWrap/>
            <w:vAlign w:val="center"/>
            <w:hideMark/>
          </w:tcPr>
          <w:p w14:paraId="105FAC8F"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46</w:t>
            </w:r>
          </w:p>
        </w:tc>
        <w:tc>
          <w:tcPr>
            <w:tcW w:w="643" w:type="pct"/>
            <w:tcBorders>
              <w:top w:val="nil"/>
              <w:left w:val="nil"/>
              <w:bottom w:val="single" w:sz="8" w:space="0" w:color="auto"/>
              <w:right w:val="single" w:sz="8" w:space="0" w:color="auto"/>
            </w:tcBorders>
            <w:noWrap/>
            <w:vAlign w:val="center"/>
            <w:hideMark/>
          </w:tcPr>
          <w:p w14:paraId="416B9748"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110</w:t>
            </w:r>
          </w:p>
        </w:tc>
        <w:tc>
          <w:tcPr>
            <w:tcW w:w="665" w:type="pct"/>
            <w:tcBorders>
              <w:top w:val="nil"/>
              <w:left w:val="nil"/>
              <w:bottom w:val="single" w:sz="8" w:space="0" w:color="auto"/>
              <w:right w:val="single" w:sz="8" w:space="0" w:color="auto"/>
            </w:tcBorders>
            <w:vAlign w:val="center"/>
            <w:hideMark/>
          </w:tcPr>
          <w:p w14:paraId="57977AE0" w14:textId="77777777" w:rsidR="000C6BE9" w:rsidRDefault="000C6BE9">
            <w:pPr>
              <w:jc w:val="right"/>
              <w:rPr>
                <w:rFonts w:eastAsia="Times New Roman" w:cs="Arial"/>
                <w:color w:val="000000"/>
                <w:sz w:val="18"/>
                <w:szCs w:val="18"/>
                <w:lang w:val="es-CO" w:eastAsia="es-CO"/>
              </w:rPr>
            </w:pPr>
            <w:r>
              <w:rPr>
                <w:rFonts w:eastAsia="Times New Roman" w:cs="Arial"/>
                <w:color w:val="000000"/>
                <w:sz w:val="18"/>
                <w:szCs w:val="18"/>
                <w:lang w:val="es-CO" w:eastAsia="es-CO"/>
              </w:rPr>
              <w:t>59</w:t>
            </w:r>
          </w:p>
        </w:tc>
      </w:tr>
      <w:tr w:rsidR="000C6BE9" w14:paraId="7C19C08A" w14:textId="77777777" w:rsidTr="000C6BE9">
        <w:trPr>
          <w:trHeight w:val="20"/>
          <w:jc w:val="center"/>
        </w:trPr>
        <w:tc>
          <w:tcPr>
            <w:tcW w:w="3005" w:type="pct"/>
            <w:tcBorders>
              <w:top w:val="nil"/>
              <w:left w:val="single" w:sz="8" w:space="0" w:color="auto"/>
              <w:bottom w:val="single" w:sz="8" w:space="0" w:color="auto"/>
              <w:right w:val="single" w:sz="8" w:space="0" w:color="auto"/>
            </w:tcBorders>
            <w:shd w:val="clear" w:color="auto" w:fill="244061"/>
            <w:vAlign w:val="center"/>
            <w:hideMark/>
          </w:tcPr>
          <w:p w14:paraId="7EA9C619" w14:textId="77777777" w:rsidR="000C6BE9" w:rsidRDefault="000C6BE9">
            <w:pPr>
              <w:ind w:firstLineChars="100" w:firstLine="181"/>
              <w:rPr>
                <w:rFonts w:eastAsia="Times New Roman" w:cs="Arial"/>
                <w:b/>
                <w:color w:val="FFFFFF"/>
                <w:sz w:val="18"/>
                <w:szCs w:val="18"/>
                <w:lang w:val="es-CO" w:eastAsia="es-CO"/>
              </w:rPr>
            </w:pPr>
            <w:r>
              <w:rPr>
                <w:rFonts w:eastAsia="Times New Roman" w:cs="Arial"/>
                <w:b/>
                <w:color w:val="FFFFFF"/>
                <w:sz w:val="18"/>
                <w:szCs w:val="18"/>
                <w:lang w:eastAsia="es-CO"/>
              </w:rPr>
              <w:t>TOTAL</w:t>
            </w:r>
          </w:p>
        </w:tc>
        <w:tc>
          <w:tcPr>
            <w:tcW w:w="687" w:type="pct"/>
            <w:tcBorders>
              <w:top w:val="nil"/>
              <w:left w:val="nil"/>
              <w:bottom w:val="single" w:sz="8" w:space="0" w:color="auto"/>
              <w:right w:val="single" w:sz="8" w:space="0" w:color="auto"/>
            </w:tcBorders>
            <w:shd w:val="clear" w:color="auto" w:fill="244061"/>
            <w:vAlign w:val="center"/>
            <w:hideMark/>
          </w:tcPr>
          <w:p w14:paraId="5221B36D"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8.272</w:t>
            </w:r>
          </w:p>
        </w:tc>
        <w:tc>
          <w:tcPr>
            <w:tcW w:w="643" w:type="pct"/>
            <w:tcBorders>
              <w:top w:val="nil"/>
              <w:left w:val="nil"/>
              <w:bottom w:val="single" w:sz="8" w:space="0" w:color="auto"/>
              <w:right w:val="single" w:sz="8" w:space="0" w:color="auto"/>
            </w:tcBorders>
            <w:shd w:val="clear" w:color="auto" w:fill="244061"/>
            <w:vAlign w:val="center"/>
            <w:hideMark/>
          </w:tcPr>
          <w:p w14:paraId="71ED50A9"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8.529</w:t>
            </w:r>
          </w:p>
        </w:tc>
        <w:tc>
          <w:tcPr>
            <w:tcW w:w="665" w:type="pct"/>
            <w:tcBorders>
              <w:top w:val="nil"/>
              <w:left w:val="nil"/>
              <w:bottom w:val="single" w:sz="8" w:space="0" w:color="auto"/>
              <w:right w:val="single" w:sz="8" w:space="0" w:color="auto"/>
            </w:tcBorders>
            <w:shd w:val="clear" w:color="auto" w:fill="244061"/>
            <w:vAlign w:val="center"/>
            <w:hideMark/>
          </w:tcPr>
          <w:p w14:paraId="383C4B19"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9.181</w:t>
            </w:r>
          </w:p>
        </w:tc>
      </w:tr>
      <w:tr w:rsidR="000C6BE9" w14:paraId="37ABB862" w14:textId="77777777" w:rsidTr="000C6BE9">
        <w:trPr>
          <w:trHeight w:val="20"/>
          <w:jc w:val="center"/>
        </w:trPr>
        <w:tc>
          <w:tcPr>
            <w:tcW w:w="3005" w:type="pct"/>
            <w:tcBorders>
              <w:top w:val="nil"/>
              <w:left w:val="single" w:sz="8" w:space="0" w:color="auto"/>
              <w:bottom w:val="single" w:sz="8" w:space="0" w:color="auto"/>
              <w:right w:val="single" w:sz="8" w:space="0" w:color="auto"/>
            </w:tcBorders>
            <w:shd w:val="clear" w:color="auto" w:fill="244061"/>
            <w:vAlign w:val="center"/>
            <w:hideMark/>
          </w:tcPr>
          <w:p w14:paraId="02FC72C3" w14:textId="77777777" w:rsidR="000C6BE9" w:rsidRDefault="000C6BE9">
            <w:pPr>
              <w:ind w:firstLineChars="100" w:firstLine="181"/>
              <w:rPr>
                <w:rFonts w:eastAsia="Times New Roman" w:cs="Arial"/>
                <w:b/>
                <w:color w:val="FFFFFF"/>
                <w:sz w:val="18"/>
                <w:szCs w:val="18"/>
                <w:lang w:val="es-CO" w:eastAsia="es-CO"/>
              </w:rPr>
            </w:pPr>
            <w:r>
              <w:rPr>
                <w:rFonts w:eastAsia="Times New Roman" w:cs="Arial"/>
                <w:b/>
                <w:color w:val="FFFFFF"/>
                <w:sz w:val="18"/>
                <w:szCs w:val="18"/>
                <w:lang w:eastAsia="es-CO"/>
              </w:rPr>
              <w:t>AUTORIZADO POR DOCUMENTO DE DISTRIBUCIÓN</w:t>
            </w:r>
          </w:p>
        </w:tc>
        <w:tc>
          <w:tcPr>
            <w:tcW w:w="687" w:type="pct"/>
            <w:tcBorders>
              <w:top w:val="nil"/>
              <w:left w:val="nil"/>
              <w:bottom w:val="single" w:sz="8" w:space="0" w:color="auto"/>
              <w:right w:val="single" w:sz="8" w:space="0" w:color="auto"/>
            </w:tcBorders>
            <w:shd w:val="clear" w:color="auto" w:fill="244061"/>
            <w:vAlign w:val="center"/>
            <w:hideMark/>
          </w:tcPr>
          <w:p w14:paraId="29CB436F"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7.799</w:t>
            </w:r>
          </w:p>
        </w:tc>
        <w:tc>
          <w:tcPr>
            <w:tcW w:w="643" w:type="pct"/>
            <w:tcBorders>
              <w:top w:val="nil"/>
              <w:left w:val="nil"/>
              <w:bottom w:val="single" w:sz="8" w:space="0" w:color="auto"/>
              <w:right w:val="single" w:sz="8" w:space="0" w:color="auto"/>
            </w:tcBorders>
            <w:shd w:val="clear" w:color="auto" w:fill="244061"/>
            <w:vAlign w:val="center"/>
            <w:hideMark/>
          </w:tcPr>
          <w:p w14:paraId="75E6D3B0"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8.002</w:t>
            </w:r>
          </w:p>
        </w:tc>
        <w:tc>
          <w:tcPr>
            <w:tcW w:w="665" w:type="pct"/>
            <w:tcBorders>
              <w:top w:val="nil"/>
              <w:left w:val="nil"/>
              <w:bottom w:val="single" w:sz="8" w:space="0" w:color="auto"/>
              <w:right w:val="single" w:sz="8" w:space="0" w:color="auto"/>
            </w:tcBorders>
            <w:shd w:val="clear" w:color="auto" w:fill="244061"/>
            <w:vAlign w:val="center"/>
            <w:hideMark/>
          </w:tcPr>
          <w:p w14:paraId="3353FA07"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8.774</w:t>
            </w:r>
          </w:p>
        </w:tc>
      </w:tr>
      <w:tr w:rsidR="000C6BE9" w14:paraId="37599FBB" w14:textId="77777777" w:rsidTr="000C6BE9">
        <w:trPr>
          <w:trHeight w:val="20"/>
          <w:jc w:val="center"/>
        </w:trPr>
        <w:tc>
          <w:tcPr>
            <w:tcW w:w="3005" w:type="pct"/>
            <w:tcBorders>
              <w:top w:val="nil"/>
              <w:left w:val="single" w:sz="8" w:space="0" w:color="auto"/>
              <w:bottom w:val="single" w:sz="8" w:space="0" w:color="auto"/>
              <w:right w:val="single" w:sz="8" w:space="0" w:color="auto"/>
            </w:tcBorders>
            <w:shd w:val="clear" w:color="auto" w:fill="244061"/>
            <w:vAlign w:val="center"/>
            <w:hideMark/>
          </w:tcPr>
          <w:p w14:paraId="51CD5946" w14:textId="77777777" w:rsidR="000C6BE9" w:rsidRDefault="000C6BE9">
            <w:pPr>
              <w:ind w:firstLineChars="100" w:firstLine="181"/>
              <w:rPr>
                <w:rFonts w:eastAsia="Times New Roman" w:cs="Arial"/>
                <w:b/>
                <w:color w:val="FFFFFF"/>
                <w:sz w:val="18"/>
                <w:szCs w:val="18"/>
                <w:lang w:val="es-CO" w:eastAsia="es-CO"/>
              </w:rPr>
            </w:pPr>
            <w:r>
              <w:rPr>
                <w:rFonts w:eastAsia="Times New Roman" w:cs="Arial"/>
                <w:b/>
                <w:color w:val="FFFFFF"/>
                <w:sz w:val="18"/>
                <w:szCs w:val="18"/>
                <w:lang w:eastAsia="es-CO"/>
              </w:rPr>
              <w:t>DIFERENCIA</w:t>
            </w:r>
          </w:p>
        </w:tc>
        <w:tc>
          <w:tcPr>
            <w:tcW w:w="687" w:type="pct"/>
            <w:tcBorders>
              <w:top w:val="nil"/>
              <w:left w:val="nil"/>
              <w:bottom w:val="single" w:sz="8" w:space="0" w:color="auto"/>
              <w:right w:val="single" w:sz="8" w:space="0" w:color="auto"/>
            </w:tcBorders>
            <w:shd w:val="clear" w:color="auto" w:fill="244061"/>
            <w:vAlign w:val="center"/>
            <w:hideMark/>
          </w:tcPr>
          <w:p w14:paraId="4DE6ABD2"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473</w:t>
            </w:r>
          </w:p>
        </w:tc>
        <w:tc>
          <w:tcPr>
            <w:tcW w:w="643" w:type="pct"/>
            <w:tcBorders>
              <w:top w:val="nil"/>
              <w:left w:val="nil"/>
              <w:bottom w:val="single" w:sz="8" w:space="0" w:color="auto"/>
              <w:right w:val="single" w:sz="8" w:space="0" w:color="auto"/>
            </w:tcBorders>
            <w:shd w:val="clear" w:color="auto" w:fill="244061"/>
            <w:vAlign w:val="center"/>
            <w:hideMark/>
          </w:tcPr>
          <w:p w14:paraId="255A6584"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527</w:t>
            </w:r>
          </w:p>
        </w:tc>
        <w:tc>
          <w:tcPr>
            <w:tcW w:w="665" w:type="pct"/>
            <w:tcBorders>
              <w:top w:val="nil"/>
              <w:left w:val="nil"/>
              <w:bottom w:val="single" w:sz="8" w:space="0" w:color="auto"/>
              <w:right w:val="single" w:sz="8" w:space="0" w:color="auto"/>
            </w:tcBorders>
            <w:shd w:val="clear" w:color="auto" w:fill="244061"/>
            <w:vAlign w:val="center"/>
            <w:hideMark/>
          </w:tcPr>
          <w:p w14:paraId="17F544B5" w14:textId="77777777" w:rsidR="000C6BE9" w:rsidRDefault="000C6BE9">
            <w:pPr>
              <w:jc w:val="right"/>
              <w:rPr>
                <w:rFonts w:eastAsia="Times New Roman" w:cs="Arial"/>
                <w:b/>
                <w:color w:val="FFFFFF"/>
                <w:sz w:val="18"/>
                <w:szCs w:val="18"/>
                <w:lang w:val="es-CO" w:eastAsia="es-CO"/>
              </w:rPr>
            </w:pPr>
            <w:r>
              <w:rPr>
                <w:rFonts w:eastAsia="Times New Roman" w:cs="Arial"/>
                <w:b/>
                <w:color w:val="FFFFFF"/>
                <w:sz w:val="18"/>
                <w:szCs w:val="18"/>
                <w:lang w:val="es-CO" w:eastAsia="es-CO"/>
              </w:rPr>
              <w:t>407</w:t>
            </w:r>
          </w:p>
        </w:tc>
      </w:tr>
    </w:tbl>
    <w:p w14:paraId="0451A9D2" w14:textId="77777777" w:rsidR="000C6BE9" w:rsidRDefault="000C6BE9" w:rsidP="000C6BE9">
      <w:pPr>
        <w:jc w:val="center"/>
        <w:rPr>
          <w:rFonts w:cs="Arial"/>
          <w:sz w:val="16"/>
          <w:szCs w:val="16"/>
        </w:rPr>
      </w:pPr>
      <w:r>
        <w:rPr>
          <w:rFonts w:cs="Arial"/>
          <w:sz w:val="16"/>
          <w:szCs w:val="16"/>
        </w:rPr>
        <w:t>Fuente: Documentos de Distribución SGP, ejecución presupuestal 2020 y 2021, Reporte CUIPO 2022.</w:t>
      </w:r>
    </w:p>
    <w:p w14:paraId="4BEC8B72" w14:textId="77777777" w:rsidR="000C6BE9" w:rsidRDefault="000C6BE9" w:rsidP="000C6BE9">
      <w:pPr>
        <w:jc w:val="both"/>
        <w:rPr>
          <w:rFonts w:cs="Arial"/>
          <w:b/>
          <w:szCs w:val="22"/>
          <w:lang w:eastAsia="en-US"/>
        </w:rPr>
      </w:pPr>
    </w:p>
    <w:p w14:paraId="4CAE6A0F" w14:textId="77777777" w:rsidR="000C6BE9" w:rsidRDefault="000C6BE9" w:rsidP="000C6BE9">
      <w:pPr>
        <w:jc w:val="both"/>
        <w:rPr>
          <w:rFonts w:cs="Arial"/>
          <w:szCs w:val="22"/>
        </w:rPr>
      </w:pPr>
      <w:r>
        <w:rPr>
          <w:rFonts w:cs="Arial"/>
          <w:szCs w:val="22"/>
        </w:rPr>
        <w:t xml:space="preserve">Se concluye que la entidad superó el límite máximo autorizado para gastos administrativos durante las vigencias 2020, 2021 y 2022 y por tanto dicho recursos deben también ser restituidos al sector. </w:t>
      </w:r>
    </w:p>
    <w:p w14:paraId="5A278C87" w14:textId="77777777" w:rsidR="000C6BE9" w:rsidRDefault="000C6BE9" w:rsidP="000C6BE9">
      <w:pPr>
        <w:jc w:val="both"/>
        <w:rPr>
          <w:rFonts w:eastAsiaTheme="minorHAnsi" w:cs="Arial"/>
          <w:lang w:val="es-CO" w:eastAsia="en-US"/>
        </w:rPr>
      </w:pPr>
    </w:p>
    <w:p w14:paraId="3A46F108" w14:textId="77777777" w:rsidR="000C6BE9" w:rsidRDefault="000C6BE9" w:rsidP="000C6BE9">
      <w:pPr>
        <w:jc w:val="both"/>
        <w:rPr>
          <w:rFonts w:eastAsiaTheme="minorHAnsi" w:cs="Arial"/>
          <w:lang w:val="es-CO" w:eastAsia="en-US"/>
        </w:rPr>
      </w:pPr>
      <w:r>
        <w:rPr>
          <w:rFonts w:eastAsiaTheme="minorHAnsi" w:cs="Arial"/>
          <w:lang w:val="es-CO" w:eastAsia="en-US"/>
        </w:rPr>
        <w:t>Evaluación de la actividad: No Cumple</w:t>
      </w:r>
    </w:p>
    <w:p w14:paraId="4E999F84" w14:textId="77777777" w:rsidR="000C6BE9" w:rsidRDefault="000C6BE9" w:rsidP="000C6BE9">
      <w:pPr>
        <w:rPr>
          <w:b/>
          <w:bCs/>
          <w:lang w:val="es-CO" w:eastAsia="en-US"/>
        </w:rPr>
      </w:pPr>
    </w:p>
    <w:p w14:paraId="76895C19" w14:textId="77777777" w:rsidR="000C6BE9" w:rsidRDefault="000C6BE9" w:rsidP="000C6BE9">
      <w:pPr>
        <w:rPr>
          <w:b/>
          <w:lang w:val="es-CO" w:eastAsia="en-US"/>
        </w:rPr>
      </w:pPr>
      <w:r>
        <w:rPr>
          <w:b/>
          <w:lang w:val="es-CO" w:eastAsia="en-US"/>
        </w:rPr>
        <w:t>Recomendación</w:t>
      </w:r>
    </w:p>
    <w:p w14:paraId="0E9F206C" w14:textId="77777777" w:rsidR="000C6BE9" w:rsidRDefault="000C6BE9" w:rsidP="000C6BE9">
      <w:pPr>
        <w:jc w:val="both"/>
        <w:rPr>
          <w:rFonts w:eastAsiaTheme="minorHAnsi" w:cs="Arial"/>
          <w:szCs w:val="22"/>
          <w:lang w:val="es-CO" w:eastAsia="en-US"/>
        </w:rPr>
      </w:pPr>
    </w:p>
    <w:p w14:paraId="09AB9419" w14:textId="77777777" w:rsidR="000C6BE9" w:rsidRDefault="000C6BE9" w:rsidP="000C6BE9">
      <w:pPr>
        <w:jc w:val="both"/>
        <w:rPr>
          <w:rFonts w:eastAsiaTheme="minorHAnsi" w:cs="Arial"/>
          <w:szCs w:val="22"/>
          <w:lang w:val="es-CO" w:eastAsia="en-US"/>
        </w:rPr>
      </w:pPr>
      <w:r>
        <w:rPr>
          <w:rFonts w:eastAsiaTheme="minorHAnsi" w:cs="Arial"/>
          <w:szCs w:val="22"/>
          <w:lang w:val="es-CO" w:eastAsia="en-US"/>
        </w:rPr>
        <w:t xml:space="preserve">Teniendo en cuenta que el gasto administrativo se supera principalmente por conceptos de nómina, se recomienda que la Entidad haga la revisión de su personal administrativo de manera que </w:t>
      </w:r>
      <w:r w:rsidR="00670213">
        <w:rPr>
          <w:rFonts w:eastAsiaTheme="minorHAnsi" w:cs="Arial"/>
          <w:szCs w:val="22"/>
          <w:lang w:val="es-CO" w:eastAsia="en-US"/>
        </w:rPr>
        <w:t xml:space="preserve">opere </w:t>
      </w:r>
      <w:r>
        <w:rPr>
          <w:rFonts w:eastAsiaTheme="minorHAnsi" w:cs="Arial"/>
          <w:szCs w:val="22"/>
          <w:lang w:val="es-CO" w:eastAsia="en-US"/>
        </w:rPr>
        <w:t xml:space="preserve">con la planta autorizada por el Ministerio de Educación Nacional o que </w:t>
      </w:r>
      <w:r>
        <w:rPr>
          <w:rFonts w:eastAsiaTheme="minorHAnsi" w:cs="Arial"/>
          <w:szCs w:val="22"/>
          <w:lang w:val="es-CO" w:eastAsia="en-US"/>
        </w:rPr>
        <w:lastRenderedPageBreak/>
        <w:t>concurra con recursos propios en la financiación de los administrativos que están por encima de los viabilizados por el Ministerio</w:t>
      </w:r>
      <w:r w:rsidR="00670213">
        <w:rPr>
          <w:rFonts w:eastAsiaTheme="minorHAnsi" w:cs="Arial"/>
          <w:szCs w:val="22"/>
          <w:lang w:val="es-CO" w:eastAsia="en-US"/>
        </w:rPr>
        <w:t>. H</w:t>
      </w:r>
      <w:r>
        <w:rPr>
          <w:rFonts w:eastAsiaTheme="minorHAnsi" w:cs="Arial"/>
          <w:szCs w:val="22"/>
          <w:lang w:val="es-CO" w:eastAsia="en-US"/>
        </w:rPr>
        <w:t>asta tanto la entidad reorganice su planta administrativa y por ende ajuste su gasto administrativo</w:t>
      </w:r>
      <w:r w:rsidR="00670213">
        <w:rPr>
          <w:rFonts w:eastAsiaTheme="minorHAnsi" w:cs="Arial"/>
          <w:szCs w:val="22"/>
          <w:lang w:val="es-CO" w:eastAsia="en-US"/>
        </w:rPr>
        <w:t>,</w:t>
      </w:r>
      <w:r>
        <w:rPr>
          <w:rFonts w:eastAsiaTheme="minorHAnsi" w:cs="Arial"/>
          <w:szCs w:val="22"/>
          <w:lang w:val="es-CO" w:eastAsia="en-US"/>
        </w:rPr>
        <w:t xml:space="preserve"> no podrá darse por superada esta actividad</w:t>
      </w:r>
      <w:r w:rsidR="00670213">
        <w:rPr>
          <w:rFonts w:eastAsiaTheme="minorHAnsi" w:cs="Arial"/>
          <w:szCs w:val="22"/>
          <w:lang w:val="es-CO" w:eastAsia="en-US"/>
        </w:rPr>
        <w:t xml:space="preserve">. Adicionalmente </w:t>
      </w:r>
      <w:r>
        <w:rPr>
          <w:rFonts w:eastAsiaTheme="minorHAnsi" w:cs="Arial"/>
          <w:szCs w:val="22"/>
          <w:lang w:val="es-CO" w:eastAsia="en-US"/>
        </w:rPr>
        <w:t xml:space="preserve">la Entidad deberá </w:t>
      </w:r>
      <w:r w:rsidR="00670213">
        <w:rPr>
          <w:rFonts w:eastAsiaTheme="minorHAnsi" w:cs="Arial"/>
          <w:szCs w:val="22"/>
          <w:lang w:val="es-CO" w:eastAsia="en-US"/>
        </w:rPr>
        <w:t>restituir a</w:t>
      </w:r>
      <w:r>
        <w:rPr>
          <w:rFonts w:eastAsiaTheme="minorHAnsi" w:cs="Arial"/>
          <w:szCs w:val="22"/>
          <w:lang w:val="es-CO" w:eastAsia="en-US"/>
        </w:rPr>
        <w:t xml:space="preserve">l sector los recursos </w:t>
      </w:r>
      <w:r w:rsidR="00670213">
        <w:rPr>
          <w:rFonts w:eastAsiaTheme="minorHAnsi" w:cs="Arial"/>
          <w:szCs w:val="22"/>
          <w:lang w:val="es-CO" w:eastAsia="en-US"/>
        </w:rPr>
        <w:t xml:space="preserve">correspondientes al exceso de gasto administrativo en que incurrió durante las vigencias </w:t>
      </w:r>
      <w:r>
        <w:rPr>
          <w:rFonts w:eastAsiaTheme="minorHAnsi" w:cs="Arial"/>
          <w:szCs w:val="22"/>
          <w:lang w:val="es-CO" w:eastAsia="en-US"/>
        </w:rPr>
        <w:t>2020, 2021 y 2022</w:t>
      </w:r>
    </w:p>
    <w:p w14:paraId="165D33CA" w14:textId="77777777" w:rsidR="000C6BE9" w:rsidRDefault="000C6BE9" w:rsidP="000C6BE9">
      <w:pPr>
        <w:jc w:val="both"/>
        <w:rPr>
          <w:rFonts w:eastAsiaTheme="minorHAnsi" w:cs="Arial"/>
          <w:szCs w:val="22"/>
          <w:lang w:val="es-CO" w:eastAsia="en-US"/>
        </w:rPr>
      </w:pPr>
    </w:p>
    <w:p w14:paraId="10988269" w14:textId="77777777" w:rsidR="000C6BE9" w:rsidRDefault="000C6BE9" w:rsidP="000C6BE9">
      <w:pPr>
        <w:pStyle w:val="Ttulo2"/>
        <w:spacing w:before="0"/>
        <w:jc w:val="both"/>
        <w:rPr>
          <w:rFonts w:eastAsiaTheme="minorHAnsi"/>
          <w:b/>
          <w:bCs/>
          <w:lang w:val="es-CO" w:eastAsia="en-US"/>
        </w:rPr>
      </w:pPr>
      <w:r>
        <w:rPr>
          <w:rStyle w:val="Ttulo3Car"/>
          <w:rFonts w:cs="Arial"/>
          <w:b/>
          <w:bCs/>
        </w:rPr>
        <w:t>Objetivo</w:t>
      </w:r>
      <w:r>
        <w:rPr>
          <w:rFonts w:eastAsiaTheme="minorHAnsi"/>
          <w:b/>
          <w:bCs/>
          <w:lang w:val="es-CO" w:eastAsia="en-US"/>
        </w:rPr>
        <w:t xml:space="preserve"> 1.</w:t>
      </w:r>
      <w:r>
        <w:rPr>
          <w:b/>
          <w:bCs/>
          <w:lang w:val="es-CO" w:eastAsia="en-US"/>
        </w:rPr>
        <w:t xml:space="preserve">4. </w:t>
      </w:r>
      <w:r>
        <w:rPr>
          <w:rFonts w:eastAsiaTheme="minorHAnsi"/>
          <w:b/>
          <w:bCs/>
          <w:lang w:val="es-CO" w:eastAsia="en-US"/>
        </w:rPr>
        <w:t>Restituir al Sector Educativo los recursos utilizados para cubrir conceptos de gasto no permitidos por la normatividad vigente y por exceso de gasto administrativo.</w:t>
      </w:r>
    </w:p>
    <w:p w14:paraId="45CFA832" w14:textId="77777777" w:rsidR="000C6BE9" w:rsidRDefault="000C6BE9" w:rsidP="000C6BE9">
      <w:pPr>
        <w:jc w:val="both"/>
        <w:rPr>
          <w:rFonts w:eastAsiaTheme="minorHAnsi" w:cs="Arial"/>
          <w:szCs w:val="22"/>
          <w:lang w:val="es-CO" w:eastAsia="en-US"/>
        </w:rPr>
      </w:pPr>
    </w:p>
    <w:p w14:paraId="4A746CE4" w14:textId="77777777" w:rsidR="000C6BE9" w:rsidRDefault="000C6BE9" w:rsidP="000C6BE9">
      <w:pPr>
        <w:pStyle w:val="Ttulo3"/>
        <w:spacing w:before="0"/>
        <w:jc w:val="both"/>
        <w:rPr>
          <w:rFonts w:eastAsiaTheme="minorHAnsi"/>
          <w:lang w:val="es-CO" w:eastAsia="en-US"/>
        </w:rPr>
      </w:pPr>
      <w:r>
        <w:rPr>
          <w:rFonts w:eastAsiaTheme="minorHAnsi"/>
          <w:b/>
          <w:lang w:val="es-CO" w:eastAsia="en-US"/>
        </w:rPr>
        <w:t>Actividad 1.4.1.</w:t>
      </w:r>
      <w:r>
        <w:rPr>
          <w:rFonts w:eastAsiaTheme="minorHAnsi"/>
          <w:lang w:val="es-CO" w:eastAsia="en-US"/>
        </w:rPr>
        <w:t xml:space="preserve"> Pagar con recursos propios las obligaciones laborales y las cuentas por pagar pendientes al cierre de la vigencia 2018 y 2019 que no tenían respaldo en Tesorería.</w:t>
      </w:r>
    </w:p>
    <w:p w14:paraId="6F8241CA" w14:textId="77777777" w:rsidR="000C6BE9" w:rsidRDefault="000C6BE9" w:rsidP="000C6BE9">
      <w:pPr>
        <w:jc w:val="both"/>
        <w:rPr>
          <w:rFonts w:cs="Arial"/>
          <w:lang w:val="es-CO" w:eastAsia="en-US"/>
        </w:rPr>
      </w:pPr>
    </w:p>
    <w:p w14:paraId="7322CFDA" w14:textId="77777777" w:rsidR="000C6BE9" w:rsidRDefault="000C6BE9" w:rsidP="000C6BE9">
      <w:pPr>
        <w:jc w:val="both"/>
        <w:rPr>
          <w:lang w:val="es-CO" w:eastAsia="en-US"/>
        </w:rPr>
      </w:pPr>
      <w:r>
        <w:rPr>
          <w:b/>
          <w:lang w:val="es-CO" w:eastAsia="en-US"/>
        </w:rPr>
        <w:t xml:space="preserve">Productos esperados: </w:t>
      </w:r>
      <w:r>
        <w:rPr>
          <w:lang w:val="es-CO" w:eastAsia="en-US"/>
        </w:rPr>
        <w:t>Relación de las cuentas laborales y las cuentas por pagar pendientes al cierre de vigencia 2018 y 2019 que no tenían respaldo en tesorería, comprobantes de egreso de los pagos realizados, relación de pagos realizados y extractos bancarios donde se evidencia que fueron pagados</w:t>
      </w:r>
    </w:p>
    <w:p w14:paraId="198CC693" w14:textId="77777777" w:rsidR="000C6BE9" w:rsidRDefault="000C6BE9" w:rsidP="000C6BE9">
      <w:pPr>
        <w:jc w:val="both"/>
        <w:rPr>
          <w:lang w:val="es-CO" w:eastAsia="en-US"/>
        </w:rPr>
      </w:pPr>
    </w:p>
    <w:p w14:paraId="48AAA9ED" w14:textId="77777777" w:rsidR="000C6BE9" w:rsidRDefault="000C6BE9" w:rsidP="000C6BE9">
      <w:pPr>
        <w:jc w:val="both"/>
        <w:rPr>
          <w:lang w:val="es-CO" w:eastAsia="en-US"/>
        </w:rPr>
      </w:pPr>
      <w:r>
        <w:rPr>
          <w:b/>
          <w:lang w:val="es-CO" w:eastAsia="en-US"/>
        </w:rPr>
        <w:t>Evaluación</w:t>
      </w:r>
      <w:r>
        <w:rPr>
          <w:lang w:val="es-CO" w:eastAsia="en-US"/>
        </w:rPr>
        <w:t xml:space="preserve"> </w:t>
      </w:r>
    </w:p>
    <w:p w14:paraId="5645CF99" w14:textId="77777777" w:rsidR="000C6BE9" w:rsidRDefault="000C6BE9" w:rsidP="000C6BE9">
      <w:pPr>
        <w:jc w:val="both"/>
        <w:rPr>
          <w:lang w:val="es-CO" w:eastAsia="en-US"/>
        </w:rPr>
      </w:pPr>
    </w:p>
    <w:p w14:paraId="4F3A0D01" w14:textId="77777777" w:rsidR="000C6BE9" w:rsidRDefault="000C6BE9" w:rsidP="000C6BE9">
      <w:pPr>
        <w:jc w:val="both"/>
        <w:rPr>
          <w:b/>
          <w:lang w:val="es-CO" w:eastAsia="en-US"/>
        </w:rPr>
      </w:pPr>
      <w:r>
        <w:rPr>
          <w:lang w:val="es-CO" w:eastAsia="en-US"/>
        </w:rPr>
        <w:t xml:space="preserve">Con respecto a esta actividad, de conformidad con el diagnóstico inicial de la medida, la entidad deberá </w:t>
      </w:r>
      <w:r>
        <w:rPr>
          <w:rFonts w:eastAsiaTheme="minorHAnsi"/>
          <w:lang w:val="es-CO" w:eastAsia="en-US"/>
        </w:rPr>
        <w:t xml:space="preserve">financiar con recursos propios las cuentas por pagar pendientes al cierre de la vigencia 2018 y 2019, que </w:t>
      </w:r>
      <w:r>
        <w:rPr>
          <w:lang w:val="es-CO" w:eastAsia="en-US"/>
        </w:rPr>
        <w:t>ascienden a $1.139 millones, de acuerdo con el siguiente detalle:</w:t>
      </w:r>
    </w:p>
    <w:p w14:paraId="0111B2D6" w14:textId="77777777" w:rsidR="000C6BE9" w:rsidRDefault="000C6BE9" w:rsidP="000C6BE9">
      <w:pPr>
        <w:jc w:val="both"/>
        <w:rPr>
          <w:lang w:val="es-CO" w:eastAsia="en-US"/>
        </w:rPr>
      </w:pPr>
    </w:p>
    <w:tbl>
      <w:tblPr>
        <w:tblW w:w="5000" w:type="pct"/>
        <w:jc w:val="center"/>
        <w:tblCellMar>
          <w:left w:w="70" w:type="dxa"/>
          <w:right w:w="70" w:type="dxa"/>
        </w:tblCellMar>
        <w:tblLook w:val="04A0" w:firstRow="1" w:lastRow="0" w:firstColumn="1" w:lastColumn="0" w:noHBand="0" w:noVBand="1"/>
      </w:tblPr>
      <w:tblGrid>
        <w:gridCol w:w="1276"/>
        <w:gridCol w:w="1432"/>
        <w:gridCol w:w="4988"/>
        <w:gridCol w:w="1132"/>
      </w:tblGrid>
      <w:tr w:rsidR="000C6BE9" w14:paraId="09645141" w14:textId="77777777" w:rsidTr="000C6BE9">
        <w:trPr>
          <w:trHeight w:val="20"/>
          <w:jc w:val="center"/>
        </w:trPr>
        <w:tc>
          <w:tcPr>
            <w:tcW w:w="723" w:type="pct"/>
            <w:tcBorders>
              <w:top w:val="nil"/>
              <w:left w:val="single" w:sz="4" w:space="0" w:color="auto"/>
              <w:bottom w:val="single" w:sz="4" w:space="0" w:color="auto"/>
              <w:right w:val="single" w:sz="4" w:space="0" w:color="auto"/>
            </w:tcBorders>
            <w:shd w:val="clear" w:color="auto" w:fill="666699"/>
            <w:noWrap/>
            <w:vAlign w:val="center"/>
            <w:hideMark/>
          </w:tcPr>
          <w:p w14:paraId="1F067C8F" w14:textId="77777777" w:rsidR="000C6BE9" w:rsidRDefault="000C6BE9">
            <w:pPr>
              <w:jc w:val="center"/>
              <w:rPr>
                <w:rFonts w:eastAsia="Times New Roman" w:cs="Arial"/>
                <w:b/>
                <w:bCs/>
                <w:color w:val="FFFFFF"/>
                <w:sz w:val="18"/>
                <w:szCs w:val="18"/>
                <w:lang w:val="es-CO" w:eastAsia="es-CO"/>
              </w:rPr>
            </w:pPr>
            <w:r>
              <w:rPr>
                <w:rFonts w:eastAsia="Times New Roman" w:cs="Arial"/>
                <w:b/>
                <w:bCs/>
                <w:color w:val="FFFFFF"/>
                <w:sz w:val="18"/>
                <w:szCs w:val="18"/>
                <w:lang w:val="es-CO" w:eastAsia="es-CO"/>
              </w:rPr>
              <w:t xml:space="preserve">Vigencia </w:t>
            </w:r>
          </w:p>
        </w:tc>
        <w:tc>
          <w:tcPr>
            <w:tcW w:w="811" w:type="pct"/>
            <w:tcBorders>
              <w:top w:val="nil"/>
              <w:left w:val="nil"/>
              <w:bottom w:val="single" w:sz="4" w:space="0" w:color="auto"/>
              <w:right w:val="single" w:sz="4" w:space="0" w:color="auto"/>
            </w:tcBorders>
            <w:shd w:val="clear" w:color="auto" w:fill="666699"/>
            <w:vAlign w:val="center"/>
            <w:hideMark/>
          </w:tcPr>
          <w:p w14:paraId="56E531FF" w14:textId="77777777" w:rsidR="000C6BE9" w:rsidRDefault="000C6BE9">
            <w:pPr>
              <w:jc w:val="center"/>
              <w:rPr>
                <w:rFonts w:eastAsia="Times New Roman" w:cs="Arial"/>
                <w:b/>
                <w:bCs/>
                <w:color w:val="FFFFFF"/>
                <w:sz w:val="18"/>
                <w:szCs w:val="18"/>
                <w:lang w:val="es-CO" w:eastAsia="es-CO"/>
              </w:rPr>
            </w:pPr>
            <w:r>
              <w:rPr>
                <w:rFonts w:eastAsia="Times New Roman" w:cs="Arial"/>
                <w:b/>
                <w:bCs/>
                <w:color w:val="FFFFFF"/>
                <w:sz w:val="18"/>
                <w:szCs w:val="18"/>
                <w:lang w:val="es-CO" w:eastAsia="es-CO"/>
              </w:rPr>
              <w:t>Evento de riesgo</w:t>
            </w:r>
          </w:p>
        </w:tc>
        <w:tc>
          <w:tcPr>
            <w:tcW w:w="2825" w:type="pct"/>
            <w:tcBorders>
              <w:top w:val="nil"/>
              <w:left w:val="nil"/>
              <w:bottom w:val="single" w:sz="4" w:space="0" w:color="auto"/>
              <w:right w:val="single" w:sz="4" w:space="0" w:color="auto"/>
            </w:tcBorders>
            <w:shd w:val="clear" w:color="auto" w:fill="666699"/>
            <w:noWrap/>
            <w:vAlign w:val="center"/>
            <w:hideMark/>
          </w:tcPr>
          <w:p w14:paraId="31BBE3E2" w14:textId="77777777" w:rsidR="000C6BE9" w:rsidRDefault="000C6BE9">
            <w:pPr>
              <w:jc w:val="center"/>
              <w:rPr>
                <w:rFonts w:eastAsia="Times New Roman" w:cs="Arial"/>
                <w:b/>
                <w:bCs/>
                <w:color w:val="FFFFFF"/>
                <w:sz w:val="18"/>
                <w:szCs w:val="18"/>
                <w:lang w:val="es-CO" w:eastAsia="es-CO"/>
              </w:rPr>
            </w:pPr>
            <w:r>
              <w:rPr>
                <w:rFonts w:eastAsia="Times New Roman" w:cs="Arial"/>
                <w:b/>
                <w:bCs/>
                <w:color w:val="FFFFFF"/>
                <w:sz w:val="18"/>
                <w:szCs w:val="18"/>
                <w:lang w:val="es-CO" w:eastAsia="es-CO"/>
              </w:rPr>
              <w:t>Problema</w:t>
            </w:r>
          </w:p>
        </w:tc>
        <w:tc>
          <w:tcPr>
            <w:tcW w:w="641" w:type="pct"/>
            <w:tcBorders>
              <w:top w:val="nil"/>
              <w:left w:val="nil"/>
              <w:bottom w:val="single" w:sz="4" w:space="0" w:color="auto"/>
              <w:right w:val="single" w:sz="4" w:space="0" w:color="auto"/>
            </w:tcBorders>
            <w:shd w:val="clear" w:color="auto" w:fill="666699"/>
            <w:noWrap/>
            <w:vAlign w:val="center"/>
            <w:hideMark/>
          </w:tcPr>
          <w:p w14:paraId="102227FA" w14:textId="77777777" w:rsidR="000C6BE9" w:rsidRDefault="000C6BE9">
            <w:pPr>
              <w:jc w:val="center"/>
              <w:rPr>
                <w:rFonts w:eastAsia="Times New Roman" w:cs="Arial"/>
                <w:b/>
                <w:bCs/>
                <w:color w:val="FFFFFF"/>
                <w:sz w:val="18"/>
                <w:szCs w:val="18"/>
                <w:lang w:val="es-CO" w:eastAsia="es-CO"/>
              </w:rPr>
            </w:pPr>
            <w:r>
              <w:rPr>
                <w:rFonts w:eastAsia="Times New Roman" w:cs="Arial"/>
                <w:b/>
                <w:bCs/>
                <w:color w:val="FFFFFF"/>
                <w:sz w:val="18"/>
                <w:szCs w:val="18"/>
                <w:lang w:val="es-CO" w:eastAsia="es-CO"/>
              </w:rPr>
              <w:t>Valor</w:t>
            </w:r>
          </w:p>
        </w:tc>
      </w:tr>
      <w:tr w:rsidR="000C6BE9" w14:paraId="3DF89F6B" w14:textId="77777777" w:rsidTr="000C6BE9">
        <w:trPr>
          <w:trHeight w:val="20"/>
          <w:jc w:val="center"/>
        </w:trPr>
        <w:tc>
          <w:tcPr>
            <w:tcW w:w="723" w:type="pct"/>
            <w:tcBorders>
              <w:top w:val="nil"/>
              <w:left w:val="single" w:sz="4" w:space="0" w:color="auto"/>
              <w:bottom w:val="single" w:sz="4" w:space="0" w:color="auto"/>
              <w:right w:val="single" w:sz="4" w:space="0" w:color="auto"/>
            </w:tcBorders>
            <w:noWrap/>
            <w:vAlign w:val="center"/>
            <w:hideMark/>
          </w:tcPr>
          <w:p w14:paraId="688DDD43"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2018</w:t>
            </w:r>
          </w:p>
        </w:tc>
        <w:tc>
          <w:tcPr>
            <w:tcW w:w="811" w:type="pct"/>
            <w:tcBorders>
              <w:top w:val="nil"/>
              <w:left w:val="nil"/>
              <w:bottom w:val="single" w:sz="4" w:space="0" w:color="auto"/>
              <w:right w:val="single" w:sz="4" w:space="0" w:color="auto"/>
            </w:tcBorders>
            <w:noWrap/>
            <w:vAlign w:val="center"/>
            <w:hideMark/>
          </w:tcPr>
          <w:p w14:paraId="256E4B74"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9.18</w:t>
            </w:r>
          </w:p>
        </w:tc>
        <w:tc>
          <w:tcPr>
            <w:tcW w:w="2825" w:type="pct"/>
            <w:tcBorders>
              <w:top w:val="nil"/>
              <w:left w:val="nil"/>
              <w:bottom w:val="single" w:sz="4" w:space="0" w:color="auto"/>
              <w:right w:val="single" w:sz="4" w:space="0" w:color="auto"/>
            </w:tcBorders>
            <w:vAlign w:val="center"/>
            <w:hideMark/>
          </w:tcPr>
          <w:p w14:paraId="13515B23"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1. Faltante en Tesorería</w:t>
            </w:r>
          </w:p>
        </w:tc>
        <w:tc>
          <w:tcPr>
            <w:tcW w:w="641" w:type="pct"/>
            <w:tcBorders>
              <w:top w:val="nil"/>
              <w:left w:val="nil"/>
              <w:bottom w:val="single" w:sz="4" w:space="0" w:color="auto"/>
              <w:right w:val="single" w:sz="4" w:space="0" w:color="auto"/>
            </w:tcBorders>
            <w:noWrap/>
            <w:vAlign w:val="center"/>
            <w:hideMark/>
          </w:tcPr>
          <w:p w14:paraId="332217D2"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427</w:t>
            </w:r>
          </w:p>
        </w:tc>
      </w:tr>
      <w:tr w:rsidR="000C6BE9" w14:paraId="280CA4AE" w14:textId="77777777" w:rsidTr="000C6BE9">
        <w:trPr>
          <w:trHeight w:val="20"/>
          <w:jc w:val="center"/>
        </w:trPr>
        <w:tc>
          <w:tcPr>
            <w:tcW w:w="723" w:type="pct"/>
            <w:tcBorders>
              <w:top w:val="nil"/>
              <w:left w:val="single" w:sz="4" w:space="0" w:color="auto"/>
              <w:bottom w:val="single" w:sz="4" w:space="0" w:color="auto"/>
              <w:right w:val="single" w:sz="4" w:space="0" w:color="auto"/>
            </w:tcBorders>
            <w:noWrap/>
            <w:vAlign w:val="center"/>
            <w:hideMark/>
          </w:tcPr>
          <w:p w14:paraId="06089455"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2019</w:t>
            </w:r>
          </w:p>
        </w:tc>
        <w:tc>
          <w:tcPr>
            <w:tcW w:w="811" w:type="pct"/>
            <w:tcBorders>
              <w:top w:val="nil"/>
              <w:left w:val="nil"/>
              <w:bottom w:val="single" w:sz="4" w:space="0" w:color="auto"/>
              <w:right w:val="single" w:sz="4" w:space="0" w:color="auto"/>
            </w:tcBorders>
            <w:noWrap/>
            <w:vAlign w:val="center"/>
            <w:hideMark/>
          </w:tcPr>
          <w:p w14:paraId="122F26CC"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9.18</w:t>
            </w:r>
          </w:p>
        </w:tc>
        <w:tc>
          <w:tcPr>
            <w:tcW w:w="2825" w:type="pct"/>
            <w:tcBorders>
              <w:top w:val="nil"/>
              <w:left w:val="nil"/>
              <w:bottom w:val="single" w:sz="4" w:space="0" w:color="auto"/>
              <w:right w:val="single" w:sz="4" w:space="0" w:color="auto"/>
            </w:tcBorders>
            <w:vAlign w:val="center"/>
            <w:hideMark/>
          </w:tcPr>
          <w:p w14:paraId="35F01024"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1. Faltante en Tesorería: 765 ($712 para cuentas por pagar y $53 como superávit que se evalúan en la Actividad 1.4.2. de restitución)</w:t>
            </w:r>
          </w:p>
        </w:tc>
        <w:tc>
          <w:tcPr>
            <w:tcW w:w="641" w:type="pct"/>
            <w:tcBorders>
              <w:top w:val="nil"/>
              <w:left w:val="nil"/>
              <w:bottom w:val="single" w:sz="4" w:space="0" w:color="auto"/>
              <w:right w:val="single" w:sz="4" w:space="0" w:color="auto"/>
            </w:tcBorders>
            <w:noWrap/>
            <w:vAlign w:val="center"/>
            <w:hideMark/>
          </w:tcPr>
          <w:p w14:paraId="55A7F91D"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712</w:t>
            </w:r>
          </w:p>
        </w:tc>
      </w:tr>
      <w:tr w:rsidR="000C6BE9" w14:paraId="7E94392C" w14:textId="77777777" w:rsidTr="000C6BE9">
        <w:trPr>
          <w:trHeight w:val="20"/>
          <w:jc w:val="center"/>
        </w:trPr>
        <w:tc>
          <w:tcPr>
            <w:tcW w:w="4359" w:type="pct"/>
            <w:gridSpan w:val="3"/>
            <w:tcBorders>
              <w:top w:val="single" w:sz="4" w:space="0" w:color="auto"/>
              <w:left w:val="single" w:sz="4" w:space="0" w:color="auto"/>
              <w:bottom w:val="single" w:sz="4" w:space="0" w:color="auto"/>
              <w:right w:val="single" w:sz="4" w:space="0" w:color="auto"/>
            </w:tcBorders>
            <w:shd w:val="clear" w:color="auto" w:fill="666699"/>
            <w:vAlign w:val="center"/>
            <w:hideMark/>
          </w:tcPr>
          <w:p w14:paraId="08166435" w14:textId="77777777" w:rsidR="000C6BE9" w:rsidRDefault="000C6BE9">
            <w:pPr>
              <w:jc w:val="center"/>
              <w:rPr>
                <w:rFonts w:eastAsia="Times New Roman" w:cs="Arial"/>
                <w:b/>
                <w:bCs/>
                <w:color w:val="FFFFFF"/>
                <w:sz w:val="18"/>
                <w:szCs w:val="18"/>
                <w:lang w:val="es-CO" w:eastAsia="es-CO"/>
              </w:rPr>
            </w:pPr>
            <w:r>
              <w:rPr>
                <w:rFonts w:eastAsia="Times New Roman" w:cs="Arial"/>
                <w:b/>
                <w:bCs/>
                <w:color w:val="FFFFFF"/>
                <w:sz w:val="18"/>
                <w:szCs w:val="18"/>
                <w:lang w:val="es-CO" w:eastAsia="es-CO"/>
              </w:rPr>
              <w:t>TOTAL</w:t>
            </w:r>
          </w:p>
        </w:tc>
        <w:tc>
          <w:tcPr>
            <w:tcW w:w="641" w:type="pct"/>
            <w:tcBorders>
              <w:top w:val="nil"/>
              <w:left w:val="nil"/>
              <w:bottom w:val="single" w:sz="4" w:space="0" w:color="auto"/>
              <w:right w:val="single" w:sz="4" w:space="0" w:color="auto"/>
            </w:tcBorders>
            <w:shd w:val="clear" w:color="auto" w:fill="666699"/>
            <w:vAlign w:val="center"/>
            <w:hideMark/>
          </w:tcPr>
          <w:p w14:paraId="5E0EF32F" w14:textId="77777777" w:rsidR="000C6BE9" w:rsidRDefault="000C6BE9">
            <w:pPr>
              <w:jc w:val="center"/>
              <w:rPr>
                <w:rFonts w:eastAsia="Times New Roman" w:cs="Arial"/>
                <w:b/>
                <w:bCs/>
                <w:color w:val="FFFFFF"/>
                <w:sz w:val="18"/>
                <w:szCs w:val="18"/>
                <w:lang w:val="es-CO" w:eastAsia="es-CO"/>
              </w:rPr>
            </w:pPr>
            <w:r>
              <w:rPr>
                <w:rFonts w:eastAsia="Times New Roman" w:cs="Arial"/>
                <w:b/>
                <w:bCs/>
                <w:color w:val="FFFFFF"/>
                <w:sz w:val="18"/>
                <w:szCs w:val="18"/>
                <w:lang w:val="es-CO" w:eastAsia="es-CO"/>
              </w:rPr>
              <w:t>1.139</w:t>
            </w:r>
          </w:p>
        </w:tc>
      </w:tr>
    </w:tbl>
    <w:p w14:paraId="17624ACB" w14:textId="77777777" w:rsidR="000C6BE9" w:rsidRDefault="000C6BE9" w:rsidP="000C6BE9">
      <w:pPr>
        <w:jc w:val="both"/>
        <w:rPr>
          <w:b/>
          <w:bCs/>
          <w:lang w:val="es-CO" w:eastAsia="en-US"/>
        </w:rPr>
      </w:pPr>
    </w:p>
    <w:p w14:paraId="30DC0053" w14:textId="77777777" w:rsidR="000C6BE9" w:rsidRDefault="000C6BE9" w:rsidP="000C6BE9">
      <w:pPr>
        <w:jc w:val="both"/>
        <w:rPr>
          <w:lang w:val="es-CO" w:eastAsia="en-US"/>
        </w:rPr>
      </w:pPr>
      <w:r>
        <w:rPr>
          <w:lang w:val="es-CO" w:eastAsia="en-US"/>
        </w:rPr>
        <w:t>De la vigencia 2018 la entidad debía restituir con recursos propios $427 millones. Sin embargo, en la última relación de cuentas por pagar del 2018 el municipio tenía pendiente por pagar $346 millones de Transporte escolar y $60 millones de capacitación docente, para un total de $406 millones.</w:t>
      </w:r>
    </w:p>
    <w:p w14:paraId="03053AEF" w14:textId="77777777" w:rsidR="000C6BE9" w:rsidRDefault="000C6BE9" w:rsidP="000C6BE9">
      <w:pPr>
        <w:jc w:val="both"/>
        <w:rPr>
          <w:lang w:val="es-CO" w:eastAsia="en-US"/>
        </w:rPr>
      </w:pPr>
    </w:p>
    <w:p w14:paraId="7AB2A0F0" w14:textId="77777777" w:rsidR="000C6BE9" w:rsidRDefault="000C6BE9" w:rsidP="000C6BE9">
      <w:pPr>
        <w:jc w:val="both"/>
        <w:rPr>
          <w:lang w:val="es-CO" w:eastAsia="en-US"/>
        </w:rPr>
      </w:pPr>
      <w:r>
        <w:rPr>
          <w:lang w:val="es-CO" w:eastAsia="en-US"/>
        </w:rPr>
        <w:t>Teniendo en cuenta lo anterior, el Municipio Santa Cruz de Lorica firmó acuerdo de pago el 14 de abril de 2021 con COOTRASEC por concepto de Transporte escolar. Para ese momento, dicha cuenta ascendía a $600 millones, de los cuales:</w:t>
      </w:r>
    </w:p>
    <w:p w14:paraId="31D50749" w14:textId="77777777" w:rsidR="000C6BE9" w:rsidRDefault="000C6BE9" w:rsidP="000C6BE9">
      <w:pPr>
        <w:jc w:val="both"/>
        <w:rPr>
          <w:lang w:val="es-CO" w:eastAsia="en-US"/>
        </w:rPr>
      </w:pPr>
    </w:p>
    <w:p w14:paraId="54853BE2" w14:textId="77777777" w:rsidR="000C6BE9" w:rsidRDefault="000C6BE9" w:rsidP="000C6BE9">
      <w:pPr>
        <w:pStyle w:val="Prrafodelista"/>
        <w:numPr>
          <w:ilvl w:val="0"/>
          <w:numId w:val="46"/>
        </w:numPr>
        <w:ind w:left="426" w:hanging="426"/>
        <w:jc w:val="both"/>
        <w:rPr>
          <w:lang w:val="es-CO" w:eastAsia="en-US"/>
        </w:rPr>
      </w:pPr>
      <w:r>
        <w:rPr>
          <w:lang w:val="es-CO" w:eastAsia="en-US"/>
        </w:rPr>
        <w:t>$346 millones correspondían a la deuda inicial.</w:t>
      </w:r>
    </w:p>
    <w:p w14:paraId="16572811" w14:textId="77777777" w:rsidR="000C6BE9" w:rsidRDefault="000C6BE9" w:rsidP="000C6BE9">
      <w:pPr>
        <w:pStyle w:val="Prrafodelista"/>
        <w:numPr>
          <w:ilvl w:val="0"/>
          <w:numId w:val="46"/>
        </w:numPr>
        <w:ind w:left="426" w:hanging="426"/>
        <w:jc w:val="both"/>
        <w:rPr>
          <w:lang w:val="es-CO" w:eastAsia="en-US"/>
        </w:rPr>
      </w:pPr>
      <w:r>
        <w:rPr>
          <w:lang w:val="es-CO" w:eastAsia="en-US"/>
        </w:rPr>
        <w:t>$225 millones correspondían a intereses moratorios del periodo comprendido entre el 1 de enero de 2019 y el 31 de marzo del 2021.</w:t>
      </w:r>
    </w:p>
    <w:p w14:paraId="28A8DB49" w14:textId="77777777" w:rsidR="000C6BE9" w:rsidRDefault="000C6BE9" w:rsidP="000C6BE9">
      <w:pPr>
        <w:pStyle w:val="Prrafodelista"/>
        <w:numPr>
          <w:ilvl w:val="0"/>
          <w:numId w:val="46"/>
        </w:numPr>
        <w:ind w:left="426" w:hanging="426"/>
        <w:jc w:val="both"/>
        <w:rPr>
          <w:lang w:val="es-CO" w:eastAsia="en-US"/>
        </w:rPr>
      </w:pPr>
      <w:r>
        <w:rPr>
          <w:lang w:val="es-CO" w:eastAsia="en-US"/>
        </w:rPr>
        <w:t>$29 millones por concepto de agencias en derecho (5%).</w:t>
      </w:r>
    </w:p>
    <w:p w14:paraId="70F14174" w14:textId="77777777" w:rsidR="000C6BE9" w:rsidRDefault="000C6BE9" w:rsidP="000C6BE9">
      <w:pPr>
        <w:jc w:val="both"/>
        <w:rPr>
          <w:lang w:val="es-CO" w:eastAsia="en-US"/>
        </w:rPr>
      </w:pPr>
    </w:p>
    <w:p w14:paraId="7268F959" w14:textId="77777777" w:rsidR="000C6BE9" w:rsidRDefault="000C6BE9" w:rsidP="000C6BE9">
      <w:pPr>
        <w:jc w:val="both"/>
        <w:rPr>
          <w:lang w:val="es-CO" w:eastAsia="en-US"/>
        </w:rPr>
      </w:pPr>
      <w:r>
        <w:rPr>
          <w:lang w:val="es-CO" w:eastAsia="en-US"/>
        </w:rPr>
        <w:lastRenderedPageBreak/>
        <w:t>Al respecto, las dos partes conciliaron la deuda a favor de COOTRASEC por $500 millones, los cuales debía pagar la Administración del Municipio Santa Cruz de Lorica de la siguiente manera:</w:t>
      </w:r>
    </w:p>
    <w:p w14:paraId="4032AF10" w14:textId="77777777" w:rsidR="000C6BE9" w:rsidRDefault="000C6BE9" w:rsidP="000C6BE9">
      <w:pPr>
        <w:jc w:val="both"/>
        <w:rPr>
          <w:lang w:val="es-CO" w:eastAsia="en-US"/>
        </w:rPr>
      </w:pPr>
    </w:p>
    <w:p w14:paraId="7372C9A8" w14:textId="77777777" w:rsidR="000C6BE9" w:rsidRDefault="000C6BE9" w:rsidP="000C6BE9">
      <w:pPr>
        <w:pStyle w:val="Prrafodelista"/>
        <w:numPr>
          <w:ilvl w:val="3"/>
          <w:numId w:val="37"/>
        </w:numPr>
        <w:ind w:left="426" w:hanging="426"/>
        <w:jc w:val="both"/>
        <w:rPr>
          <w:lang w:val="es-CO" w:eastAsia="en-US"/>
        </w:rPr>
      </w:pPr>
      <w:r>
        <w:rPr>
          <w:lang w:val="es-CO" w:eastAsia="en-US"/>
        </w:rPr>
        <w:t>$150 millones de pesos a la firma del acuerdo de pago del 14 de abril de 2021.</w:t>
      </w:r>
    </w:p>
    <w:p w14:paraId="15AF31DD" w14:textId="77777777" w:rsidR="000C6BE9" w:rsidRDefault="000C6BE9" w:rsidP="000C6BE9">
      <w:pPr>
        <w:pStyle w:val="Prrafodelista"/>
        <w:numPr>
          <w:ilvl w:val="3"/>
          <w:numId w:val="37"/>
        </w:numPr>
        <w:ind w:left="426" w:hanging="426"/>
        <w:jc w:val="both"/>
        <w:rPr>
          <w:lang w:val="es-CO" w:eastAsia="en-US"/>
        </w:rPr>
      </w:pPr>
      <w:r>
        <w:rPr>
          <w:lang w:val="es-CO" w:eastAsia="en-US"/>
        </w:rPr>
        <w:t>Los $350 millones restantes en cuotas de $50 millones cada mes desde el 30 de mayo hasta el 30 de noviembre de 2021.</w:t>
      </w:r>
    </w:p>
    <w:p w14:paraId="7D189A43" w14:textId="77777777" w:rsidR="000C6BE9" w:rsidRDefault="000C6BE9" w:rsidP="000C6BE9">
      <w:pPr>
        <w:jc w:val="both"/>
        <w:rPr>
          <w:lang w:val="es-CO" w:eastAsia="en-US"/>
        </w:rPr>
      </w:pPr>
    </w:p>
    <w:p w14:paraId="33E2F846" w14:textId="77777777" w:rsidR="000C6BE9" w:rsidRDefault="000C6BE9" w:rsidP="000C6BE9">
      <w:pPr>
        <w:jc w:val="both"/>
        <w:rPr>
          <w:lang w:val="es-CO" w:eastAsia="en-US"/>
        </w:rPr>
      </w:pPr>
      <w:r>
        <w:rPr>
          <w:lang w:val="es-CO" w:eastAsia="en-US"/>
        </w:rPr>
        <w:t>En relación con dicho acuerdo de pago, la Entidad Territorial emitió el 14 de abril de 2021 el CDP No. 0305 con cargo a Ingresos Corrientes de Libre Destinación por valor de $500 millones. Así mismo, remitió a esta dirección los siguientes comprobantes de egreso con sus respectivos registros presupuestales y extractos bancarios que evidencian los pagos realizados a esta cuenta por pagar de la vigencia 2018:</w:t>
      </w:r>
    </w:p>
    <w:p w14:paraId="255B59B1" w14:textId="77777777" w:rsidR="000C6BE9" w:rsidRDefault="000C6BE9" w:rsidP="000C6BE9">
      <w:pPr>
        <w:jc w:val="both"/>
        <w:rPr>
          <w:lang w:val="es-CO" w:eastAsia="en-US"/>
        </w:rPr>
      </w:pPr>
    </w:p>
    <w:p w14:paraId="3C8CA0FC" w14:textId="77777777" w:rsidR="000C6BE9" w:rsidRDefault="000C6BE9" w:rsidP="000C6BE9">
      <w:pPr>
        <w:pStyle w:val="Prrafodelista"/>
        <w:numPr>
          <w:ilvl w:val="0"/>
          <w:numId w:val="39"/>
        </w:numPr>
        <w:jc w:val="both"/>
        <w:rPr>
          <w:lang w:val="es-CO" w:eastAsia="en-US"/>
        </w:rPr>
      </w:pPr>
      <w:r>
        <w:rPr>
          <w:lang w:val="es-CO" w:eastAsia="en-US"/>
        </w:rPr>
        <w:t>Comprobante No. 0333 por $150 millones de pesos, RP: 295 con ICLD. 26/04/2021</w:t>
      </w:r>
    </w:p>
    <w:p w14:paraId="7A08BA89" w14:textId="77777777" w:rsidR="000C6BE9" w:rsidRDefault="000C6BE9" w:rsidP="000C6BE9">
      <w:pPr>
        <w:pStyle w:val="Prrafodelista"/>
        <w:numPr>
          <w:ilvl w:val="0"/>
          <w:numId w:val="39"/>
        </w:numPr>
        <w:jc w:val="both"/>
        <w:rPr>
          <w:lang w:val="es-CO" w:eastAsia="en-US"/>
        </w:rPr>
      </w:pPr>
      <w:r>
        <w:rPr>
          <w:lang w:val="es-CO" w:eastAsia="en-US"/>
        </w:rPr>
        <w:t>Comprobante No. 722 por $50 millones de pesos, RP: 398 con ICLD. 10/05/2021</w:t>
      </w:r>
    </w:p>
    <w:p w14:paraId="3BE9158D" w14:textId="77777777" w:rsidR="000C6BE9" w:rsidRDefault="000C6BE9" w:rsidP="000C6BE9">
      <w:pPr>
        <w:pStyle w:val="Prrafodelista"/>
        <w:numPr>
          <w:ilvl w:val="0"/>
          <w:numId w:val="39"/>
        </w:numPr>
        <w:jc w:val="both"/>
        <w:rPr>
          <w:lang w:val="es-CO" w:eastAsia="en-US"/>
        </w:rPr>
      </w:pPr>
      <w:r>
        <w:rPr>
          <w:lang w:val="es-CO" w:eastAsia="en-US"/>
        </w:rPr>
        <w:t>Comprobante No. 0511 por $50 millones de pesos, RP: 370 con ICLD. 1/06/2021</w:t>
      </w:r>
    </w:p>
    <w:p w14:paraId="77EC9EC2" w14:textId="77777777" w:rsidR="000C6BE9" w:rsidRDefault="000C6BE9" w:rsidP="000C6BE9">
      <w:pPr>
        <w:pStyle w:val="Prrafodelista"/>
        <w:numPr>
          <w:ilvl w:val="0"/>
          <w:numId w:val="39"/>
        </w:numPr>
        <w:jc w:val="both"/>
        <w:rPr>
          <w:lang w:val="es-CO" w:eastAsia="en-US"/>
        </w:rPr>
      </w:pPr>
      <w:r>
        <w:rPr>
          <w:lang w:val="es-CO" w:eastAsia="en-US"/>
        </w:rPr>
        <w:t>Comprobante No. 701 por $50 millones de pesos, RP: 445 con ICLD. 7/07/2021</w:t>
      </w:r>
    </w:p>
    <w:p w14:paraId="4B935ED4" w14:textId="77777777" w:rsidR="000C6BE9" w:rsidRDefault="000C6BE9" w:rsidP="000C6BE9">
      <w:pPr>
        <w:pStyle w:val="Prrafodelista"/>
        <w:numPr>
          <w:ilvl w:val="0"/>
          <w:numId w:val="39"/>
        </w:numPr>
        <w:jc w:val="both"/>
        <w:rPr>
          <w:lang w:val="es-CO" w:eastAsia="en-US"/>
        </w:rPr>
      </w:pPr>
      <w:r>
        <w:rPr>
          <w:lang w:val="es-CO" w:eastAsia="en-US"/>
        </w:rPr>
        <w:t>Comprobante No. 882 por $50 millones de pesos, 4/08/2021</w:t>
      </w:r>
    </w:p>
    <w:p w14:paraId="6FA9C9A6" w14:textId="77777777" w:rsidR="000C6BE9" w:rsidRDefault="000C6BE9" w:rsidP="000C6BE9">
      <w:pPr>
        <w:pStyle w:val="Prrafodelista"/>
        <w:numPr>
          <w:ilvl w:val="0"/>
          <w:numId w:val="39"/>
        </w:numPr>
        <w:jc w:val="both"/>
        <w:rPr>
          <w:lang w:val="es-CO" w:eastAsia="en-US"/>
        </w:rPr>
      </w:pPr>
      <w:r>
        <w:rPr>
          <w:lang w:val="es-CO" w:eastAsia="en-US"/>
        </w:rPr>
        <w:t>Comprobante No. 1029 por $50 millones de pesos, 1/09/2021</w:t>
      </w:r>
    </w:p>
    <w:p w14:paraId="5FA9CEF4" w14:textId="77777777" w:rsidR="000C6BE9" w:rsidRDefault="000C6BE9" w:rsidP="000C6BE9">
      <w:pPr>
        <w:pStyle w:val="Prrafodelista"/>
        <w:numPr>
          <w:ilvl w:val="0"/>
          <w:numId w:val="39"/>
        </w:numPr>
        <w:jc w:val="both"/>
        <w:rPr>
          <w:lang w:val="es-CO" w:eastAsia="en-US"/>
        </w:rPr>
      </w:pPr>
      <w:r>
        <w:rPr>
          <w:lang w:val="es-CO" w:eastAsia="en-US"/>
        </w:rPr>
        <w:t>Comprobante No. 1239 por $50 millones de pesos, 4/10/2021</w:t>
      </w:r>
    </w:p>
    <w:p w14:paraId="107544FB" w14:textId="77777777" w:rsidR="000C6BE9" w:rsidRDefault="000C6BE9" w:rsidP="000C6BE9">
      <w:pPr>
        <w:pStyle w:val="Prrafodelista"/>
        <w:numPr>
          <w:ilvl w:val="0"/>
          <w:numId w:val="39"/>
        </w:numPr>
        <w:jc w:val="both"/>
        <w:rPr>
          <w:lang w:val="es-CO" w:eastAsia="en-US"/>
        </w:rPr>
      </w:pPr>
      <w:r>
        <w:rPr>
          <w:lang w:val="es-CO" w:eastAsia="en-US"/>
        </w:rPr>
        <w:t>Comprobante No. 2123 por $50 millones de pesos, 30/12/2021</w:t>
      </w:r>
    </w:p>
    <w:p w14:paraId="7DE3F898" w14:textId="77777777" w:rsidR="000C6BE9" w:rsidRDefault="000C6BE9" w:rsidP="000C6BE9">
      <w:pPr>
        <w:jc w:val="both"/>
        <w:rPr>
          <w:lang w:val="es-CO" w:eastAsia="en-US"/>
        </w:rPr>
      </w:pPr>
    </w:p>
    <w:p w14:paraId="2DC4CDE4" w14:textId="77777777" w:rsidR="000C6BE9" w:rsidRDefault="000C6BE9" w:rsidP="000C6BE9">
      <w:pPr>
        <w:jc w:val="both"/>
        <w:rPr>
          <w:lang w:val="es-CO" w:eastAsia="en-US"/>
        </w:rPr>
      </w:pPr>
      <w:r>
        <w:rPr>
          <w:lang w:val="es-CO" w:eastAsia="en-US"/>
        </w:rPr>
        <w:t xml:space="preserve">Por otra parte, respecto a la cuenta por pagar por valor de $60 millones de capacitación docente del 2018, la Entidad Territorial no remitió los comprobantes de egreso ni los extractos bancarios donde se evidencie que fue pagada. </w:t>
      </w:r>
    </w:p>
    <w:p w14:paraId="721B623E" w14:textId="77777777" w:rsidR="000C6BE9" w:rsidRDefault="000C6BE9" w:rsidP="000C6BE9">
      <w:pPr>
        <w:jc w:val="both"/>
        <w:rPr>
          <w:lang w:val="es-CO" w:eastAsia="en-US"/>
        </w:rPr>
      </w:pPr>
    </w:p>
    <w:p w14:paraId="1F94CA21" w14:textId="77777777" w:rsidR="000C6BE9" w:rsidRDefault="000C6BE9" w:rsidP="000C6BE9">
      <w:pPr>
        <w:jc w:val="both"/>
        <w:rPr>
          <w:lang w:val="es-CO" w:eastAsia="en-US"/>
        </w:rPr>
      </w:pPr>
      <w:r>
        <w:rPr>
          <w:lang w:val="es-CO" w:eastAsia="en-US"/>
        </w:rPr>
        <w:t>Con respecto a la vigencia 2019 la entidad dejó de pagar obligaciones laborales por $1.373 millones que corresponden a los conceptos de terceros de nómina docente, aportes patronales de docentes, directivos docentes y administrativos. No obstante, al cierre de la vigencia la entidad contaba con un saldo en caja y bancos de $879 millones (de los cuales $218 millones correspondían al superávit de calidad y los $661 restantes, se asume que fueron para amparar las obligaciones laborales). Por lo anterior, quedarían faltando $712 millones para cubrir en su totalidad la deuda de $1.373 millones, los cuales debían pagarse con recursos propios del Municipio. Sin embargo, el Municipio no remitió la información relacionada con la restitución de estos recursos para la vigencia 2019.</w:t>
      </w:r>
    </w:p>
    <w:p w14:paraId="2A1B1328" w14:textId="77777777" w:rsidR="000C6BE9" w:rsidRDefault="000C6BE9" w:rsidP="000C6BE9">
      <w:pPr>
        <w:jc w:val="both"/>
        <w:rPr>
          <w:lang w:val="es-CO" w:eastAsia="en-US"/>
        </w:rPr>
      </w:pPr>
    </w:p>
    <w:p w14:paraId="6BBA9DBA" w14:textId="77777777" w:rsidR="000C6BE9" w:rsidRDefault="000C6BE9" w:rsidP="000C6BE9">
      <w:pPr>
        <w:jc w:val="both"/>
        <w:rPr>
          <w:lang w:val="es-CO" w:eastAsia="en-US"/>
        </w:rPr>
      </w:pPr>
      <w:r>
        <w:rPr>
          <w:lang w:val="es-CO" w:eastAsia="en-US"/>
        </w:rPr>
        <w:t>Evaluación de la actividad: No Cumple</w:t>
      </w:r>
    </w:p>
    <w:p w14:paraId="7141CB40" w14:textId="77777777" w:rsidR="000C6BE9" w:rsidRDefault="000C6BE9" w:rsidP="000C6BE9">
      <w:pPr>
        <w:jc w:val="both"/>
        <w:rPr>
          <w:lang w:val="es-CO" w:eastAsia="en-US"/>
        </w:rPr>
      </w:pPr>
    </w:p>
    <w:p w14:paraId="041F38A3" w14:textId="77777777" w:rsidR="000C6BE9" w:rsidRDefault="000C6BE9" w:rsidP="000C6BE9">
      <w:pPr>
        <w:rPr>
          <w:b/>
          <w:bCs/>
          <w:lang w:val="es-CO" w:eastAsia="en-US"/>
        </w:rPr>
      </w:pPr>
      <w:r>
        <w:rPr>
          <w:b/>
          <w:lang w:val="es-CO" w:eastAsia="en-US"/>
        </w:rPr>
        <w:t>Recomendación</w:t>
      </w:r>
    </w:p>
    <w:p w14:paraId="3CCC655C" w14:textId="77777777" w:rsidR="000C6BE9" w:rsidRDefault="000C6BE9" w:rsidP="000C6BE9">
      <w:pPr>
        <w:rPr>
          <w:b/>
          <w:bCs/>
          <w:lang w:val="es-CO" w:eastAsia="en-US"/>
        </w:rPr>
      </w:pPr>
    </w:p>
    <w:p w14:paraId="08595158" w14:textId="77777777" w:rsidR="000C6BE9" w:rsidRDefault="000C6BE9" w:rsidP="000C6BE9">
      <w:pPr>
        <w:jc w:val="both"/>
        <w:rPr>
          <w:b/>
          <w:lang w:val="es-CO" w:eastAsia="en-US"/>
        </w:rPr>
      </w:pPr>
      <w:r>
        <w:rPr>
          <w:lang w:val="es-CO" w:eastAsia="en-US"/>
        </w:rPr>
        <w:t>La Entidad Territorial debe enviar a esta Dirección los</w:t>
      </w:r>
      <w:r>
        <w:rPr>
          <w:b/>
          <w:bCs/>
          <w:lang w:val="es-CO" w:eastAsia="en-US"/>
        </w:rPr>
        <w:t xml:space="preserve"> </w:t>
      </w:r>
      <w:r>
        <w:rPr>
          <w:lang w:val="es-CO" w:eastAsia="en-US"/>
        </w:rPr>
        <w:t xml:space="preserve">comprobantes de egreso de los pagos realizados a la cuenta por pagar de Capacitación docente de la vigencia 2018. De igual manera, debe remitir los pagos realizados a cuentas por pagar de la vigencia 2019 y los compromisos adquiridos para restituir los recursos de superávit de 2019. </w:t>
      </w:r>
    </w:p>
    <w:p w14:paraId="6592450E" w14:textId="77777777" w:rsidR="000C6BE9" w:rsidRDefault="000C6BE9" w:rsidP="000C6BE9">
      <w:pPr>
        <w:jc w:val="both"/>
        <w:rPr>
          <w:rFonts w:cs="Arial"/>
          <w:lang w:val="es-CO" w:eastAsia="en-US"/>
        </w:rPr>
      </w:pPr>
    </w:p>
    <w:p w14:paraId="37700ABF" w14:textId="77777777" w:rsidR="000C6BE9" w:rsidRDefault="000C6BE9" w:rsidP="000C6BE9">
      <w:pPr>
        <w:pStyle w:val="Ttulo3"/>
        <w:spacing w:before="0"/>
        <w:jc w:val="both"/>
        <w:rPr>
          <w:rFonts w:eastAsiaTheme="minorHAnsi"/>
          <w:lang w:val="es-CO" w:eastAsia="en-US"/>
        </w:rPr>
      </w:pPr>
      <w:r>
        <w:rPr>
          <w:rFonts w:eastAsiaTheme="minorHAnsi"/>
          <w:b/>
          <w:lang w:val="es-CO" w:eastAsia="en-US"/>
        </w:rPr>
        <w:lastRenderedPageBreak/>
        <w:t>Actividad 1.4.2.</w:t>
      </w:r>
      <w:r>
        <w:rPr>
          <w:rFonts w:eastAsiaTheme="minorHAnsi"/>
          <w:lang w:val="es-CO" w:eastAsia="en-US"/>
        </w:rPr>
        <w:t xml:space="preserve"> Realizar inversiones en el sector educación financiados con fuentes distintas al SGP — Educación que restituyan los pagos realizados en las vigencias 2017, 2018 y 2019 con recursos del SGP cuyas destinaciones no estaban permitidas por la normatividad vigente y los recursos excedidos en gastos administrativos en las vigencias 2017 y 2019. Las inversiones deben ser a través de la ejecución de proyectos de inversión, en el Sector Educativo financiando gastos diferentes a nómina y gasto administrativo y posteriores a la entrada en vigencia de la medida preventiva de plan de desempeño.</w:t>
      </w:r>
    </w:p>
    <w:p w14:paraId="60590100" w14:textId="77777777" w:rsidR="000C6BE9" w:rsidRDefault="000C6BE9" w:rsidP="000C6BE9">
      <w:pPr>
        <w:jc w:val="both"/>
        <w:rPr>
          <w:rFonts w:cs="Arial"/>
          <w:lang w:val="es-CO" w:eastAsia="en-US"/>
        </w:rPr>
      </w:pPr>
    </w:p>
    <w:p w14:paraId="51883F01" w14:textId="77777777" w:rsidR="000C6BE9" w:rsidRDefault="000C6BE9" w:rsidP="000C6BE9">
      <w:pPr>
        <w:jc w:val="both"/>
        <w:rPr>
          <w:b/>
          <w:lang w:val="es-CO" w:eastAsia="en-US"/>
        </w:rPr>
      </w:pPr>
      <w:r>
        <w:rPr>
          <w:b/>
          <w:lang w:val="es-CO" w:eastAsia="en-US"/>
        </w:rPr>
        <w:t xml:space="preserve">Productos esperados: </w:t>
      </w:r>
      <w:r>
        <w:rPr>
          <w:lang w:val="es-CO" w:eastAsia="en-US"/>
        </w:rPr>
        <w:t>Copia de los Certificados de Disponibilidad Presupuestal y registro presupuestal de las inversiones realizadas en el sector educación con fuentes de financiación distintas a las del SGP Educación que restituyan el cambio en la destinación de los recursos en las vigencias del 2017, 2018 y 2019 y el exceso de gasto administrativo de las vigencias de 2017 y 2019, cuadro con la relación de contratos de inversión en educación financiados con recursos distintos al SGP-Educación, indicando la fuente, el rubro, el CDP, el RP, objeto contractual, la vigencia, el valor y el link de publicación al SECOP en que se ejecutaron y las minutas e informes de supervisión de los contratos de las inversiones en el sector educación con fuentes distintas al SGP-Educación.</w:t>
      </w:r>
    </w:p>
    <w:p w14:paraId="72E5F9AE" w14:textId="77777777" w:rsidR="000C6BE9" w:rsidRDefault="000C6BE9" w:rsidP="000C6BE9">
      <w:pPr>
        <w:rPr>
          <w:lang w:val="es-CO" w:eastAsia="en-US"/>
        </w:rPr>
      </w:pPr>
    </w:p>
    <w:p w14:paraId="7BA86CC3" w14:textId="77777777" w:rsidR="000C6BE9" w:rsidRDefault="000C6BE9" w:rsidP="000C6BE9">
      <w:pPr>
        <w:rPr>
          <w:b/>
          <w:lang w:val="es-CO" w:eastAsia="en-US"/>
        </w:rPr>
      </w:pPr>
      <w:r>
        <w:rPr>
          <w:b/>
          <w:lang w:val="es-CO" w:eastAsia="en-US"/>
        </w:rPr>
        <w:t>Evaluación</w:t>
      </w:r>
    </w:p>
    <w:p w14:paraId="07616C0E" w14:textId="77777777" w:rsidR="000C6BE9" w:rsidRDefault="000C6BE9" w:rsidP="000C6BE9">
      <w:pPr>
        <w:rPr>
          <w:b/>
          <w:bCs/>
          <w:lang w:val="es-CO" w:eastAsia="en-US"/>
        </w:rPr>
      </w:pPr>
    </w:p>
    <w:p w14:paraId="3F7B0843" w14:textId="77777777" w:rsidR="000C6BE9" w:rsidRDefault="000C6BE9" w:rsidP="000C6BE9">
      <w:pPr>
        <w:jc w:val="both"/>
      </w:pPr>
      <w:r>
        <w:t>Para el cumplimiento de esta actividad, de acuerdo con el diagnóstico inicial la entidad debe restituir los siguientes recursos:</w:t>
      </w:r>
    </w:p>
    <w:p w14:paraId="6DF8CE80" w14:textId="77777777" w:rsidR="000C6BE9" w:rsidRDefault="000C6BE9" w:rsidP="000C6BE9">
      <w:pPr>
        <w:jc w:val="both"/>
      </w:pPr>
    </w:p>
    <w:tbl>
      <w:tblPr>
        <w:tblW w:w="7718" w:type="dxa"/>
        <w:jc w:val="center"/>
        <w:tblCellMar>
          <w:left w:w="70" w:type="dxa"/>
          <w:right w:w="70" w:type="dxa"/>
        </w:tblCellMar>
        <w:tblLook w:val="04A0" w:firstRow="1" w:lastRow="0" w:firstColumn="1" w:lastColumn="0" w:noHBand="0" w:noVBand="1"/>
      </w:tblPr>
      <w:tblGrid>
        <w:gridCol w:w="799"/>
        <w:gridCol w:w="902"/>
        <w:gridCol w:w="5246"/>
        <w:gridCol w:w="771"/>
      </w:tblGrid>
      <w:tr w:rsidR="000C6BE9" w14:paraId="73C3A5AC" w14:textId="77777777" w:rsidTr="000C6BE9">
        <w:trPr>
          <w:trHeight w:val="20"/>
          <w:jc w:val="center"/>
        </w:trPr>
        <w:tc>
          <w:tcPr>
            <w:tcW w:w="7718" w:type="dxa"/>
            <w:gridSpan w:val="4"/>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7D16EE5F" w14:textId="77777777" w:rsidR="000C6BE9" w:rsidRDefault="000C6BE9">
            <w:pPr>
              <w:jc w:val="center"/>
              <w:rPr>
                <w:rFonts w:eastAsia="Times New Roman" w:cs="Arial"/>
                <w:b/>
                <w:bCs/>
                <w:color w:val="FFFFFF"/>
                <w:sz w:val="16"/>
                <w:szCs w:val="16"/>
                <w:lang w:val="es-CO" w:eastAsia="es-CO"/>
              </w:rPr>
            </w:pPr>
            <w:r>
              <w:rPr>
                <w:rFonts w:eastAsia="Times New Roman" w:cs="Arial"/>
                <w:b/>
                <w:bCs/>
                <w:color w:val="FFFFFF"/>
                <w:sz w:val="16"/>
                <w:szCs w:val="16"/>
                <w:lang w:val="es-CO" w:eastAsia="es-CO"/>
              </w:rPr>
              <w:t>RECURSOS POR RESTITUIR EN EL SECTOR EDUCACIÓN.</w:t>
            </w:r>
          </w:p>
        </w:tc>
      </w:tr>
      <w:tr w:rsidR="000C6BE9" w14:paraId="04947A47" w14:textId="77777777" w:rsidTr="000C6BE9">
        <w:trPr>
          <w:trHeight w:val="20"/>
          <w:jc w:val="center"/>
        </w:trPr>
        <w:tc>
          <w:tcPr>
            <w:tcW w:w="799" w:type="dxa"/>
            <w:tcBorders>
              <w:top w:val="nil"/>
              <w:left w:val="single" w:sz="4" w:space="0" w:color="auto"/>
              <w:bottom w:val="single" w:sz="4" w:space="0" w:color="auto"/>
              <w:right w:val="single" w:sz="4" w:space="0" w:color="auto"/>
            </w:tcBorders>
            <w:shd w:val="clear" w:color="auto" w:fill="666699"/>
            <w:noWrap/>
            <w:vAlign w:val="center"/>
            <w:hideMark/>
          </w:tcPr>
          <w:p w14:paraId="33B7BEBB" w14:textId="77777777" w:rsidR="000C6BE9" w:rsidRDefault="000C6BE9">
            <w:pPr>
              <w:jc w:val="center"/>
              <w:rPr>
                <w:rFonts w:eastAsia="Times New Roman" w:cs="Arial"/>
                <w:b/>
                <w:bCs/>
                <w:color w:val="FFFFFF"/>
                <w:sz w:val="16"/>
                <w:szCs w:val="16"/>
                <w:lang w:val="es-CO" w:eastAsia="es-CO"/>
              </w:rPr>
            </w:pPr>
            <w:r>
              <w:rPr>
                <w:rFonts w:eastAsia="Times New Roman" w:cs="Arial"/>
                <w:b/>
                <w:bCs/>
                <w:color w:val="FFFFFF"/>
                <w:sz w:val="16"/>
                <w:szCs w:val="16"/>
                <w:lang w:val="es-CO" w:eastAsia="es-CO"/>
              </w:rPr>
              <w:t xml:space="preserve">Vigencia </w:t>
            </w:r>
          </w:p>
        </w:tc>
        <w:tc>
          <w:tcPr>
            <w:tcW w:w="902" w:type="dxa"/>
            <w:tcBorders>
              <w:top w:val="nil"/>
              <w:left w:val="nil"/>
              <w:bottom w:val="single" w:sz="4" w:space="0" w:color="auto"/>
              <w:right w:val="single" w:sz="4" w:space="0" w:color="auto"/>
            </w:tcBorders>
            <w:shd w:val="clear" w:color="auto" w:fill="666699"/>
            <w:vAlign w:val="center"/>
            <w:hideMark/>
          </w:tcPr>
          <w:p w14:paraId="2B1CE087" w14:textId="77777777" w:rsidR="000C6BE9" w:rsidRDefault="000C6BE9">
            <w:pPr>
              <w:jc w:val="center"/>
              <w:rPr>
                <w:rFonts w:eastAsia="Times New Roman" w:cs="Arial"/>
                <w:b/>
                <w:bCs/>
                <w:color w:val="FFFFFF"/>
                <w:sz w:val="16"/>
                <w:szCs w:val="16"/>
                <w:lang w:val="es-CO" w:eastAsia="es-CO"/>
              </w:rPr>
            </w:pPr>
            <w:r>
              <w:rPr>
                <w:rFonts w:eastAsia="Times New Roman" w:cs="Arial"/>
                <w:b/>
                <w:bCs/>
                <w:color w:val="FFFFFF"/>
                <w:sz w:val="16"/>
                <w:szCs w:val="16"/>
                <w:lang w:val="es-CO" w:eastAsia="es-CO"/>
              </w:rPr>
              <w:t>Evento de riesgo</w:t>
            </w:r>
          </w:p>
        </w:tc>
        <w:tc>
          <w:tcPr>
            <w:tcW w:w="5246" w:type="dxa"/>
            <w:tcBorders>
              <w:top w:val="nil"/>
              <w:left w:val="nil"/>
              <w:bottom w:val="single" w:sz="4" w:space="0" w:color="auto"/>
              <w:right w:val="single" w:sz="4" w:space="0" w:color="auto"/>
            </w:tcBorders>
            <w:shd w:val="clear" w:color="auto" w:fill="666699"/>
            <w:noWrap/>
            <w:vAlign w:val="center"/>
            <w:hideMark/>
          </w:tcPr>
          <w:p w14:paraId="0DDE77A8" w14:textId="77777777" w:rsidR="000C6BE9" w:rsidRDefault="000C6BE9">
            <w:pPr>
              <w:jc w:val="center"/>
              <w:rPr>
                <w:rFonts w:eastAsia="Times New Roman" w:cs="Arial"/>
                <w:b/>
                <w:bCs/>
                <w:color w:val="FFFFFF"/>
                <w:sz w:val="16"/>
                <w:szCs w:val="16"/>
                <w:lang w:val="es-CO" w:eastAsia="es-CO"/>
              </w:rPr>
            </w:pPr>
            <w:r>
              <w:rPr>
                <w:rFonts w:eastAsia="Times New Roman" w:cs="Arial"/>
                <w:b/>
                <w:bCs/>
                <w:color w:val="FFFFFF"/>
                <w:sz w:val="16"/>
                <w:szCs w:val="16"/>
                <w:lang w:val="es-CO" w:eastAsia="es-CO"/>
              </w:rPr>
              <w:t>Problema</w:t>
            </w:r>
          </w:p>
        </w:tc>
        <w:tc>
          <w:tcPr>
            <w:tcW w:w="771" w:type="dxa"/>
            <w:tcBorders>
              <w:top w:val="nil"/>
              <w:left w:val="nil"/>
              <w:bottom w:val="single" w:sz="4" w:space="0" w:color="auto"/>
              <w:right w:val="single" w:sz="4" w:space="0" w:color="auto"/>
            </w:tcBorders>
            <w:shd w:val="clear" w:color="auto" w:fill="666699"/>
            <w:noWrap/>
            <w:vAlign w:val="center"/>
            <w:hideMark/>
          </w:tcPr>
          <w:p w14:paraId="2AA12EFD" w14:textId="77777777" w:rsidR="000C6BE9" w:rsidRDefault="000C6BE9">
            <w:pPr>
              <w:jc w:val="center"/>
              <w:rPr>
                <w:rFonts w:eastAsia="Times New Roman" w:cs="Arial"/>
                <w:b/>
                <w:bCs/>
                <w:color w:val="FFFFFF"/>
                <w:sz w:val="16"/>
                <w:szCs w:val="16"/>
                <w:lang w:val="es-CO" w:eastAsia="es-CO"/>
              </w:rPr>
            </w:pPr>
            <w:r>
              <w:rPr>
                <w:rFonts w:eastAsia="Times New Roman" w:cs="Arial"/>
                <w:b/>
                <w:bCs/>
                <w:color w:val="FFFFFF"/>
                <w:sz w:val="16"/>
                <w:szCs w:val="16"/>
                <w:lang w:val="es-CO" w:eastAsia="es-CO"/>
              </w:rPr>
              <w:t>Valor</w:t>
            </w:r>
          </w:p>
        </w:tc>
      </w:tr>
      <w:tr w:rsidR="000C6BE9" w14:paraId="1F85801A" w14:textId="77777777" w:rsidTr="000C6BE9">
        <w:trPr>
          <w:trHeight w:val="20"/>
          <w:jc w:val="center"/>
        </w:trPr>
        <w:tc>
          <w:tcPr>
            <w:tcW w:w="799" w:type="dxa"/>
            <w:vMerge w:val="restart"/>
            <w:tcBorders>
              <w:top w:val="nil"/>
              <w:left w:val="single" w:sz="4" w:space="0" w:color="auto"/>
              <w:bottom w:val="single" w:sz="4" w:space="0" w:color="auto"/>
              <w:right w:val="single" w:sz="4" w:space="0" w:color="auto"/>
            </w:tcBorders>
            <w:noWrap/>
            <w:vAlign w:val="center"/>
            <w:hideMark/>
          </w:tcPr>
          <w:p w14:paraId="4F23AB84"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2017</w:t>
            </w:r>
          </w:p>
        </w:tc>
        <w:tc>
          <w:tcPr>
            <w:tcW w:w="902" w:type="dxa"/>
            <w:tcBorders>
              <w:top w:val="nil"/>
              <w:left w:val="nil"/>
              <w:bottom w:val="single" w:sz="4" w:space="0" w:color="auto"/>
              <w:right w:val="single" w:sz="4" w:space="0" w:color="auto"/>
            </w:tcBorders>
            <w:noWrap/>
            <w:vAlign w:val="center"/>
            <w:hideMark/>
          </w:tcPr>
          <w:p w14:paraId="2677C9DC" w14:textId="77777777" w:rsidR="000C6BE9" w:rsidRDefault="000C6BE9">
            <w:pPr>
              <w:jc w:val="center"/>
              <w:rPr>
                <w:rFonts w:eastAsia="Times New Roman" w:cs="Arial"/>
                <w:sz w:val="16"/>
                <w:szCs w:val="16"/>
                <w:lang w:val="es-CO" w:eastAsia="es-CO"/>
              </w:rPr>
            </w:pPr>
            <w:r>
              <w:rPr>
                <w:rFonts w:eastAsia="Times New Roman" w:cs="Arial"/>
                <w:sz w:val="16"/>
                <w:szCs w:val="16"/>
                <w:lang w:val="es-CO" w:eastAsia="es-CO"/>
              </w:rPr>
              <w:t>9.18</w:t>
            </w:r>
          </w:p>
        </w:tc>
        <w:tc>
          <w:tcPr>
            <w:tcW w:w="5246" w:type="dxa"/>
            <w:tcBorders>
              <w:top w:val="nil"/>
              <w:left w:val="nil"/>
              <w:bottom w:val="single" w:sz="4" w:space="0" w:color="auto"/>
              <w:right w:val="single" w:sz="4" w:space="0" w:color="auto"/>
            </w:tcBorders>
            <w:vAlign w:val="center"/>
            <w:hideMark/>
          </w:tcPr>
          <w:p w14:paraId="5C87CDC5"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1. Faltante en Tesorería (superávit)</w:t>
            </w:r>
          </w:p>
        </w:tc>
        <w:tc>
          <w:tcPr>
            <w:tcW w:w="771" w:type="dxa"/>
            <w:tcBorders>
              <w:top w:val="nil"/>
              <w:left w:val="nil"/>
              <w:bottom w:val="single" w:sz="4" w:space="0" w:color="auto"/>
              <w:right w:val="single" w:sz="4" w:space="0" w:color="auto"/>
            </w:tcBorders>
            <w:noWrap/>
            <w:vAlign w:val="center"/>
            <w:hideMark/>
          </w:tcPr>
          <w:p w14:paraId="60EDD807" w14:textId="77777777" w:rsidR="000C6BE9" w:rsidRDefault="000C6BE9">
            <w:pPr>
              <w:jc w:val="center"/>
              <w:rPr>
                <w:rFonts w:eastAsia="Times New Roman" w:cs="Arial"/>
                <w:sz w:val="16"/>
                <w:szCs w:val="16"/>
                <w:lang w:val="es-CO" w:eastAsia="es-CO"/>
              </w:rPr>
            </w:pPr>
            <w:r>
              <w:rPr>
                <w:rFonts w:eastAsia="Times New Roman" w:cs="Arial"/>
                <w:sz w:val="16"/>
                <w:szCs w:val="16"/>
                <w:lang w:val="es-CO" w:eastAsia="es-CO"/>
              </w:rPr>
              <w:t>874</w:t>
            </w:r>
          </w:p>
        </w:tc>
      </w:tr>
      <w:tr w:rsidR="000C6BE9" w14:paraId="4981E9A1" w14:textId="77777777" w:rsidTr="000C6B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F902D13" w14:textId="77777777" w:rsidR="000C6BE9" w:rsidRDefault="000C6BE9">
            <w:pPr>
              <w:rPr>
                <w:rFonts w:eastAsia="Times New Roman" w:cs="Arial"/>
                <w:color w:val="000000"/>
                <w:sz w:val="16"/>
                <w:szCs w:val="16"/>
                <w:lang w:val="es-CO" w:eastAsia="es-CO"/>
              </w:rPr>
            </w:pPr>
          </w:p>
        </w:tc>
        <w:tc>
          <w:tcPr>
            <w:tcW w:w="902" w:type="dxa"/>
            <w:tcBorders>
              <w:top w:val="nil"/>
              <w:left w:val="nil"/>
              <w:bottom w:val="single" w:sz="4" w:space="0" w:color="auto"/>
              <w:right w:val="single" w:sz="4" w:space="0" w:color="auto"/>
            </w:tcBorders>
            <w:noWrap/>
            <w:vAlign w:val="center"/>
            <w:hideMark/>
          </w:tcPr>
          <w:p w14:paraId="391E249E"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9.4</w:t>
            </w:r>
          </w:p>
        </w:tc>
        <w:tc>
          <w:tcPr>
            <w:tcW w:w="5246" w:type="dxa"/>
            <w:tcBorders>
              <w:top w:val="nil"/>
              <w:left w:val="nil"/>
              <w:bottom w:val="single" w:sz="4" w:space="0" w:color="auto"/>
              <w:right w:val="single" w:sz="4" w:space="0" w:color="auto"/>
            </w:tcBorders>
            <w:vAlign w:val="center"/>
            <w:hideMark/>
          </w:tcPr>
          <w:p w14:paraId="546F9EC2"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1. Contratos no financiables con los recursos de la participación.</w:t>
            </w:r>
          </w:p>
        </w:tc>
        <w:tc>
          <w:tcPr>
            <w:tcW w:w="771" w:type="dxa"/>
            <w:tcBorders>
              <w:top w:val="nil"/>
              <w:left w:val="nil"/>
              <w:bottom w:val="single" w:sz="4" w:space="0" w:color="auto"/>
              <w:right w:val="single" w:sz="4" w:space="0" w:color="auto"/>
            </w:tcBorders>
            <w:noWrap/>
            <w:vAlign w:val="center"/>
            <w:hideMark/>
          </w:tcPr>
          <w:p w14:paraId="592A5EC1"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392</w:t>
            </w:r>
          </w:p>
        </w:tc>
      </w:tr>
      <w:tr w:rsidR="000C6BE9" w14:paraId="63635BAA" w14:textId="77777777" w:rsidTr="000C6B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7ECA553" w14:textId="77777777" w:rsidR="000C6BE9" w:rsidRDefault="000C6BE9">
            <w:pPr>
              <w:rPr>
                <w:rFonts w:eastAsia="Times New Roman" w:cs="Arial"/>
                <w:color w:val="000000"/>
                <w:sz w:val="16"/>
                <w:szCs w:val="16"/>
                <w:lang w:val="es-CO" w:eastAsia="es-CO"/>
              </w:rPr>
            </w:pPr>
          </w:p>
        </w:tc>
        <w:tc>
          <w:tcPr>
            <w:tcW w:w="902" w:type="dxa"/>
            <w:tcBorders>
              <w:top w:val="nil"/>
              <w:left w:val="nil"/>
              <w:bottom w:val="single" w:sz="4" w:space="0" w:color="auto"/>
              <w:right w:val="single" w:sz="4" w:space="0" w:color="auto"/>
            </w:tcBorders>
            <w:noWrap/>
            <w:vAlign w:val="center"/>
            <w:hideMark/>
          </w:tcPr>
          <w:p w14:paraId="6C8F20D7"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9.4</w:t>
            </w:r>
          </w:p>
        </w:tc>
        <w:tc>
          <w:tcPr>
            <w:tcW w:w="5246" w:type="dxa"/>
            <w:tcBorders>
              <w:top w:val="nil"/>
              <w:left w:val="nil"/>
              <w:bottom w:val="single" w:sz="4" w:space="0" w:color="auto"/>
              <w:right w:val="single" w:sz="4" w:space="0" w:color="auto"/>
            </w:tcBorders>
            <w:vAlign w:val="center"/>
            <w:hideMark/>
          </w:tcPr>
          <w:p w14:paraId="49EBC114"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2. Uso indebido de los recursos del balance del Sistema General de Participaciones Sector Educación.</w:t>
            </w:r>
          </w:p>
        </w:tc>
        <w:tc>
          <w:tcPr>
            <w:tcW w:w="771" w:type="dxa"/>
            <w:tcBorders>
              <w:top w:val="nil"/>
              <w:left w:val="nil"/>
              <w:bottom w:val="single" w:sz="4" w:space="0" w:color="auto"/>
              <w:right w:val="single" w:sz="4" w:space="0" w:color="auto"/>
            </w:tcBorders>
            <w:noWrap/>
            <w:vAlign w:val="center"/>
            <w:hideMark/>
          </w:tcPr>
          <w:p w14:paraId="745B0889"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98</w:t>
            </w:r>
          </w:p>
        </w:tc>
      </w:tr>
      <w:tr w:rsidR="000C6BE9" w14:paraId="73325A9A" w14:textId="77777777" w:rsidTr="000C6B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5C0782C" w14:textId="77777777" w:rsidR="000C6BE9" w:rsidRDefault="000C6BE9">
            <w:pPr>
              <w:rPr>
                <w:rFonts w:eastAsia="Times New Roman" w:cs="Arial"/>
                <w:color w:val="000000"/>
                <w:sz w:val="16"/>
                <w:szCs w:val="16"/>
                <w:lang w:val="es-CO" w:eastAsia="es-CO"/>
              </w:rPr>
            </w:pPr>
          </w:p>
        </w:tc>
        <w:tc>
          <w:tcPr>
            <w:tcW w:w="902" w:type="dxa"/>
            <w:tcBorders>
              <w:top w:val="nil"/>
              <w:left w:val="nil"/>
              <w:bottom w:val="single" w:sz="4" w:space="0" w:color="auto"/>
              <w:right w:val="single" w:sz="4" w:space="0" w:color="auto"/>
            </w:tcBorders>
            <w:noWrap/>
            <w:vAlign w:val="center"/>
            <w:hideMark/>
          </w:tcPr>
          <w:p w14:paraId="73CF3401"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9.4</w:t>
            </w:r>
          </w:p>
        </w:tc>
        <w:tc>
          <w:tcPr>
            <w:tcW w:w="5246" w:type="dxa"/>
            <w:tcBorders>
              <w:top w:val="nil"/>
              <w:left w:val="nil"/>
              <w:bottom w:val="single" w:sz="4" w:space="0" w:color="auto"/>
              <w:right w:val="single" w:sz="4" w:space="0" w:color="auto"/>
            </w:tcBorders>
            <w:vAlign w:val="center"/>
            <w:hideMark/>
          </w:tcPr>
          <w:p w14:paraId="6F0B0CA9"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3. Uso de los recursos del SGP Educación para favorecer a otras dependencias de la entidad territorial</w:t>
            </w:r>
          </w:p>
        </w:tc>
        <w:tc>
          <w:tcPr>
            <w:tcW w:w="771" w:type="dxa"/>
            <w:tcBorders>
              <w:top w:val="nil"/>
              <w:left w:val="nil"/>
              <w:bottom w:val="single" w:sz="4" w:space="0" w:color="auto"/>
              <w:right w:val="single" w:sz="4" w:space="0" w:color="auto"/>
            </w:tcBorders>
            <w:noWrap/>
            <w:vAlign w:val="center"/>
            <w:hideMark/>
          </w:tcPr>
          <w:p w14:paraId="15F1AACE"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31</w:t>
            </w:r>
          </w:p>
        </w:tc>
      </w:tr>
      <w:tr w:rsidR="000C6BE9" w14:paraId="4DABC181" w14:textId="77777777" w:rsidTr="000C6B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DCAC7DE" w14:textId="77777777" w:rsidR="000C6BE9" w:rsidRDefault="000C6BE9">
            <w:pPr>
              <w:rPr>
                <w:rFonts w:eastAsia="Times New Roman" w:cs="Arial"/>
                <w:color w:val="000000"/>
                <w:sz w:val="16"/>
                <w:szCs w:val="16"/>
                <w:lang w:val="es-CO" w:eastAsia="es-CO"/>
              </w:rPr>
            </w:pPr>
          </w:p>
        </w:tc>
        <w:tc>
          <w:tcPr>
            <w:tcW w:w="902" w:type="dxa"/>
            <w:tcBorders>
              <w:top w:val="nil"/>
              <w:left w:val="nil"/>
              <w:bottom w:val="single" w:sz="4" w:space="0" w:color="auto"/>
              <w:right w:val="single" w:sz="4" w:space="0" w:color="auto"/>
            </w:tcBorders>
            <w:noWrap/>
            <w:vAlign w:val="center"/>
            <w:hideMark/>
          </w:tcPr>
          <w:p w14:paraId="17628EA8"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9.18</w:t>
            </w:r>
          </w:p>
        </w:tc>
        <w:tc>
          <w:tcPr>
            <w:tcW w:w="5246" w:type="dxa"/>
            <w:tcBorders>
              <w:top w:val="nil"/>
              <w:left w:val="nil"/>
              <w:bottom w:val="single" w:sz="4" w:space="0" w:color="auto"/>
              <w:right w:val="single" w:sz="4" w:space="0" w:color="auto"/>
            </w:tcBorders>
            <w:vAlign w:val="center"/>
            <w:hideMark/>
          </w:tcPr>
          <w:p w14:paraId="3B077203"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9. Gastos administrativos por encima del porcentaje autorizado</w:t>
            </w:r>
          </w:p>
        </w:tc>
        <w:tc>
          <w:tcPr>
            <w:tcW w:w="771" w:type="dxa"/>
            <w:tcBorders>
              <w:top w:val="nil"/>
              <w:left w:val="nil"/>
              <w:bottom w:val="single" w:sz="4" w:space="0" w:color="auto"/>
              <w:right w:val="single" w:sz="4" w:space="0" w:color="auto"/>
            </w:tcBorders>
            <w:noWrap/>
            <w:vAlign w:val="center"/>
            <w:hideMark/>
          </w:tcPr>
          <w:p w14:paraId="27ADB2A9"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652</w:t>
            </w:r>
          </w:p>
        </w:tc>
      </w:tr>
      <w:tr w:rsidR="000C6BE9" w14:paraId="14B074F9" w14:textId="77777777" w:rsidTr="000C6BE9">
        <w:trPr>
          <w:trHeight w:val="20"/>
          <w:jc w:val="center"/>
        </w:trPr>
        <w:tc>
          <w:tcPr>
            <w:tcW w:w="6947"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512B4FF9" w14:textId="77777777" w:rsidR="000C6BE9" w:rsidRDefault="000C6BE9">
            <w:pPr>
              <w:jc w:val="center"/>
              <w:rPr>
                <w:rFonts w:eastAsia="Times New Roman" w:cs="Arial"/>
                <w:b/>
                <w:bCs/>
                <w:color w:val="000000"/>
                <w:sz w:val="16"/>
                <w:szCs w:val="16"/>
                <w:lang w:val="es-CO" w:eastAsia="es-CO"/>
              </w:rPr>
            </w:pPr>
            <w:r>
              <w:rPr>
                <w:rFonts w:eastAsia="Times New Roman" w:cs="Arial"/>
                <w:b/>
                <w:bCs/>
                <w:color w:val="000000"/>
                <w:sz w:val="16"/>
                <w:szCs w:val="16"/>
                <w:lang w:val="es-CO" w:eastAsia="es-CO"/>
              </w:rPr>
              <w:t>Total 2017</w:t>
            </w:r>
          </w:p>
        </w:tc>
        <w:tc>
          <w:tcPr>
            <w:tcW w:w="771" w:type="dxa"/>
            <w:tcBorders>
              <w:top w:val="nil"/>
              <w:left w:val="nil"/>
              <w:bottom w:val="single" w:sz="4" w:space="0" w:color="auto"/>
              <w:right w:val="single" w:sz="4" w:space="0" w:color="auto"/>
            </w:tcBorders>
            <w:shd w:val="clear" w:color="auto" w:fill="CCCCFF"/>
            <w:noWrap/>
            <w:vAlign w:val="center"/>
            <w:hideMark/>
          </w:tcPr>
          <w:p w14:paraId="05A7E2B2" w14:textId="77777777" w:rsidR="000C6BE9" w:rsidRDefault="000C6BE9">
            <w:pPr>
              <w:jc w:val="center"/>
              <w:rPr>
                <w:rFonts w:eastAsia="Times New Roman" w:cs="Arial"/>
                <w:b/>
                <w:bCs/>
                <w:color w:val="000000"/>
                <w:sz w:val="16"/>
                <w:szCs w:val="16"/>
                <w:lang w:val="es-CO" w:eastAsia="es-CO"/>
              </w:rPr>
            </w:pPr>
            <w:r>
              <w:rPr>
                <w:rFonts w:eastAsia="Times New Roman" w:cs="Arial"/>
                <w:b/>
                <w:bCs/>
                <w:color w:val="000000"/>
                <w:sz w:val="16"/>
                <w:szCs w:val="16"/>
                <w:lang w:val="es-CO" w:eastAsia="es-CO"/>
              </w:rPr>
              <w:t>2.047</w:t>
            </w:r>
          </w:p>
        </w:tc>
      </w:tr>
      <w:tr w:rsidR="000C6BE9" w14:paraId="435A4FA9" w14:textId="77777777" w:rsidTr="000C6BE9">
        <w:trPr>
          <w:trHeight w:val="20"/>
          <w:jc w:val="center"/>
        </w:trPr>
        <w:tc>
          <w:tcPr>
            <w:tcW w:w="799" w:type="dxa"/>
            <w:vMerge w:val="restart"/>
            <w:tcBorders>
              <w:top w:val="nil"/>
              <w:left w:val="single" w:sz="4" w:space="0" w:color="auto"/>
              <w:bottom w:val="single" w:sz="4" w:space="0" w:color="auto"/>
              <w:right w:val="single" w:sz="4" w:space="0" w:color="auto"/>
            </w:tcBorders>
            <w:noWrap/>
            <w:vAlign w:val="center"/>
            <w:hideMark/>
          </w:tcPr>
          <w:p w14:paraId="508431AC"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2018</w:t>
            </w:r>
          </w:p>
        </w:tc>
        <w:tc>
          <w:tcPr>
            <w:tcW w:w="902" w:type="dxa"/>
            <w:tcBorders>
              <w:top w:val="nil"/>
              <w:left w:val="nil"/>
              <w:bottom w:val="single" w:sz="4" w:space="0" w:color="auto"/>
              <w:right w:val="single" w:sz="4" w:space="0" w:color="auto"/>
            </w:tcBorders>
            <w:noWrap/>
            <w:vAlign w:val="center"/>
            <w:hideMark/>
          </w:tcPr>
          <w:p w14:paraId="7A727CAE"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9.4</w:t>
            </w:r>
          </w:p>
        </w:tc>
        <w:tc>
          <w:tcPr>
            <w:tcW w:w="5246" w:type="dxa"/>
            <w:tcBorders>
              <w:top w:val="nil"/>
              <w:left w:val="nil"/>
              <w:bottom w:val="single" w:sz="4" w:space="0" w:color="auto"/>
              <w:right w:val="single" w:sz="4" w:space="0" w:color="auto"/>
            </w:tcBorders>
            <w:vAlign w:val="center"/>
            <w:hideMark/>
          </w:tcPr>
          <w:p w14:paraId="15262051"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1.Contratos no financiables con los recursos de la participación.</w:t>
            </w:r>
          </w:p>
        </w:tc>
        <w:tc>
          <w:tcPr>
            <w:tcW w:w="771" w:type="dxa"/>
            <w:tcBorders>
              <w:top w:val="nil"/>
              <w:left w:val="nil"/>
              <w:bottom w:val="single" w:sz="4" w:space="0" w:color="auto"/>
              <w:right w:val="single" w:sz="4" w:space="0" w:color="auto"/>
            </w:tcBorders>
            <w:noWrap/>
            <w:vAlign w:val="center"/>
            <w:hideMark/>
          </w:tcPr>
          <w:p w14:paraId="72B275B3"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385</w:t>
            </w:r>
          </w:p>
        </w:tc>
      </w:tr>
      <w:tr w:rsidR="000C6BE9" w14:paraId="7261D500" w14:textId="77777777" w:rsidTr="000C6B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AAED524" w14:textId="77777777" w:rsidR="000C6BE9" w:rsidRDefault="000C6BE9">
            <w:pPr>
              <w:rPr>
                <w:rFonts w:eastAsia="Times New Roman" w:cs="Arial"/>
                <w:color w:val="000000"/>
                <w:sz w:val="16"/>
                <w:szCs w:val="16"/>
                <w:lang w:val="es-CO" w:eastAsia="es-CO"/>
              </w:rPr>
            </w:pPr>
          </w:p>
        </w:tc>
        <w:tc>
          <w:tcPr>
            <w:tcW w:w="902" w:type="dxa"/>
            <w:tcBorders>
              <w:top w:val="nil"/>
              <w:left w:val="nil"/>
              <w:bottom w:val="single" w:sz="4" w:space="0" w:color="auto"/>
              <w:right w:val="single" w:sz="4" w:space="0" w:color="auto"/>
            </w:tcBorders>
            <w:noWrap/>
            <w:vAlign w:val="center"/>
            <w:hideMark/>
          </w:tcPr>
          <w:p w14:paraId="2033C29C"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9.4</w:t>
            </w:r>
          </w:p>
        </w:tc>
        <w:tc>
          <w:tcPr>
            <w:tcW w:w="5246" w:type="dxa"/>
            <w:tcBorders>
              <w:top w:val="nil"/>
              <w:left w:val="nil"/>
              <w:bottom w:val="single" w:sz="4" w:space="0" w:color="auto"/>
              <w:right w:val="single" w:sz="4" w:space="0" w:color="auto"/>
            </w:tcBorders>
            <w:vAlign w:val="center"/>
            <w:hideMark/>
          </w:tcPr>
          <w:p w14:paraId="7CBDB050"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2.Uso indebido de los recursos del balance del Sistema General de Participaciones Sector Educación.</w:t>
            </w:r>
          </w:p>
        </w:tc>
        <w:tc>
          <w:tcPr>
            <w:tcW w:w="771" w:type="dxa"/>
            <w:tcBorders>
              <w:top w:val="nil"/>
              <w:left w:val="nil"/>
              <w:bottom w:val="single" w:sz="4" w:space="0" w:color="auto"/>
              <w:right w:val="single" w:sz="4" w:space="0" w:color="auto"/>
            </w:tcBorders>
            <w:noWrap/>
            <w:vAlign w:val="center"/>
            <w:hideMark/>
          </w:tcPr>
          <w:p w14:paraId="1421DE82"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773</w:t>
            </w:r>
          </w:p>
        </w:tc>
      </w:tr>
      <w:tr w:rsidR="000C6BE9" w14:paraId="4DD603AB" w14:textId="77777777" w:rsidTr="000C6BE9">
        <w:trPr>
          <w:trHeight w:val="20"/>
          <w:jc w:val="center"/>
        </w:trPr>
        <w:tc>
          <w:tcPr>
            <w:tcW w:w="6947"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2E354E8C" w14:textId="77777777" w:rsidR="000C6BE9" w:rsidRDefault="000C6BE9">
            <w:pPr>
              <w:jc w:val="center"/>
              <w:rPr>
                <w:rFonts w:eastAsia="Times New Roman" w:cs="Arial"/>
                <w:b/>
                <w:bCs/>
                <w:color w:val="000000"/>
                <w:sz w:val="16"/>
                <w:szCs w:val="16"/>
                <w:lang w:val="es-CO" w:eastAsia="es-CO"/>
              </w:rPr>
            </w:pPr>
            <w:r>
              <w:rPr>
                <w:rFonts w:eastAsia="Times New Roman" w:cs="Arial"/>
                <w:b/>
                <w:bCs/>
                <w:color w:val="000000"/>
                <w:sz w:val="16"/>
                <w:szCs w:val="16"/>
                <w:lang w:val="es-CO" w:eastAsia="es-CO"/>
              </w:rPr>
              <w:t>Total 2018</w:t>
            </w:r>
          </w:p>
        </w:tc>
        <w:tc>
          <w:tcPr>
            <w:tcW w:w="771" w:type="dxa"/>
            <w:tcBorders>
              <w:top w:val="nil"/>
              <w:left w:val="nil"/>
              <w:bottom w:val="single" w:sz="4" w:space="0" w:color="auto"/>
              <w:right w:val="single" w:sz="4" w:space="0" w:color="auto"/>
            </w:tcBorders>
            <w:shd w:val="clear" w:color="auto" w:fill="CCCCFF"/>
            <w:noWrap/>
            <w:vAlign w:val="center"/>
            <w:hideMark/>
          </w:tcPr>
          <w:p w14:paraId="4E1319EA" w14:textId="77777777" w:rsidR="000C6BE9" w:rsidRDefault="000C6BE9">
            <w:pPr>
              <w:jc w:val="center"/>
              <w:rPr>
                <w:rFonts w:eastAsia="Times New Roman" w:cs="Arial"/>
                <w:b/>
                <w:bCs/>
                <w:color w:val="000000"/>
                <w:sz w:val="16"/>
                <w:szCs w:val="16"/>
                <w:lang w:val="es-CO" w:eastAsia="es-CO"/>
              </w:rPr>
            </w:pPr>
            <w:r>
              <w:rPr>
                <w:rFonts w:eastAsia="Times New Roman" w:cs="Arial"/>
                <w:b/>
                <w:bCs/>
                <w:color w:val="000000"/>
                <w:sz w:val="16"/>
                <w:szCs w:val="16"/>
                <w:lang w:val="es-CO" w:eastAsia="es-CO"/>
              </w:rPr>
              <w:t>1.158</w:t>
            </w:r>
          </w:p>
        </w:tc>
      </w:tr>
      <w:tr w:rsidR="000C6BE9" w14:paraId="7F3A8120" w14:textId="77777777" w:rsidTr="000C6BE9">
        <w:trPr>
          <w:trHeight w:val="20"/>
          <w:jc w:val="center"/>
        </w:trPr>
        <w:tc>
          <w:tcPr>
            <w:tcW w:w="799" w:type="dxa"/>
            <w:vMerge w:val="restart"/>
            <w:tcBorders>
              <w:top w:val="nil"/>
              <w:left w:val="single" w:sz="4" w:space="0" w:color="auto"/>
              <w:bottom w:val="single" w:sz="4" w:space="0" w:color="000000"/>
              <w:right w:val="single" w:sz="4" w:space="0" w:color="auto"/>
            </w:tcBorders>
            <w:noWrap/>
            <w:vAlign w:val="center"/>
            <w:hideMark/>
          </w:tcPr>
          <w:p w14:paraId="265792E9"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2019</w:t>
            </w:r>
          </w:p>
        </w:tc>
        <w:tc>
          <w:tcPr>
            <w:tcW w:w="902" w:type="dxa"/>
            <w:tcBorders>
              <w:top w:val="nil"/>
              <w:left w:val="nil"/>
              <w:bottom w:val="single" w:sz="4" w:space="0" w:color="auto"/>
              <w:right w:val="single" w:sz="4" w:space="0" w:color="auto"/>
            </w:tcBorders>
            <w:noWrap/>
            <w:vAlign w:val="center"/>
            <w:hideMark/>
          </w:tcPr>
          <w:p w14:paraId="08ABBBAE"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9.4</w:t>
            </w:r>
          </w:p>
        </w:tc>
        <w:tc>
          <w:tcPr>
            <w:tcW w:w="5246" w:type="dxa"/>
            <w:tcBorders>
              <w:top w:val="nil"/>
              <w:left w:val="nil"/>
              <w:bottom w:val="single" w:sz="4" w:space="0" w:color="auto"/>
              <w:right w:val="single" w:sz="4" w:space="0" w:color="auto"/>
            </w:tcBorders>
            <w:vAlign w:val="center"/>
            <w:hideMark/>
          </w:tcPr>
          <w:p w14:paraId="3F4BBD2E"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1.Contratos no financiables con los recursos de la participación.</w:t>
            </w:r>
          </w:p>
        </w:tc>
        <w:tc>
          <w:tcPr>
            <w:tcW w:w="771" w:type="dxa"/>
            <w:tcBorders>
              <w:top w:val="nil"/>
              <w:left w:val="nil"/>
              <w:bottom w:val="single" w:sz="4" w:space="0" w:color="auto"/>
              <w:right w:val="single" w:sz="4" w:space="0" w:color="auto"/>
            </w:tcBorders>
            <w:noWrap/>
            <w:vAlign w:val="center"/>
            <w:hideMark/>
          </w:tcPr>
          <w:p w14:paraId="57A565AD"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15</w:t>
            </w:r>
          </w:p>
        </w:tc>
      </w:tr>
      <w:tr w:rsidR="000C6BE9" w14:paraId="45C96973" w14:textId="77777777" w:rsidTr="000C6BE9">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14:paraId="02789C52" w14:textId="77777777" w:rsidR="000C6BE9" w:rsidRDefault="000C6BE9">
            <w:pPr>
              <w:rPr>
                <w:rFonts w:eastAsia="Times New Roman" w:cs="Arial"/>
                <w:color w:val="000000"/>
                <w:sz w:val="16"/>
                <w:szCs w:val="16"/>
                <w:lang w:val="es-CO" w:eastAsia="es-CO"/>
              </w:rPr>
            </w:pPr>
          </w:p>
        </w:tc>
        <w:tc>
          <w:tcPr>
            <w:tcW w:w="902" w:type="dxa"/>
            <w:tcBorders>
              <w:top w:val="nil"/>
              <w:left w:val="nil"/>
              <w:bottom w:val="single" w:sz="4" w:space="0" w:color="auto"/>
              <w:right w:val="single" w:sz="4" w:space="0" w:color="auto"/>
            </w:tcBorders>
            <w:noWrap/>
            <w:vAlign w:val="center"/>
            <w:hideMark/>
          </w:tcPr>
          <w:p w14:paraId="68119448"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9.4</w:t>
            </w:r>
          </w:p>
        </w:tc>
        <w:tc>
          <w:tcPr>
            <w:tcW w:w="5246" w:type="dxa"/>
            <w:tcBorders>
              <w:top w:val="nil"/>
              <w:left w:val="nil"/>
              <w:bottom w:val="single" w:sz="4" w:space="0" w:color="auto"/>
              <w:right w:val="single" w:sz="4" w:space="0" w:color="auto"/>
            </w:tcBorders>
            <w:vAlign w:val="center"/>
            <w:hideMark/>
          </w:tcPr>
          <w:p w14:paraId="05728B98"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2.Uso indebido de los recursos del balance del Sistema General de Participaciones Sector Educación.</w:t>
            </w:r>
          </w:p>
        </w:tc>
        <w:tc>
          <w:tcPr>
            <w:tcW w:w="771" w:type="dxa"/>
            <w:tcBorders>
              <w:top w:val="nil"/>
              <w:left w:val="nil"/>
              <w:bottom w:val="single" w:sz="4" w:space="0" w:color="auto"/>
              <w:right w:val="single" w:sz="4" w:space="0" w:color="auto"/>
            </w:tcBorders>
            <w:noWrap/>
            <w:vAlign w:val="center"/>
            <w:hideMark/>
          </w:tcPr>
          <w:p w14:paraId="1661ECE2"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494</w:t>
            </w:r>
          </w:p>
        </w:tc>
      </w:tr>
      <w:tr w:rsidR="000C6BE9" w14:paraId="50E2B037" w14:textId="77777777" w:rsidTr="000C6BE9">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14:paraId="5ADF4854" w14:textId="77777777" w:rsidR="000C6BE9" w:rsidRDefault="000C6BE9">
            <w:pPr>
              <w:rPr>
                <w:rFonts w:eastAsia="Times New Roman" w:cs="Arial"/>
                <w:color w:val="000000"/>
                <w:sz w:val="16"/>
                <w:szCs w:val="16"/>
                <w:lang w:val="es-CO" w:eastAsia="es-CO"/>
              </w:rPr>
            </w:pPr>
          </w:p>
        </w:tc>
        <w:tc>
          <w:tcPr>
            <w:tcW w:w="902" w:type="dxa"/>
            <w:tcBorders>
              <w:top w:val="nil"/>
              <w:left w:val="nil"/>
              <w:bottom w:val="single" w:sz="4" w:space="0" w:color="auto"/>
              <w:right w:val="single" w:sz="4" w:space="0" w:color="auto"/>
            </w:tcBorders>
            <w:noWrap/>
            <w:vAlign w:val="center"/>
            <w:hideMark/>
          </w:tcPr>
          <w:p w14:paraId="42E69967"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9.18</w:t>
            </w:r>
          </w:p>
        </w:tc>
        <w:tc>
          <w:tcPr>
            <w:tcW w:w="5246" w:type="dxa"/>
            <w:tcBorders>
              <w:top w:val="nil"/>
              <w:left w:val="nil"/>
              <w:bottom w:val="single" w:sz="4" w:space="0" w:color="auto"/>
              <w:right w:val="single" w:sz="4" w:space="0" w:color="auto"/>
            </w:tcBorders>
            <w:vAlign w:val="center"/>
            <w:hideMark/>
          </w:tcPr>
          <w:p w14:paraId="2397EAEC"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9. Gastos administrativos por encima del porcentaje autorizado</w:t>
            </w:r>
          </w:p>
        </w:tc>
        <w:tc>
          <w:tcPr>
            <w:tcW w:w="771" w:type="dxa"/>
            <w:tcBorders>
              <w:top w:val="nil"/>
              <w:left w:val="nil"/>
              <w:bottom w:val="single" w:sz="4" w:space="0" w:color="auto"/>
              <w:right w:val="single" w:sz="4" w:space="0" w:color="auto"/>
            </w:tcBorders>
            <w:noWrap/>
            <w:vAlign w:val="center"/>
            <w:hideMark/>
          </w:tcPr>
          <w:p w14:paraId="161C25CC"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2.334</w:t>
            </w:r>
          </w:p>
        </w:tc>
      </w:tr>
      <w:tr w:rsidR="000C6BE9" w14:paraId="6354EEF9" w14:textId="77777777" w:rsidTr="000C6BE9">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14:paraId="238F1529" w14:textId="77777777" w:rsidR="000C6BE9" w:rsidRDefault="000C6BE9">
            <w:pPr>
              <w:rPr>
                <w:rFonts w:eastAsia="Times New Roman" w:cs="Arial"/>
                <w:color w:val="000000"/>
                <w:sz w:val="16"/>
                <w:szCs w:val="16"/>
                <w:lang w:val="es-CO" w:eastAsia="es-CO"/>
              </w:rPr>
            </w:pPr>
          </w:p>
        </w:tc>
        <w:tc>
          <w:tcPr>
            <w:tcW w:w="902" w:type="dxa"/>
            <w:tcBorders>
              <w:top w:val="nil"/>
              <w:left w:val="nil"/>
              <w:bottom w:val="single" w:sz="4" w:space="0" w:color="auto"/>
              <w:right w:val="single" w:sz="4" w:space="0" w:color="auto"/>
            </w:tcBorders>
            <w:noWrap/>
            <w:vAlign w:val="center"/>
            <w:hideMark/>
          </w:tcPr>
          <w:p w14:paraId="432B7DF1"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9.18</w:t>
            </w:r>
          </w:p>
        </w:tc>
        <w:tc>
          <w:tcPr>
            <w:tcW w:w="5246" w:type="dxa"/>
            <w:tcBorders>
              <w:top w:val="nil"/>
              <w:left w:val="nil"/>
              <w:bottom w:val="single" w:sz="4" w:space="0" w:color="auto"/>
              <w:right w:val="single" w:sz="4" w:space="0" w:color="auto"/>
            </w:tcBorders>
            <w:vAlign w:val="center"/>
            <w:hideMark/>
          </w:tcPr>
          <w:p w14:paraId="768B5B4B" w14:textId="77777777" w:rsidR="000C6BE9" w:rsidRDefault="000C6BE9">
            <w:pPr>
              <w:rPr>
                <w:rFonts w:eastAsia="Times New Roman" w:cs="Arial"/>
                <w:color w:val="000000"/>
                <w:sz w:val="16"/>
                <w:szCs w:val="16"/>
                <w:lang w:val="es-CO" w:eastAsia="es-CO"/>
              </w:rPr>
            </w:pPr>
            <w:r>
              <w:rPr>
                <w:rFonts w:eastAsia="Times New Roman" w:cs="Arial"/>
                <w:color w:val="000000"/>
                <w:sz w:val="16"/>
                <w:szCs w:val="16"/>
                <w:lang w:val="es-CO" w:eastAsia="es-CO"/>
              </w:rPr>
              <w:t>1. Faltante en Tesorería: 765 ($712 para cuentas por pagar que se evalúa en la Actividad 1.4.1 de cuentas por pagar y $53 como superávit)</w:t>
            </w:r>
          </w:p>
        </w:tc>
        <w:tc>
          <w:tcPr>
            <w:tcW w:w="771" w:type="dxa"/>
            <w:tcBorders>
              <w:top w:val="nil"/>
              <w:left w:val="nil"/>
              <w:bottom w:val="single" w:sz="4" w:space="0" w:color="auto"/>
              <w:right w:val="single" w:sz="4" w:space="0" w:color="auto"/>
            </w:tcBorders>
            <w:noWrap/>
            <w:vAlign w:val="center"/>
            <w:hideMark/>
          </w:tcPr>
          <w:p w14:paraId="5B3A36CB" w14:textId="77777777" w:rsidR="000C6BE9" w:rsidRDefault="000C6BE9">
            <w:pPr>
              <w:jc w:val="center"/>
              <w:rPr>
                <w:rFonts w:eastAsia="Times New Roman" w:cs="Arial"/>
                <w:color w:val="000000"/>
                <w:sz w:val="16"/>
                <w:szCs w:val="16"/>
                <w:lang w:val="es-CO" w:eastAsia="es-CO"/>
              </w:rPr>
            </w:pPr>
            <w:r>
              <w:rPr>
                <w:rFonts w:eastAsia="Times New Roman" w:cs="Arial"/>
                <w:color w:val="000000"/>
                <w:sz w:val="16"/>
                <w:szCs w:val="16"/>
                <w:lang w:val="es-CO" w:eastAsia="es-CO"/>
              </w:rPr>
              <w:t>53</w:t>
            </w:r>
          </w:p>
        </w:tc>
      </w:tr>
      <w:tr w:rsidR="000C6BE9" w14:paraId="2A947C5A" w14:textId="77777777" w:rsidTr="000C6BE9">
        <w:trPr>
          <w:trHeight w:val="20"/>
          <w:jc w:val="center"/>
        </w:trPr>
        <w:tc>
          <w:tcPr>
            <w:tcW w:w="6947"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4C60AF82" w14:textId="77777777" w:rsidR="000C6BE9" w:rsidRDefault="000C6BE9">
            <w:pPr>
              <w:jc w:val="center"/>
              <w:rPr>
                <w:rFonts w:eastAsia="Times New Roman" w:cs="Arial"/>
                <w:b/>
                <w:bCs/>
                <w:color w:val="000000"/>
                <w:sz w:val="16"/>
                <w:szCs w:val="16"/>
                <w:lang w:val="es-CO" w:eastAsia="es-CO"/>
              </w:rPr>
            </w:pPr>
            <w:r>
              <w:rPr>
                <w:rFonts w:eastAsia="Times New Roman" w:cs="Arial"/>
                <w:b/>
                <w:bCs/>
                <w:color w:val="000000"/>
                <w:sz w:val="16"/>
                <w:szCs w:val="16"/>
                <w:lang w:val="es-CO" w:eastAsia="es-CO"/>
              </w:rPr>
              <w:t>Total 2019</w:t>
            </w:r>
          </w:p>
        </w:tc>
        <w:tc>
          <w:tcPr>
            <w:tcW w:w="771" w:type="dxa"/>
            <w:tcBorders>
              <w:top w:val="nil"/>
              <w:left w:val="nil"/>
              <w:bottom w:val="single" w:sz="4" w:space="0" w:color="auto"/>
              <w:right w:val="single" w:sz="4" w:space="0" w:color="auto"/>
            </w:tcBorders>
            <w:shd w:val="clear" w:color="auto" w:fill="CCCCFF"/>
            <w:noWrap/>
            <w:vAlign w:val="center"/>
            <w:hideMark/>
          </w:tcPr>
          <w:p w14:paraId="3439DB07" w14:textId="77777777" w:rsidR="000C6BE9" w:rsidRDefault="000C6BE9">
            <w:pPr>
              <w:jc w:val="center"/>
              <w:rPr>
                <w:rFonts w:eastAsia="Times New Roman" w:cs="Arial"/>
                <w:b/>
                <w:bCs/>
                <w:color w:val="000000"/>
                <w:sz w:val="16"/>
                <w:szCs w:val="16"/>
                <w:lang w:val="es-CO" w:eastAsia="es-CO"/>
              </w:rPr>
            </w:pPr>
            <w:r>
              <w:rPr>
                <w:rFonts w:eastAsia="Times New Roman" w:cs="Arial"/>
                <w:b/>
                <w:bCs/>
                <w:color w:val="000000"/>
                <w:sz w:val="16"/>
                <w:szCs w:val="16"/>
                <w:lang w:val="es-CO" w:eastAsia="es-CO"/>
              </w:rPr>
              <w:t>2.896</w:t>
            </w:r>
          </w:p>
        </w:tc>
      </w:tr>
      <w:tr w:rsidR="000C6BE9" w14:paraId="3147395F" w14:textId="77777777" w:rsidTr="000C6BE9">
        <w:trPr>
          <w:trHeight w:val="20"/>
          <w:jc w:val="center"/>
        </w:trPr>
        <w:tc>
          <w:tcPr>
            <w:tcW w:w="6947" w:type="dxa"/>
            <w:gridSpan w:val="3"/>
            <w:tcBorders>
              <w:top w:val="single" w:sz="4" w:space="0" w:color="auto"/>
              <w:left w:val="single" w:sz="4" w:space="0" w:color="auto"/>
              <w:bottom w:val="single" w:sz="4" w:space="0" w:color="auto"/>
              <w:right w:val="single" w:sz="4" w:space="0" w:color="000000"/>
            </w:tcBorders>
            <w:shd w:val="clear" w:color="auto" w:fill="666699"/>
            <w:vAlign w:val="center"/>
            <w:hideMark/>
          </w:tcPr>
          <w:p w14:paraId="1D735640" w14:textId="77777777" w:rsidR="000C6BE9" w:rsidRDefault="000C6BE9">
            <w:pPr>
              <w:jc w:val="center"/>
              <w:rPr>
                <w:rFonts w:eastAsia="Times New Roman" w:cs="Arial"/>
                <w:b/>
                <w:bCs/>
                <w:color w:val="FFFFFF"/>
                <w:sz w:val="16"/>
                <w:szCs w:val="16"/>
                <w:lang w:val="es-CO" w:eastAsia="es-CO"/>
              </w:rPr>
            </w:pPr>
            <w:r>
              <w:rPr>
                <w:rFonts w:eastAsia="Times New Roman" w:cs="Arial"/>
                <w:b/>
                <w:bCs/>
                <w:color w:val="FFFFFF"/>
                <w:sz w:val="16"/>
                <w:szCs w:val="16"/>
                <w:lang w:val="es-CO" w:eastAsia="es-CO"/>
              </w:rPr>
              <w:t>TOTAL</w:t>
            </w:r>
          </w:p>
        </w:tc>
        <w:tc>
          <w:tcPr>
            <w:tcW w:w="771" w:type="dxa"/>
            <w:tcBorders>
              <w:top w:val="nil"/>
              <w:left w:val="nil"/>
              <w:bottom w:val="single" w:sz="4" w:space="0" w:color="auto"/>
              <w:right w:val="single" w:sz="4" w:space="0" w:color="auto"/>
            </w:tcBorders>
            <w:shd w:val="clear" w:color="auto" w:fill="666699"/>
            <w:vAlign w:val="center"/>
            <w:hideMark/>
          </w:tcPr>
          <w:p w14:paraId="6CC088A6" w14:textId="77777777" w:rsidR="000C6BE9" w:rsidRDefault="000C6BE9">
            <w:pPr>
              <w:jc w:val="center"/>
              <w:rPr>
                <w:rFonts w:eastAsia="Times New Roman" w:cs="Arial"/>
                <w:b/>
                <w:bCs/>
                <w:color w:val="FFFFFF"/>
                <w:sz w:val="16"/>
                <w:szCs w:val="16"/>
                <w:lang w:val="es-CO" w:eastAsia="es-CO"/>
              </w:rPr>
            </w:pPr>
            <w:r>
              <w:rPr>
                <w:rFonts w:eastAsia="Times New Roman" w:cs="Arial"/>
                <w:b/>
                <w:bCs/>
                <w:color w:val="FFFFFF"/>
                <w:sz w:val="16"/>
                <w:szCs w:val="16"/>
                <w:lang w:val="es-CO" w:eastAsia="es-CO"/>
              </w:rPr>
              <w:t>6.101</w:t>
            </w:r>
          </w:p>
        </w:tc>
      </w:tr>
    </w:tbl>
    <w:p w14:paraId="1470CF1A" w14:textId="77777777" w:rsidR="000C6BE9" w:rsidRDefault="000C6BE9" w:rsidP="000C6BE9">
      <w:pPr>
        <w:jc w:val="both"/>
      </w:pPr>
      <w:r>
        <w:t xml:space="preserve"> </w:t>
      </w:r>
    </w:p>
    <w:p w14:paraId="46C5C6E7" w14:textId="77777777" w:rsidR="000C6BE9" w:rsidRDefault="000C6BE9" w:rsidP="000C6BE9">
      <w:pPr>
        <w:jc w:val="both"/>
      </w:pPr>
      <w:r>
        <w:t xml:space="preserve">Para aportar a la restitución de dichos recursos, la entidad entregó la Orden de compra No. 66949 del 8 de abril de 2021 para la adquisición de equipos tecnológicos para fines educativos, en dotación a las instituciones educativas oficiales del municipio Santa Cruz de Lorica para mejorar la calidad educativa. Esta adquisición está amparada con el certificado de disponibilidad presupuestal No. 0000000059 del 29 de enero de 2021, el registro </w:t>
      </w:r>
      <w:r>
        <w:lastRenderedPageBreak/>
        <w:t>presupuestal No. 0000000266 del 12 de abril de 2021 y la orden de pago No. 0000001950 del 31 de diciembre de 2021. No obstante, esta compra no puede ser tenida en cuenta debido a que si bien se pagó en diciembre de 2021 el compromiso se adquirió con anterioridad a la aprobación de la medida preventiva de plan de desempeño la cual se realizó en junio de 2021.</w:t>
      </w:r>
    </w:p>
    <w:p w14:paraId="2C6C5713" w14:textId="77777777" w:rsidR="000C6BE9" w:rsidRDefault="000C6BE9" w:rsidP="000C6BE9">
      <w:pPr>
        <w:jc w:val="both"/>
      </w:pPr>
    </w:p>
    <w:p w14:paraId="53552E7F" w14:textId="77777777" w:rsidR="000C6BE9" w:rsidRDefault="000C6BE9" w:rsidP="000C6BE9">
      <w:pPr>
        <w:jc w:val="both"/>
      </w:pPr>
      <w:r>
        <w:t>Asimismo, la entidad presentó la evidencia del pago con recursos propios del examen del estado de la educación media SABER 11 de los establecimientos educativos oficiales del municipio de Santa Cruz de Lorica, para lo cual adjuntó el certificado de disponibilidad presupuestal No. 0000000344 del 25 de septiembre de 2020, el registro presupuestal No. 0000000420 del 08 de octubre de 2020 y orden de pago No. 0000000619 del 8 de octubre de 2020, todos por $39 millones. Sin embargo, al igual que la anterior orden de compra, no puede ser tenido en cuenta porque el compromiso se adquirió con anterioridad a la aprobación de la medida preventiva de plan de desempeño.</w:t>
      </w:r>
    </w:p>
    <w:p w14:paraId="05E599A1" w14:textId="77777777" w:rsidR="000C6BE9" w:rsidRDefault="000C6BE9" w:rsidP="000C6BE9">
      <w:pPr>
        <w:jc w:val="both"/>
      </w:pPr>
    </w:p>
    <w:p w14:paraId="544360A5" w14:textId="77777777" w:rsidR="000C6BE9" w:rsidRDefault="000C6BE9" w:rsidP="000C6BE9">
      <w:pPr>
        <w:jc w:val="both"/>
      </w:pPr>
      <w:r>
        <w:t>En el marco de la medida correctiva de suspensión de giros la entidad debía restituir $2.106 millones de exceso de gasto administrativo de la vigencia 2018, para lo cual la entidad evidenció la suscripción del contrato No. 228 para la Construcción mejoramiento de la infraestructura en la institución educativa Antonio Sanchez Gutierrez por valor de $2.256 millones, soporte con el cual se levantó la medida correctiva de suspensión de giros, ahora bien, los $150 millones restantes de dicho contrato pueden ser tenidos en cuenta para aportar a la restitución de los anteriores valores a cargo de la entidad para el cumplimiento de la presente medida preventiva de plan de desempeño.</w:t>
      </w:r>
    </w:p>
    <w:p w14:paraId="37DF8BC2" w14:textId="77777777" w:rsidR="000C6BE9" w:rsidRDefault="000C6BE9" w:rsidP="000C6BE9">
      <w:pPr>
        <w:jc w:val="both"/>
      </w:pPr>
    </w:p>
    <w:p w14:paraId="160167F2" w14:textId="77777777" w:rsidR="000C6BE9" w:rsidRDefault="000C6BE9" w:rsidP="000C6BE9">
      <w:pPr>
        <w:jc w:val="both"/>
      </w:pPr>
      <w:r>
        <w:t>Por tanto, de la evidencia entregada por la entidad puede tenerse en cuenta para la restitución de recursos, lo siguiente:</w:t>
      </w:r>
    </w:p>
    <w:p w14:paraId="4EFD79EB" w14:textId="77777777" w:rsidR="000C6BE9" w:rsidRDefault="000C6BE9" w:rsidP="000C6BE9">
      <w:pPr>
        <w:jc w:val="both"/>
      </w:pPr>
    </w:p>
    <w:p w14:paraId="6D3AFF64" w14:textId="77777777" w:rsidR="000C6BE9" w:rsidRDefault="000C6BE9" w:rsidP="000C6BE9">
      <w:pPr>
        <w:pStyle w:val="Prrafodelista"/>
        <w:numPr>
          <w:ilvl w:val="0"/>
          <w:numId w:val="47"/>
        </w:numPr>
        <w:ind w:left="426" w:hanging="426"/>
        <w:jc w:val="both"/>
      </w:pPr>
      <w:r>
        <w:t>Contrato No. 228 para la Construcción y mejoramiento de la infraestructura en la institución educativa Antonio Sanchez Gutierrez, con fuente del Sistema General de Regalías, del cual se tienen en cuenta $150 millones que restaron de la restitución que se realizó para el levantamiento de la medida correctiva de suspensión de giros.</w:t>
      </w:r>
    </w:p>
    <w:p w14:paraId="0B648310" w14:textId="77777777" w:rsidR="000C6BE9" w:rsidRDefault="000C6BE9" w:rsidP="000C6BE9">
      <w:pPr>
        <w:pStyle w:val="Prrafodelista"/>
        <w:numPr>
          <w:ilvl w:val="0"/>
          <w:numId w:val="47"/>
        </w:numPr>
        <w:ind w:left="426" w:hanging="426"/>
        <w:jc w:val="both"/>
      </w:pPr>
      <w:r>
        <w:t>Contrato No. 238 de 2022 con el objeto de interventoría de construcción de institución educativa Antonio Sanchez Gutierrez sede principal Manguito Arriba y el Centro educativo la Peinada en el Municipio de Lorica Córdoba, por $190 millones con recursos del Sistema General de Regalías, evidenciado en el certificado de disponibilidad presupuestal No. 322 del 07 de marzo de 2022 y el registro presupuestal No. 722 del 22 de agosto de 2022.</w:t>
      </w:r>
    </w:p>
    <w:p w14:paraId="2A04A74C" w14:textId="77777777" w:rsidR="000C6BE9" w:rsidRDefault="000C6BE9" w:rsidP="000C6BE9">
      <w:pPr>
        <w:pStyle w:val="Prrafodelista"/>
        <w:numPr>
          <w:ilvl w:val="0"/>
          <w:numId w:val="47"/>
        </w:numPr>
        <w:ind w:left="426" w:hanging="426"/>
        <w:jc w:val="both"/>
      </w:pPr>
      <w:r>
        <w:t>Comprobante de egreso No. 0000000818 del 20 de mayo de 2022 con el concepto pago de servicio de energía prestado a los establecimientos educativos oficiales del municipio santa Cruz de Lorica del mes de diciembre de 2021. Dicho comprobante fue soportado con el certificado de disponibilidad presupuestal No. 000000405 del 12 de mayo de 2022 y el registro presupuestal No. 0000000409 del 12 de mayo de 2022. Todos por el valor de 42 millones entre los cuales se especificaba que $23 millones se financiaban con ingresos corrientes de libre destinación.</w:t>
      </w:r>
    </w:p>
    <w:p w14:paraId="0F92E814" w14:textId="77777777" w:rsidR="000C6BE9" w:rsidRDefault="000C6BE9" w:rsidP="000C6BE9">
      <w:pPr>
        <w:jc w:val="both"/>
      </w:pPr>
    </w:p>
    <w:p w14:paraId="11DDF619" w14:textId="77777777" w:rsidR="000C6BE9" w:rsidRDefault="000C6BE9" w:rsidP="000C6BE9">
      <w:pPr>
        <w:jc w:val="both"/>
      </w:pPr>
      <w:r>
        <w:lastRenderedPageBreak/>
        <w:t xml:space="preserve">De lo anterior se tiene que la entidad a la fecha </w:t>
      </w:r>
      <w:r>
        <w:rPr>
          <w:b/>
        </w:rPr>
        <w:t>ha restituido $363 millones de los 6.101</w:t>
      </w:r>
      <w:r>
        <w:t xml:space="preserve"> </w:t>
      </w:r>
      <w:r>
        <w:rPr>
          <w:b/>
        </w:rPr>
        <w:t>millones</w:t>
      </w:r>
      <w:r>
        <w:t xml:space="preserve"> que debía restituir en esta actividad, por tanto, le quedarían faltando 5.738 millones. </w:t>
      </w:r>
    </w:p>
    <w:p w14:paraId="0B36E4B8" w14:textId="77777777" w:rsidR="000C6BE9" w:rsidRDefault="000C6BE9" w:rsidP="000C6BE9">
      <w:pPr>
        <w:jc w:val="both"/>
      </w:pPr>
    </w:p>
    <w:p w14:paraId="53F10CD5" w14:textId="77777777" w:rsidR="000C6BE9" w:rsidRDefault="000C6BE9" w:rsidP="000C6BE9">
      <w:pPr>
        <w:jc w:val="both"/>
      </w:pPr>
      <w:r>
        <w:t>Adicionalmente hay que tener en cuenta que para la</w:t>
      </w:r>
      <w:r w:rsidR="00670213">
        <w:t>s</w:t>
      </w:r>
      <w:r>
        <w:t xml:space="preserve"> vigencia</w:t>
      </w:r>
      <w:r w:rsidR="00670213">
        <w:t>s</w:t>
      </w:r>
      <w:r>
        <w:t xml:space="preserve"> 2020, 2021</w:t>
      </w:r>
      <w:r w:rsidR="00670213">
        <w:t xml:space="preserve"> </w:t>
      </w:r>
      <w:r>
        <w:t>y 2022 la entidad volvió a supera</w:t>
      </w:r>
      <w:r w:rsidR="00BC401E">
        <w:t>r</w:t>
      </w:r>
      <w:r>
        <w:t xml:space="preserve"> el gasto administrativo, lo cual no está incluido en los valores a restituir descritos inicialmente. Por lo tanto, </w:t>
      </w:r>
      <w:r w:rsidR="00670213">
        <w:t xml:space="preserve">el monto a restituir se aumenta en $1.407 millones correspondientes al exceso de gastos administrativo de dichas vigencias, </w:t>
      </w:r>
      <w:r>
        <w:t>$473 millones</w:t>
      </w:r>
      <w:r w:rsidR="00670213">
        <w:t xml:space="preserve"> de 2020</w:t>
      </w:r>
      <w:r>
        <w:t>,</w:t>
      </w:r>
      <w:r w:rsidR="00670213">
        <w:t xml:space="preserve"> $527 millones de </w:t>
      </w:r>
      <w:r>
        <w:t>2021 y de acuerdo con el reporte CUIPO $407 millones</w:t>
      </w:r>
      <w:r w:rsidR="00670213">
        <w:t xml:space="preserve"> de 2022</w:t>
      </w:r>
      <w:r>
        <w:t xml:space="preserve">. </w:t>
      </w:r>
      <w:r w:rsidR="00670213">
        <w:t xml:space="preserve">En conclusión, </w:t>
      </w:r>
      <w:r>
        <w:t xml:space="preserve">a la fecha la entidad tendrá que restituirle al sector educativo el valor de </w:t>
      </w:r>
      <w:r>
        <w:rPr>
          <w:b/>
        </w:rPr>
        <w:t>$7.145 millones</w:t>
      </w:r>
      <w:r>
        <w:t>.</w:t>
      </w:r>
    </w:p>
    <w:p w14:paraId="618624BD" w14:textId="77777777" w:rsidR="000C6BE9" w:rsidRDefault="000C6BE9" w:rsidP="000C6BE9">
      <w:pPr>
        <w:jc w:val="both"/>
      </w:pPr>
    </w:p>
    <w:p w14:paraId="723C4CEF" w14:textId="77777777" w:rsidR="000C6BE9" w:rsidRDefault="000C6BE9" w:rsidP="000C6BE9">
      <w:pPr>
        <w:jc w:val="both"/>
      </w:pPr>
      <w:r>
        <w:t>En conclusión, la presente actividad se encuentra incumplida hasta tanto la entidad restituya la totalidad de los recursos.</w:t>
      </w:r>
    </w:p>
    <w:p w14:paraId="0E606AB5" w14:textId="77777777" w:rsidR="000C6BE9" w:rsidRDefault="000C6BE9" w:rsidP="000C6BE9">
      <w:pPr>
        <w:jc w:val="both"/>
      </w:pPr>
    </w:p>
    <w:p w14:paraId="23EA5B3A" w14:textId="77777777" w:rsidR="000C6BE9" w:rsidRDefault="000C6BE9" w:rsidP="000C6BE9">
      <w:pPr>
        <w:jc w:val="both"/>
      </w:pPr>
      <w:r>
        <w:rPr>
          <w:b/>
        </w:rPr>
        <w:t>Recomendación:</w:t>
      </w:r>
    </w:p>
    <w:p w14:paraId="70BA7FC2" w14:textId="77777777" w:rsidR="000C6BE9" w:rsidRDefault="000C6BE9" w:rsidP="000C6BE9">
      <w:pPr>
        <w:jc w:val="both"/>
      </w:pPr>
    </w:p>
    <w:p w14:paraId="3DC41E74" w14:textId="77777777" w:rsidR="000C6BE9" w:rsidRDefault="000C6BE9" w:rsidP="000C6BE9">
      <w:pPr>
        <w:jc w:val="both"/>
      </w:pPr>
      <w:r>
        <w:t>Se recomienda que la entidad haga los esfuerzos necesarios con recursos diferentes al SGP de educación para restituir al sector la totalidad de los recursos y que revise los objetos de financiación establecidos en la normatividad vigente con recursos del SGP para que no se vuelva a materializar un cambio en la destinación del recurso. Asimismo, que adelante las gestiones necesarias para ajustar su gasto administrativo o financiarlo con recursos propios de manera que no vuelva a superar el porcentaje autorizado por la Nación.</w:t>
      </w:r>
    </w:p>
    <w:p w14:paraId="27D10E0D" w14:textId="77777777" w:rsidR="000C6BE9" w:rsidRDefault="000C6BE9" w:rsidP="000C6BE9">
      <w:pPr>
        <w:jc w:val="both"/>
      </w:pPr>
    </w:p>
    <w:p w14:paraId="1A14CE42" w14:textId="77777777" w:rsidR="000C6BE9" w:rsidRDefault="000C6BE9" w:rsidP="000C6BE9">
      <w:pPr>
        <w:jc w:val="both"/>
      </w:pPr>
      <w:r>
        <w:t xml:space="preserve">La entidad debe tener en cuenta que los recursos que se restituyan por superar el límite de gasto administrativo no se podrán </w:t>
      </w:r>
      <w:r w:rsidR="00670213">
        <w:t xml:space="preserve">destinar a objetos </w:t>
      </w:r>
      <w:r>
        <w:t xml:space="preserve">de gasto administrativo, ya que deberá financiar aquellos </w:t>
      </w:r>
      <w:r w:rsidR="00670213">
        <w:t xml:space="preserve">asociados con la </w:t>
      </w:r>
      <w:r>
        <w:t xml:space="preserve">calidad </w:t>
      </w:r>
      <w:r w:rsidR="00670213">
        <w:t xml:space="preserve">educativa </w:t>
      </w:r>
      <w:r>
        <w:t>en que dejó de invertir por excederse en el gasto administrativo. Por tanto, de los $7.145 millones que quedan pendientes por restituir, $4.393 millones fueron por exceso de gasto administrativo ($652 millones de 2017, $2.334 millones de 2019, $473 millones de 2020, $527 millones de 2021 y $407 millones de 2022).</w:t>
      </w:r>
    </w:p>
    <w:p w14:paraId="2B398309" w14:textId="77777777" w:rsidR="000C6BE9" w:rsidRDefault="000C6BE9" w:rsidP="000C6BE9">
      <w:pPr>
        <w:rPr>
          <w:szCs w:val="22"/>
          <w:lang w:val="es-CO" w:eastAsia="en-US"/>
        </w:rPr>
      </w:pPr>
    </w:p>
    <w:p w14:paraId="5864A791" w14:textId="77777777" w:rsidR="000C6BE9" w:rsidRDefault="000C6BE9" w:rsidP="000C6BE9">
      <w:pPr>
        <w:pStyle w:val="Ttulo2"/>
        <w:spacing w:before="0"/>
        <w:rPr>
          <w:rFonts w:eastAsiaTheme="minorHAnsi"/>
          <w:b/>
          <w:bCs/>
          <w:lang w:val="es-CO" w:eastAsia="en-US"/>
        </w:rPr>
      </w:pPr>
      <w:r>
        <w:rPr>
          <w:rStyle w:val="Ttulo3Car"/>
          <w:rFonts w:cs="Arial"/>
          <w:b/>
          <w:bCs/>
        </w:rPr>
        <w:t>Objetivo</w:t>
      </w:r>
      <w:r>
        <w:rPr>
          <w:rFonts w:eastAsiaTheme="minorHAnsi"/>
          <w:b/>
          <w:bCs/>
          <w:lang w:val="es-CO" w:eastAsia="en-US"/>
        </w:rPr>
        <w:t xml:space="preserve"> 1.</w:t>
      </w:r>
      <w:r>
        <w:rPr>
          <w:b/>
          <w:bCs/>
          <w:lang w:val="es-CO" w:eastAsia="en-US"/>
        </w:rPr>
        <w:t xml:space="preserve">5. </w:t>
      </w:r>
      <w:r>
        <w:rPr>
          <w:rFonts w:eastAsiaTheme="minorHAnsi"/>
          <w:b/>
          <w:bCs/>
          <w:lang w:val="es-CO" w:eastAsia="en-US"/>
        </w:rPr>
        <w:t>Sanear las deudas del sector</w:t>
      </w:r>
    </w:p>
    <w:p w14:paraId="287D4177" w14:textId="77777777" w:rsidR="000C6BE9" w:rsidRDefault="000C6BE9" w:rsidP="000C6BE9">
      <w:pPr>
        <w:jc w:val="both"/>
        <w:rPr>
          <w:rFonts w:eastAsiaTheme="minorHAnsi" w:cs="Arial"/>
          <w:szCs w:val="22"/>
          <w:lang w:val="es-CO" w:eastAsia="en-US"/>
        </w:rPr>
      </w:pPr>
    </w:p>
    <w:p w14:paraId="68453943" w14:textId="77777777" w:rsidR="000C6BE9" w:rsidRDefault="000C6BE9" w:rsidP="000C6BE9">
      <w:pPr>
        <w:pStyle w:val="Ttulo3"/>
        <w:spacing w:before="0"/>
        <w:rPr>
          <w:rFonts w:eastAsiaTheme="minorHAnsi"/>
          <w:lang w:val="es-CO" w:eastAsia="en-US"/>
        </w:rPr>
      </w:pPr>
      <w:r>
        <w:rPr>
          <w:rFonts w:eastAsiaTheme="minorHAnsi"/>
          <w:b/>
          <w:lang w:val="es-CO" w:eastAsia="en-US"/>
        </w:rPr>
        <w:t>Actividad 1.5.1.</w:t>
      </w:r>
      <w:r>
        <w:rPr>
          <w:rFonts w:eastAsiaTheme="minorHAnsi"/>
          <w:lang w:val="es-CO" w:eastAsia="en-US"/>
        </w:rPr>
        <w:t xml:space="preserve"> Depurar las deudas del sector educativo.</w:t>
      </w:r>
    </w:p>
    <w:p w14:paraId="42B2A0AC" w14:textId="77777777" w:rsidR="000C6BE9" w:rsidRDefault="000C6BE9" w:rsidP="000C6BE9">
      <w:pPr>
        <w:rPr>
          <w:lang w:val="es-CO" w:eastAsia="en-US"/>
        </w:rPr>
      </w:pPr>
    </w:p>
    <w:p w14:paraId="59CABE73" w14:textId="77777777" w:rsidR="000C6BE9" w:rsidRDefault="000C6BE9" w:rsidP="000C6BE9">
      <w:pPr>
        <w:jc w:val="both"/>
        <w:rPr>
          <w:b/>
          <w:lang w:val="es-CO" w:eastAsia="en-US"/>
        </w:rPr>
      </w:pPr>
      <w:r>
        <w:rPr>
          <w:b/>
          <w:lang w:val="es-CO" w:eastAsia="en-US"/>
        </w:rPr>
        <w:t xml:space="preserve">Productos esperados: </w:t>
      </w:r>
      <w:r>
        <w:rPr>
          <w:lang w:val="es-CO" w:eastAsia="en-US"/>
        </w:rPr>
        <w:t>Inventario de deudas del sector educación en el que se indique el concepto de la deuda, monto, año en que se generó, estado de trámite ante el MEN, beneficiarios (número y cargo / contratistas), gestión adelantada para su saneamiento, fuente prevista para el pago.</w:t>
      </w:r>
    </w:p>
    <w:p w14:paraId="51F9250E" w14:textId="77777777" w:rsidR="000C6BE9" w:rsidRDefault="000C6BE9" w:rsidP="000C6BE9">
      <w:pPr>
        <w:jc w:val="both"/>
        <w:rPr>
          <w:lang w:val="es-CO" w:eastAsia="en-US"/>
        </w:rPr>
      </w:pPr>
    </w:p>
    <w:p w14:paraId="5E0F7DC6" w14:textId="77777777" w:rsidR="000C6BE9" w:rsidRDefault="000C6BE9" w:rsidP="000C6BE9">
      <w:pPr>
        <w:jc w:val="both"/>
        <w:rPr>
          <w:b/>
          <w:bCs/>
          <w:lang w:val="es-CO" w:eastAsia="en-US"/>
        </w:rPr>
      </w:pPr>
      <w:r>
        <w:rPr>
          <w:b/>
          <w:lang w:val="es-CO" w:eastAsia="en-US"/>
        </w:rPr>
        <w:t>Evaluación</w:t>
      </w:r>
      <w:r>
        <w:rPr>
          <w:b/>
          <w:bCs/>
          <w:lang w:val="es-CO" w:eastAsia="en-US"/>
        </w:rPr>
        <w:t>:</w:t>
      </w:r>
    </w:p>
    <w:p w14:paraId="13590028" w14:textId="77777777" w:rsidR="000C6BE9" w:rsidRDefault="000C6BE9" w:rsidP="000C6BE9">
      <w:pPr>
        <w:jc w:val="both"/>
        <w:rPr>
          <w:b/>
          <w:bCs/>
          <w:lang w:val="es-CO" w:eastAsia="en-US"/>
        </w:rPr>
      </w:pPr>
    </w:p>
    <w:p w14:paraId="5867AF3C" w14:textId="77777777" w:rsidR="000C6BE9" w:rsidRDefault="000C6BE9" w:rsidP="000C6BE9">
      <w:pPr>
        <w:jc w:val="both"/>
        <w:rPr>
          <w:lang w:val="es-CO" w:eastAsia="en-US"/>
        </w:rPr>
      </w:pPr>
      <w:r>
        <w:rPr>
          <w:lang w:val="es-CO" w:eastAsia="en-US"/>
        </w:rPr>
        <w:t xml:space="preserve">El Ministerio de Educación informó que la Entidad no tiene deudas radicadas para revisión o certificación por parte de dicha cartera. Así mismo se le solicitó al Municipio el avance de las deudas que se relacionaron en el Informe de Reconocimiento, relativas al retroactivo de nivelación salarial de funcionarios de la Secretaría de Educación, una declaratoria de insuficiencia de empleados nombrados en propiedad y deudas por concepto de zonas de </w:t>
      </w:r>
      <w:r>
        <w:rPr>
          <w:lang w:val="es-CO" w:eastAsia="en-US"/>
        </w:rPr>
        <w:lastRenderedPageBreak/>
        <w:t>difícil acceso del 2004. Al respecto la Entidad manifestó no tener claridad frente al estado actual de las deudas por lo que mencionó que se trabajaría en el análisis y depuración de estas.</w:t>
      </w:r>
    </w:p>
    <w:p w14:paraId="1CBA6D30" w14:textId="77777777" w:rsidR="000C6BE9" w:rsidRDefault="000C6BE9" w:rsidP="000C6BE9">
      <w:pPr>
        <w:jc w:val="both"/>
        <w:rPr>
          <w:rFonts w:cs="Arial"/>
          <w:color w:val="FF0000"/>
          <w:lang w:val="es-CO" w:eastAsia="en-US"/>
        </w:rPr>
      </w:pPr>
    </w:p>
    <w:p w14:paraId="36FB7C7E" w14:textId="77777777" w:rsidR="000C6BE9" w:rsidRDefault="000C6BE9" w:rsidP="000C6BE9">
      <w:pPr>
        <w:jc w:val="both"/>
        <w:rPr>
          <w:lang w:val="es-CO" w:eastAsia="en-US"/>
        </w:rPr>
      </w:pPr>
      <w:r>
        <w:rPr>
          <w:lang w:val="es-CO" w:eastAsia="en-US"/>
        </w:rPr>
        <w:t>Evaluación de la actividad: No Cumple</w:t>
      </w:r>
    </w:p>
    <w:p w14:paraId="68E3AE22" w14:textId="77777777" w:rsidR="000C6BE9" w:rsidRDefault="000C6BE9" w:rsidP="000C6BE9">
      <w:pPr>
        <w:rPr>
          <w:lang w:val="es-CO" w:eastAsia="en-US"/>
        </w:rPr>
      </w:pPr>
    </w:p>
    <w:p w14:paraId="019C4FAF" w14:textId="77777777" w:rsidR="000C6BE9" w:rsidRDefault="000C6BE9" w:rsidP="000C6BE9">
      <w:pPr>
        <w:rPr>
          <w:b/>
          <w:lang w:val="es-CO" w:eastAsia="en-US"/>
        </w:rPr>
      </w:pPr>
      <w:r>
        <w:rPr>
          <w:b/>
          <w:lang w:val="es-CO" w:eastAsia="en-US"/>
        </w:rPr>
        <w:t>Recomendación:</w:t>
      </w:r>
    </w:p>
    <w:p w14:paraId="64A98D51" w14:textId="77777777" w:rsidR="000C6BE9" w:rsidRDefault="000C6BE9" w:rsidP="000C6BE9">
      <w:pPr>
        <w:jc w:val="both"/>
        <w:rPr>
          <w:b/>
          <w:lang w:val="es-CO" w:eastAsia="en-US"/>
        </w:rPr>
      </w:pPr>
    </w:p>
    <w:p w14:paraId="579F44BA" w14:textId="77777777" w:rsidR="000C6BE9" w:rsidRDefault="000C6BE9" w:rsidP="000C6BE9">
      <w:pPr>
        <w:jc w:val="both"/>
        <w:rPr>
          <w:lang w:val="es-CO" w:eastAsia="en-US"/>
        </w:rPr>
      </w:pPr>
      <w:r>
        <w:rPr>
          <w:lang w:val="es-CO" w:eastAsia="en-US"/>
        </w:rPr>
        <w:t>Se recomienda a la Entidad, hacer el análisis de cada una de las deudas que se identificaron en el diagnóstico inicial y determinar para cada una el estado actual, asimismo revisar que no existan más deudas y si es necesario depurar y hacer un inventario de estas.</w:t>
      </w:r>
    </w:p>
    <w:p w14:paraId="141C72E2" w14:textId="77777777" w:rsidR="000C6BE9" w:rsidRDefault="000C6BE9" w:rsidP="000C6BE9">
      <w:pPr>
        <w:jc w:val="both"/>
        <w:rPr>
          <w:rFonts w:cs="Arial"/>
          <w:lang w:val="es-CO" w:eastAsia="en-US"/>
        </w:rPr>
      </w:pPr>
    </w:p>
    <w:p w14:paraId="226FFD61" w14:textId="77777777" w:rsidR="000C6BE9" w:rsidRDefault="000C6BE9" w:rsidP="000C6BE9">
      <w:pPr>
        <w:pStyle w:val="Ttulo3"/>
        <w:spacing w:before="0"/>
        <w:jc w:val="both"/>
        <w:rPr>
          <w:rFonts w:eastAsiaTheme="minorHAnsi"/>
          <w:lang w:val="es-CO" w:eastAsia="en-US"/>
        </w:rPr>
      </w:pPr>
      <w:r>
        <w:rPr>
          <w:rFonts w:eastAsiaTheme="minorHAnsi"/>
          <w:b/>
          <w:lang w:val="es-CO" w:eastAsia="en-US"/>
        </w:rPr>
        <w:t>Actividad 1.5.2</w:t>
      </w:r>
      <w:r>
        <w:rPr>
          <w:rFonts w:eastAsiaTheme="minorHAnsi"/>
          <w:lang w:val="es-CO" w:eastAsia="en-US"/>
        </w:rPr>
        <w:t>. Sanear las deudas del sector. Se entiende por saneado: pago total o en acuerdo de pago.</w:t>
      </w:r>
    </w:p>
    <w:p w14:paraId="3D582B56" w14:textId="77777777" w:rsidR="000C6BE9" w:rsidRDefault="000C6BE9" w:rsidP="000C6BE9">
      <w:pPr>
        <w:jc w:val="both"/>
        <w:rPr>
          <w:rFonts w:cs="Arial"/>
          <w:lang w:val="es-CO" w:eastAsia="en-US"/>
        </w:rPr>
      </w:pPr>
    </w:p>
    <w:p w14:paraId="7A834573" w14:textId="77777777" w:rsidR="000C6BE9" w:rsidRDefault="000C6BE9" w:rsidP="000C6BE9">
      <w:pPr>
        <w:jc w:val="both"/>
        <w:rPr>
          <w:b/>
          <w:lang w:val="es-CO" w:eastAsia="en-US"/>
        </w:rPr>
      </w:pPr>
      <w:r>
        <w:rPr>
          <w:b/>
          <w:lang w:val="es-CO" w:eastAsia="en-US"/>
        </w:rPr>
        <w:t xml:space="preserve">Productos esperados: </w:t>
      </w:r>
      <w:r>
        <w:rPr>
          <w:lang w:val="es-CO" w:eastAsia="en-US"/>
        </w:rPr>
        <w:t>Informe de deudas saneadas, anexando copia de los acuerdos de pago, registros presupuestales y órdenes de pago, respectivas.</w:t>
      </w:r>
    </w:p>
    <w:p w14:paraId="190C4A5C" w14:textId="77777777" w:rsidR="000C6BE9" w:rsidRDefault="000C6BE9" w:rsidP="000C6BE9">
      <w:pPr>
        <w:jc w:val="both"/>
        <w:rPr>
          <w:lang w:val="es-CO" w:eastAsia="en-US"/>
        </w:rPr>
      </w:pPr>
    </w:p>
    <w:p w14:paraId="078D6F63" w14:textId="77777777" w:rsidR="000C6BE9" w:rsidRDefault="000C6BE9" w:rsidP="000C6BE9">
      <w:pPr>
        <w:jc w:val="both"/>
        <w:rPr>
          <w:b/>
          <w:lang w:val="es-CO" w:eastAsia="en-US"/>
        </w:rPr>
      </w:pPr>
      <w:r>
        <w:rPr>
          <w:b/>
          <w:lang w:val="es-CO" w:eastAsia="en-US"/>
        </w:rPr>
        <w:t>Evaluación</w:t>
      </w:r>
    </w:p>
    <w:p w14:paraId="57F6D2C6" w14:textId="77777777" w:rsidR="000C6BE9" w:rsidRDefault="000C6BE9" w:rsidP="000C6BE9">
      <w:pPr>
        <w:jc w:val="both"/>
        <w:rPr>
          <w:b/>
          <w:lang w:val="es-CO" w:eastAsia="en-US"/>
        </w:rPr>
      </w:pPr>
    </w:p>
    <w:p w14:paraId="3300DD68" w14:textId="77777777" w:rsidR="000C6BE9" w:rsidRDefault="000C6BE9" w:rsidP="000C6BE9">
      <w:pPr>
        <w:jc w:val="both"/>
        <w:rPr>
          <w:bCs/>
          <w:lang w:val="es-CO" w:eastAsia="en-US"/>
        </w:rPr>
      </w:pPr>
      <w:r>
        <w:rPr>
          <w:bCs/>
          <w:lang w:val="es-CO" w:eastAsia="en-US"/>
        </w:rPr>
        <w:t>Teniendo en cuenta la anterior actividad, como la Entidad no tiene claridad frente a las deudas, no ha avanzado en el saneamiento de las mismas.</w:t>
      </w:r>
    </w:p>
    <w:p w14:paraId="433AB2B3" w14:textId="77777777" w:rsidR="000C6BE9" w:rsidRDefault="000C6BE9" w:rsidP="000C6BE9">
      <w:pPr>
        <w:jc w:val="both"/>
        <w:rPr>
          <w:b/>
          <w:bCs/>
          <w:lang w:val="es-CO" w:eastAsia="en-US"/>
        </w:rPr>
      </w:pPr>
    </w:p>
    <w:p w14:paraId="3DE667A7" w14:textId="77777777" w:rsidR="000C6BE9" w:rsidRDefault="000C6BE9" w:rsidP="000C6BE9">
      <w:pPr>
        <w:jc w:val="both"/>
        <w:rPr>
          <w:b/>
          <w:lang w:val="es-CO" w:eastAsia="en-US"/>
        </w:rPr>
      </w:pPr>
      <w:r>
        <w:rPr>
          <w:b/>
          <w:lang w:val="es-CO" w:eastAsia="en-US"/>
        </w:rPr>
        <w:t>Recomendación:</w:t>
      </w:r>
    </w:p>
    <w:p w14:paraId="4B23375A" w14:textId="77777777" w:rsidR="000C6BE9" w:rsidRDefault="000C6BE9" w:rsidP="000C6BE9">
      <w:pPr>
        <w:jc w:val="both"/>
        <w:rPr>
          <w:lang w:val="es-CO" w:eastAsia="en-US"/>
        </w:rPr>
      </w:pPr>
    </w:p>
    <w:p w14:paraId="210F4EB0" w14:textId="77777777" w:rsidR="000C6BE9" w:rsidRDefault="000C6BE9" w:rsidP="000C6BE9">
      <w:pPr>
        <w:jc w:val="both"/>
        <w:rPr>
          <w:b/>
          <w:lang w:val="es-CO" w:eastAsia="en-US"/>
        </w:rPr>
      </w:pPr>
      <w:r>
        <w:rPr>
          <w:bCs/>
          <w:lang w:val="es-CO" w:eastAsia="en-US"/>
        </w:rPr>
        <w:t>Se recomienda a la Entidad</w:t>
      </w:r>
      <w:r>
        <w:rPr>
          <w:lang w:val="es-CO" w:eastAsia="en-US"/>
        </w:rPr>
        <w:t xml:space="preserve"> que, a partir del inventario de todas las deudas del sector y el estado actual de cada una, proceda con </w:t>
      </w:r>
      <w:r>
        <w:rPr>
          <w:rFonts w:eastAsiaTheme="minorHAnsi"/>
          <w:lang w:val="es-CO" w:eastAsia="en-US"/>
        </w:rPr>
        <w:t xml:space="preserve">el saneamiento de éstas, de manera que para el levantamiento de la medida preventiva de plan de desempeño se pueda dejar la Secretaría de Educación saneada o en acuerdo de pago. Posteriormente la entidad deberá remitir el </w:t>
      </w:r>
      <w:r>
        <w:rPr>
          <w:lang w:val="es-CO" w:eastAsia="en-US"/>
        </w:rPr>
        <w:t>informe de deudas saneadas, anexando copia de los acuerdos de pago, registros presupuestales y órdenes de pago, respectivas.</w:t>
      </w:r>
    </w:p>
    <w:p w14:paraId="634A8B5B" w14:textId="77777777" w:rsidR="000C6BE9" w:rsidRDefault="000C6BE9" w:rsidP="000C6BE9">
      <w:pPr>
        <w:jc w:val="both"/>
        <w:rPr>
          <w:rFonts w:eastAsiaTheme="minorHAnsi" w:cs="Arial"/>
          <w:szCs w:val="22"/>
          <w:lang w:val="es-CO" w:eastAsia="en-US"/>
        </w:rPr>
      </w:pPr>
    </w:p>
    <w:p w14:paraId="3DD0FE98" w14:textId="77777777" w:rsidR="000C6BE9" w:rsidRDefault="000C6BE9" w:rsidP="000C6BE9">
      <w:pPr>
        <w:pStyle w:val="Ttulo2"/>
        <w:spacing w:before="0"/>
        <w:jc w:val="both"/>
        <w:rPr>
          <w:rFonts w:cs="Arial"/>
          <w:b/>
          <w:bCs/>
          <w:lang w:val="es-CO"/>
        </w:rPr>
      </w:pPr>
      <w:r>
        <w:rPr>
          <w:rFonts w:cs="Arial"/>
          <w:b/>
          <w:bCs/>
          <w:lang w:val="es-CO"/>
        </w:rPr>
        <w:t>CATEGORÍA 2: JURÍDICO - CONTRACTUAL</w:t>
      </w:r>
    </w:p>
    <w:p w14:paraId="15C3F393" w14:textId="77777777" w:rsidR="000C6BE9" w:rsidRDefault="000C6BE9" w:rsidP="000C6BE9">
      <w:pPr>
        <w:jc w:val="both"/>
        <w:rPr>
          <w:rFonts w:cs="Arial"/>
          <w:szCs w:val="22"/>
          <w:lang w:val="es-CO"/>
        </w:rPr>
      </w:pPr>
    </w:p>
    <w:p w14:paraId="19640687" w14:textId="77777777" w:rsidR="000C6BE9" w:rsidRDefault="000C6BE9" w:rsidP="000C6BE9">
      <w:pPr>
        <w:pStyle w:val="Ttulo2"/>
        <w:spacing w:before="0"/>
        <w:jc w:val="both"/>
        <w:rPr>
          <w:rFonts w:cs="Arial"/>
          <w:b/>
          <w:bCs/>
          <w:lang w:val="es-CO"/>
        </w:rPr>
      </w:pPr>
      <w:r>
        <w:rPr>
          <w:rFonts w:cs="Arial"/>
          <w:b/>
          <w:bCs/>
          <w:lang w:val="es-CO"/>
        </w:rPr>
        <w:t>Objetivo 2.1. Realizar una adecuada, oportuna y eficiente gestión contractual en todas sus etapas (Planeación, Precontractual, Contractual y Post Contractual)</w:t>
      </w:r>
    </w:p>
    <w:p w14:paraId="2D5B1E65" w14:textId="77777777" w:rsidR="000C6BE9" w:rsidRDefault="000C6BE9" w:rsidP="000C6BE9">
      <w:pPr>
        <w:jc w:val="both"/>
        <w:rPr>
          <w:rFonts w:cs="Arial"/>
          <w:lang w:val="es-CO"/>
        </w:rPr>
      </w:pPr>
    </w:p>
    <w:p w14:paraId="1BA9C8C2" w14:textId="77777777" w:rsidR="000C6BE9" w:rsidRDefault="000C6BE9" w:rsidP="000C6BE9">
      <w:pPr>
        <w:pStyle w:val="Ttulo3"/>
        <w:spacing w:before="0"/>
        <w:jc w:val="both"/>
        <w:rPr>
          <w:rFonts w:eastAsiaTheme="minorHAnsi" w:cs="Arial"/>
          <w:lang w:val="es-CO" w:eastAsia="en-US"/>
        </w:rPr>
      </w:pPr>
      <w:r>
        <w:rPr>
          <w:rFonts w:eastAsiaTheme="minorHAnsi" w:cs="Arial"/>
          <w:b/>
          <w:lang w:val="es-CO" w:eastAsia="en-US"/>
        </w:rPr>
        <w:t>Actividad 2.1.1.</w:t>
      </w:r>
      <w:r>
        <w:rPr>
          <w:rFonts w:eastAsiaTheme="minorHAnsi" w:cs="Arial"/>
          <w:lang w:val="es-CO" w:eastAsia="en-US"/>
        </w:rPr>
        <w:t xml:space="preserve"> Planear, apropiar, comprometer y pagar las obligaciones, por concepto de dotaciones de personal, en las fechas estipuladas en la normatividad vigente y durante la vigencia que se cause. </w:t>
      </w:r>
    </w:p>
    <w:p w14:paraId="5B877991" w14:textId="77777777" w:rsidR="000C6BE9" w:rsidRDefault="000C6BE9" w:rsidP="000C6BE9">
      <w:pPr>
        <w:jc w:val="both"/>
        <w:rPr>
          <w:rFonts w:cs="Arial"/>
          <w:lang w:val="es-CO" w:eastAsia="en-US"/>
        </w:rPr>
      </w:pPr>
    </w:p>
    <w:p w14:paraId="774F8744" w14:textId="77777777" w:rsidR="000C6BE9" w:rsidRDefault="000C6BE9" w:rsidP="000C6BE9">
      <w:pPr>
        <w:jc w:val="both"/>
        <w:rPr>
          <w:b/>
          <w:lang w:val="es-CO" w:eastAsia="en-US"/>
        </w:rPr>
      </w:pPr>
      <w:r>
        <w:rPr>
          <w:b/>
          <w:lang w:val="es-CO" w:eastAsia="en-US"/>
        </w:rPr>
        <w:t xml:space="preserve">Productos esperados: </w:t>
      </w:r>
      <w:r>
        <w:rPr>
          <w:lang w:val="es-CO" w:eastAsia="en-US"/>
        </w:rPr>
        <w:t xml:space="preserve">Evidencias verificables en SECOP de los procesos adelantados para el suministro de la dotación de vestuario y calzado al personal del sector educativo del Municipio, informes de supervisión que reporten la entrega de la dotación al personal del sector educativo en los plazos definidos en la Ley (primera dotación 30 de abril, segunda dotación 31 de agosto y tercera dotación 31 de diciembre), actas de entrega de dotación, elaborar un cronograma de actividades y plazos para adelantar el proceso de contratación </w:t>
      </w:r>
      <w:r>
        <w:rPr>
          <w:lang w:val="es-CO" w:eastAsia="en-US"/>
        </w:rPr>
        <w:lastRenderedPageBreak/>
        <w:t>de la dotación del personal e informe de la oficina de control interno que dé cuenta del cumplimiento de este cronograma.</w:t>
      </w:r>
    </w:p>
    <w:p w14:paraId="41052281" w14:textId="77777777" w:rsidR="000C6BE9" w:rsidRDefault="000C6BE9" w:rsidP="000C6BE9">
      <w:pPr>
        <w:jc w:val="both"/>
        <w:rPr>
          <w:lang w:val="es-CO" w:eastAsia="en-US"/>
        </w:rPr>
      </w:pPr>
    </w:p>
    <w:p w14:paraId="7D0990CB" w14:textId="77777777" w:rsidR="000C6BE9" w:rsidRDefault="000C6BE9" w:rsidP="000C6BE9">
      <w:pPr>
        <w:jc w:val="both"/>
        <w:rPr>
          <w:b/>
          <w:lang w:val="es-CO" w:eastAsia="en-US"/>
        </w:rPr>
      </w:pPr>
      <w:r>
        <w:rPr>
          <w:b/>
          <w:lang w:val="es-CO" w:eastAsia="en-US"/>
        </w:rPr>
        <w:t>Evaluación:</w:t>
      </w:r>
    </w:p>
    <w:p w14:paraId="7304A518" w14:textId="77777777" w:rsidR="000C6BE9" w:rsidRDefault="000C6BE9" w:rsidP="000C6BE9">
      <w:pPr>
        <w:jc w:val="both"/>
        <w:rPr>
          <w:lang w:val="es-CO" w:eastAsia="en-US"/>
        </w:rPr>
      </w:pPr>
    </w:p>
    <w:p w14:paraId="143E728C" w14:textId="77777777" w:rsidR="000C6BE9" w:rsidRDefault="000C6BE9" w:rsidP="000C6BE9">
      <w:pPr>
        <w:pStyle w:val="Textoindependiente"/>
        <w:spacing w:after="0"/>
        <w:ind w:right="194"/>
        <w:jc w:val="both"/>
        <w:rPr>
          <w:rFonts w:cs="Arial"/>
          <w:szCs w:val="22"/>
        </w:rPr>
      </w:pPr>
      <w:r>
        <w:rPr>
          <w:rFonts w:cs="Arial"/>
          <w:szCs w:val="22"/>
        </w:rPr>
        <w:t>La Entidad Territorial remitió, mediante radicado 1-2022-061607 del 1 de agosto de 2022, los enlaces en SECOP de los contratos suscritos para la dotación de las vigencias 2020 y 2021:</w:t>
      </w:r>
    </w:p>
    <w:p w14:paraId="3ABD1CD5" w14:textId="77777777" w:rsidR="000C6BE9" w:rsidRDefault="000C6BE9" w:rsidP="000C6BE9">
      <w:pPr>
        <w:pStyle w:val="Textoindependiente"/>
        <w:spacing w:after="0"/>
        <w:ind w:right="194"/>
        <w:jc w:val="both"/>
        <w:rPr>
          <w:rFonts w:cs="Arial"/>
          <w:szCs w:val="22"/>
        </w:rPr>
      </w:pPr>
    </w:p>
    <w:p w14:paraId="0407E529" w14:textId="77777777" w:rsidR="000C6BE9" w:rsidRDefault="000C6BE9" w:rsidP="000C6BE9">
      <w:pPr>
        <w:pStyle w:val="Textoindependiente"/>
        <w:spacing w:after="0"/>
        <w:ind w:right="194"/>
        <w:jc w:val="both"/>
        <w:rPr>
          <w:rFonts w:cs="Arial"/>
          <w:szCs w:val="22"/>
        </w:rPr>
      </w:pPr>
      <w:r>
        <w:rPr>
          <w:rFonts w:cs="Arial"/>
          <w:szCs w:val="22"/>
        </w:rPr>
        <w:t xml:space="preserve">Vigencia 2020: </w:t>
      </w:r>
    </w:p>
    <w:p w14:paraId="3DEEF7D6" w14:textId="77777777" w:rsidR="000C6BE9" w:rsidRDefault="000C6BE9" w:rsidP="000C6BE9">
      <w:pPr>
        <w:pStyle w:val="Textoindependiente"/>
        <w:spacing w:after="0"/>
        <w:ind w:right="194"/>
        <w:jc w:val="both"/>
        <w:rPr>
          <w:rFonts w:cs="Arial"/>
          <w:szCs w:val="22"/>
        </w:rPr>
      </w:pPr>
    </w:p>
    <w:p w14:paraId="13A6B173" w14:textId="77777777" w:rsidR="000C6BE9" w:rsidRDefault="000C6BE9" w:rsidP="000C6BE9">
      <w:pPr>
        <w:pStyle w:val="Textoindependiente"/>
        <w:spacing w:after="0"/>
        <w:ind w:right="194"/>
        <w:jc w:val="both"/>
        <w:rPr>
          <w:rFonts w:cs="Arial"/>
          <w:szCs w:val="22"/>
        </w:rPr>
      </w:pPr>
      <w:r>
        <w:rPr>
          <w:rFonts w:cs="Arial"/>
          <w:szCs w:val="22"/>
        </w:rPr>
        <w:t xml:space="preserve">El Municipio suscribió el contrato No. 187 del 21 de diciembre de 2020, por valor de $156 millones, por concepto de </w:t>
      </w:r>
      <w:r>
        <w:rPr>
          <w:rFonts w:cs="Arial"/>
          <w:i/>
          <w:szCs w:val="22"/>
        </w:rPr>
        <w:t xml:space="preserve">“suministro de calzado y vestido de labor para atender las dotaciones correspondientes a los tres cuatrimestres del año 2020 del personal administrativo y docente femenino y masculino que presta sus servicios en las instituciones educativas oficiales del municipio de Santa Cruz De Lorica y el personal administrativo de la planta central del municipio”, </w:t>
      </w:r>
      <w:r>
        <w:rPr>
          <w:rFonts w:cs="Arial"/>
          <w:szCs w:val="22"/>
        </w:rPr>
        <w:t xml:space="preserve">con un plazo de ejecución de 10 días calendario. </w:t>
      </w:r>
    </w:p>
    <w:p w14:paraId="7CF2410C" w14:textId="77777777" w:rsidR="000C6BE9" w:rsidRDefault="000C6BE9" w:rsidP="000C6BE9">
      <w:pPr>
        <w:pStyle w:val="Textoindependiente"/>
        <w:spacing w:after="0"/>
        <w:ind w:right="194"/>
        <w:jc w:val="both"/>
        <w:rPr>
          <w:rFonts w:cs="Arial"/>
          <w:szCs w:val="22"/>
        </w:rPr>
      </w:pPr>
    </w:p>
    <w:p w14:paraId="74B65301" w14:textId="77777777" w:rsidR="000C6BE9" w:rsidRDefault="000C6BE9" w:rsidP="000C6BE9">
      <w:pPr>
        <w:pStyle w:val="Textoindependiente"/>
        <w:spacing w:after="0"/>
        <w:ind w:right="194"/>
        <w:jc w:val="both"/>
        <w:rPr>
          <w:rFonts w:cs="Arial"/>
          <w:szCs w:val="22"/>
        </w:rPr>
      </w:pPr>
      <w:r>
        <w:rPr>
          <w:rFonts w:cs="Arial"/>
          <w:szCs w:val="22"/>
        </w:rPr>
        <w:t>Teniendo en cuenta que el contrato en mención establece la entrega de dotación de los tres cuatrimestres del año en diciembre para la vigencia 2020, la entidad territorial incumple con la entrega de la dotación al personal del sector educativo en los plazos definidos por la Ley.</w:t>
      </w:r>
    </w:p>
    <w:p w14:paraId="119B5210" w14:textId="77777777" w:rsidR="000C6BE9" w:rsidRDefault="000C6BE9" w:rsidP="000C6BE9">
      <w:pPr>
        <w:pStyle w:val="Textoindependiente"/>
        <w:spacing w:after="0"/>
        <w:ind w:right="194"/>
        <w:jc w:val="both"/>
        <w:rPr>
          <w:rFonts w:cs="Arial"/>
          <w:szCs w:val="22"/>
        </w:rPr>
      </w:pPr>
    </w:p>
    <w:p w14:paraId="0EA7FDAB" w14:textId="77777777" w:rsidR="000C6BE9" w:rsidRDefault="000C6BE9" w:rsidP="000C6BE9">
      <w:pPr>
        <w:pStyle w:val="Textoindependiente"/>
        <w:spacing w:after="0"/>
        <w:ind w:right="194"/>
        <w:jc w:val="both"/>
        <w:rPr>
          <w:rFonts w:cs="Arial"/>
          <w:szCs w:val="22"/>
        </w:rPr>
      </w:pPr>
      <w:r>
        <w:rPr>
          <w:rFonts w:cs="Arial"/>
          <w:szCs w:val="22"/>
        </w:rPr>
        <w:t xml:space="preserve">Adicionalmente, una vez revisado el expediente contractual, se evidencia que el Municipio no publicó en SECOP las actas de supervisión del contrato, así como el acta de liquidación de este. </w:t>
      </w:r>
    </w:p>
    <w:p w14:paraId="5DBB3208" w14:textId="77777777" w:rsidR="000C6BE9" w:rsidRDefault="000C6BE9" w:rsidP="000C6BE9">
      <w:pPr>
        <w:pStyle w:val="Textoindependiente"/>
        <w:spacing w:after="0"/>
        <w:ind w:right="194"/>
        <w:jc w:val="both"/>
        <w:rPr>
          <w:rFonts w:cs="Arial"/>
          <w:szCs w:val="22"/>
        </w:rPr>
      </w:pPr>
    </w:p>
    <w:p w14:paraId="717B3D7C" w14:textId="77777777" w:rsidR="000C6BE9" w:rsidRDefault="000C6BE9" w:rsidP="000C6BE9">
      <w:pPr>
        <w:pStyle w:val="Textoindependiente"/>
        <w:spacing w:after="0"/>
        <w:ind w:right="194"/>
        <w:jc w:val="both"/>
        <w:rPr>
          <w:rFonts w:cs="Arial"/>
          <w:szCs w:val="22"/>
        </w:rPr>
      </w:pPr>
      <w:r>
        <w:rPr>
          <w:rFonts w:cs="Arial"/>
          <w:szCs w:val="22"/>
        </w:rPr>
        <w:t xml:space="preserve">Vigencia 2021: </w:t>
      </w:r>
    </w:p>
    <w:p w14:paraId="1FF2C36C" w14:textId="77777777" w:rsidR="000C6BE9" w:rsidRDefault="000C6BE9" w:rsidP="000C6BE9">
      <w:pPr>
        <w:pStyle w:val="Textoindependiente"/>
        <w:spacing w:after="0"/>
        <w:ind w:right="194"/>
        <w:jc w:val="both"/>
        <w:rPr>
          <w:rFonts w:cs="Arial"/>
          <w:szCs w:val="22"/>
        </w:rPr>
      </w:pPr>
    </w:p>
    <w:p w14:paraId="3F3FC600" w14:textId="77777777" w:rsidR="000C6BE9" w:rsidRDefault="000C6BE9" w:rsidP="000C6BE9">
      <w:pPr>
        <w:pStyle w:val="Textoindependiente"/>
        <w:spacing w:after="0"/>
        <w:ind w:right="194"/>
        <w:jc w:val="both"/>
        <w:rPr>
          <w:rFonts w:cs="Arial"/>
          <w:szCs w:val="22"/>
        </w:rPr>
      </w:pPr>
      <w:r>
        <w:rPr>
          <w:rFonts w:cs="Arial"/>
          <w:szCs w:val="22"/>
        </w:rPr>
        <w:t>El Municipio suscribió el contrato de No.150 del 2 de junio de 2021, por valor de $175 millones, por concepto de “</w:t>
      </w:r>
      <w:r>
        <w:rPr>
          <w:rFonts w:cs="Arial"/>
          <w:i/>
          <w:szCs w:val="22"/>
        </w:rPr>
        <w:t xml:space="preserve">suministro de calzado y vestido de labor para atender las dotaciones correspondientes a los tres cuatrimestres del año 2021 del personal administrativo y docente femenino y masculino que presta sus servicios en las instituciones educativas oficiales del municipio de Santa Cruz De Lorica y el personal administrativo de la planta central del municipio”, </w:t>
      </w:r>
      <w:r>
        <w:rPr>
          <w:rFonts w:cs="Arial"/>
          <w:szCs w:val="22"/>
        </w:rPr>
        <w:t>con una duración de 7 meses.</w:t>
      </w:r>
    </w:p>
    <w:p w14:paraId="0C9BB795" w14:textId="77777777" w:rsidR="000C6BE9" w:rsidRDefault="000C6BE9" w:rsidP="000C6BE9">
      <w:pPr>
        <w:pStyle w:val="Textoindependiente"/>
        <w:spacing w:after="0"/>
        <w:ind w:right="194"/>
        <w:jc w:val="both"/>
        <w:rPr>
          <w:rFonts w:cs="Arial"/>
          <w:szCs w:val="22"/>
        </w:rPr>
      </w:pPr>
    </w:p>
    <w:p w14:paraId="4CDE90D7" w14:textId="77777777" w:rsidR="000C6BE9" w:rsidRDefault="000C6BE9" w:rsidP="000C6BE9">
      <w:pPr>
        <w:pStyle w:val="Textoindependiente"/>
        <w:spacing w:after="0"/>
        <w:ind w:right="194"/>
        <w:jc w:val="both"/>
        <w:rPr>
          <w:rFonts w:cs="Arial"/>
          <w:szCs w:val="22"/>
        </w:rPr>
      </w:pPr>
      <w:r>
        <w:rPr>
          <w:rFonts w:cs="Arial"/>
          <w:szCs w:val="22"/>
        </w:rPr>
        <w:t>En el informe de entrega del 14 de diciembre de 2021 se encuentran las planillas con las firmas del personal que recibió la dotación del primer, segundo y tercer cuatrimestre del año. Igualmente, en dicho informe se evidencia el acta de entrega firmada por el Secretario de Educación municipal, en la cual consta que el pago final por el contrato No. 150 ascendió a $113 millones, debido a ajustes en el número de docentes a quienes se debía entregar la dotación.</w:t>
      </w:r>
    </w:p>
    <w:p w14:paraId="11676D69" w14:textId="77777777" w:rsidR="000C6BE9" w:rsidRDefault="000C6BE9" w:rsidP="000C6BE9">
      <w:pPr>
        <w:jc w:val="both"/>
        <w:rPr>
          <w:rFonts w:cs="Arial"/>
          <w:szCs w:val="22"/>
        </w:rPr>
      </w:pPr>
    </w:p>
    <w:p w14:paraId="47DD1ECD" w14:textId="77777777" w:rsidR="000C6BE9" w:rsidRDefault="000C6BE9" w:rsidP="000C6BE9">
      <w:pPr>
        <w:pStyle w:val="Textocomentario"/>
        <w:jc w:val="both"/>
        <w:rPr>
          <w:rFonts w:cs="Arial"/>
          <w:sz w:val="22"/>
          <w:szCs w:val="22"/>
        </w:rPr>
      </w:pPr>
      <w:r>
        <w:rPr>
          <w:rFonts w:cs="Arial"/>
          <w:sz w:val="22"/>
          <w:szCs w:val="22"/>
        </w:rPr>
        <w:t xml:space="preserve">En ese sentido, ambos procesos para el suministro de la dotación fueron suscritos con posterioridad a la fecha de la primera entrega de dotación (30 de abril), por lo cual la dotación fue suministrada extemporáneamente. Así mismo, una vez hecha la consulta en </w:t>
      </w:r>
      <w:r>
        <w:rPr>
          <w:rFonts w:cs="Arial"/>
          <w:sz w:val="22"/>
          <w:szCs w:val="22"/>
        </w:rPr>
        <w:lastRenderedPageBreak/>
        <w:t>SECOP y Colombia Compra Eficiente, no se encontró proceso contractual para la vigencia 2022. Tampoco fue remitida información al respecto por parte de la Entidad Territorial.</w:t>
      </w:r>
    </w:p>
    <w:p w14:paraId="08F36728" w14:textId="77777777" w:rsidR="000C6BE9" w:rsidRDefault="000C6BE9" w:rsidP="000C6BE9">
      <w:pPr>
        <w:jc w:val="both"/>
        <w:rPr>
          <w:rFonts w:cs="Arial"/>
          <w:szCs w:val="22"/>
        </w:rPr>
      </w:pPr>
    </w:p>
    <w:p w14:paraId="7CC92459" w14:textId="77777777" w:rsidR="000C6BE9" w:rsidRDefault="000C6BE9" w:rsidP="000C6BE9">
      <w:pPr>
        <w:jc w:val="both"/>
        <w:rPr>
          <w:rFonts w:cs="Arial"/>
          <w:szCs w:val="22"/>
        </w:rPr>
      </w:pPr>
      <w:r>
        <w:rPr>
          <w:rFonts w:cs="Arial"/>
          <w:szCs w:val="22"/>
        </w:rPr>
        <w:t>Por otra parte, uno de los documentos solicitados por parte de esta Dirección al Municipio de Santa Cruz de Lorica en el marco del seguimiento al Plan de Desempeño, fue un cronograma de actividades y plazos para adelantar el proceso de contratación de la dotación del personal. Al respecto, la Entidad no remitió el cronograma de planeación y en su lugar envió una carpeta con archivos en Excel en los cuales se reporta la información de los procesos de contratación mencionados anteriormente y los actos administrativos que aprueban el Plan Anual de adquisiciones de las vigencias 2020, 2021 y 2022. En relación con el Plan Anual de adquisiciones de la vigencia 2020, el documento presentado es una actualización expedida en diciembre del mismo año.</w:t>
      </w:r>
    </w:p>
    <w:p w14:paraId="4B845AB9" w14:textId="77777777" w:rsidR="000C6BE9" w:rsidRDefault="000C6BE9" w:rsidP="000C6BE9">
      <w:pPr>
        <w:jc w:val="both"/>
        <w:rPr>
          <w:rFonts w:cs="Arial"/>
          <w:szCs w:val="22"/>
        </w:rPr>
      </w:pPr>
    </w:p>
    <w:p w14:paraId="2F9956BB" w14:textId="77777777" w:rsidR="000C6BE9" w:rsidRDefault="000C6BE9" w:rsidP="000C6BE9">
      <w:pPr>
        <w:jc w:val="both"/>
        <w:rPr>
          <w:rFonts w:cs="Arial"/>
          <w:szCs w:val="22"/>
        </w:rPr>
      </w:pPr>
      <w:r>
        <w:rPr>
          <w:rFonts w:cs="Arial"/>
          <w:szCs w:val="22"/>
        </w:rPr>
        <w:t>Evaluación de la Actividad: No cumple</w:t>
      </w:r>
    </w:p>
    <w:p w14:paraId="28A11083" w14:textId="77777777" w:rsidR="000C6BE9" w:rsidRDefault="000C6BE9" w:rsidP="000C6BE9">
      <w:pPr>
        <w:jc w:val="both"/>
        <w:rPr>
          <w:b/>
          <w:bCs/>
          <w:lang w:val="es-CO" w:eastAsia="en-US"/>
        </w:rPr>
      </w:pPr>
    </w:p>
    <w:p w14:paraId="46033D7E" w14:textId="77777777" w:rsidR="000C6BE9" w:rsidRDefault="000C6BE9" w:rsidP="000C6BE9">
      <w:pPr>
        <w:jc w:val="both"/>
        <w:rPr>
          <w:b/>
          <w:lang w:val="es-CO" w:eastAsia="en-US"/>
        </w:rPr>
      </w:pPr>
      <w:r>
        <w:rPr>
          <w:b/>
          <w:lang w:val="es-CO" w:eastAsia="en-US"/>
        </w:rPr>
        <w:t>Recomendación:</w:t>
      </w:r>
    </w:p>
    <w:p w14:paraId="055AE4B1" w14:textId="77777777" w:rsidR="000C6BE9" w:rsidRDefault="000C6BE9" w:rsidP="000C6BE9">
      <w:pPr>
        <w:jc w:val="both"/>
        <w:rPr>
          <w:lang w:val="es-CO" w:eastAsia="en-US"/>
        </w:rPr>
      </w:pPr>
    </w:p>
    <w:p w14:paraId="0B040C95" w14:textId="77777777" w:rsidR="000C6BE9" w:rsidRDefault="000C6BE9" w:rsidP="000C6BE9">
      <w:pPr>
        <w:jc w:val="both"/>
        <w:rPr>
          <w:rFonts w:cs="Arial"/>
          <w:szCs w:val="22"/>
        </w:rPr>
      </w:pPr>
      <w:r>
        <w:rPr>
          <w:rFonts w:cs="Arial"/>
          <w:szCs w:val="22"/>
        </w:rPr>
        <w:t>La Entidad Territorial deberá adelantar el proceso precontractual de forma anticipada de manera que los contratos se suscriban antes del 30 de abril de cada vigencia y se pueda entregar la dotación en los tiempos establecidos en la normatividad vigente, por lo que se recomienda que para las siguientes vigencias evidencie la entrega de la dotación de manera oportuna, asimismo remitir a esta Dirección la información relacionada con la planeación de la contratación de la dotación de personal.</w:t>
      </w:r>
    </w:p>
    <w:p w14:paraId="35635F09" w14:textId="77777777" w:rsidR="000C6BE9" w:rsidRDefault="000C6BE9" w:rsidP="000C6BE9">
      <w:pPr>
        <w:jc w:val="both"/>
        <w:rPr>
          <w:rFonts w:cs="Arial"/>
          <w:lang w:val="es-CO" w:eastAsia="en-US"/>
        </w:rPr>
      </w:pPr>
    </w:p>
    <w:p w14:paraId="4041AADF" w14:textId="77777777" w:rsidR="000C6BE9" w:rsidRDefault="000C6BE9" w:rsidP="000C6BE9">
      <w:pPr>
        <w:pStyle w:val="Ttulo3"/>
        <w:spacing w:before="0"/>
        <w:jc w:val="both"/>
        <w:rPr>
          <w:rFonts w:eastAsiaTheme="minorHAnsi" w:cs="Arial"/>
          <w:lang w:val="es-CO" w:eastAsia="en-US"/>
        </w:rPr>
      </w:pPr>
      <w:r>
        <w:rPr>
          <w:rFonts w:eastAsiaTheme="minorHAnsi" w:cs="Arial"/>
          <w:b/>
          <w:lang w:val="es-CO" w:eastAsia="en-US"/>
        </w:rPr>
        <w:t>Actividad 2.1.2.</w:t>
      </w:r>
      <w:r>
        <w:rPr>
          <w:rFonts w:eastAsiaTheme="minorHAnsi" w:cs="Arial"/>
          <w:lang w:val="es-CO" w:eastAsia="en-US"/>
        </w:rPr>
        <w:t xml:space="preserve"> Formalizar la designación del cargo de planta responsable del reporte al SECOP en la Entidad Territorial.</w:t>
      </w:r>
    </w:p>
    <w:p w14:paraId="3244F53E" w14:textId="77777777" w:rsidR="000C6BE9" w:rsidRDefault="000C6BE9" w:rsidP="000C6BE9">
      <w:pPr>
        <w:jc w:val="both"/>
        <w:rPr>
          <w:rFonts w:cs="Arial"/>
          <w:lang w:val="es-CO" w:eastAsia="en-US"/>
        </w:rPr>
      </w:pPr>
    </w:p>
    <w:p w14:paraId="1A812943" w14:textId="77777777" w:rsidR="000C6BE9" w:rsidRDefault="000C6BE9" w:rsidP="000C6BE9">
      <w:pPr>
        <w:jc w:val="both"/>
        <w:rPr>
          <w:b/>
          <w:lang w:val="es-CO" w:eastAsia="en-US"/>
        </w:rPr>
      </w:pPr>
      <w:r>
        <w:rPr>
          <w:b/>
          <w:lang w:val="es-CO" w:eastAsia="en-US"/>
        </w:rPr>
        <w:t xml:space="preserve">Productos esperados: </w:t>
      </w:r>
      <w:r>
        <w:rPr>
          <w:lang w:val="es-CO" w:eastAsia="en-US"/>
        </w:rPr>
        <w:t>Acto administrativo que formaliza el cargo responsable del reporte al SECOP en la Entidad Territorial.</w:t>
      </w:r>
    </w:p>
    <w:p w14:paraId="6818ABBB" w14:textId="77777777" w:rsidR="000C6BE9" w:rsidRDefault="000C6BE9" w:rsidP="000C6BE9">
      <w:pPr>
        <w:rPr>
          <w:lang w:val="es-CO" w:eastAsia="en-US"/>
        </w:rPr>
      </w:pPr>
    </w:p>
    <w:p w14:paraId="15810E36" w14:textId="77777777" w:rsidR="000C6BE9" w:rsidRDefault="000C6BE9" w:rsidP="000C6BE9">
      <w:pPr>
        <w:rPr>
          <w:b/>
          <w:lang w:val="es-CO" w:eastAsia="en-US"/>
        </w:rPr>
      </w:pPr>
      <w:r>
        <w:rPr>
          <w:b/>
          <w:lang w:val="es-CO" w:eastAsia="en-US"/>
        </w:rPr>
        <w:t>Evaluación:</w:t>
      </w:r>
    </w:p>
    <w:p w14:paraId="130AE8F7" w14:textId="77777777" w:rsidR="000C6BE9" w:rsidRDefault="000C6BE9" w:rsidP="000C6BE9">
      <w:pPr>
        <w:rPr>
          <w:b/>
          <w:lang w:val="es-CO" w:eastAsia="en-US"/>
        </w:rPr>
      </w:pPr>
    </w:p>
    <w:p w14:paraId="2497F9D0" w14:textId="77777777" w:rsidR="000C6BE9" w:rsidRDefault="000C6BE9" w:rsidP="000C6BE9">
      <w:pPr>
        <w:jc w:val="both"/>
        <w:rPr>
          <w:bCs/>
          <w:lang w:val="es-CO" w:eastAsia="en-US"/>
        </w:rPr>
      </w:pPr>
      <w:r>
        <w:rPr>
          <w:bCs/>
          <w:lang w:val="es-CO" w:eastAsia="en-US"/>
        </w:rPr>
        <w:t>El alcalde del municipio de Santa Cruz de Lorica expidió la Resolución 2016 del 26 de julio de 2022, por medio de la cual se asignan las funciones de administrar la plataforma SECOP a un cargo profesional de planta adscrito a la Secretaría Administrativa del municipio, unidad encargada de los procesos de contratación.</w:t>
      </w:r>
    </w:p>
    <w:p w14:paraId="75576F3C" w14:textId="77777777" w:rsidR="000C6BE9" w:rsidRDefault="000C6BE9" w:rsidP="000C6BE9">
      <w:pPr>
        <w:jc w:val="both"/>
        <w:rPr>
          <w:bCs/>
          <w:lang w:val="es-CO" w:eastAsia="en-US"/>
        </w:rPr>
      </w:pPr>
    </w:p>
    <w:p w14:paraId="3653465C" w14:textId="77777777" w:rsidR="000C6BE9" w:rsidRDefault="000C6BE9" w:rsidP="000C6BE9">
      <w:pPr>
        <w:jc w:val="both"/>
        <w:rPr>
          <w:bCs/>
          <w:lang w:val="es-CO" w:eastAsia="en-US"/>
        </w:rPr>
      </w:pPr>
      <w:r>
        <w:rPr>
          <w:bCs/>
          <w:lang w:val="es-CO" w:eastAsia="en-US"/>
        </w:rPr>
        <w:t>Con lo anterior, la Entidad Territorial cumple con la inclusión de las actividades que se están adelantando en el marco del Plan de Desempeño en perfiles de personal de planta. De esta manera, se garantiza que los procesos y buenas prácticas fortalecidas se mantengan en el tiempo aún después de levantada la medida.</w:t>
      </w:r>
    </w:p>
    <w:p w14:paraId="33BF111D" w14:textId="77777777" w:rsidR="000C6BE9" w:rsidRDefault="000C6BE9" w:rsidP="000C6BE9">
      <w:pPr>
        <w:jc w:val="both"/>
        <w:rPr>
          <w:bCs/>
          <w:lang w:val="es-CO" w:eastAsia="en-US"/>
        </w:rPr>
      </w:pPr>
    </w:p>
    <w:p w14:paraId="44004945" w14:textId="77777777" w:rsidR="000C6BE9" w:rsidRDefault="000C6BE9" w:rsidP="000C6BE9">
      <w:pPr>
        <w:jc w:val="both"/>
        <w:rPr>
          <w:bCs/>
          <w:lang w:val="es-CO" w:eastAsia="en-US"/>
        </w:rPr>
      </w:pPr>
      <w:r>
        <w:rPr>
          <w:bCs/>
          <w:lang w:val="es-CO" w:eastAsia="en-US"/>
        </w:rPr>
        <w:t>Evaluación de la actividad: Cumple.</w:t>
      </w:r>
    </w:p>
    <w:p w14:paraId="5A07BDB2" w14:textId="77777777" w:rsidR="000C6BE9" w:rsidRDefault="000C6BE9" w:rsidP="000C6BE9">
      <w:pPr>
        <w:rPr>
          <w:b/>
          <w:lang w:val="es-CO" w:eastAsia="en-US"/>
        </w:rPr>
      </w:pPr>
    </w:p>
    <w:p w14:paraId="76054980" w14:textId="77777777" w:rsidR="000C6BE9" w:rsidRDefault="000C6BE9" w:rsidP="000C6BE9">
      <w:pPr>
        <w:rPr>
          <w:b/>
          <w:lang w:val="es-CO" w:eastAsia="en-US"/>
        </w:rPr>
      </w:pPr>
      <w:r>
        <w:rPr>
          <w:b/>
          <w:lang w:val="es-CO" w:eastAsia="en-US"/>
        </w:rPr>
        <w:t>Recomendación:</w:t>
      </w:r>
    </w:p>
    <w:p w14:paraId="43E1ACA9" w14:textId="77777777" w:rsidR="000C6BE9" w:rsidRDefault="000C6BE9" w:rsidP="000C6BE9">
      <w:pPr>
        <w:rPr>
          <w:lang w:val="es-CO" w:eastAsia="en-US"/>
        </w:rPr>
      </w:pPr>
    </w:p>
    <w:p w14:paraId="43A99E4B" w14:textId="77777777" w:rsidR="000C6BE9" w:rsidRDefault="000C6BE9" w:rsidP="000C6BE9">
      <w:pPr>
        <w:jc w:val="both"/>
        <w:rPr>
          <w:bCs/>
          <w:lang w:val="es-CO" w:eastAsia="en-US"/>
        </w:rPr>
      </w:pPr>
      <w:r>
        <w:rPr>
          <w:bCs/>
          <w:lang w:val="es-CO" w:eastAsia="en-US"/>
        </w:rPr>
        <w:t xml:space="preserve">Es importante que la persona de planta designada para reportar en el SECOP se capacite continuamente en la actualización de la plataforma y haga las gestiones necesarias para </w:t>
      </w:r>
      <w:r>
        <w:rPr>
          <w:bCs/>
          <w:lang w:val="es-CO" w:eastAsia="en-US"/>
        </w:rPr>
        <w:lastRenderedPageBreak/>
        <w:t>que todos los expedientes contractuales se encuentren publicados con la totalidad de sus documentos, de manera oportuna.</w:t>
      </w:r>
    </w:p>
    <w:p w14:paraId="5D2A8759" w14:textId="77777777" w:rsidR="000C6BE9" w:rsidRDefault="000C6BE9" w:rsidP="000C6BE9">
      <w:pPr>
        <w:jc w:val="both"/>
        <w:rPr>
          <w:rFonts w:cs="Arial"/>
          <w:lang w:val="es-CO" w:eastAsia="en-US"/>
        </w:rPr>
      </w:pPr>
    </w:p>
    <w:p w14:paraId="439754F2" w14:textId="77777777" w:rsidR="000C6BE9" w:rsidRDefault="000C6BE9" w:rsidP="000C6BE9">
      <w:pPr>
        <w:pStyle w:val="Ttulo3"/>
        <w:spacing w:before="0"/>
        <w:jc w:val="both"/>
        <w:rPr>
          <w:rFonts w:eastAsiaTheme="minorHAnsi" w:cs="Arial"/>
          <w:lang w:val="es-CO" w:eastAsia="en-US"/>
        </w:rPr>
      </w:pPr>
      <w:r>
        <w:rPr>
          <w:rFonts w:eastAsiaTheme="minorHAnsi" w:cs="Arial"/>
          <w:b/>
          <w:lang w:val="es-CO" w:eastAsia="en-US"/>
        </w:rPr>
        <w:t>Actividad 2.1.3.</w:t>
      </w:r>
      <w:r>
        <w:rPr>
          <w:rFonts w:eastAsiaTheme="minorHAnsi" w:cs="Arial"/>
          <w:lang w:val="es-CO" w:eastAsia="en-US"/>
        </w:rPr>
        <w:t xml:space="preserve"> Publicar en el Sistema Electrónico de Contratación Pública - SECOP la totalidad de los documentos y actos relacionados con el proceso de contratación con criterios de calidad y oportunidad, de conformidad con lo establecido en la normatividad vigente.</w:t>
      </w:r>
    </w:p>
    <w:p w14:paraId="1FA2AC2C" w14:textId="77777777" w:rsidR="000C6BE9" w:rsidRDefault="000C6BE9" w:rsidP="000C6BE9">
      <w:pPr>
        <w:jc w:val="both"/>
        <w:rPr>
          <w:rFonts w:cs="Arial"/>
          <w:lang w:val="es-CO" w:eastAsia="en-US"/>
        </w:rPr>
      </w:pPr>
    </w:p>
    <w:p w14:paraId="3EB3C8CF" w14:textId="77777777" w:rsidR="000C6BE9" w:rsidRDefault="000C6BE9" w:rsidP="000C6BE9">
      <w:pPr>
        <w:jc w:val="both"/>
        <w:rPr>
          <w:b/>
          <w:lang w:val="es-CO" w:eastAsia="en-US"/>
        </w:rPr>
      </w:pPr>
      <w:r>
        <w:rPr>
          <w:b/>
          <w:lang w:val="es-CO" w:eastAsia="en-US"/>
        </w:rPr>
        <w:t xml:space="preserve">Productos esperados: </w:t>
      </w:r>
      <w:r>
        <w:rPr>
          <w:lang w:val="es-CO" w:eastAsia="en-US"/>
        </w:rPr>
        <w:t>Listado de la totalidad de los contratos del sector Educación, incluyendo el objeto, la fuente de financiación, la vigencia, el valor, y el link o código con el cual se realizó la publicación en el SECOP.</w:t>
      </w:r>
    </w:p>
    <w:p w14:paraId="122B8937" w14:textId="77777777" w:rsidR="000C6BE9" w:rsidRDefault="000C6BE9" w:rsidP="000C6BE9">
      <w:pPr>
        <w:rPr>
          <w:lang w:val="es-CO" w:eastAsia="en-US"/>
        </w:rPr>
      </w:pPr>
    </w:p>
    <w:p w14:paraId="2B3BB88E" w14:textId="77777777" w:rsidR="000C6BE9" w:rsidRDefault="000C6BE9" w:rsidP="000C6BE9">
      <w:pPr>
        <w:rPr>
          <w:b/>
          <w:szCs w:val="22"/>
          <w:lang w:val="es-CO" w:eastAsia="en-US"/>
        </w:rPr>
      </w:pPr>
      <w:r>
        <w:rPr>
          <w:b/>
          <w:szCs w:val="22"/>
          <w:lang w:val="es-CO" w:eastAsia="en-US"/>
        </w:rPr>
        <w:t>Evaluación</w:t>
      </w:r>
    </w:p>
    <w:p w14:paraId="2D23F48E" w14:textId="77777777" w:rsidR="000C6BE9" w:rsidRDefault="000C6BE9" w:rsidP="000C6BE9">
      <w:pPr>
        <w:rPr>
          <w:szCs w:val="22"/>
          <w:lang w:val="es-CO" w:eastAsia="en-US"/>
        </w:rPr>
      </w:pPr>
    </w:p>
    <w:p w14:paraId="5769C4AD" w14:textId="77777777" w:rsidR="000C6BE9" w:rsidRDefault="000C6BE9" w:rsidP="000C6BE9">
      <w:pPr>
        <w:jc w:val="both"/>
        <w:rPr>
          <w:rFonts w:eastAsia="Arial" w:cs="Arial"/>
          <w:szCs w:val="22"/>
        </w:rPr>
      </w:pPr>
      <w:r>
        <w:rPr>
          <w:rFonts w:eastAsia="Arial" w:cs="Arial"/>
          <w:szCs w:val="22"/>
        </w:rPr>
        <w:t xml:space="preserve">La Entidad Territorial remitió un reporte con procesos de contratación en el sector educación para las vigencias 2021 y a marzo de 2022, financiados con fuentes de recursos propios, Sistema General de Participaciones (SGP) y Sistema General de Regalías (SGR). Teniendo como horizonte los lineamientos del Decreto 028 de 2008 esta Dirección revisó exclusivamente los relacionados con SGP- Educación. </w:t>
      </w:r>
    </w:p>
    <w:p w14:paraId="0FAAF991" w14:textId="77777777" w:rsidR="000C6BE9" w:rsidRDefault="000C6BE9" w:rsidP="000C6BE9">
      <w:pPr>
        <w:jc w:val="both"/>
        <w:rPr>
          <w:rFonts w:eastAsia="Arial" w:cs="Arial"/>
          <w:szCs w:val="22"/>
        </w:rPr>
      </w:pPr>
    </w:p>
    <w:p w14:paraId="2D34E58D" w14:textId="77777777" w:rsidR="000C6BE9" w:rsidRDefault="000C6BE9" w:rsidP="000C6BE9">
      <w:pPr>
        <w:jc w:val="both"/>
        <w:rPr>
          <w:rFonts w:eastAsia="Arial" w:cs="Arial"/>
          <w:szCs w:val="22"/>
        </w:rPr>
      </w:pPr>
      <w:r>
        <w:rPr>
          <w:rFonts w:eastAsia="Arial" w:cs="Arial"/>
          <w:szCs w:val="22"/>
        </w:rPr>
        <w:t>Al contrastar el listado de contratos suministrado por la Entidad Territorial con el reporte generado directamente desde SECOP, se evidenció que el Municipio de Santa Cruz de Lorica no publicó toda la información relevante y necesaria de los procesos contractuales. A continuación, se citan algunos de los casos estudiados:</w:t>
      </w:r>
    </w:p>
    <w:p w14:paraId="61571CB3" w14:textId="77777777" w:rsidR="000C6BE9" w:rsidRDefault="000C6BE9" w:rsidP="000C6BE9">
      <w:pPr>
        <w:jc w:val="both"/>
        <w:rPr>
          <w:rFonts w:eastAsia="Arial" w:cs="Arial"/>
          <w:szCs w:val="22"/>
        </w:rPr>
      </w:pPr>
    </w:p>
    <w:p w14:paraId="65F4EDFF" w14:textId="77777777" w:rsidR="000C6BE9" w:rsidRDefault="000C6BE9" w:rsidP="000C6BE9">
      <w:pPr>
        <w:jc w:val="both"/>
        <w:rPr>
          <w:rFonts w:eastAsia="Arial" w:cs="Arial"/>
          <w:b/>
          <w:szCs w:val="22"/>
        </w:rPr>
      </w:pPr>
      <w:r>
        <w:rPr>
          <w:rFonts w:eastAsia="Arial" w:cs="Arial"/>
          <w:b/>
          <w:szCs w:val="22"/>
        </w:rPr>
        <w:t xml:space="preserve">Vigencia 2021: </w:t>
      </w:r>
    </w:p>
    <w:p w14:paraId="005B29DB" w14:textId="77777777" w:rsidR="000C6BE9" w:rsidRDefault="000C6BE9" w:rsidP="000C6BE9">
      <w:pPr>
        <w:rPr>
          <w:szCs w:val="22"/>
          <w:lang w:val="es-CO" w:eastAsia="en-US"/>
        </w:rPr>
      </w:pPr>
    </w:p>
    <w:p w14:paraId="44615E58" w14:textId="77777777" w:rsidR="000C6BE9" w:rsidRDefault="000C6BE9" w:rsidP="000C6BE9">
      <w:pPr>
        <w:jc w:val="both"/>
        <w:rPr>
          <w:rFonts w:eastAsia="Arial" w:cs="Arial"/>
          <w:szCs w:val="22"/>
        </w:rPr>
      </w:pPr>
      <w:r>
        <w:rPr>
          <w:rFonts w:eastAsia="Arial" w:cs="Arial"/>
          <w:b/>
          <w:szCs w:val="22"/>
        </w:rPr>
        <w:t>Contrato No. 055 del 26 de febrero de 2021</w:t>
      </w:r>
      <w:r>
        <w:rPr>
          <w:rFonts w:eastAsia="Arial" w:cs="Arial"/>
          <w:szCs w:val="22"/>
        </w:rPr>
        <w:t>, con objeto de “</w:t>
      </w:r>
      <w:r>
        <w:rPr>
          <w:rFonts w:eastAsia="Arial" w:cs="Arial"/>
          <w:color w:val="000000" w:themeColor="text1"/>
          <w:szCs w:val="22"/>
        </w:rPr>
        <w:t>Arrendamiento de un bien inmueble para el funcionamiento de la Secretaría de Educación Municipal del Municipio de Santa Cruz de Lorica</w:t>
      </w:r>
      <w:r>
        <w:rPr>
          <w:rFonts w:eastAsia="Arial" w:cs="Arial"/>
          <w:szCs w:val="22"/>
        </w:rPr>
        <w:t>”, por un valor de $</w:t>
      </w:r>
      <w:r>
        <w:rPr>
          <w:rFonts w:eastAsia="Arial" w:cs="Arial"/>
          <w:color w:val="000000" w:themeColor="text1"/>
          <w:szCs w:val="22"/>
        </w:rPr>
        <w:t>45 millones</w:t>
      </w:r>
      <w:r>
        <w:rPr>
          <w:rFonts w:eastAsia="Arial" w:cs="Arial"/>
          <w:szCs w:val="22"/>
        </w:rPr>
        <w:t xml:space="preserve"> con recursos de SGP- Educación. La entidad incumple su obligación de publicar los siguientes documentos en la plataforma SECOP:</w:t>
      </w:r>
    </w:p>
    <w:p w14:paraId="666D411E" w14:textId="77777777" w:rsidR="000C6BE9" w:rsidRDefault="000C6BE9" w:rsidP="000C6BE9">
      <w:pPr>
        <w:jc w:val="both"/>
        <w:rPr>
          <w:rFonts w:eastAsia="Arial" w:cs="Arial"/>
          <w:szCs w:val="22"/>
        </w:rPr>
      </w:pPr>
      <w:r>
        <w:rPr>
          <w:rFonts w:eastAsia="Arial" w:cs="Arial"/>
          <w:szCs w:val="22"/>
        </w:rPr>
        <w:t xml:space="preserve"> </w:t>
      </w:r>
    </w:p>
    <w:p w14:paraId="0867FA63" w14:textId="77777777" w:rsidR="000C6BE9" w:rsidRDefault="000C6BE9" w:rsidP="000C6BE9">
      <w:pPr>
        <w:pStyle w:val="Prrafodelista"/>
        <w:numPr>
          <w:ilvl w:val="0"/>
          <w:numId w:val="48"/>
        </w:numPr>
        <w:jc w:val="both"/>
        <w:rPr>
          <w:rFonts w:eastAsia="Arial" w:cs="Arial"/>
          <w:szCs w:val="22"/>
        </w:rPr>
      </w:pPr>
      <w:r>
        <w:rPr>
          <w:rFonts w:eastAsia="Arial" w:cs="Arial"/>
          <w:szCs w:val="22"/>
        </w:rPr>
        <w:t>Registro presupuestal</w:t>
      </w:r>
    </w:p>
    <w:p w14:paraId="17FD5D51" w14:textId="77777777" w:rsidR="000C6BE9" w:rsidRDefault="000C6BE9" w:rsidP="000C6BE9">
      <w:pPr>
        <w:pStyle w:val="Prrafodelista"/>
        <w:numPr>
          <w:ilvl w:val="0"/>
          <w:numId w:val="48"/>
        </w:numPr>
        <w:jc w:val="both"/>
        <w:rPr>
          <w:rFonts w:eastAsia="Arial" w:cs="Arial"/>
          <w:szCs w:val="22"/>
        </w:rPr>
      </w:pPr>
      <w:r>
        <w:rPr>
          <w:rFonts w:eastAsia="Arial" w:cs="Arial"/>
          <w:szCs w:val="22"/>
        </w:rPr>
        <w:t>Informe de Supervisión</w:t>
      </w:r>
    </w:p>
    <w:p w14:paraId="6DF1AC7D" w14:textId="77777777" w:rsidR="000C6BE9" w:rsidRDefault="000C6BE9" w:rsidP="000C6BE9">
      <w:pPr>
        <w:pStyle w:val="Prrafodelista"/>
        <w:numPr>
          <w:ilvl w:val="0"/>
          <w:numId w:val="48"/>
        </w:numPr>
        <w:jc w:val="both"/>
        <w:rPr>
          <w:rFonts w:eastAsia="Arial" w:cs="Arial"/>
          <w:szCs w:val="22"/>
        </w:rPr>
      </w:pPr>
      <w:r>
        <w:rPr>
          <w:rFonts w:eastAsia="Arial" w:cs="Arial"/>
          <w:szCs w:val="22"/>
        </w:rPr>
        <w:t>Acta de Liquidación</w:t>
      </w:r>
    </w:p>
    <w:p w14:paraId="6B731CDC" w14:textId="77777777" w:rsidR="000C6BE9" w:rsidRDefault="000C6BE9" w:rsidP="000C6BE9">
      <w:pPr>
        <w:jc w:val="both"/>
        <w:rPr>
          <w:rFonts w:eastAsia="Arial" w:cs="Arial"/>
          <w:b/>
          <w:szCs w:val="22"/>
        </w:rPr>
      </w:pPr>
    </w:p>
    <w:p w14:paraId="3A272207" w14:textId="77777777" w:rsidR="000C6BE9" w:rsidRDefault="000C6BE9" w:rsidP="000C6BE9">
      <w:pPr>
        <w:jc w:val="both"/>
        <w:rPr>
          <w:rFonts w:eastAsia="Arial" w:cs="Arial"/>
          <w:szCs w:val="22"/>
        </w:rPr>
      </w:pPr>
      <w:r>
        <w:rPr>
          <w:rFonts w:eastAsia="Arial" w:cs="Arial"/>
          <w:b/>
          <w:szCs w:val="22"/>
        </w:rPr>
        <w:t>Contrato No. 113 del 19 de abril de 2021</w:t>
      </w:r>
      <w:r>
        <w:rPr>
          <w:rFonts w:eastAsia="Arial" w:cs="Arial"/>
          <w:szCs w:val="22"/>
        </w:rPr>
        <w:t>, con objeto de “P</w:t>
      </w:r>
      <w:r>
        <w:rPr>
          <w:rFonts w:eastAsia="Arial" w:cs="Arial"/>
          <w:color w:val="000000" w:themeColor="text1"/>
          <w:szCs w:val="22"/>
        </w:rPr>
        <w:t>restación del servicio de conectividad y adquisición, instalación y configuración de soluciones wifi para las instituciones oficiales del Municipio de Santa Cruz de Lorica para la vigencia 2021</w:t>
      </w:r>
      <w:r>
        <w:rPr>
          <w:rFonts w:eastAsia="Arial" w:cs="Arial"/>
          <w:szCs w:val="22"/>
        </w:rPr>
        <w:t>”, por un valor de $772 millones con recursos de SGP- Educación. La entidad incumple su obligación de publicar los siguientes documentos en la plataforma SECOP:</w:t>
      </w:r>
    </w:p>
    <w:p w14:paraId="0A5134FF" w14:textId="77777777" w:rsidR="000C6BE9" w:rsidRDefault="000C6BE9" w:rsidP="000C6BE9">
      <w:pPr>
        <w:jc w:val="both"/>
        <w:rPr>
          <w:rFonts w:eastAsia="Arial" w:cs="Arial"/>
          <w:szCs w:val="22"/>
        </w:rPr>
      </w:pPr>
      <w:r>
        <w:rPr>
          <w:rFonts w:eastAsia="Arial" w:cs="Arial"/>
          <w:szCs w:val="22"/>
        </w:rPr>
        <w:t xml:space="preserve"> </w:t>
      </w:r>
    </w:p>
    <w:p w14:paraId="686AD4EE" w14:textId="77777777" w:rsidR="000C6BE9" w:rsidRDefault="000C6BE9" w:rsidP="000C6BE9">
      <w:pPr>
        <w:pStyle w:val="Prrafodelista"/>
        <w:numPr>
          <w:ilvl w:val="0"/>
          <w:numId w:val="48"/>
        </w:numPr>
        <w:jc w:val="both"/>
        <w:rPr>
          <w:rFonts w:eastAsia="Arial" w:cs="Arial"/>
          <w:szCs w:val="22"/>
        </w:rPr>
      </w:pPr>
      <w:r>
        <w:rPr>
          <w:rFonts w:eastAsia="Arial" w:cs="Arial"/>
          <w:szCs w:val="22"/>
        </w:rPr>
        <w:t>Registro presupuestal</w:t>
      </w:r>
    </w:p>
    <w:p w14:paraId="65779470" w14:textId="77777777" w:rsidR="000C6BE9" w:rsidRDefault="000C6BE9" w:rsidP="000C6BE9">
      <w:pPr>
        <w:pStyle w:val="Prrafodelista"/>
        <w:numPr>
          <w:ilvl w:val="0"/>
          <w:numId w:val="48"/>
        </w:numPr>
        <w:jc w:val="both"/>
        <w:rPr>
          <w:rFonts w:eastAsia="Arial" w:cs="Arial"/>
          <w:szCs w:val="22"/>
        </w:rPr>
      </w:pPr>
      <w:r>
        <w:rPr>
          <w:rFonts w:eastAsia="Arial" w:cs="Arial"/>
          <w:szCs w:val="22"/>
        </w:rPr>
        <w:t>Certificado de Disponibilidad Presupuestal</w:t>
      </w:r>
    </w:p>
    <w:p w14:paraId="37866EB2" w14:textId="77777777" w:rsidR="000C6BE9" w:rsidRDefault="000C6BE9" w:rsidP="000C6BE9">
      <w:pPr>
        <w:pStyle w:val="Prrafodelista"/>
        <w:numPr>
          <w:ilvl w:val="0"/>
          <w:numId w:val="48"/>
        </w:numPr>
        <w:jc w:val="both"/>
        <w:rPr>
          <w:rFonts w:eastAsia="Arial" w:cs="Arial"/>
          <w:szCs w:val="22"/>
        </w:rPr>
      </w:pPr>
      <w:r>
        <w:rPr>
          <w:rFonts w:eastAsia="Arial" w:cs="Arial"/>
          <w:szCs w:val="22"/>
        </w:rPr>
        <w:t>Informe de Supervisión</w:t>
      </w:r>
    </w:p>
    <w:p w14:paraId="3B516C9E" w14:textId="77777777" w:rsidR="000C6BE9" w:rsidRDefault="000C6BE9" w:rsidP="000C6BE9">
      <w:pPr>
        <w:jc w:val="both"/>
        <w:rPr>
          <w:rFonts w:eastAsia="Arial" w:cs="Arial"/>
          <w:b/>
          <w:szCs w:val="22"/>
        </w:rPr>
      </w:pPr>
    </w:p>
    <w:p w14:paraId="3DC0CDF4" w14:textId="77777777" w:rsidR="000C6BE9" w:rsidRDefault="000C6BE9" w:rsidP="000C6BE9">
      <w:pPr>
        <w:jc w:val="both"/>
        <w:rPr>
          <w:rFonts w:eastAsia="Arial" w:cs="Arial"/>
          <w:szCs w:val="22"/>
        </w:rPr>
      </w:pPr>
      <w:r>
        <w:rPr>
          <w:rFonts w:eastAsia="Arial" w:cs="Arial"/>
          <w:b/>
          <w:szCs w:val="22"/>
        </w:rPr>
        <w:lastRenderedPageBreak/>
        <w:t>Contrato No. 145 del 21 de mayo de 2021</w:t>
      </w:r>
      <w:r>
        <w:rPr>
          <w:rFonts w:eastAsia="Arial" w:cs="Arial"/>
          <w:szCs w:val="22"/>
        </w:rPr>
        <w:t>, con objeto “Prestación de servicios de apoyo a la gestión para la atención a estudiantes con discapacidad y talentos excepcionales educación inclusiva- Decreto 1421 de agosto de 2017”, por un valor de $23 millones con recursos de SGP- Educación. La entidad incumple su obligación de publicar los siguientes documentos en la plataforma SECOP:</w:t>
      </w:r>
    </w:p>
    <w:p w14:paraId="28A9DA57" w14:textId="77777777" w:rsidR="000C6BE9" w:rsidRDefault="000C6BE9" w:rsidP="000C6BE9">
      <w:pPr>
        <w:jc w:val="both"/>
        <w:rPr>
          <w:rFonts w:eastAsia="Arial" w:cs="Arial"/>
          <w:szCs w:val="22"/>
        </w:rPr>
      </w:pPr>
      <w:r>
        <w:rPr>
          <w:rFonts w:eastAsia="Arial" w:cs="Arial"/>
          <w:szCs w:val="22"/>
        </w:rPr>
        <w:t xml:space="preserve"> </w:t>
      </w:r>
    </w:p>
    <w:p w14:paraId="172A0723" w14:textId="77777777" w:rsidR="000C6BE9" w:rsidRDefault="000C6BE9" w:rsidP="000C6BE9">
      <w:pPr>
        <w:pStyle w:val="Prrafodelista"/>
        <w:numPr>
          <w:ilvl w:val="0"/>
          <w:numId w:val="48"/>
        </w:numPr>
        <w:jc w:val="both"/>
        <w:rPr>
          <w:rFonts w:eastAsia="Arial" w:cs="Arial"/>
          <w:szCs w:val="22"/>
        </w:rPr>
      </w:pPr>
      <w:r>
        <w:rPr>
          <w:rFonts w:eastAsia="Arial" w:cs="Arial"/>
          <w:szCs w:val="22"/>
        </w:rPr>
        <w:t>Informe de Supervisión</w:t>
      </w:r>
    </w:p>
    <w:p w14:paraId="426080CA" w14:textId="77777777" w:rsidR="000C6BE9" w:rsidRDefault="000C6BE9" w:rsidP="000C6BE9">
      <w:pPr>
        <w:jc w:val="both"/>
        <w:rPr>
          <w:rFonts w:eastAsia="Arial" w:cs="Arial"/>
          <w:szCs w:val="22"/>
        </w:rPr>
      </w:pPr>
    </w:p>
    <w:p w14:paraId="0B398C45" w14:textId="77777777" w:rsidR="000C6BE9" w:rsidRDefault="000C6BE9" w:rsidP="000C6BE9">
      <w:pPr>
        <w:jc w:val="both"/>
        <w:rPr>
          <w:rFonts w:eastAsia="Arial" w:cs="Arial"/>
          <w:b/>
          <w:szCs w:val="22"/>
        </w:rPr>
      </w:pPr>
      <w:r>
        <w:rPr>
          <w:rFonts w:eastAsia="Arial" w:cs="Arial"/>
          <w:b/>
          <w:szCs w:val="22"/>
        </w:rPr>
        <w:t xml:space="preserve">Vigencia 2022: </w:t>
      </w:r>
    </w:p>
    <w:p w14:paraId="39C6E019" w14:textId="77777777" w:rsidR="000C6BE9" w:rsidRDefault="000C6BE9" w:rsidP="000C6BE9">
      <w:pPr>
        <w:rPr>
          <w:szCs w:val="22"/>
          <w:lang w:val="es-CO" w:eastAsia="en-US"/>
        </w:rPr>
      </w:pPr>
    </w:p>
    <w:p w14:paraId="1D8FFF4B" w14:textId="77777777" w:rsidR="000C6BE9" w:rsidRDefault="000C6BE9" w:rsidP="000C6BE9">
      <w:pPr>
        <w:jc w:val="both"/>
        <w:rPr>
          <w:rFonts w:eastAsia="Arial" w:cs="Arial"/>
          <w:szCs w:val="22"/>
        </w:rPr>
      </w:pPr>
      <w:r>
        <w:rPr>
          <w:rFonts w:eastAsia="Arial" w:cs="Arial"/>
          <w:szCs w:val="22"/>
        </w:rPr>
        <w:t>Para la vigencia 2022, la Entidad Territorial remitió el listado de procesos contractuales adelantados hasta marzo del mismo año. Una vez verificados 17 de los contratos financiados con fuente de recursos SGP- Educación, se evidenció que todos ellos suman un total de $202 millones y todos están relacionados con el mismo objeto contractual: “</w:t>
      </w:r>
      <w:r>
        <w:rPr>
          <w:rFonts w:eastAsia="Arial" w:cs="Arial"/>
          <w:color w:val="000000" w:themeColor="text1"/>
          <w:szCs w:val="22"/>
        </w:rPr>
        <w:t>Prestación de servicios de apoyo a la gestión para la atención a estudiantes con discapacidad y talentos excepcionales en el marco de la educación inclusiva- Decreto 1421 de agosto de 2017</w:t>
      </w:r>
      <w:r>
        <w:rPr>
          <w:rFonts w:eastAsia="Arial" w:cs="Arial"/>
          <w:szCs w:val="22"/>
        </w:rPr>
        <w:t xml:space="preserve">” suscritos con diferentes contratistas. </w:t>
      </w:r>
    </w:p>
    <w:p w14:paraId="38419C6A" w14:textId="77777777" w:rsidR="000C6BE9" w:rsidRDefault="000C6BE9" w:rsidP="000C6BE9">
      <w:pPr>
        <w:jc w:val="both"/>
        <w:rPr>
          <w:rFonts w:eastAsia="Arial" w:cs="Arial"/>
          <w:szCs w:val="22"/>
        </w:rPr>
      </w:pPr>
    </w:p>
    <w:p w14:paraId="481A62E0" w14:textId="77777777" w:rsidR="000C6BE9" w:rsidRDefault="000C6BE9" w:rsidP="000C6BE9">
      <w:pPr>
        <w:jc w:val="both"/>
        <w:rPr>
          <w:rFonts w:eastAsia="Arial" w:cs="Arial"/>
          <w:szCs w:val="22"/>
        </w:rPr>
      </w:pPr>
      <w:r>
        <w:rPr>
          <w:rFonts w:eastAsia="Arial" w:cs="Arial"/>
          <w:szCs w:val="22"/>
        </w:rPr>
        <w:t>A continuación, se enuncian algunos de los casos estudiados, en los que la Entidad no publicó toda la información relevante y necesaria de los procesos contractuales:</w:t>
      </w:r>
    </w:p>
    <w:p w14:paraId="37501972" w14:textId="77777777" w:rsidR="000C6BE9" w:rsidRDefault="000C6BE9" w:rsidP="000C6BE9">
      <w:pPr>
        <w:rPr>
          <w:szCs w:val="22"/>
          <w:lang w:val="es-CO" w:eastAsia="en-US"/>
        </w:rPr>
      </w:pPr>
    </w:p>
    <w:p w14:paraId="16ECFDBD" w14:textId="77777777" w:rsidR="000C6BE9" w:rsidRDefault="000C6BE9" w:rsidP="000C6BE9">
      <w:pPr>
        <w:jc w:val="both"/>
        <w:rPr>
          <w:rFonts w:eastAsia="Arial" w:cs="Arial"/>
          <w:szCs w:val="22"/>
        </w:rPr>
      </w:pPr>
      <w:r>
        <w:rPr>
          <w:rFonts w:eastAsia="Arial" w:cs="Arial"/>
          <w:b/>
          <w:szCs w:val="22"/>
        </w:rPr>
        <w:t>Contrato No. 080 del 27 de enero de 2022</w:t>
      </w:r>
      <w:r>
        <w:rPr>
          <w:rFonts w:eastAsia="Arial" w:cs="Arial"/>
          <w:szCs w:val="22"/>
        </w:rPr>
        <w:t>, con objeto de “</w:t>
      </w:r>
      <w:r>
        <w:rPr>
          <w:rFonts w:eastAsia="Arial" w:cs="Arial"/>
          <w:color w:val="000000" w:themeColor="text1"/>
          <w:szCs w:val="22"/>
        </w:rPr>
        <w:t>Prestación de servicios de apoyo a la gestión para la atención a estudiantes con discapacidad y talentos excepcionales en el marco de la educación inclusiva- decreto 1421 de agosto de 2017</w:t>
      </w:r>
      <w:r>
        <w:rPr>
          <w:rFonts w:eastAsia="Arial" w:cs="Arial"/>
          <w:szCs w:val="22"/>
        </w:rPr>
        <w:t>”, por un valor de $17 millones con recursos de SGP- Educación. La entidad incumple su obligación de publicar los siguientes documentos en la plataforma SECOP:</w:t>
      </w:r>
    </w:p>
    <w:p w14:paraId="1CCEEE8A" w14:textId="77777777" w:rsidR="000C6BE9" w:rsidRDefault="000C6BE9" w:rsidP="000C6BE9">
      <w:pPr>
        <w:jc w:val="both"/>
        <w:rPr>
          <w:rFonts w:eastAsia="Arial" w:cs="Arial"/>
          <w:szCs w:val="22"/>
        </w:rPr>
      </w:pPr>
      <w:r>
        <w:rPr>
          <w:rFonts w:eastAsia="Arial" w:cs="Arial"/>
          <w:szCs w:val="22"/>
        </w:rPr>
        <w:t xml:space="preserve"> </w:t>
      </w:r>
    </w:p>
    <w:p w14:paraId="49A1E46C" w14:textId="77777777" w:rsidR="000C6BE9" w:rsidRDefault="000C6BE9" w:rsidP="000C6BE9">
      <w:pPr>
        <w:pStyle w:val="Prrafodelista"/>
        <w:numPr>
          <w:ilvl w:val="0"/>
          <w:numId w:val="48"/>
        </w:numPr>
        <w:jc w:val="both"/>
        <w:rPr>
          <w:rFonts w:eastAsia="Arial" w:cs="Arial"/>
          <w:szCs w:val="22"/>
        </w:rPr>
      </w:pPr>
      <w:r>
        <w:rPr>
          <w:rFonts w:eastAsia="Arial" w:cs="Arial"/>
          <w:szCs w:val="22"/>
        </w:rPr>
        <w:t>Registro presupuestal</w:t>
      </w:r>
    </w:p>
    <w:p w14:paraId="62C4D73A" w14:textId="77777777" w:rsidR="000C6BE9" w:rsidRDefault="000C6BE9" w:rsidP="000C6BE9">
      <w:pPr>
        <w:pStyle w:val="Prrafodelista"/>
        <w:numPr>
          <w:ilvl w:val="0"/>
          <w:numId w:val="48"/>
        </w:numPr>
        <w:jc w:val="both"/>
        <w:rPr>
          <w:rFonts w:eastAsia="Arial" w:cs="Arial"/>
          <w:szCs w:val="22"/>
        </w:rPr>
      </w:pPr>
      <w:r>
        <w:rPr>
          <w:rFonts w:eastAsia="Arial" w:cs="Arial"/>
          <w:szCs w:val="22"/>
        </w:rPr>
        <w:t>Informe de Supervisión</w:t>
      </w:r>
    </w:p>
    <w:p w14:paraId="3481BDAA" w14:textId="77777777" w:rsidR="000C6BE9" w:rsidRDefault="000C6BE9" w:rsidP="000C6BE9">
      <w:pPr>
        <w:pStyle w:val="Prrafodelista"/>
        <w:jc w:val="both"/>
        <w:rPr>
          <w:rFonts w:eastAsia="Arial" w:cs="Arial"/>
          <w:szCs w:val="22"/>
        </w:rPr>
      </w:pPr>
    </w:p>
    <w:p w14:paraId="7055E451" w14:textId="77777777" w:rsidR="000C6BE9" w:rsidRDefault="000C6BE9" w:rsidP="000C6BE9">
      <w:pPr>
        <w:jc w:val="both"/>
        <w:rPr>
          <w:rFonts w:eastAsia="Arial" w:cs="Arial"/>
          <w:szCs w:val="22"/>
        </w:rPr>
      </w:pPr>
      <w:r>
        <w:rPr>
          <w:rFonts w:eastAsia="Arial" w:cs="Arial"/>
          <w:b/>
          <w:szCs w:val="22"/>
        </w:rPr>
        <w:t>Contrato No. 129 del 28 de enero de 2022</w:t>
      </w:r>
      <w:r>
        <w:rPr>
          <w:rFonts w:eastAsia="Arial" w:cs="Arial"/>
          <w:szCs w:val="22"/>
        </w:rPr>
        <w:t>, con objeto de “</w:t>
      </w:r>
      <w:r>
        <w:rPr>
          <w:rFonts w:eastAsia="Arial" w:cs="Arial"/>
          <w:color w:val="000000" w:themeColor="text1"/>
          <w:szCs w:val="22"/>
        </w:rPr>
        <w:t>Prestación de servicios de apoyo a la gestión para la atención a estudiantes con discapacidad y talentos excepcionales en el marco de la educación inclusiva- decreto 1421 de agosto de 2017</w:t>
      </w:r>
      <w:r>
        <w:rPr>
          <w:rFonts w:eastAsia="Arial" w:cs="Arial"/>
          <w:szCs w:val="22"/>
        </w:rPr>
        <w:t>”, por un valor de $</w:t>
      </w:r>
      <w:r>
        <w:rPr>
          <w:rFonts w:eastAsia="Arial" w:cs="Arial"/>
          <w:color w:val="000000" w:themeColor="text1"/>
          <w:szCs w:val="22"/>
        </w:rPr>
        <w:t>11 millones</w:t>
      </w:r>
      <w:r>
        <w:rPr>
          <w:rFonts w:eastAsia="Arial" w:cs="Arial"/>
          <w:szCs w:val="22"/>
        </w:rPr>
        <w:t xml:space="preserve"> con recursos de SGP- Educación. La entidad incumple su obligación de publicar los siguientes documentos en la plataforma SECOP:</w:t>
      </w:r>
    </w:p>
    <w:p w14:paraId="2A24F528" w14:textId="77777777" w:rsidR="000C6BE9" w:rsidRDefault="000C6BE9" w:rsidP="000C6BE9">
      <w:pPr>
        <w:jc w:val="both"/>
        <w:rPr>
          <w:rFonts w:cs="Arial"/>
          <w:b/>
          <w:szCs w:val="22"/>
          <w:lang w:val="es-CO" w:eastAsia="en-US"/>
        </w:rPr>
      </w:pPr>
    </w:p>
    <w:p w14:paraId="66DDD193" w14:textId="77777777" w:rsidR="000C6BE9" w:rsidRDefault="000C6BE9" w:rsidP="000C6BE9">
      <w:pPr>
        <w:pStyle w:val="Prrafodelista"/>
        <w:numPr>
          <w:ilvl w:val="0"/>
          <w:numId w:val="48"/>
        </w:numPr>
        <w:jc w:val="both"/>
        <w:rPr>
          <w:rFonts w:eastAsia="Arial" w:cs="Arial"/>
          <w:szCs w:val="22"/>
        </w:rPr>
      </w:pPr>
      <w:r>
        <w:rPr>
          <w:rFonts w:eastAsia="Arial" w:cs="Arial"/>
          <w:szCs w:val="22"/>
        </w:rPr>
        <w:t>Registro presupuestal</w:t>
      </w:r>
    </w:p>
    <w:p w14:paraId="66BDF0A2" w14:textId="77777777" w:rsidR="000C6BE9" w:rsidRDefault="000C6BE9" w:rsidP="000C6BE9">
      <w:pPr>
        <w:pStyle w:val="Prrafodelista"/>
        <w:numPr>
          <w:ilvl w:val="0"/>
          <w:numId w:val="48"/>
        </w:numPr>
        <w:jc w:val="both"/>
        <w:rPr>
          <w:rFonts w:eastAsia="Arial" w:cs="Arial"/>
          <w:szCs w:val="22"/>
        </w:rPr>
      </w:pPr>
      <w:r>
        <w:rPr>
          <w:rFonts w:eastAsia="Arial" w:cs="Arial"/>
          <w:szCs w:val="22"/>
        </w:rPr>
        <w:t>Informe de Supervisión</w:t>
      </w:r>
    </w:p>
    <w:p w14:paraId="1FC556D6" w14:textId="77777777" w:rsidR="000C6BE9" w:rsidRDefault="000C6BE9" w:rsidP="000C6BE9">
      <w:pPr>
        <w:jc w:val="both"/>
        <w:rPr>
          <w:rFonts w:cs="Arial"/>
          <w:szCs w:val="22"/>
          <w:lang w:val="es-CO" w:eastAsia="en-US"/>
        </w:rPr>
      </w:pPr>
    </w:p>
    <w:p w14:paraId="70A11D5E" w14:textId="77777777" w:rsidR="000C6BE9" w:rsidRDefault="000C6BE9" w:rsidP="000C6BE9">
      <w:pPr>
        <w:jc w:val="both"/>
        <w:rPr>
          <w:rFonts w:cs="Arial"/>
          <w:szCs w:val="22"/>
          <w:lang w:val="es-CO" w:eastAsia="en-US"/>
        </w:rPr>
      </w:pPr>
      <w:r>
        <w:rPr>
          <w:rFonts w:cs="Arial"/>
          <w:szCs w:val="22"/>
          <w:lang w:val="es-CO" w:eastAsia="en-US"/>
        </w:rPr>
        <w:t xml:space="preserve">De lo anterior se concluye, que la Entidad Territorial no ha logrado superar la debilidad detectada en relación con la publicación en SECOP, pues aún existen documentos contractuales que no son publicados de acuerdo con la normatividad vigente. </w:t>
      </w:r>
    </w:p>
    <w:p w14:paraId="6FF07FE1" w14:textId="77777777" w:rsidR="000C6BE9" w:rsidRDefault="000C6BE9" w:rsidP="000C6BE9">
      <w:pPr>
        <w:jc w:val="both"/>
        <w:rPr>
          <w:rFonts w:cs="Arial"/>
          <w:szCs w:val="22"/>
          <w:lang w:val="es-CO" w:eastAsia="en-US"/>
        </w:rPr>
      </w:pPr>
    </w:p>
    <w:p w14:paraId="7866C7C1" w14:textId="77777777" w:rsidR="000C6BE9" w:rsidRDefault="000C6BE9" w:rsidP="000C6BE9">
      <w:pPr>
        <w:jc w:val="both"/>
        <w:rPr>
          <w:rFonts w:cs="Arial"/>
          <w:szCs w:val="22"/>
          <w:lang w:val="es-CO" w:eastAsia="en-US"/>
        </w:rPr>
      </w:pPr>
      <w:r>
        <w:rPr>
          <w:rFonts w:cs="Arial"/>
          <w:szCs w:val="22"/>
          <w:lang w:val="es-CO" w:eastAsia="en-US"/>
        </w:rPr>
        <w:t>Evaluación de la actividad: No cumple</w:t>
      </w:r>
    </w:p>
    <w:p w14:paraId="1A0A4268" w14:textId="77777777" w:rsidR="000C6BE9" w:rsidRDefault="000C6BE9" w:rsidP="000C6BE9">
      <w:pPr>
        <w:jc w:val="both"/>
        <w:rPr>
          <w:rFonts w:cs="Arial"/>
          <w:b/>
          <w:szCs w:val="22"/>
          <w:lang w:val="es-CO" w:eastAsia="en-US"/>
        </w:rPr>
      </w:pPr>
    </w:p>
    <w:p w14:paraId="16A25D09" w14:textId="77777777" w:rsidR="000C6BE9" w:rsidRDefault="000C6BE9" w:rsidP="000C6BE9">
      <w:pPr>
        <w:rPr>
          <w:b/>
          <w:lang w:val="es-CO" w:eastAsia="en-US"/>
        </w:rPr>
      </w:pPr>
      <w:r>
        <w:rPr>
          <w:b/>
          <w:lang w:val="es-CO" w:eastAsia="en-US"/>
        </w:rPr>
        <w:t>Recomendación:</w:t>
      </w:r>
    </w:p>
    <w:p w14:paraId="6DD7E028" w14:textId="77777777" w:rsidR="000C6BE9" w:rsidRDefault="000C6BE9" w:rsidP="000C6BE9">
      <w:pPr>
        <w:jc w:val="both"/>
        <w:rPr>
          <w:lang w:val="es-CO" w:eastAsia="en-US"/>
        </w:rPr>
      </w:pPr>
    </w:p>
    <w:p w14:paraId="0DBF6016" w14:textId="77777777" w:rsidR="000C6BE9" w:rsidRDefault="000C6BE9" w:rsidP="000C6BE9">
      <w:pPr>
        <w:jc w:val="both"/>
        <w:rPr>
          <w:rFonts w:cs="Arial"/>
          <w:szCs w:val="22"/>
          <w:lang w:val="es-CO" w:eastAsia="en-US"/>
        </w:rPr>
      </w:pPr>
      <w:r>
        <w:rPr>
          <w:rFonts w:cs="Arial"/>
          <w:szCs w:val="22"/>
          <w:lang w:val="es-CO" w:eastAsia="en-US"/>
        </w:rPr>
        <w:lastRenderedPageBreak/>
        <w:t>Teniendo en cuenta lo enunciado, la Entidad Territorial debe trabajar en el cargue en el Sistema Electrónico de Contratación Pública – SECOP de todo el expediente de cada uno de los contratos que suscriba la Entidad, de acuerdo con la normatividad vigente.</w:t>
      </w:r>
    </w:p>
    <w:p w14:paraId="01D5E1B8" w14:textId="77777777" w:rsidR="000C6BE9" w:rsidRDefault="000C6BE9" w:rsidP="000C6BE9">
      <w:pPr>
        <w:rPr>
          <w:highlight w:val="green"/>
          <w:lang w:val="es-CO" w:eastAsia="en-US"/>
        </w:rPr>
      </w:pPr>
    </w:p>
    <w:p w14:paraId="05410C64" w14:textId="77777777" w:rsidR="000C6BE9" w:rsidRDefault="000C6BE9" w:rsidP="000C6BE9">
      <w:pPr>
        <w:pStyle w:val="Ttulo2"/>
        <w:spacing w:before="0"/>
        <w:jc w:val="both"/>
        <w:rPr>
          <w:rFonts w:cs="Arial"/>
          <w:b/>
          <w:bCs/>
          <w:lang w:val="es-CO"/>
        </w:rPr>
      </w:pPr>
      <w:r>
        <w:rPr>
          <w:rFonts w:cs="Arial"/>
          <w:b/>
          <w:bCs/>
          <w:lang w:val="es-CO"/>
        </w:rPr>
        <w:t>Objetivo 2.2. Optimizar el manejo de la información presupuestal y tesoral de los recursos del SGP asignados al sector</w:t>
      </w:r>
    </w:p>
    <w:p w14:paraId="2B8502D1" w14:textId="77777777" w:rsidR="000C6BE9" w:rsidRDefault="000C6BE9" w:rsidP="000C6BE9">
      <w:pPr>
        <w:jc w:val="both"/>
        <w:rPr>
          <w:rFonts w:cs="Arial"/>
          <w:lang w:val="es-CO"/>
        </w:rPr>
      </w:pPr>
    </w:p>
    <w:p w14:paraId="28C9D606" w14:textId="77777777" w:rsidR="000C6BE9" w:rsidRDefault="000C6BE9" w:rsidP="000C6BE9">
      <w:pPr>
        <w:pStyle w:val="Ttulo3"/>
        <w:spacing w:before="0"/>
        <w:jc w:val="both"/>
        <w:rPr>
          <w:rFonts w:eastAsiaTheme="minorHAnsi" w:cs="Arial"/>
          <w:lang w:val="es-CO" w:eastAsia="en-US"/>
        </w:rPr>
      </w:pPr>
      <w:r>
        <w:rPr>
          <w:rFonts w:eastAsiaTheme="minorHAnsi" w:cs="Arial"/>
          <w:b/>
          <w:lang w:val="es-CO" w:eastAsia="en-US"/>
        </w:rPr>
        <w:t>Actividad 2.2.1</w:t>
      </w:r>
      <w:r>
        <w:rPr>
          <w:rFonts w:eastAsiaTheme="minorHAnsi" w:cs="Arial"/>
          <w:lang w:val="es-CO" w:eastAsia="en-US"/>
        </w:rPr>
        <w:t>. Planear, recaudar y ejecutar de manera oportuna y diligente los recursos asignados para atender a la población con Necesidades Educativas Especiales y Capacidades Excepcionales, garantizando la prestación de este servicio en los establecimientos educativos y el cumplimiento del fin social del recurso.</w:t>
      </w:r>
    </w:p>
    <w:p w14:paraId="6224610F" w14:textId="77777777" w:rsidR="000C6BE9" w:rsidRDefault="000C6BE9" w:rsidP="000C6BE9">
      <w:pPr>
        <w:jc w:val="both"/>
        <w:rPr>
          <w:rFonts w:cs="Arial"/>
          <w:lang w:val="es-CO" w:eastAsia="en-US"/>
        </w:rPr>
      </w:pPr>
    </w:p>
    <w:p w14:paraId="28AC5979" w14:textId="77777777" w:rsidR="000C6BE9" w:rsidRDefault="000C6BE9" w:rsidP="000C6BE9">
      <w:pPr>
        <w:jc w:val="both"/>
        <w:rPr>
          <w:b/>
          <w:lang w:val="es-CO" w:eastAsia="en-US"/>
        </w:rPr>
      </w:pPr>
      <w:r>
        <w:rPr>
          <w:b/>
          <w:lang w:val="es-CO" w:eastAsia="en-US"/>
        </w:rPr>
        <w:t xml:space="preserve">Productos esperados: </w:t>
      </w:r>
      <w:r>
        <w:rPr>
          <w:lang w:val="es-CO" w:eastAsia="en-US"/>
        </w:rPr>
        <w:t>Registros presupuestales de los compromisos asociados a Necesidades Educativas Especiales y Capacidades Excepcionales, ejecuciones presupuestales de gastos, contratos de Necesidades Educativas Especiales y Capacidades Excepcionales y un informe que dé cuenta sobre la prestación del servicio educativo a la población con Necesidades Educativas Especiales y Capacidades Excepcionales.</w:t>
      </w:r>
    </w:p>
    <w:p w14:paraId="76F15105" w14:textId="77777777" w:rsidR="000C6BE9" w:rsidRDefault="000C6BE9" w:rsidP="000C6BE9">
      <w:pPr>
        <w:jc w:val="both"/>
        <w:rPr>
          <w:lang w:val="es-CO" w:eastAsia="en-US"/>
        </w:rPr>
      </w:pPr>
    </w:p>
    <w:p w14:paraId="22BE1365" w14:textId="77777777" w:rsidR="000C6BE9" w:rsidRDefault="000C6BE9" w:rsidP="000C6BE9">
      <w:pPr>
        <w:jc w:val="both"/>
        <w:rPr>
          <w:b/>
          <w:lang w:val="es-CO" w:eastAsia="en-US"/>
        </w:rPr>
      </w:pPr>
      <w:r>
        <w:rPr>
          <w:b/>
          <w:lang w:val="es-CO" w:eastAsia="en-US"/>
        </w:rPr>
        <w:t>Evaluación:</w:t>
      </w:r>
    </w:p>
    <w:p w14:paraId="70FAD6CA" w14:textId="77777777" w:rsidR="000C6BE9" w:rsidRDefault="000C6BE9" w:rsidP="000C6BE9">
      <w:pPr>
        <w:jc w:val="both"/>
        <w:rPr>
          <w:b/>
          <w:lang w:val="es-CO" w:eastAsia="en-US"/>
        </w:rPr>
      </w:pPr>
    </w:p>
    <w:p w14:paraId="620F0010" w14:textId="77777777" w:rsidR="000C6BE9" w:rsidRDefault="000C6BE9" w:rsidP="000C6BE9">
      <w:pPr>
        <w:jc w:val="both"/>
        <w:rPr>
          <w:bCs/>
          <w:lang w:val="es-CO" w:eastAsia="en-US"/>
        </w:rPr>
      </w:pPr>
      <w:r>
        <w:rPr>
          <w:bCs/>
          <w:lang w:val="es-CO" w:eastAsia="en-US"/>
        </w:rPr>
        <w:t xml:space="preserve">El Ministerio de Educación Nacional asignó al Municipio de Santa Cruz de Lorica para las vigencias 2021 y 2022 los siguientes recursos para Necesidades Educativas Especiales: $228 millones y $260 millones respectivamente. Estos recursos fueron comprometidos de la siguiente manera, según listado de contratación y reporte de registros presupuestales remitidos por la Entidad: </w:t>
      </w:r>
    </w:p>
    <w:p w14:paraId="7482493D" w14:textId="77777777" w:rsidR="000C6BE9" w:rsidRDefault="000C6BE9" w:rsidP="000C6BE9">
      <w:pPr>
        <w:jc w:val="both"/>
        <w:rPr>
          <w:b/>
          <w:lang w:val="es-CO" w:eastAsia="en-US"/>
        </w:rPr>
      </w:pPr>
    </w:p>
    <w:tbl>
      <w:tblPr>
        <w:tblW w:w="5334" w:type="dxa"/>
        <w:jc w:val="center"/>
        <w:tblCellMar>
          <w:left w:w="70" w:type="dxa"/>
          <w:right w:w="70" w:type="dxa"/>
        </w:tblCellMar>
        <w:tblLook w:val="04A0" w:firstRow="1" w:lastRow="0" w:firstColumn="1" w:lastColumn="0" w:noHBand="0" w:noVBand="1"/>
      </w:tblPr>
      <w:tblGrid>
        <w:gridCol w:w="1353"/>
        <w:gridCol w:w="1353"/>
        <w:gridCol w:w="1650"/>
        <w:gridCol w:w="978"/>
      </w:tblGrid>
      <w:tr w:rsidR="000C6BE9" w14:paraId="4F45CB8F" w14:textId="77777777" w:rsidTr="000C6BE9">
        <w:trPr>
          <w:trHeight w:val="20"/>
          <w:jc w:val="center"/>
        </w:trPr>
        <w:tc>
          <w:tcPr>
            <w:tcW w:w="1353" w:type="dxa"/>
            <w:tcBorders>
              <w:top w:val="single" w:sz="8" w:space="0" w:color="auto"/>
              <w:left w:val="single" w:sz="8" w:space="0" w:color="auto"/>
              <w:bottom w:val="single" w:sz="8" w:space="0" w:color="auto"/>
              <w:right w:val="single" w:sz="8" w:space="0" w:color="auto"/>
            </w:tcBorders>
            <w:shd w:val="clear" w:color="auto" w:fill="17365D"/>
            <w:vAlign w:val="center"/>
            <w:hideMark/>
          </w:tcPr>
          <w:p w14:paraId="4540AAC9" w14:textId="77777777" w:rsidR="000C6BE9" w:rsidRDefault="000C6BE9">
            <w:pPr>
              <w:jc w:val="center"/>
              <w:rPr>
                <w:rFonts w:eastAsia="Times New Roman" w:cs="Arial"/>
                <w:b/>
                <w:bCs/>
                <w:color w:val="F2F2F2"/>
                <w:sz w:val="18"/>
                <w:szCs w:val="18"/>
                <w:lang w:val="es-CO" w:eastAsia="es-CO"/>
              </w:rPr>
            </w:pPr>
            <w:r>
              <w:rPr>
                <w:rFonts w:eastAsia="Times New Roman" w:cs="Arial"/>
                <w:b/>
                <w:bCs/>
                <w:color w:val="F2F2F2"/>
                <w:sz w:val="18"/>
                <w:szCs w:val="18"/>
                <w:lang w:val="es-CO" w:eastAsia="es-CO"/>
              </w:rPr>
              <w:t>Asignación</w:t>
            </w:r>
          </w:p>
        </w:tc>
        <w:tc>
          <w:tcPr>
            <w:tcW w:w="3981" w:type="dxa"/>
            <w:gridSpan w:val="3"/>
            <w:tcBorders>
              <w:top w:val="single" w:sz="8" w:space="0" w:color="auto"/>
              <w:left w:val="nil"/>
              <w:bottom w:val="single" w:sz="8" w:space="0" w:color="auto"/>
              <w:right w:val="single" w:sz="8" w:space="0" w:color="000000"/>
            </w:tcBorders>
            <w:shd w:val="clear" w:color="auto" w:fill="17365D"/>
            <w:vAlign w:val="center"/>
            <w:hideMark/>
          </w:tcPr>
          <w:p w14:paraId="5CE4C426" w14:textId="77777777" w:rsidR="000C6BE9" w:rsidRDefault="000C6BE9">
            <w:pPr>
              <w:jc w:val="center"/>
              <w:rPr>
                <w:rFonts w:eastAsia="Times New Roman" w:cs="Arial"/>
                <w:b/>
                <w:bCs/>
                <w:color w:val="F2F2F2"/>
                <w:sz w:val="18"/>
                <w:szCs w:val="18"/>
                <w:lang w:val="es-CO" w:eastAsia="es-CO"/>
              </w:rPr>
            </w:pPr>
            <w:r>
              <w:rPr>
                <w:rFonts w:eastAsia="Times New Roman" w:cs="Arial"/>
                <w:b/>
                <w:bCs/>
                <w:color w:val="F2F2F2"/>
                <w:sz w:val="18"/>
                <w:szCs w:val="18"/>
                <w:lang w:val="es-CO" w:eastAsia="es-CO"/>
              </w:rPr>
              <w:t>Necesidades Educativas Especiales</w:t>
            </w:r>
          </w:p>
        </w:tc>
      </w:tr>
      <w:tr w:rsidR="000C6BE9" w14:paraId="18551AE3" w14:textId="77777777" w:rsidTr="000C6BE9">
        <w:trPr>
          <w:trHeight w:val="20"/>
          <w:jc w:val="center"/>
        </w:trPr>
        <w:tc>
          <w:tcPr>
            <w:tcW w:w="1353" w:type="dxa"/>
            <w:tcBorders>
              <w:top w:val="nil"/>
              <w:left w:val="single" w:sz="8" w:space="0" w:color="auto"/>
              <w:bottom w:val="single" w:sz="8" w:space="0" w:color="auto"/>
              <w:right w:val="single" w:sz="8" w:space="0" w:color="auto"/>
            </w:tcBorders>
            <w:shd w:val="clear" w:color="auto" w:fill="17365D"/>
            <w:vAlign w:val="center"/>
            <w:hideMark/>
          </w:tcPr>
          <w:p w14:paraId="439EFA0D" w14:textId="77777777" w:rsidR="000C6BE9" w:rsidRDefault="000C6BE9">
            <w:pPr>
              <w:jc w:val="center"/>
              <w:rPr>
                <w:rFonts w:eastAsia="Times New Roman" w:cs="Arial"/>
                <w:b/>
                <w:bCs/>
                <w:color w:val="F2F2F2"/>
                <w:sz w:val="18"/>
                <w:szCs w:val="18"/>
                <w:lang w:val="es-CO" w:eastAsia="es-CO"/>
              </w:rPr>
            </w:pPr>
            <w:r>
              <w:rPr>
                <w:rFonts w:eastAsia="Times New Roman" w:cs="Arial"/>
                <w:b/>
                <w:bCs/>
                <w:color w:val="F2F2F2"/>
                <w:sz w:val="18"/>
                <w:szCs w:val="18"/>
                <w:lang w:val="es-CO" w:eastAsia="es-CO"/>
              </w:rPr>
              <w:t>Vigencia</w:t>
            </w:r>
          </w:p>
        </w:tc>
        <w:tc>
          <w:tcPr>
            <w:tcW w:w="1353" w:type="dxa"/>
            <w:tcBorders>
              <w:top w:val="nil"/>
              <w:left w:val="nil"/>
              <w:bottom w:val="single" w:sz="8" w:space="0" w:color="auto"/>
              <w:right w:val="single" w:sz="8" w:space="0" w:color="auto"/>
            </w:tcBorders>
            <w:shd w:val="clear" w:color="auto" w:fill="B8CCE4"/>
            <w:noWrap/>
            <w:vAlign w:val="center"/>
            <w:hideMark/>
          </w:tcPr>
          <w:p w14:paraId="44EB9B0A" w14:textId="77777777" w:rsidR="000C6BE9" w:rsidRDefault="000C6BE9">
            <w:pPr>
              <w:jc w:val="center"/>
              <w:rPr>
                <w:rFonts w:eastAsia="Times New Roman" w:cs="Arial"/>
                <w:b/>
                <w:bCs/>
                <w:color w:val="000000"/>
                <w:sz w:val="18"/>
                <w:szCs w:val="18"/>
                <w:lang w:val="es-CO" w:eastAsia="es-CO"/>
              </w:rPr>
            </w:pPr>
            <w:r>
              <w:rPr>
                <w:rFonts w:eastAsia="Times New Roman" w:cs="Arial"/>
                <w:b/>
                <w:bCs/>
                <w:color w:val="000000"/>
                <w:sz w:val="18"/>
                <w:szCs w:val="18"/>
                <w:lang w:val="es-CO" w:eastAsia="es-CO"/>
              </w:rPr>
              <w:t>Asignación</w:t>
            </w:r>
          </w:p>
        </w:tc>
        <w:tc>
          <w:tcPr>
            <w:tcW w:w="1650" w:type="dxa"/>
            <w:tcBorders>
              <w:top w:val="nil"/>
              <w:left w:val="nil"/>
              <w:bottom w:val="single" w:sz="8" w:space="0" w:color="auto"/>
              <w:right w:val="single" w:sz="8" w:space="0" w:color="auto"/>
            </w:tcBorders>
            <w:shd w:val="clear" w:color="auto" w:fill="B8CCE4"/>
            <w:noWrap/>
            <w:vAlign w:val="center"/>
            <w:hideMark/>
          </w:tcPr>
          <w:p w14:paraId="1DA7B211" w14:textId="77777777" w:rsidR="000C6BE9" w:rsidRDefault="000C6BE9">
            <w:pPr>
              <w:jc w:val="center"/>
              <w:rPr>
                <w:rFonts w:eastAsia="Times New Roman" w:cs="Arial"/>
                <w:b/>
                <w:bCs/>
                <w:color w:val="000000"/>
                <w:sz w:val="18"/>
                <w:szCs w:val="18"/>
                <w:lang w:val="es-CO" w:eastAsia="es-CO"/>
              </w:rPr>
            </w:pPr>
            <w:r>
              <w:rPr>
                <w:rFonts w:eastAsia="Times New Roman" w:cs="Arial"/>
                <w:b/>
                <w:bCs/>
                <w:color w:val="000000"/>
                <w:sz w:val="18"/>
                <w:szCs w:val="18"/>
                <w:lang w:val="es-CO" w:eastAsia="es-CO"/>
              </w:rPr>
              <w:t>Compromisos</w:t>
            </w:r>
          </w:p>
        </w:tc>
        <w:tc>
          <w:tcPr>
            <w:tcW w:w="976" w:type="dxa"/>
            <w:tcBorders>
              <w:top w:val="nil"/>
              <w:left w:val="nil"/>
              <w:bottom w:val="single" w:sz="8" w:space="0" w:color="auto"/>
              <w:right w:val="single" w:sz="8" w:space="0" w:color="auto"/>
            </w:tcBorders>
            <w:shd w:val="clear" w:color="auto" w:fill="B8CCE4"/>
            <w:vAlign w:val="center"/>
            <w:hideMark/>
          </w:tcPr>
          <w:p w14:paraId="4566EB13" w14:textId="77777777" w:rsidR="000C6BE9" w:rsidRDefault="000C6BE9">
            <w:pPr>
              <w:jc w:val="center"/>
              <w:rPr>
                <w:rFonts w:eastAsia="Times New Roman" w:cs="Arial"/>
                <w:b/>
                <w:bCs/>
                <w:color w:val="000000"/>
                <w:sz w:val="18"/>
                <w:szCs w:val="18"/>
                <w:lang w:val="es-CO" w:eastAsia="es-CO"/>
              </w:rPr>
            </w:pPr>
            <w:r>
              <w:rPr>
                <w:rFonts w:eastAsia="Times New Roman" w:cs="Arial"/>
                <w:b/>
                <w:bCs/>
                <w:color w:val="000000"/>
                <w:sz w:val="18"/>
                <w:szCs w:val="18"/>
                <w:lang w:val="es-CO" w:eastAsia="es-CO"/>
              </w:rPr>
              <w:t>% Ejec</w:t>
            </w:r>
          </w:p>
        </w:tc>
      </w:tr>
      <w:tr w:rsidR="000C6BE9" w14:paraId="2B04CC7E" w14:textId="77777777" w:rsidTr="000C6BE9">
        <w:trPr>
          <w:trHeight w:val="20"/>
          <w:jc w:val="center"/>
        </w:trPr>
        <w:tc>
          <w:tcPr>
            <w:tcW w:w="1353" w:type="dxa"/>
            <w:tcBorders>
              <w:top w:val="nil"/>
              <w:left w:val="single" w:sz="8" w:space="0" w:color="auto"/>
              <w:bottom w:val="single" w:sz="8" w:space="0" w:color="auto"/>
              <w:right w:val="single" w:sz="8" w:space="0" w:color="auto"/>
            </w:tcBorders>
            <w:vAlign w:val="center"/>
            <w:hideMark/>
          </w:tcPr>
          <w:p w14:paraId="13F527EC" w14:textId="77777777" w:rsidR="000C6BE9" w:rsidRDefault="000C6BE9">
            <w:pPr>
              <w:rPr>
                <w:rFonts w:eastAsia="Times New Roman" w:cs="Arial"/>
                <w:color w:val="000000"/>
                <w:sz w:val="18"/>
                <w:szCs w:val="18"/>
                <w:lang w:val="es-CO" w:eastAsia="es-CO"/>
              </w:rPr>
            </w:pPr>
            <w:r>
              <w:rPr>
                <w:rFonts w:eastAsia="Times New Roman" w:cs="Arial"/>
                <w:color w:val="000000"/>
                <w:sz w:val="18"/>
                <w:szCs w:val="18"/>
                <w:lang w:val="es-CO" w:eastAsia="es-CO"/>
              </w:rPr>
              <w:t>2021</w:t>
            </w:r>
          </w:p>
        </w:tc>
        <w:tc>
          <w:tcPr>
            <w:tcW w:w="1353" w:type="dxa"/>
            <w:tcBorders>
              <w:top w:val="nil"/>
              <w:left w:val="nil"/>
              <w:bottom w:val="single" w:sz="8" w:space="0" w:color="auto"/>
              <w:right w:val="single" w:sz="8" w:space="0" w:color="auto"/>
            </w:tcBorders>
            <w:noWrap/>
            <w:vAlign w:val="center"/>
            <w:hideMark/>
          </w:tcPr>
          <w:p w14:paraId="3F0937B7"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$ 228</w:t>
            </w:r>
          </w:p>
        </w:tc>
        <w:tc>
          <w:tcPr>
            <w:tcW w:w="1650" w:type="dxa"/>
            <w:tcBorders>
              <w:top w:val="nil"/>
              <w:left w:val="nil"/>
              <w:bottom w:val="single" w:sz="8" w:space="0" w:color="auto"/>
              <w:right w:val="single" w:sz="8" w:space="0" w:color="auto"/>
            </w:tcBorders>
            <w:noWrap/>
            <w:vAlign w:val="center"/>
            <w:hideMark/>
          </w:tcPr>
          <w:p w14:paraId="5FAB3D0C"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$ 220</w:t>
            </w:r>
          </w:p>
        </w:tc>
        <w:tc>
          <w:tcPr>
            <w:tcW w:w="976" w:type="dxa"/>
            <w:tcBorders>
              <w:top w:val="nil"/>
              <w:left w:val="nil"/>
              <w:bottom w:val="single" w:sz="8" w:space="0" w:color="auto"/>
              <w:right w:val="single" w:sz="8" w:space="0" w:color="auto"/>
            </w:tcBorders>
            <w:vAlign w:val="center"/>
            <w:hideMark/>
          </w:tcPr>
          <w:p w14:paraId="4751DFD5"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96%</w:t>
            </w:r>
          </w:p>
        </w:tc>
      </w:tr>
      <w:tr w:rsidR="000C6BE9" w14:paraId="7D342A4B" w14:textId="77777777" w:rsidTr="000C6BE9">
        <w:trPr>
          <w:trHeight w:val="20"/>
          <w:jc w:val="center"/>
        </w:trPr>
        <w:tc>
          <w:tcPr>
            <w:tcW w:w="1353" w:type="dxa"/>
            <w:tcBorders>
              <w:top w:val="nil"/>
              <w:left w:val="single" w:sz="8" w:space="0" w:color="auto"/>
              <w:bottom w:val="single" w:sz="8" w:space="0" w:color="auto"/>
              <w:right w:val="single" w:sz="8" w:space="0" w:color="auto"/>
            </w:tcBorders>
            <w:vAlign w:val="center"/>
            <w:hideMark/>
          </w:tcPr>
          <w:p w14:paraId="7225B6A4" w14:textId="77777777" w:rsidR="000C6BE9" w:rsidRDefault="000C6BE9">
            <w:pPr>
              <w:rPr>
                <w:rFonts w:eastAsia="Times New Roman" w:cs="Arial"/>
                <w:color w:val="000000"/>
                <w:sz w:val="18"/>
                <w:szCs w:val="18"/>
                <w:lang w:val="es-CO" w:eastAsia="es-CO"/>
              </w:rPr>
            </w:pPr>
            <w:r>
              <w:rPr>
                <w:rFonts w:eastAsia="Times New Roman" w:cs="Arial"/>
                <w:color w:val="000000"/>
                <w:sz w:val="18"/>
                <w:szCs w:val="18"/>
                <w:lang w:val="es-CO" w:eastAsia="es-CO"/>
              </w:rPr>
              <w:t>2022</w:t>
            </w:r>
          </w:p>
        </w:tc>
        <w:tc>
          <w:tcPr>
            <w:tcW w:w="1353" w:type="dxa"/>
            <w:tcBorders>
              <w:top w:val="nil"/>
              <w:left w:val="nil"/>
              <w:bottom w:val="single" w:sz="8" w:space="0" w:color="auto"/>
              <w:right w:val="single" w:sz="8" w:space="0" w:color="auto"/>
            </w:tcBorders>
            <w:noWrap/>
            <w:vAlign w:val="center"/>
            <w:hideMark/>
          </w:tcPr>
          <w:p w14:paraId="2BDCAC9D"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 xml:space="preserve">$260 </w:t>
            </w:r>
          </w:p>
        </w:tc>
        <w:tc>
          <w:tcPr>
            <w:tcW w:w="1650" w:type="dxa"/>
            <w:tcBorders>
              <w:top w:val="nil"/>
              <w:left w:val="nil"/>
              <w:bottom w:val="single" w:sz="8" w:space="0" w:color="auto"/>
              <w:right w:val="single" w:sz="8" w:space="0" w:color="auto"/>
            </w:tcBorders>
            <w:noWrap/>
            <w:vAlign w:val="center"/>
            <w:hideMark/>
          </w:tcPr>
          <w:p w14:paraId="4BD6C067"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$ 202</w:t>
            </w:r>
          </w:p>
        </w:tc>
        <w:tc>
          <w:tcPr>
            <w:tcW w:w="976" w:type="dxa"/>
            <w:tcBorders>
              <w:top w:val="nil"/>
              <w:left w:val="nil"/>
              <w:bottom w:val="single" w:sz="8" w:space="0" w:color="auto"/>
              <w:right w:val="single" w:sz="8" w:space="0" w:color="auto"/>
            </w:tcBorders>
            <w:vAlign w:val="center"/>
            <w:hideMark/>
          </w:tcPr>
          <w:p w14:paraId="08A00032" w14:textId="77777777" w:rsidR="000C6BE9" w:rsidRDefault="000C6BE9">
            <w:pPr>
              <w:jc w:val="center"/>
              <w:rPr>
                <w:rFonts w:eastAsia="Times New Roman" w:cs="Arial"/>
                <w:color w:val="000000"/>
                <w:sz w:val="18"/>
                <w:szCs w:val="18"/>
                <w:lang w:val="es-CO" w:eastAsia="es-CO"/>
              </w:rPr>
            </w:pPr>
            <w:r>
              <w:rPr>
                <w:rFonts w:eastAsia="Times New Roman" w:cs="Arial"/>
                <w:color w:val="000000"/>
                <w:sz w:val="18"/>
                <w:szCs w:val="18"/>
                <w:lang w:val="es-CO" w:eastAsia="es-CO"/>
              </w:rPr>
              <w:t>78%</w:t>
            </w:r>
          </w:p>
        </w:tc>
      </w:tr>
    </w:tbl>
    <w:p w14:paraId="55477EEC" w14:textId="77777777" w:rsidR="000C6BE9" w:rsidRDefault="000C6BE9" w:rsidP="000C6BE9">
      <w:pPr>
        <w:jc w:val="both"/>
        <w:rPr>
          <w:bCs/>
          <w:lang w:val="es-CO" w:eastAsia="en-US"/>
        </w:rPr>
      </w:pPr>
    </w:p>
    <w:p w14:paraId="32DD115B" w14:textId="77777777" w:rsidR="000C6BE9" w:rsidRDefault="000C6BE9" w:rsidP="000C6BE9">
      <w:pPr>
        <w:jc w:val="both"/>
        <w:rPr>
          <w:bCs/>
          <w:lang w:val="es-CO" w:eastAsia="en-US"/>
        </w:rPr>
      </w:pPr>
      <w:r>
        <w:rPr>
          <w:bCs/>
          <w:lang w:val="es-CO" w:eastAsia="en-US"/>
        </w:rPr>
        <w:t>De acuerdo con el Informe sobre la prestación del servicio educativo a la población con Necesidades Educativas Especiales y Capacidades Excepcionales presentado por la Entidad, para la vigencia 2021 se suscribieron 18 contratos de profesionales de apoyo pedagógico para la atención a estudiantes con discapacidad y talentos excepcionales, dichos contratistas se distribuyeron en los 29 Establecimientos Educativos con matrícula de Estudiantes con Necesidades Educativas Especiales</w:t>
      </w:r>
    </w:p>
    <w:p w14:paraId="65EF9FEE" w14:textId="77777777" w:rsidR="000C6BE9" w:rsidRDefault="000C6BE9" w:rsidP="000C6BE9">
      <w:pPr>
        <w:jc w:val="both"/>
        <w:rPr>
          <w:bCs/>
          <w:lang w:val="es-CO" w:eastAsia="en-US"/>
        </w:rPr>
      </w:pPr>
    </w:p>
    <w:p w14:paraId="34D75F6E" w14:textId="77777777" w:rsidR="000C6BE9" w:rsidRDefault="000C6BE9" w:rsidP="000C6BE9">
      <w:pPr>
        <w:jc w:val="both"/>
        <w:rPr>
          <w:bCs/>
          <w:lang w:val="es-CO" w:eastAsia="en-US"/>
        </w:rPr>
      </w:pPr>
      <w:r>
        <w:rPr>
          <w:bCs/>
          <w:lang w:val="es-CO" w:eastAsia="en-US"/>
        </w:rPr>
        <w:t>Así mismo, para la vigencia 2022 la Entidad suscribió 17 contratos de profesionales de apoyo pedagógico para la atención a estudiantes con discapacidad y talentos excepcionales entre los cuales se encontraban intérpretes de la Lengua de Señas colombiana-español, guías intérpretes, modelos lingüísticos, mediadores y tiflólogos.</w:t>
      </w:r>
    </w:p>
    <w:p w14:paraId="4574BD00" w14:textId="77777777" w:rsidR="000C6BE9" w:rsidRDefault="000C6BE9" w:rsidP="000C6BE9">
      <w:pPr>
        <w:jc w:val="both"/>
        <w:rPr>
          <w:bCs/>
          <w:lang w:val="es-CO" w:eastAsia="en-US"/>
        </w:rPr>
      </w:pPr>
    </w:p>
    <w:p w14:paraId="2A839220" w14:textId="77777777" w:rsidR="000C6BE9" w:rsidRDefault="000C6BE9" w:rsidP="000C6BE9">
      <w:pPr>
        <w:jc w:val="both"/>
        <w:rPr>
          <w:bCs/>
          <w:lang w:val="es-CO" w:eastAsia="en-US"/>
        </w:rPr>
      </w:pPr>
      <w:r>
        <w:rPr>
          <w:bCs/>
          <w:lang w:val="es-CO" w:eastAsia="en-US"/>
        </w:rPr>
        <w:t xml:space="preserve">Teniendo en cuenta lo anterior, es importante recordar que el Ministerio de Educación Nacional asigna estos recursos de acuerdo con el estudio de las necesidades detectadas en cada Entidad Territorial, por lo tanto, es indispensable que el Municipio ejecute adecuadamente la totalidad de estos recursos. </w:t>
      </w:r>
    </w:p>
    <w:p w14:paraId="1489A966" w14:textId="77777777" w:rsidR="000C6BE9" w:rsidRDefault="000C6BE9" w:rsidP="000C6BE9">
      <w:pPr>
        <w:jc w:val="both"/>
        <w:rPr>
          <w:bCs/>
          <w:lang w:val="es-CO" w:eastAsia="en-US"/>
        </w:rPr>
      </w:pPr>
    </w:p>
    <w:p w14:paraId="00346462" w14:textId="77777777" w:rsidR="000C6BE9" w:rsidRDefault="000C6BE9" w:rsidP="000C6BE9">
      <w:pPr>
        <w:jc w:val="both"/>
        <w:rPr>
          <w:bCs/>
          <w:lang w:val="es-CO" w:eastAsia="en-US"/>
        </w:rPr>
      </w:pPr>
      <w:r>
        <w:rPr>
          <w:bCs/>
          <w:lang w:val="es-CO" w:eastAsia="en-US"/>
        </w:rPr>
        <w:lastRenderedPageBreak/>
        <w:t xml:space="preserve">Por lo anterior, se evidencia un avance en el porcentaje de los recursos comprometidos, ya que la Entidad logró comprometer el 96% de la asignación para la vigencia 2021, faltando por ejecutar solo $8 millones. </w:t>
      </w:r>
    </w:p>
    <w:p w14:paraId="74FBAB29" w14:textId="77777777" w:rsidR="000C6BE9" w:rsidRDefault="000C6BE9" w:rsidP="000C6BE9">
      <w:pPr>
        <w:jc w:val="both"/>
        <w:rPr>
          <w:bCs/>
          <w:lang w:val="es-CO" w:eastAsia="en-US"/>
        </w:rPr>
      </w:pPr>
    </w:p>
    <w:p w14:paraId="75E24080" w14:textId="77777777" w:rsidR="000C6BE9" w:rsidRDefault="000C6BE9" w:rsidP="000C6BE9">
      <w:pPr>
        <w:jc w:val="both"/>
        <w:rPr>
          <w:bCs/>
          <w:szCs w:val="22"/>
          <w:lang w:eastAsia="en-US"/>
        </w:rPr>
      </w:pPr>
      <w:r>
        <w:rPr>
          <w:bCs/>
          <w:szCs w:val="22"/>
          <w:lang w:eastAsia="en-US"/>
        </w:rPr>
        <w:t>Evaluación de la actividad: Cumple</w:t>
      </w:r>
    </w:p>
    <w:p w14:paraId="03D1596D" w14:textId="77777777" w:rsidR="000C6BE9" w:rsidRDefault="000C6BE9" w:rsidP="000C6BE9">
      <w:pPr>
        <w:jc w:val="both"/>
        <w:rPr>
          <w:b/>
          <w:lang w:val="es-CO" w:eastAsia="en-US"/>
        </w:rPr>
      </w:pPr>
    </w:p>
    <w:p w14:paraId="116065DE" w14:textId="77777777" w:rsidR="000C6BE9" w:rsidRDefault="000C6BE9" w:rsidP="000C6BE9">
      <w:pPr>
        <w:jc w:val="both"/>
        <w:rPr>
          <w:b/>
          <w:szCs w:val="22"/>
          <w:lang w:eastAsia="en-US"/>
        </w:rPr>
      </w:pPr>
      <w:r>
        <w:rPr>
          <w:b/>
          <w:szCs w:val="22"/>
          <w:lang w:eastAsia="en-US"/>
        </w:rPr>
        <w:t>Recomendación:</w:t>
      </w:r>
    </w:p>
    <w:p w14:paraId="3A30C320" w14:textId="77777777" w:rsidR="000C6BE9" w:rsidRDefault="000C6BE9" w:rsidP="000C6BE9">
      <w:pPr>
        <w:jc w:val="both"/>
        <w:rPr>
          <w:b/>
          <w:szCs w:val="22"/>
          <w:lang w:eastAsia="en-US"/>
        </w:rPr>
      </w:pPr>
    </w:p>
    <w:p w14:paraId="7BBA756B" w14:textId="77777777" w:rsidR="000C6BE9" w:rsidRDefault="000C6BE9" w:rsidP="000C6BE9">
      <w:pPr>
        <w:jc w:val="both"/>
        <w:rPr>
          <w:szCs w:val="22"/>
          <w:lang w:eastAsia="en-US"/>
        </w:rPr>
      </w:pPr>
      <w:r>
        <w:rPr>
          <w:bCs/>
          <w:szCs w:val="22"/>
          <w:lang w:eastAsia="en-US"/>
        </w:rPr>
        <w:t>La Entidad Territorial debe remitir para el próximo informe de seguimiento, el listado de contratos y registros presupuestales de los compromisos por concepto de Necesidades Educativas Especiales de segundo semestre de la vigencia 2023, para verificar 100% de ejecución de la vigencia 2023.</w:t>
      </w:r>
    </w:p>
    <w:p w14:paraId="3B377F0F" w14:textId="77777777" w:rsidR="000C6BE9" w:rsidRDefault="000C6BE9" w:rsidP="000C6BE9">
      <w:pPr>
        <w:rPr>
          <w:highlight w:val="green"/>
          <w:lang w:val="es-CO" w:eastAsia="en-US"/>
        </w:rPr>
      </w:pPr>
    </w:p>
    <w:p w14:paraId="5B123F95" w14:textId="77777777" w:rsidR="000C6BE9" w:rsidRDefault="000C6BE9" w:rsidP="000C6BE9">
      <w:pPr>
        <w:pStyle w:val="Ttulo2"/>
        <w:spacing w:before="0"/>
        <w:jc w:val="both"/>
        <w:rPr>
          <w:rFonts w:cs="Arial"/>
          <w:b/>
          <w:bCs/>
          <w:lang w:val="es-CO"/>
        </w:rPr>
      </w:pPr>
      <w:r>
        <w:rPr>
          <w:rFonts w:cs="Arial"/>
          <w:b/>
          <w:bCs/>
          <w:lang w:val="es-CO"/>
        </w:rPr>
        <w:t>Objetivo 2.3 Realizar una adecuada, oportuna y eficiente gestión contractual en todas sus etapas (Planeación, Precontractual, Contractual y Post Contractual)</w:t>
      </w:r>
    </w:p>
    <w:p w14:paraId="661E2EDD" w14:textId="77777777" w:rsidR="000C6BE9" w:rsidRDefault="000C6BE9" w:rsidP="000C6BE9">
      <w:pPr>
        <w:rPr>
          <w:highlight w:val="green"/>
          <w:lang w:val="es-CO" w:eastAsia="en-US"/>
        </w:rPr>
      </w:pPr>
    </w:p>
    <w:p w14:paraId="2EF8B82A" w14:textId="77777777" w:rsidR="000C6BE9" w:rsidRDefault="000C6BE9" w:rsidP="000C6BE9">
      <w:pPr>
        <w:pStyle w:val="Ttulo3"/>
        <w:spacing w:before="0"/>
        <w:jc w:val="both"/>
        <w:rPr>
          <w:rFonts w:eastAsiaTheme="minorHAnsi" w:cs="Arial"/>
          <w:lang w:val="es-CO" w:eastAsia="en-US"/>
        </w:rPr>
      </w:pPr>
      <w:r>
        <w:rPr>
          <w:rFonts w:eastAsiaTheme="minorHAnsi" w:cs="Arial"/>
          <w:b/>
          <w:lang w:val="es-CO" w:eastAsia="en-US"/>
        </w:rPr>
        <w:t>Actividad 2.3</w:t>
      </w:r>
      <w:r>
        <w:rPr>
          <w:rFonts w:eastAsiaTheme="minorHAnsi" w:cs="Arial"/>
          <w:lang w:val="es-CO" w:eastAsia="en-US"/>
        </w:rPr>
        <w:t>.1 Surtir los procesos de contratación requeridos para el sector educativo en cumplimiento de los requisitos y lineamientos establecidos en la Ley 715 de 2001 y las normas de contratación estatal, en todas sus etapas.</w:t>
      </w:r>
    </w:p>
    <w:p w14:paraId="16BE01F8" w14:textId="77777777" w:rsidR="000C6BE9" w:rsidRDefault="000C6BE9" w:rsidP="000C6BE9">
      <w:pPr>
        <w:jc w:val="both"/>
        <w:rPr>
          <w:rFonts w:cs="Arial"/>
          <w:lang w:val="es-CO" w:eastAsia="en-US"/>
        </w:rPr>
      </w:pPr>
    </w:p>
    <w:p w14:paraId="125E515A" w14:textId="77777777" w:rsidR="000C6BE9" w:rsidRDefault="000C6BE9" w:rsidP="000C6BE9">
      <w:pPr>
        <w:jc w:val="both"/>
        <w:rPr>
          <w:b/>
          <w:lang w:val="es-CO" w:eastAsia="en-US"/>
        </w:rPr>
      </w:pPr>
      <w:r>
        <w:rPr>
          <w:b/>
          <w:lang w:val="es-CO" w:eastAsia="en-US"/>
        </w:rPr>
        <w:t xml:space="preserve">Productos esperados: </w:t>
      </w:r>
      <w:r>
        <w:rPr>
          <w:lang w:val="es-CO" w:eastAsia="en-US"/>
        </w:rPr>
        <w:t>Plan de Compras del sector educativo actualizado, listados de CDP y RP, listado de la totalidad de los contratos del sector Educación incluyendo el objeto, la fuente de financiación, la vigencia, el valor, y el link o código con el cual se realizó la publicación en el SECOP, acto administrativo de definición del calendario académico de cada vigencia y actas del comité de contratación que dé cuenta del seguimiento al plan de compras para garantizar el correcto y oportuno suministro de bienes y servicios requeridos por el sector.</w:t>
      </w:r>
    </w:p>
    <w:p w14:paraId="47639D65" w14:textId="77777777" w:rsidR="000C6BE9" w:rsidRDefault="000C6BE9" w:rsidP="000C6BE9">
      <w:pPr>
        <w:jc w:val="both"/>
        <w:rPr>
          <w:lang w:val="es-CO" w:eastAsia="en-US"/>
        </w:rPr>
      </w:pPr>
    </w:p>
    <w:p w14:paraId="539A1244" w14:textId="77777777" w:rsidR="000C6BE9" w:rsidRDefault="000C6BE9" w:rsidP="000C6BE9">
      <w:pPr>
        <w:rPr>
          <w:b/>
          <w:szCs w:val="22"/>
          <w:lang w:val="es-CO" w:eastAsia="en-US"/>
        </w:rPr>
      </w:pPr>
      <w:r>
        <w:rPr>
          <w:b/>
          <w:szCs w:val="22"/>
          <w:lang w:val="es-CO" w:eastAsia="en-US"/>
        </w:rPr>
        <w:t>Evaluación</w:t>
      </w:r>
    </w:p>
    <w:p w14:paraId="58BBAE17" w14:textId="77777777" w:rsidR="000C6BE9" w:rsidRDefault="000C6BE9" w:rsidP="000C6BE9">
      <w:pPr>
        <w:jc w:val="both"/>
        <w:rPr>
          <w:bCs/>
          <w:szCs w:val="22"/>
          <w:lang w:eastAsia="en-US"/>
        </w:rPr>
      </w:pPr>
    </w:p>
    <w:p w14:paraId="33129E12" w14:textId="77777777" w:rsidR="000C6BE9" w:rsidRDefault="000C6BE9" w:rsidP="000C6BE9">
      <w:pPr>
        <w:jc w:val="both"/>
        <w:rPr>
          <w:bCs/>
          <w:szCs w:val="22"/>
          <w:lang w:eastAsia="en-US"/>
        </w:rPr>
      </w:pPr>
      <w:r>
        <w:rPr>
          <w:bCs/>
          <w:szCs w:val="22"/>
          <w:lang w:eastAsia="en-US"/>
        </w:rPr>
        <w:t>De conformidad con la presente actividad, la entidad remitió la relación de los contratos suscritos para la vigencia 2021 y 2022, los cuales se encuentran financiados con recursos del Sistema General de Participaciones, ingresos corrientes de libre destinación, impuesto estampillas, indicando en todo caso que esta Dirección revisó únicamente aquellos contratos que fueron financiados con recursos SGP- Educación.</w:t>
      </w:r>
    </w:p>
    <w:p w14:paraId="6C46D9B9" w14:textId="77777777" w:rsidR="000C6BE9" w:rsidRDefault="000C6BE9" w:rsidP="000C6BE9">
      <w:pPr>
        <w:jc w:val="both"/>
        <w:rPr>
          <w:bCs/>
          <w:szCs w:val="22"/>
          <w:lang w:eastAsia="en-US"/>
        </w:rPr>
      </w:pPr>
    </w:p>
    <w:p w14:paraId="751B8F75" w14:textId="77777777" w:rsidR="000C6BE9" w:rsidRDefault="000C6BE9" w:rsidP="000C6BE9">
      <w:pPr>
        <w:jc w:val="both"/>
        <w:rPr>
          <w:bCs/>
          <w:szCs w:val="22"/>
          <w:lang w:eastAsia="en-US"/>
        </w:rPr>
      </w:pPr>
      <w:r>
        <w:rPr>
          <w:bCs/>
          <w:szCs w:val="22"/>
          <w:lang w:eastAsia="en-US"/>
        </w:rPr>
        <w:t>Al respecto, se observa que del listado de los contratos suministrados por la entidad de acuerdo con el reporte de la plataforma SECOP I, la entidad territorial aún presenta falencias en la publicación de la información dentro de los procesos contractuales, sin embargo, de acuerdo con los productos esperados se tiene que, en efecto, con la información remitida por parte de la Entidad Territorial se encuentra el documento denominado 49. Plan de Adquisiciones Educación, en el cual se encuentra discriminado el plan de compras del Sector Educativo correspondiente a la vigencia 2022, incluyendo igualmente el listado de los contratos del Sector Educación, pero una vez verificados los procesos de contratación efectuados en la vigencia 2021 y 2022 se observa lo siguiente:</w:t>
      </w:r>
    </w:p>
    <w:p w14:paraId="3D5B6215" w14:textId="77777777" w:rsidR="000C6BE9" w:rsidRDefault="000C6BE9" w:rsidP="000C6BE9">
      <w:pPr>
        <w:jc w:val="both"/>
        <w:rPr>
          <w:b/>
          <w:szCs w:val="22"/>
          <w:lang w:eastAsia="en-US"/>
        </w:rPr>
      </w:pPr>
      <w:r>
        <w:rPr>
          <w:b/>
          <w:szCs w:val="22"/>
          <w:lang w:eastAsia="en-US"/>
        </w:rPr>
        <w:t xml:space="preserve"> </w:t>
      </w:r>
    </w:p>
    <w:p w14:paraId="75CE8CBA" w14:textId="77777777" w:rsidR="000C6BE9" w:rsidRDefault="000C6BE9" w:rsidP="000C6BE9">
      <w:pPr>
        <w:jc w:val="both"/>
        <w:rPr>
          <w:b/>
          <w:szCs w:val="22"/>
          <w:lang w:eastAsia="en-US"/>
        </w:rPr>
      </w:pPr>
      <w:r>
        <w:rPr>
          <w:b/>
          <w:szCs w:val="22"/>
          <w:lang w:eastAsia="en-US"/>
        </w:rPr>
        <w:t>Vigencia 2021</w:t>
      </w:r>
    </w:p>
    <w:p w14:paraId="0FF9B841" w14:textId="77777777" w:rsidR="000C6BE9" w:rsidRDefault="000C6BE9" w:rsidP="000C6BE9">
      <w:pPr>
        <w:jc w:val="both"/>
        <w:rPr>
          <w:b/>
          <w:szCs w:val="22"/>
          <w:lang w:eastAsia="en-US"/>
        </w:rPr>
      </w:pPr>
    </w:p>
    <w:p w14:paraId="7A1E52AD" w14:textId="77777777" w:rsidR="000C6BE9" w:rsidRDefault="000C6BE9" w:rsidP="000C6BE9">
      <w:pPr>
        <w:ind w:left="426" w:hanging="426"/>
        <w:jc w:val="both"/>
        <w:rPr>
          <w:b/>
          <w:szCs w:val="22"/>
          <w:lang w:eastAsia="en-US"/>
        </w:rPr>
      </w:pPr>
      <w:r>
        <w:rPr>
          <w:b/>
          <w:szCs w:val="22"/>
          <w:lang w:eastAsia="en-US"/>
        </w:rPr>
        <w:lastRenderedPageBreak/>
        <w:t>•</w:t>
      </w:r>
      <w:r>
        <w:rPr>
          <w:b/>
          <w:szCs w:val="22"/>
          <w:lang w:eastAsia="en-US"/>
        </w:rPr>
        <w:tab/>
        <w:t xml:space="preserve">Contrato No. 282 de 2022, </w:t>
      </w:r>
      <w:r>
        <w:rPr>
          <w:bCs/>
          <w:szCs w:val="22"/>
          <w:lang w:eastAsia="en-US"/>
        </w:rPr>
        <w:t>con objeto de “prestación de servicios de apoyo logístico para la celebración de la jornada denominada – festival de la juventud en el marco de las políticas de participación juvenil en el Municipio de Santa Cruz de Lorica, año 2021”, por un valor de 39.998.400 con recursos SGP – educación.</w:t>
      </w:r>
      <w:r w:rsidR="00670213">
        <w:rPr>
          <w:rStyle w:val="Refdenotaalpie"/>
          <w:bCs/>
          <w:szCs w:val="22"/>
          <w:lang w:eastAsia="en-US"/>
        </w:rPr>
        <w:footnoteReference w:id="2"/>
      </w:r>
    </w:p>
    <w:p w14:paraId="7856B878" w14:textId="77777777" w:rsidR="000C6BE9" w:rsidRDefault="000C6BE9" w:rsidP="000C6BE9">
      <w:pPr>
        <w:jc w:val="both"/>
        <w:rPr>
          <w:b/>
          <w:szCs w:val="22"/>
          <w:lang w:eastAsia="en-US"/>
        </w:rPr>
      </w:pPr>
    </w:p>
    <w:p w14:paraId="31EFDD17" w14:textId="77777777" w:rsidR="000C6BE9" w:rsidRDefault="000C6BE9" w:rsidP="000C6BE9">
      <w:pPr>
        <w:jc w:val="both"/>
        <w:rPr>
          <w:bCs/>
          <w:szCs w:val="22"/>
          <w:lang w:eastAsia="en-US"/>
        </w:rPr>
      </w:pPr>
      <w:r>
        <w:rPr>
          <w:bCs/>
          <w:szCs w:val="22"/>
          <w:lang w:eastAsia="en-US"/>
        </w:rPr>
        <w:t>En la propuesta presentada por el oferente seleccionado se observa una serie de incentivos personales dentro de las actividades a realizar denominadas “jornada tarde: the color run”, contraviniendo de tal modo la prohibición estipulada en la Ley, pues en este se observa otra irregularidad y es que, los incentivos entregados con ocasión a dicha actividad constaban de Cuatro Tablet con Ram De 2GB, Memoria Interna De 16GB Pantalla Táctil de 7" Android 9.0 con estuche antigolpes. Android 9.0 Procesador de cuatro núcleos a 1,5 GHz 2 GB de RAM DDR3 16 GB de almacenamiento interno 0.3MP cámara frontal 2 MP Cámara trasera Wifi 2,4ghz = 5ghz 802.11b / g / n Wireless LAN Bluetooth 2.0 ranura microSD (soporta hasta 128 GB) Altavoz t 7 pulgadas multi-pantalla táctil capacitiva ( 1024 x 600 resolución) Precargado con Google Play Store compatible con múltiples formatos de lenguaje Batería: 3,7V/ 4.000 Mah Construido en una batería de iones de litio recargable hasta 6 horas de tiempo de trabajo. Esta adquisición evidencia el uso indebido de recursos públicos, en contravía de lo establecido en el artículo 6 del Decreto 2209 de 1998 sobre la prohibición de otorgar regalos, así como la expresa prohibición de realizar donaciones, prebendas o auxilios, sin garantizar un proceso redistributivo y el bienestar general.</w:t>
      </w:r>
    </w:p>
    <w:p w14:paraId="5A017AD2" w14:textId="77777777" w:rsidR="000C6BE9" w:rsidRDefault="000C6BE9" w:rsidP="000C6BE9">
      <w:pPr>
        <w:jc w:val="both"/>
        <w:rPr>
          <w:b/>
          <w:szCs w:val="22"/>
          <w:lang w:eastAsia="en-US"/>
        </w:rPr>
      </w:pPr>
    </w:p>
    <w:p w14:paraId="05D19E5D" w14:textId="77777777" w:rsidR="000C6BE9" w:rsidRDefault="000C6BE9" w:rsidP="000C6BE9">
      <w:pPr>
        <w:jc w:val="both"/>
        <w:rPr>
          <w:b/>
          <w:szCs w:val="22"/>
          <w:lang w:eastAsia="en-US"/>
        </w:rPr>
      </w:pPr>
      <w:r>
        <w:rPr>
          <w:b/>
          <w:szCs w:val="22"/>
          <w:lang w:eastAsia="en-US"/>
        </w:rPr>
        <w:t>Vigencia 2022</w:t>
      </w:r>
    </w:p>
    <w:p w14:paraId="55B5019E" w14:textId="77777777" w:rsidR="000C6BE9" w:rsidRDefault="000C6BE9" w:rsidP="000C6BE9">
      <w:pPr>
        <w:jc w:val="both"/>
        <w:rPr>
          <w:b/>
          <w:szCs w:val="22"/>
          <w:lang w:eastAsia="en-US"/>
        </w:rPr>
      </w:pPr>
    </w:p>
    <w:p w14:paraId="1C0BEE35" w14:textId="77777777" w:rsidR="000C6BE9" w:rsidRDefault="000C6BE9" w:rsidP="000C6BE9">
      <w:pPr>
        <w:ind w:left="426" w:hanging="426"/>
        <w:jc w:val="both"/>
        <w:rPr>
          <w:b/>
          <w:szCs w:val="22"/>
          <w:lang w:eastAsia="en-US"/>
        </w:rPr>
      </w:pPr>
      <w:r>
        <w:rPr>
          <w:b/>
          <w:szCs w:val="22"/>
          <w:lang w:eastAsia="en-US"/>
        </w:rPr>
        <w:t>•</w:t>
      </w:r>
      <w:r>
        <w:rPr>
          <w:b/>
          <w:szCs w:val="22"/>
          <w:lang w:eastAsia="en-US"/>
        </w:rPr>
        <w:tab/>
        <w:t xml:space="preserve">Contrato No. 269 de 2022, </w:t>
      </w:r>
      <w:r>
        <w:rPr>
          <w:bCs/>
          <w:szCs w:val="22"/>
          <w:lang w:eastAsia="en-US"/>
        </w:rPr>
        <w:t>con objeto de “</w:t>
      </w:r>
      <w:r>
        <w:rPr>
          <w:bCs/>
          <w:i/>
          <w:szCs w:val="22"/>
          <w:lang w:eastAsia="en-US"/>
        </w:rPr>
        <w:t>servicio logístico para la participación de la delegación del municipio de Santa Cruz De Lorica en el encuentro de los juegos del magisterio del año 2022 con la adquisición de uniformes deportivos, transporte y alimentación en la fase departamental</w:t>
      </w:r>
      <w:r>
        <w:rPr>
          <w:bCs/>
          <w:szCs w:val="22"/>
          <w:lang w:eastAsia="en-US"/>
        </w:rPr>
        <w:t>”, por un valor de $9.997.000 COP, con recursos de SGP- Educación.</w:t>
      </w:r>
      <w:r>
        <w:rPr>
          <w:b/>
          <w:szCs w:val="22"/>
          <w:lang w:eastAsia="en-US"/>
        </w:rPr>
        <w:t xml:space="preserve"> </w:t>
      </w:r>
      <w:r w:rsidR="00754913">
        <w:rPr>
          <w:rStyle w:val="Refdenotaalpie"/>
          <w:b/>
          <w:szCs w:val="22"/>
          <w:lang w:eastAsia="en-US"/>
        </w:rPr>
        <w:footnoteReference w:id="3"/>
      </w:r>
    </w:p>
    <w:p w14:paraId="10BE18A3" w14:textId="77777777" w:rsidR="000C6BE9" w:rsidRDefault="000C6BE9" w:rsidP="000C6BE9">
      <w:pPr>
        <w:jc w:val="both"/>
        <w:rPr>
          <w:b/>
          <w:szCs w:val="22"/>
          <w:lang w:eastAsia="en-US"/>
        </w:rPr>
      </w:pPr>
    </w:p>
    <w:p w14:paraId="67C3CD39" w14:textId="77777777" w:rsidR="000C6BE9" w:rsidRDefault="000C6BE9" w:rsidP="000C6BE9">
      <w:pPr>
        <w:jc w:val="both"/>
        <w:rPr>
          <w:bCs/>
          <w:szCs w:val="22"/>
          <w:lang w:eastAsia="en-US"/>
        </w:rPr>
      </w:pPr>
      <w:r>
        <w:rPr>
          <w:bCs/>
          <w:szCs w:val="22"/>
          <w:lang w:eastAsia="en-US"/>
        </w:rPr>
        <w:t xml:space="preserve">Este proceso respaldado por el RP No. 643 de 2018 con cargo a recursos del SGP Educación terminó con la expedición de la comunicación de aceptación de oferta el 29 de septiembre del 2022 presentada por la Fundación dejando Huellas en el Tejido Social, representada legalmente por Liciano Manuela Guzmán, dentro del cual se otorgaron uniformes y prendas de vestir. </w:t>
      </w:r>
    </w:p>
    <w:p w14:paraId="5DA503C2" w14:textId="77777777" w:rsidR="000C6BE9" w:rsidRDefault="000C6BE9" w:rsidP="000C6BE9">
      <w:pPr>
        <w:jc w:val="both"/>
        <w:rPr>
          <w:bCs/>
          <w:szCs w:val="22"/>
          <w:lang w:eastAsia="en-US"/>
        </w:rPr>
      </w:pPr>
    </w:p>
    <w:p w14:paraId="1E8E1394" w14:textId="77777777" w:rsidR="000C6BE9" w:rsidRDefault="000C6BE9" w:rsidP="000C6BE9">
      <w:pPr>
        <w:jc w:val="both"/>
        <w:rPr>
          <w:bCs/>
          <w:szCs w:val="22"/>
          <w:lang w:eastAsia="en-US"/>
        </w:rPr>
      </w:pPr>
      <w:r>
        <w:rPr>
          <w:bCs/>
          <w:szCs w:val="22"/>
          <w:lang w:eastAsia="en-US"/>
        </w:rPr>
        <w:t>De acuerdo con el contrato relacionado, es necesario recordar que de conformidad con la Ley 715 del 2001 deben destinarse los recursos pertenecientes a la Participación en educación a las actividades permitidas en ella, además de encontrarse expresamente prohibido bajo la normativa constitucional de conformidad con el artículo 355.</w:t>
      </w:r>
    </w:p>
    <w:p w14:paraId="4B91D009" w14:textId="77777777" w:rsidR="000C6BE9" w:rsidRDefault="000C6BE9" w:rsidP="000C6BE9">
      <w:pPr>
        <w:jc w:val="both"/>
        <w:rPr>
          <w:b/>
          <w:szCs w:val="22"/>
          <w:lang w:eastAsia="en-US"/>
        </w:rPr>
      </w:pPr>
    </w:p>
    <w:p w14:paraId="33E6B6BF" w14:textId="77777777" w:rsidR="000C6BE9" w:rsidRDefault="000C6BE9" w:rsidP="000C6BE9">
      <w:pPr>
        <w:ind w:right="49"/>
        <w:jc w:val="both"/>
        <w:rPr>
          <w:rFonts w:cs="Arial"/>
          <w:szCs w:val="22"/>
          <w:shd w:val="clear" w:color="auto" w:fill="FFFFFF"/>
          <w:lang w:val="es-CO" w:eastAsia="en-US"/>
        </w:rPr>
      </w:pPr>
      <w:r>
        <w:rPr>
          <w:rFonts w:cs="Arial"/>
          <w:szCs w:val="22"/>
          <w:shd w:val="clear" w:color="auto" w:fill="FFFFFF"/>
        </w:rPr>
        <w:t>Asimismo, es menester indicar que dentro de la asignación que se realiza por los gastos inherentes a la nómina docente, en el cálculo se incluye el monto correspondiente a seguridad social y parafiscales de los docentes, en este último rubro se incluye el valor correspondiente a los aportes a las Cajas de Compensación Familiar, que según el artículo 29 del Decreto 784 de 1989 tienen como función los servicios de recreación social y bienestar laboral, en los siguientes términos:</w:t>
      </w:r>
    </w:p>
    <w:p w14:paraId="34FD902F" w14:textId="77777777" w:rsidR="000C6BE9" w:rsidRDefault="000C6BE9" w:rsidP="000C6BE9">
      <w:pPr>
        <w:jc w:val="both"/>
        <w:rPr>
          <w:rFonts w:cs="Arial"/>
          <w:shd w:val="clear" w:color="auto" w:fill="FFFFFF"/>
        </w:rPr>
      </w:pPr>
    </w:p>
    <w:p w14:paraId="7E9129E5" w14:textId="77777777" w:rsidR="000C6BE9" w:rsidRDefault="000C6BE9" w:rsidP="000C6BE9">
      <w:pPr>
        <w:ind w:left="567" w:right="191"/>
        <w:jc w:val="both"/>
        <w:rPr>
          <w:rFonts w:cs="Arial"/>
          <w:i/>
          <w:iCs/>
          <w:sz w:val="18"/>
          <w:szCs w:val="18"/>
          <w:shd w:val="clear" w:color="auto" w:fill="FFFFFF"/>
        </w:rPr>
      </w:pPr>
      <w:r>
        <w:rPr>
          <w:rFonts w:cs="Arial"/>
          <w:i/>
          <w:iCs/>
          <w:sz w:val="18"/>
          <w:szCs w:val="18"/>
          <w:shd w:val="clear" w:color="auto" w:fill="FFFFFF"/>
        </w:rPr>
        <w:t>“Artículo 29.- Los servicios de recreación social. Los servicios de recreación social que adelanten las cajas de compensación familiar estarán orientados por las siguientes finalidades principales:</w:t>
      </w:r>
    </w:p>
    <w:p w14:paraId="220139B1" w14:textId="77777777" w:rsidR="000C6BE9" w:rsidRDefault="000C6BE9" w:rsidP="000C6BE9">
      <w:pPr>
        <w:ind w:left="567" w:right="191"/>
        <w:jc w:val="both"/>
        <w:rPr>
          <w:rFonts w:cs="Arial"/>
          <w:i/>
          <w:iCs/>
          <w:sz w:val="18"/>
          <w:szCs w:val="18"/>
          <w:shd w:val="clear" w:color="auto" w:fill="FFFFFF"/>
        </w:rPr>
      </w:pPr>
    </w:p>
    <w:p w14:paraId="240F0CC0" w14:textId="77777777" w:rsidR="000C6BE9" w:rsidRDefault="000C6BE9" w:rsidP="000C6BE9">
      <w:pPr>
        <w:ind w:left="567" w:right="191"/>
        <w:jc w:val="both"/>
        <w:rPr>
          <w:rFonts w:cs="Arial"/>
          <w:i/>
          <w:iCs/>
          <w:sz w:val="18"/>
          <w:szCs w:val="18"/>
          <w:shd w:val="clear" w:color="auto" w:fill="FFFFFF"/>
        </w:rPr>
      </w:pPr>
      <w:r>
        <w:rPr>
          <w:rFonts w:cs="Arial"/>
          <w:i/>
          <w:iCs/>
          <w:sz w:val="18"/>
          <w:szCs w:val="18"/>
          <w:shd w:val="clear" w:color="auto" w:fill="FFFFFF"/>
        </w:rPr>
        <w:t>1. Prestar servicios de recreación y turismo social.</w:t>
      </w:r>
    </w:p>
    <w:p w14:paraId="7068E63B" w14:textId="77777777" w:rsidR="000C6BE9" w:rsidRDefault="000C6BE9" w:rsidP="000C6BE9">
      <w:pPr>
        <w:ind w:left="567" w:right="191"/>
        <w:jc w:val="both"/>
        <w:rPr>
          <w:rFonts w:cs="Arial"/>
          <w:i/>
          <w:iCs/>
          <w:sz w:val="18"/>
          <w:szCs w:val="18"/>
          <w:shd w:val="clear" w:color="auto" w:fill="FFFFFF"/>
        </w:rPr>
      </w:pPr>
      <w:r>
        <w:rPr>
          <w:rFonts w:cs="Arial"/>
          <w:i/>
          <w:iCs/>
          <w:sz w:val="18"/>
          <w:szCs w:val="18"/>
          <w:shd w:val="clear" w:color="auto" w:fill="FFFFFF"/>
        </w:rPr>
        <w:t>2. Facilitar el descanso o el esparcimiento de los trabajadores afiliados, de manera que se repongan de la fatiga o el cansancio resultante de la actividad laboral.</w:t>
      </w:r>
    </w:p>
    <w:p w14:paraId="03556664" w14:textId="77777777" w:rsidR="000C6BE9" w:rsidRDefault="000C6BE9" w:rsidP="000C6BE9">
      <w:pPr>
        <w:ind w:left="567" w:right="191"/>
        <w:jc w:val="both"/>
        <w:rPr>
          <w:rFonts w:cs="Arial"/>
          <w:i/>
          <w:iCs/>
          <w:sz w:val="18"/>
          <w:szCs w:val="18"/>
          <w:shd w:val="clear" w:color="auto" w:fill="FFFFFF"/>
        </w:rPr>
      </w:pPr>
      <w:r>
        <w:rPr>
          <w:rFonts w:cs="Arial"/>
          <w:i/>
          <w:iCs/>
          <w:sz w:val="18"/>
          <w:szCs w:val="18"/>
          <w:shd w:val="clear" w:color="auto" w:fill="FFFFFF"/>
        </w:rPr>
        <w:t>3. Inducir a los trabajadores y sus familias a la práctica del deporte y la sana utilización del tiempo libre.</w:t>
      </w:r>
    </w:p>
    <w:p w14:paraId="7E45AEAA" w14:textId="77777777" w:rsidR="000C6BE9" w:rsidRDefault="000C6BE9" w:rsidP="000C6BE9">
      <w:pPr>
        <w:ind w:left="567" w:right="191"/>
        <w:jc w:val="both"/>
        <w:rPr>
          <w:rFonts w:cs="Arial"/>
          <w:b/>
          <w:bCs/>
          <w:i/>
          <w:iCs/>
          <w:sz w:val="18"/>
          <w:szCs w:val="18"/>
          <w:u w:val="single"/>
          <w:shd w:val="clear" w:color="auto" w:fill="FFFFFF"/>
        </w:rPr>
      </w:pPr>
      <w:r>
        <w:rPr>
          <w:rFonts w:cs="Arial"/>
          <w:i/>
          <w:iCs/>
          <w:sz w:val="18"/>
          <w:szCs w:val="18"/>
          <w:shd w:val="clear" w:color="auto" w:fill="FFFFFF"/>
        </w:rPr>
        <w:t xml:space="preserve">4. </w:t>
      </w:r>
      <w:r>
        <w:rPr>
          <w:rFonts w:cs="Arial"/>
          <w:b/>
          <w:bCs/>
          <w:i/>
          <w:iCs/>
          <w:sz w:val="18"/>
          <w:szCs w:val="18"/>
          <w:u w:val="single"/>
          <w:shd w:val="clear" w:color="auto" w:fill="FFFFFF"/>
        </w:rPr>
        <w:t>Facilitar la participación en eventos deportivos, programas de recreación, excursiones y actividades similares para el desarrollo físico y mental de los afiliados y sus familias</w:t>
      </w:r>
      <w:r>
        <w:rPr>
          <w:rFonts w:cs="Arial"/>
          <w:sz w:val="18"/>
          <w:szCs w:val="18"/>
          <w:shd w:val="clear" w:color="auto" w:fill="FFFFFF"/>
        </w:rPr>
        <w:t>”. (Énfasis por fuera de texto)</w:t>
      </w:r>
    </w:p>
    <w:p w14:paraId="524AB3A2" w14:textId="77777777" w:rsidR="000C6BE9" w:rsidRDefault="000C6BE9" w:rsidP="000C6BE9">
      <w:pPr>
        <w:ind w:right="616"/>
        <w:jc w:val="both"/>
        <w:rPr>
          <w:rFonts w:cs="Arial"/>
          <w:szCs w:val="22"/>
          <w:shd w:val="clear" w:color="auto" w:fill="FFFFFF"/>
        </w:rPr>
      </w:pPr>
    </w:p>
    <w:p w14:paraId="16DA32C8" w14:textId="77777777" w:rsidR="000C6BE9" w:rsidRDefault="000C6BE9" w:rsidP="000C6BE9">
      <w:pPr>
        <w:ind w:right="49"/>
        <w:jc w:val="both"/>
        <w:rPr>
          <w:rFonts w:cs="Arial"/>
          <w:szCs w:val="22"/>
          <w:shd w:val="clear" w:color="auto" w:fill="FFFFFF"/>
        </w:rPr>
      </w:pPr>
      <w:r>
        <w:rPr>
          <w:rFonts w:cs="Arial"/>
          <w:szCs w:val="22"/>
          <w:shd w:val="clear" w:color="auto" w:fill="FFFFFF"/>
        </w:rPr>
        <w:t>En ese mismo sentido, el numeral cuarto del artículo 2.2.10.2 del Decreto 1083 de 2015, establece la posibilidad de que las actividades de recreación y bienestar de los empleados se gestionen en coordinación con las Cajas de Compensación Familiar.</w:t>
      </w:r>
    </w:p>
    <w:p w14:paraId="4BDAEFD5" w14:textId="77777777" w:rsidR="000C6BE9" w:rsidRDefault="000C6BE9" w:rsidP="000C6BE9">
      <w:pPr>
        <w:jc w:val="both"/>
        <w:rPr>
          <w:rFonts w:cs="Arial"/>
          <w:szCs w:val="22"/>
          <w:shd w:val="clear" w:color="auto" w:fill="FFFFFF"/>
        </w:rPr>
      </w:pPr>
    </w:p>
    <w:p w14:paraId="292F9BAB" w14:textId="77777777" w:rsidR="000C6BE9" w:rsidRDefault="000C6BE9" w:rsidP="000C6BE9">
      <w:pPr>
        <w:jc w:val="both"/>
        <w:rPr>
          <w:b/>
          <w:szCs w:val="22"/>
          <w:lang w:eastAsia="en-US"/>
        </w:rPr>
      </w:pPr>
      <w:r>
        <w:rPr>
          <w:rFonts w:cs="Arial"/>
          <w:szCs w:val="22"/>
          <w:shd w:val="clear" w:color="auto" w:fill="FFFFFF"/>
        </w:rPr>
        <w:t>Por lo cual, en virtud de los Principios de Economía y Eficiencia consagrados en el artículo 209 de la Constitución Política, corresponde a quien ejerce la función administrativa aprovechar en la mayor medida los recursos a su disposición, obteniendo el máximo beneficio posible con ellos, es por esto que el desarrollo del objeto del contrato anterior no es financiable con el SGP, la Entidad Territorial cuenta con la Caja de Compensación Familiar, cuyos aportes son cubiertos por la nómina financiada con el SGP – Educación.</w:t>
      </w:r>
    </w:p>
    <w:p w14:paraId="2273A812" w14:textId="77777777" w:rsidR="000C6BE9" w:rsidRDefault="000C6BE9" w:rsidP="000C6BE9">
      <w:pPr>
        <w:jc w:val="both"/>
        <w:rPr>
          <w:b/>
          <w:szCs w:val="22"/>
          <w:lang w:eastAsia="en-US"/>
        </w:rPr>
      </w:pPr>
    </w:p>
    <w:p w14:paraId="4A036FD0" w14:textId="77777777" w:rsidR="000C6BE9" w:rsidRDefault="000C6BE9" w:rsidP="000C6BE9">
      <w:pPr>
        <w:ind w:left="426" w:hanging="426"/>
        <w:jc w:val="both"/>
        <w:rPr>
          <w:bCs/>
          <w:szCs w:val="22"/>
          <w:lang w:eastAsia="en-US"/>
        </w:rPr>
      </w:pPr>
      <w:r>
        <w:rPr>
          <w:b/>
          <w:szCs w:val="22"/>
          <w:lang w:eastAsia="en-US"/>
        </w:rPr>
        <w:lastRenderedPageBreak/>
        <w:t>•</w:t>
      </w:r>
      <w:r>
        <w:rPr>
          <w:b/>
          <w:szCs w:val="22"/>
          <w:lang w:eastAsia="en-US"/>
        </w:rPr>
        <w:tab/>
        <w:t xml:space="preserve">Contrato No. 215 de 2022, </w:t>
      </w:r>
      <w:r>
        <w:rPr>
          <w:bCs/>
          <w:szCs w:val="22"/>
          <w:lang w:eastAsia="en-US"/>
        </w:rPr>
        <w:t>con objeto de “</w:t>
      </w:r>
      <w:r>
        <w:rPr>
          <w:bCs/>
          <w:i/>
          <w:szCs w:val="22"/>
          <w:lang w:eastAsia="en-US"/>
        </w:rPr>
        <w:t>prestación de apoyo a la gestión en el desarrollo, logística y servicio de alimentación para el desarrollo del encuentro del día del maestro en el municipio de Santa Cruz De Lorica”</w:t>
      </w:r>
      <w:r>
        <w:rPr>
          <w:bCs/>
          <w:szCs w:val="22"/>
          <w:lang w:eastAsia="en-US"/>
        </w:rPr>
        <w:t>, por un valor de 15.990.000.</w:t>
      </w:r>
      <w:r w:rsidR="00754913">
        <w:rPr>
          <w:rStyle w:val="Refdenotaalpie"/>
          <w:bCs/>
          <w:szCs w:val="22"/>
          <w:lang w:eastAsia="en-US"/>
        </w:rPr>
        <w:footnoteReference w:id="4"/>
      </w:r>
    </w:p>
    <w:p w14:paraId="00E55E06" w14:textId="77777777" w:rsidR="000C6BE9" w:rsidRDefault="000C6BE9" w:rsidP="000C6BE9">
      <w:pPr>
        <w:jc w:val="both"/>
        <w:rPr>
          <w:bCs/>
          <w:szCs w:val="22"/>
          <w:lang w:eastAsia="en-US"/>
        </w:rPr>
      </w:pPr>
    </w:p>
    <w:p w14:paraId="7A54CF63" w14:textId="77777777" w:rsidR="000C6BE9" w:rsidRDefault="000C6BE9" w:rsidP="000C6BE9">
      <w:pPr>
        <w:jc w:val="both"/>
        <w:rPr>
          <w:bCs/>
          <w:szCs w:val="22"/>
          <w:lang w:eastAsia="en-US"/>
        </w:rPr>
      </w:pPr>
      <w:r>
        <w:rPr>
          <w:bCs/>
          <w:szCs w:val="22"/>
          <w:lang w:eastAsia="en-US"/>
        </w:rPr>
        <w:t>En este caso, una vez realizada la respectiva consulta en el sistema electrónico SECOP I se tiene que a pesar de no ser objeto financiable con recursos del SGP – educación, dentro del Plan Anual de Adquisiciones suministrado por la entidad indica que el mismo se realizó bajo el siguiente rubro “SGP- EDUCACIÓN- PRESTACIÓN DE SERVICIOS- 1.2.4.1.01”. Sin embargo, la consulta en el sistema electrónico reporta que el mismo se efectuó con ingresos corrientes de libre destinación e igualmente su valor difiere a lo consignado finalmente en el contrato firmado.</w:t>
      </w:r>
    </w:p>
    <w:p w14:paraId="22A5068C" w14:textId="77777777" w:rsidR="000C6BE9" w:rsidRDefault="000C6BE9" w:rsidP="000C6BE9">
      <w:pPr>
        <w:jc w:val="both"/>
        <w:rPr>
          <w:bCs/>
          <w:szCs w:val="22"/>
          <w:lang w:eastAsia="en-US"/>
        </w:rPr>
      </w:pPr>
    </w:p>
    <w:p w14:paraId="2FF8F85C" w14:textId="77777777" w:rsidR="000C6BE9" w:rsidRDefault="000C6BE9" w:rsidP="000C6BE9">
      <w:pPr>
        <w:jc w:val="both"/>
        <w:rPr>
          <w:bCs/>
          <w:szCs w:val="22"/>
          <w:lang w:eastAsia="en-US"/>
        </w:rPr>
      </w:pPr>
      <w:r>
        <w:rPr>
          <w:bCs/>
          <w:szCs w:val="22"/>
          <w:lang w:eastAsia="en-US"/>
        </w:rPr>
        <w:t>De lo anterior, es posible inferir que la entidad territorial no mantiene actualizado el Plan Anual de Adquisiciones, pues esto figura como una obligación a cargo de las entidades territoriales con el fin de garantizar el principio de transparencia, dado que de acuerdo a las condiciones que se fijan en él, se garantiza la publicidad y el conocimiento de las actuaciones contractuales de la entidad, situación que</w:t>
      </w:r>
      <w:r>
        <w:rPr>
          <w:b/>
          <w:szCs w:val="22"/>
          <w:lang w:eastAsia="en-US"/>
        </w:rPr>
        <w:t xml:space="preserve"> </w:t>
      </w:r>
      <w:r>
        <w:rPr>
          <w:bCs/>
          <w:szCs w:val="22"/>
          <w:lang w:eastAsia="en-US"/>
        </w:rPr>
        <w:t>igualmente debe desarrollarse de conformidad con el artículo 2.1.1.2.1.10 del Decreto 1082 de 2015.</w:t>
      </w:r>
    </w:p>
    <w:p w14:paraId="7D5CB08B" w14:textId="77777777" w:rsidR="000C6BE9" w:rsidRDefault="000C6BE9" w:rsidP="000C6BE9">
      <w:pPr>
        <w:jc w:val="both"/>
        <w:rPr>
          <w:bCs/>
          <w:szCs w:val="22"/>
          <w:lang w:eastAsia="en-US"/>
        </w:rPr>
      </w:pPr>
    </w:p>
    <w:p w14:paraId="67EDBD81" w14:textId="77777777" w:rsidR="000C6BE9" w:rsidRDefault="000C6BE9" w:rsidP="000C6BE9">
      <w:pPr>
        <w:jc w:val="both"/>
        <w:rPr>
          <w:bCs/>
          <w:szCs w:val="22"/>
          <w:lang w:eastAsia="en-US"/>
        </w:rPr>
      </w:pPr>
      <w:r>
        <w:rPr>
          <w:bCs/>
          <w:szCs w:val="22"/>
          <w:lang w:eastAsia="en-US"/>
        </w:rPr>
        <w:t>Evaluación de la actividad: No cumple</w:t>
      </w:r>
    </w:p>
    <w:p w14:paraId="268BE531" w14:textId="77777777" w:rsidR="000C6BE9" w:rsidRDefault="000C6BE9" w:rsidP="000C6BE9">
      <w:pPr>
        <w:jc w:val="both"/>
        <w:rPr>
          <w:b/>
          <w:szCs w:val="22"/>
          <w:lang w:eastAsia="en-US"/>
        </w:rPr>
      </w:pPr>
    </w:p>
    <w:p w14:paraId="5FE44EC8" w14:textId="77777777" w:rsidR="000C6BE9" w:rsidRDefault="000C6BE9" w:rsidP="000C6BE9">
      <w:pPr>
        <w:jc w:val="both"/>
        <w:rPr>
          <w:b/>
          <w:szCs w:val="22"/>
          <w:lang w:eastAsia="en-US"/>
        </w:rPr>
      </w:pPr>
      <w:r>
        <w:rPr>
          <w:b/>
          <w:szCs w:val="22"/>
          <w:lang w:eastAsia="en-US"/>
        </w:rPr>
        <w:t>Recomendación</w:t>
      </w:r>
    </w:p>
    <w:p w14:paraId="54AF4185" w14:textId="77777777" w:rsidR="000C6BE9" w:rsidRDefault="000C6BE9" w:rsidP="000C6BE9">
      <w:pPr>
        <w:jc w:val="both"/>
        <w:rPr>
          <w:b/>
          <w:szCs w:val="22"/>
          <w:lang w:eastAsia="en-US"/>
        </w:rPr>
      </w:pPr>
    </w:p>
    <w:p w14:paraId="6271769D" w14:textId="77777777" w:rsidR="000C6BE9" w:rsidRDefault="000C6BE9" w:rsidP="000C6BE9">
      <w:pPr>
        <w:jc w:val="both"/>
        <w:rPr>
          <w:bCs/>
          <w:szCs w:val="22"/>
          <w:lang w:eastAsia="en-US"/>
        </w:rPr>
      </w:pPr>
      <w:r>
        <w:rPr>
          <w:bCs/>
          <w:szCs w:val="22"/>
          <w:lang w:eastAsia="en-US"/>
        </w:rPr>
        <w:t>Teniendo en cuenta lo enunciado, la Entidad Territorial debe identificar las razones por las cuales el personal encargado de realizar la actualización del Plan Anual de Adquisición no las está efectuando con un desarrollo más constante con el fin de que los cambios en los procesos de compras se ejecuten de una forma más oportuna. Así, tanto el funcionario responsable de esto, como el jefe inmediato deberán velar por el cumplimiento de la actividad, de la mano con la oficina de control interno quien se sugiere acompañe a la administración en esta labor.</w:t>
      </w:r>
    </w:p>
    <w:p w14:paraId="35E04312" w14:textId="77777777" w:rsidR="000C6BE9" w:rsidRDefault="000C6BE9" w:rsidP="000C6BE9">
      <w:pPr>
        <w:jc w:val="both"/>
        <w:rPr>
          <w:bCs/>
          <w:szCs w:val="22"/>
          <w:lang w:eastAsia="en-US"/>
        </w:rPr>
      </w:pPr>
    </w:p>
    <w:p w14:paraId="7779E1CD" w14:textId="77777777" w:rsidR="000C6BE9" w:rsidRDefault="000C6BE9" w:rsidP="000C6BE9">
      <w:pPr>
        <w:jc w:val="both"/>
        <w:rPr>
          <w:bCs/>
          <w:szCs w:val="22"/>
          <w:lang w:eastAsia="en-US"/>
        </w:rPr>
      </w:pPr>
      <w:r>
        <w:rPr>
          <w:bCs/>
          <w:szCs w:val="22"/>
          <w:lang w:eastAsia="en-US"/>
        </w:rPr>
        <w:t>Por otra parte, es necesaria la verificación por parte del responsable de la coordinación contractual frente a los objetos de gasto permitidos con los recursos pertenecientes al SGP- Educación, con el fin de que los mismos sean invertidos correctamente en las actividades consignadas por la Ley 715 del 2001.</w:t>
      </w:r>
    </w:p>
    <w:p w14:paraId="19D874A1" w14:textId="77777777" w:rsidR="000C6BE9" w:rsidRDefault="000C6BE9" w:rsidP="000C6BE9">
      <w:pPr>
        <w:jc w:val="both"/>
        <w:rPr>
          <w:rFonts w:cs="Arial"/>
          <w:lang w:val="es-CO"/>
        </w:rPr>
      </w:pPr>
    </w:p>
    <w:p w14:paraId="1FFF0168" w14:textId="77777777" w:rsidR="000C6BE9" w:rsidRDefault="000C6BE9" w:rsidP="000C6BE9">
      <w:pPr>
        <w:pStyle w:val="Ttulo2"/>
        <w:spacing w:before="0"/>
        <w:jc w:val="both"/>
        <w:rPr>
          <w:rFonts w:cs="Arial"/>
          <w:b/>
          <w:bCs/>
          <w:szCs w:val="22"/>
        </w:rPr>
      </w:pPr>
      <w:r>
        <w:rPr>
          <w:rFonts w:cs="Arial"/>
          <w:b/>
          <w:bCs/>
          <w:szCs w:val="22"/>
        </w:rPr>
        <w:lastRenderedPageBreak/>
        <w:t>CATEGORÍA 3: RECURSOS HUMANOS</w:t>
      </w:r>
    </w:p>
    <w:p w14:paraId="14E5C01C" w14:textId="77777777" w:rsidR="000C6BE9" w:rsidRDefault="000C6BE9" w:rsidP="000C6BE9">
      <w:pPr>
        <w:jc w:val="both"/>
        <w:rPr>
          <w:rFonts w:eastAsiaTheme="minorHAnsi" w:cs="Arial"/>
          <w:szCs w:val="22"/>
          <w:lang w:val="es-CO" w:eastAsia="en-US"/>
        </w:rPr>
      </w:pPr>
    </w:p>
    <w:p w14:paraId="4D07B708" w14:textId="77777777" w:rsidR="000C6BE9" w:rsidRDefault="000C6BE9" w:rsidP="000C6BE9">
      <w:pPr>
        <w:pStyle w:val="Ttulo2"/>
        <w:spacing w:before="0"/>
        <w:jc w:val="both"/>
        <w:rPr>
          <w:rFonts w:eastAsiaTheme="minorHAnsi" w:cs="Arial"/>
          <w:szCs w:val="22"/>
          <w:lang w:val="es-CO" w:eastAsia="en-US"/>
        </w:rPr>
      </w:pPr>
      <w:r>
        <w:rPr>
          <w:rFonts w:eastAsiaTheme="minorHAnsi" w:cs="Arial"/>
          <w:b/>
          <w:bCs/>
          <w:szCs w:val="22"/>
          <w:lang w:val="es-CO" w:eastAsia="en-US"/>
        </w:rPr>
        <w:t>Objetivo 3.1. Administrar con eficiencia la planta docente, directiva docente y administrativa.</w:t>
      </w:r>
    </w:p>
    <w:p w14:paraId="3C0584F9" w14:textId="77777777" w:rsidR="000C6BE9" w:rsidRDefault="000C6BE9" w:rsidP="000C6BE9">
      <w:pPr>
        <w:jc w:val="both"/>
        <w:rPr>
          <w:rFonts w:eastAsiaTheme="minorHAnsi" w:cs="Arial"/>
          <w:szCs w:val="22"/>
          <w:lang w:val="es-CO" w:eastAsia="en-US"/>
        </w:rPr>
      </w:pPr>
    </w:p>
    <w:p w14:paraId="3ACB20D8" w14:textId="77777777" w:rsidR="000C6BE9" w:rsidRDefault="000C6BE9" w:rsidP="000C6BE9">
      <w:pPr>
        <w:pStyle w:val="Ttulo3"/>
        <w:spacing w:before="0"/>
        <w:jc w:val="both"/>
        <w:rPr>
          <w:rFonts w:eastAsiaTheme="minorHAnsi" w:cs="Arial"/>
          <w:szCs w:val="22"/>
          <w:lang w:val="es-CO" w:eastAsia="en-US"/>
        </w:rPr>
      </w:pPr>
      <w:r>
        <w:rPr>
          <w:rFonts w:eastAsiaTheme="minorHAnsi" w:cs="Arial"/>
          <w:b/>
          <w:bCs/>
          <w:szCs w:val="22"/>
          <w:lang w:val="es-CO" w:eastAsia="en-US"/>
        </w:rPr>
        <w:t>Actividad 3.1.1.</w:t>
      </w:r>
      <w:r>
        <w:rPr>
          <w:rFonts w:eastAsiaTheme="minorHAnsi" w:cs="Arial"/>
          <w:szCs w:val="22"/>
          <w:lang w:val="es-CO" w:eastAsia="en-US"/>
        </w:rPr>
        <w:t xml:space="preserve"> Formalizar la creación de un comité conformado por personal de cobertura y de planta que garantice la aplicación de los parámetros técnicos legalmente establecidos para la distribución de la planta en la Entidad Territorial, la equidad y oportunidad en la prestación del servicio educativo en la jurisdicción de la entidad territorial.</w:t>
      </w:r>
    </w:p>
    <w:p w14:paraId="1DB7D6E3" w14:textId="77777777" w:rsidR="000C6BE9" w:rsidRDefault="000C6BE9" w:rsidP="000C6BE9">
      <w:pPr>
        <w:jc w:val="both"/>
        <w:rPr>
          <w:rFonts w:cs="Arial"/>
          <w:szCs w:val="22"/>
          <w:lang w:val="es-CO" w:eastAsia="en-US"/>
        </w:rPr>
      </w:pPr>
    </w:p>
    <w:p w14:paraId="30BB82D4" w14:textId="77777777" w:rsidR="000C6BE9" w:rsidRDefault="000C6BE9" w:rsidP="000C6BE9">
      <w:pPr>
        <w:jc w:val="both"/>
        <w:rPr>
          <w:rFonts w:eastAsiaTheme="minorHAnsi"/>
          <w:b/>
          <w:lang w:val="es-CO" w:eastAsia="en-US"/>
        </w:rPr>
      </w:pPr>
      <w:r>
        <w:rPr>
          <w:rFonts w:eastAsiaTheme="minorHAnsi"/>
          <w:b/>
          <w:lang w:val="es-CO" w:eastAsia="en-US"/>
        </w:rPr>
        <w:t xml:space="preserve">Productos esperados: </w:t>
      </w:r>
      <w:r>
        <w:rPr>
          <w:lang w:val="es-CO" w:eastAsia="en-US"/>
        </w:rPr>
        <w:t>Acto administrativo que formaliza al comité conformado por personal de cobertura y de planta encargado de los estudios técnicos de la distribución de la planta, asignación de matrícula y apertura o cierre de sedes o Instituciones Educativas, actas de reuniones del comité que dé cuenta de la revisión de los parámetros técnicos en la distribución de la planta y acto administrativo de distribución de planta expedido en el plazo definido por la ley.</w:t>
      </w:r>
    </w:p>
    <w:p w14:paraId="2496D9FB" w14:textId="77777777" w:rsidR="000C6BE9" w:rsidRDefault="000C6BE9" w:rsidP="000C6BE9">
      <w:pPr>
        <w:jc w:val="both"/>
        <w:rPr>
          <w:lang w:val="es-CO" w:eastAsia="en-US"/>
        </w:rPr>
      </w:pPr>
    </w:p>
    <w:p w14:paraId="4A35394A" w14:textId="77777777" w:rsidR="000C6BE9" w:rsidRDefault="000C6BE9" w:rsidP="000C6BE9">
      <w:pPr>
        <w:jc w:val="both"/>
        <w:rPr>
          <w:rFonts w:eastAsiaTheme="minorHAnsi"/>
          <w:b/>
          <w:bCs/>
          <w:lang w:val="es-CO" w:eastAsia="en-US"/>
        </w:rPr>
      </w:pPr>
      <w:r>
        <w:rPr>
          <w:rFonts w:eastAsiaTheme="minorHAnsi"/>
          <w:b/>
          <w:lang w:val="es-CO" w:eastAsia="en-US"/>
        </w:rPr>
        <w:t>Evaluación</w:t>
      </w:r>
      <w:r>
        <w:rPr>
          <w:rFonts w:eastAsiaTheme="minorHAnsi"/>
          <w:b/>
          <w:bCs/>
          <w:lang w:val="es-CO" w:eastAsia="en-US"/>
        </w:rPr>
        <w:t>:</w:t>
      </w:r>
    </w:p>
    <w:p w14:paraId="76E3B42E" w14:textId="77777777" w:rsidR="000C6BE9" w:rsidRDefault="000C6BE9" w:rsidP="000C6BE9">
      <w:pPr>
        <w:jc w:val="both"/>
        <w:rPr>
          <w:rFonts w:eastAsiaTheme="minorHAnsi"/>
          <w:b/>
          <w:lang w:val="es-CO" w:eastAsia="en-US"/>
        </w:rPr>
      </w:pPr>
    </w:p>
    <w:p w14:paraId="188442EC" w14:textId="77777777" w:rsidR="000C6BE9" w:rsidRDefault="000C6BE9" w:rsidP="000C6BE9">
      <w:pPr>
        <w:jc w:val="both"/>
        <w:textAlignment w:val="baseline"/>
        <w:rPr>
          <w:rFonts w:eastAsiaTheme="majorEastAsia" w:cs="Arial"/>
          <w:szCs w:val="22"/>
          <w:lang w:val="es-CO" w:eastAsia="en-US"/>
        </w:rPr>
      </w:pPr>
      <w:r>
        <w:rPr>
          <w:rFonts w:eastAsiaTheme="majorEastAsia" w:cs="Arial"/>
          <w:szCs w:val="22"/>
          <w:lang w:val="es-CO" w:eastAsia="en-US"/>
        </w:rPr>
        <w:t>El Municipio expidió el Decreto 0125 del 04 de febrero de 2022 a través del cual se crea el Comité Directivo de la Secretaría de Educación del Municipio de Santa Cruz de Lorica, dicho comité es presidido por el/la secretaria (a) de Educación Municipal y conformado por los líderes de cada área de la Secretaría de Educación Municipal. De igual manera, el Decreto establece que el comité se reunirá ordinariamente cada mes previa convocatoria de la Secretaría y, además, podrá reunirse extraordinariamente cuando las necesidades así lo requieran. </w:t>
      </w:r>
    </w:p>
    <w:p w14:paraId="2508151A" w14:textId="77777777" w:rsidR="000C6BE9" w:rsidRDefault="000C6BE9" w:rsidP="000C6BE9">
      <w:pPr>
        <w:jc w:val="both"/>
        <w:textAlignment w:val="baseline"/>
        <w:rPr>
          <w:rFonts w:eastAsiaTheme="majorEastAsia" w:cs="Arial"/>
          <w:szCs w:val="22"/>
          <w:lang w:val="es-CO" w:eastAsia="en-US"/>
        </w:rPr>
      </w:pPr>
      <w:r>
        <w:rPr>
          <w:rFonts w:eastAsiaTheme="majorEastAsia" w:cs="Arial"/>
          <w:szCs w:val="22"/>
          <w:lang w:val="es-CO" w:eastAsia="en-US"/>
        </w:rPr>
        <w:t> </w:t>
      </w:r>
    </w:p>
    <w:p w14:paraId="421E5738" w14:textId="77777777" w:rsidR="000C6BE9" w:rsidRDefault="000C6BE9" w:rsidP="000C6BE9">
      <w:pPr>
        <w:jc w:val="both"/>
        <w:textAlignment w:val="baseline"/>
        <w:rPr>
          <w:rFonts w:eastAsiaTheme="majorEastAsia" w:cs="Arial"/>
          <w:szCs w:val="22"/>
          <w:lang w:val="es-CO" w:eastAsia="en-US"/>
        </w:rPr>
      </w:pPr>
      <w:r>
        <w:rPr>
          <w:rFonts w:eastAsiaTheme="majorEastAsia" w:cs="Arial"/>
          <w:szCs w:val="22"/>
          <w:lang w:val="es-CO" w:eastAsia="en-US"/>
        </w:rPr>
        <w:t xml:space="preserve">Ahora bien, de acuerdo con las actas de reunión suministradas por la Entidad, el primer comité directivo se realizó el 28 de febrero de 2022 y tuvo como temas a tratar el análisis y asignación de compromisos documentales sobre concepto técnico de planta MEN y el análisis de avances sobre el tablero de indicadores del sector, entre otros. </w:t>
      </w:r>
    </w:p>
    <w:p w14:paraId="2104D1D8" w14:textId="77777777" w:rsidR="000C6BE9" w:rsidRDefault="000C6BE9" w:rsidP="000C6BE9">
      <w:pPr>
        <w:jc w:val="both"/>
        <w:textAlignment w:val="baseline"/>
        <w:rPr>
          <w:rFonts w:eastAsiaTheme="majorEastAsia" w:cs="Arial"/>
          <w:szCs w:val="22"/>
          <w:lang w:val="es-CO" w:eastAsia="en-US"/>
        </w:rPr>
      </w:pPr>
      <w:r>
        <w:rPr>
          <w:rFonts w:eastAsiaTheme="majorEastAsia" w:cs="Arial"/>
          <w:szCs w:val="22"/>
          <w:lang w:val="es-CO" w:eastAsia="en-US"/>
        </w:rPr>
        <w:t> </w:t>
      </w:r>
    </w:p>
    <w:p w14:paraId="50F2FE6B" w14:textId="77777777" w:rsidR="000C6BE9" w:rsidRDefault="000C6BE9" w:rsidP="000C6BE9">
      <w:pPr>
        <w:jc w:val="both"/>
        <w:textAlignment w:val="baseline"/>
        <w:rPr>
          <w:rFonts w:eastAsiaTheme="majorEastAsia" w:cs="Arial"/>
          <w:szCs w:val="22"/>
          <w:lang w:val="es-CO" w:eastAsia="en-US"/>
        </w:rPr>
      </w:pPr>
      <w:r>
        <w:rPr>
          <w:rFonts w:eastAsiaTheme="majorEastAsia" w:cs="Arial"/>
          <w:szCs w:val="22"/>
          <w:lang w:val="es-CO" w:eastAsia="en-US"/>
        </w:rPr>
        <w:t>De igual manera, el Municipio expidió la Resolución No. 1134 del 25 de abril de 2022 “Por medio de la cual se establece el proceso de gestión de cobertura Educativa para el año lectivo 2023 en establecimientos educativos, estatales y privados, que atienden los niveles de preescolar, básica primaria, básica secundaria y media, en el municipio Santa Cruz de Lorica”, que, según el artículo primero, tiene por objeto “establecer las directrices, criterios, procedimientos y cronograma para la organización y gestión de cobertura del servicio educativo en el Municipio de Santa Cruz de Lorica, que busca organizar los establecimientos educativos, como unidades académico administrativas donde se presta el servicio educativo, de tal manera que se permita articular el recurso humano, de infraestructura y de estrategias de acceso y permanencia del sistema educativo con el fin de garantizar el acceso oportuno, la permanencia de las niñas, niños, jóvenes y adultos de la prestación del servicio durante el año escolar y la continuidad en el sistema educativo, con calidad, equidad y eficiencia”. </w:t>
      </w:r>
    </w:p>
    <w:p w14:paraId="15173C7E" w14:textId="77777777" w:rsidR="000C6BE9" w:rsidRDefault="000C6BE9" w:rsidP="000C6BE9">
      <w:pPr>
        <w:jc w:val="both"/>
        <w:textAlignment w:val="baseline"/>
        <w:rPr>
          <w:rFonts w:eastAsiaTheme="majorEastAsia" w:cs="Arial"/>
          <w:szCs w:val="22"/>
          <w:lang w:val="es-CO" w:eastAsia="en-US"/>
        </w:rPr>
      </w:pPr>
      <w:r>
        <w:rPr>
          <w:rFonts w:eastAsiaTheme="majorEastAsia" w:cs="Arial"/>
          <w:szCs w:val="22"/>
          <w:lang w:val="es-CO" w:eastAsia="en-US"/>
        </w:rPr>
        <w:t> </w:t>
      </w:r>
    </w:p>
    <w:p w14:paraId="37787DA6" w14:textId="77777777" w:rsidR="000C6BE9" w:rsidRDefault="000C6BE9" w:rsidP="000C6BE9">
      <w:pPr>
        <w:jc w:val="both"/>
        <w:textAlignment w:val="baseline"/>
        <w:rPr>
          <w:rFonts w:eastAsiaTheme="majorEastAsia" w:cs="Arial"/>
          <w:szCs w:val="22"/>
          <w:lang w:val="es-CO" w:eastAsia="en-US"/>
        </w:rPr>
      </w:pPr>
      <w:r>
        <w:rPr>
          <w:rFonts w:eastAsiaTheme="majorEastAsia" w:cs="Arial"/>
          <w:szCs w:val="22"/>
          <w:lang w:val="es-CO" w:eastAsia="en-US"/>
        </w:rPr>
        <w:t xml:space="preserve">A su vez, dicha Resolución resuelve crear el comité de Cobertura en la Secretaría de Educación Recreación, Cultura y Deporte del Municipio de Santa Cruz de Lorica y establece </w:t>
      </w:r>
      <w:r>
        <w:rPr>
          <w:rFonts w:eastAsiaTheme="majorEastAsia" w:cs="Arial"/>
          <w:szCs w:val="22"/>
          <w:lang w:val="es-CO" w:eastAsia="en-US"/>
        </w:rPr>
        <w:lastRenderedPageBreak/>
        <w:t>que estará conformado por un funcionario de las unidades responsables del talento humano, infraestructura y cobertura, planeación y un asesor designado por el secretario de Educación. De acuerdo con las actas de reunión suministradas por el Municipio, el primer comité de cobertura se realizó el 07 de junio de 2022 y trató sobre la socialización de la Resolución de matrícula 1134 del 2022 y gestión de matrícula primer semestre 2022. </w:t>
      </w:r>
    </w:p>
    <w:p w14:paraId="247914E9" w14:textId="77777777" w:rsidR="000C6BE9" w:rsidRDefault="000C6BE9" w:rsidP="000C6BE9">
      <w:pPr>
        <w:jc w:val="both"/>
        <w:textAlignment w:val="baseline"/>
        <w:rPr>
          <w:rFonts w:eastAsiaTheme="majorEastAsia" w:cs="Arial"/>
          <w:szCs w:val="22"/>
          <w:lang w:val="es-CO" w:eastAsia="en-US"/>
        </w:rPr>
      </w:pPr>
      <w:r>
        <w:rPr>
          <w:rFonts w:eastAsiaTheme="majorEastAsia" w:cs="Arial"/>
          <w:szCs w:val="22"/>
          <w:lang w:val="es-CO" w:eastAsia="en-US"/>
        </w:rPr>
        <w:t> </w:t>
      </w:r>
    </w:p>
    <w:p w14:paraId="5423ECAF" w14:textId="77777777" w:rsidR="000C6BE9" w:rsidRDefault="000C6BE9" w:rsidP="000C6BE9">
      <w:pPr>
        <w:jc w:val="both"/>
        <w:textAlignment w:val="baseline"/>
        <w:rPr>
          <w:rFonts w:eastAsiaTheme="majorEastAsia" w:cs="Arial"/>
          <w:szCs w:val="22"/>
          <w:lang w:val="es-CO" w:eastAsia="en-US"/>
        </w:rPr>
      </w:pPr>
      <w:r>
        <w:rPr>
          <w:rFonts w:eastAsiaTheme="majorEastAsia" w:cs="Arial"/>
          <w:szCs w:val="22"/>
          <w:lang w:val="es-CO" w:eastAsia="en-US"/>
        </w:rPr>
        <w:t xml:space="preserve">A partir de lo anterior, se evidencia que, la Entidad llevó a cabo la creación tanto del comité directivo como del comité de cobertura. Teniendo en cuenta que este último está conformado por personal de cobertura y de planta que busca garantizar la aplicación de los parámetros técnicos en la distribución de la planta y la prestación del servicio educativo con criterios de equidad y oportunidad, la actividad se encuentra cumplida. </w:t>
      </w:r>
    </w:p>
    <w:p w14:paraId="013BDEB4" w14:textId="77777777" w:rsidR="000C6BE9" w:rsidRDefault="000C6BE9" w:rsidP="000C6BE9">
      <w:pPr>
        <w:jc w:val="both"/>
        <w:rPr>
          <w:rFonts w:eastAsiaTheme="majorEastAsia" w:cs="Arial"/>
          <w:szCs w:val="22"/>
          <w:lang w:val="es-CO" w:eastAsia="en-US"/>
        </w:rPr>
      </w:pPr>
    </w:p>
    <w:p w14:paraId="70DB4CCB" w14:textId="77777777" w:rsidR="000C6BE9" w:rsidRDefault="000C6BE9" w:rsidP="000C6BE9">
      <w:pPr>
        <w:jc w:val="both"/>
        <w:rPr>
          <w:rFonts w:eastAsiaTheme="majorEastAsia" w:cs="Arial"/>
          <w:szCs w:val="22"/>
          <w:lang w:val="es-CO" w:eastAsia="en-US"/>
        </w:rPr>
      </w:pPr>
      <w:r>
        <w:rPr>
          <w:rFonts w:eastAsiaTheme="majorEastAsia" w:cs="Arial"/>
          <w:szCs w:val="22"/>
          <w:lang w:val="es-CO" w:eastAsia="en-US"/>
        </w:rPr>
        <w:t>Evaluación de la actividad: Cumple</w:t>
      </w:r>
    </w:p>
    <w:p w14:paraId="281E0ACC" w14:textId="77777777" w:rsidR="000C6BE9" w:rsidRDefault="000C6BE9" w:rsidP="000C6BE9">
      <w:pPr>
        <w:jc w:val="both"/>
        <w:rPr>
          <w:b/>
          <w:bCs/>
          <w:lang w:val="es-CO" w:eastAsia="en-US"/>
        </w:rPr>
      </w:pPr>
    </w:p>
    <w:p w14:paraId="23910DA7" w14:textId="77777777" w:rsidR="000C6BE9" w:rsidRDefault="000C6BE9" w:rsidP="000C6BE9">
      <w:pPr>
        <w:rPr>
          <w:b/>
          <w:lang w:val="es-CO" w:eastAsia="en-US"/>
        </w:rPr>
      </w:pPr>
      <w:r>
        <w:rPr>
          <w:b/>
          <w:lang w:val="es-CO" w:eastAsia="en-US"/>
        </w:rPr>
        <w:t>Recomendación</w:t>
      </w:r>
    </w:p>
    <w:p w14:paraId="0EC57578" w14:textId="77777777" w:rsidR="000C6BE9" w:rsidRDefault="000C6BE9" w:rsidP="000C6BE9">
      <w:pPr>
        <w:rPr>
          <w:b/>
          <w:lang w:val="es-CO" w:eastAsia="en-US"/>
        </w:rPr>
      </w:pPr>
    </w:p>
    <w:p w14:paraId="4838401B" w14:textId="77777777" w:rsidR="000C6BE9" w:rsidRDefault="000C6BE9" w:rsidP="000C6BE9">
      <w:pPr>
        <w:jc w:val="both"/>
        <w:rPr>
          <w:lang w:val="es-CO" w:eastAsia="en-US"/>
        </w:rPr>
      </w:pPr>
      <w:r>
        <w:rPr>
          <w:lang w:val="es-CO" w:eastAsia="en-US"/>
        </w:rPr>
        <w:t>Se recomienda que el comité de cobertura se reúna periódicamente para cruzar información relacionada con la planta docente, la matrícula y la infraestructura de manera que se puedan tomar decisiones oportunas en aras de cumplir con la normatividad vigente en cuanto a relaciones técnicas alumno docente, parámetros técnicos del aula y por ende mantener una adecuada y eficiente prestación del servicio educativo.</w:t>
      </w:r>
    </w:p>
    <w:p w14:paraId="31001889" w14:textId="77777777" w:rsidR="000C6BE9" w:rsidRDefault="000C6BE9" w:rsidP="000C6BE9">
      <w:pPr>
        <w:jc w:val="both"/>
        <w:rPr>
          <w:rFonts w:cs="Arial"/>
          <w:szCs w:val="22"/>
          <w:highlight w:val="green"/>
          <w:lang w:val="es-CO" w:eastAsia="en-US"/>
        </w:rPr>
      </w:pPr>
    </w:p>
    <w:p w14:paraId="6BBA199B" w14:textId="77777777" w:rsidR="000C6BE9" w:rsidRDefault="000C6BE9" w:rsidP="000C6BE9">
      <w:pPr>
        <w:pStyle w:val="Ttulo3"/>
        <w:spacing w:before="0"/>
        <w:jc w:val="both"/>
        <w:rPr>
          <w:rFonts w:eastAsiaTheme="minorHAnsi" w:cs="Arial"/>
          <w:szCs w:val="22"/>
          <w:lang w:val="es-CO" w:eastAsia="en-US"/>
        </w:rPr>
      </w:pPr>
      <w:r>
        <w:rPr>
          <w:rFonts w:eastAsiaTheme="minorHAnsi" w:cs="Arial"/>
          <w:b/>
          <w:bCs/>
          <w:szCs w:val="22"/>
          <w:lang w:val="es-CO" w:eastAsia="en-US"/>
        </w:rPr>
        <w:t>Actividad 3.1.2.</w:t>
      </w:r>
      <w:r>
        <w:rPr>
          <w:rFonts w:eastAsiaTheme="minorHAnsi" w:cs="Arial"/>
          <w:szCs w:val="22"/>
          <w:lang w:val="es-CO" w:eastAsia="en-US"/>
        </w:rPr>
        <w:t xml:space="preserve"> Presentar el estudio técnico de planta de acuerdo con los parámetros establecidos por el Ministerio de Educación Nacional.</w:t>
      </w:r>
    </w:p>
    <w:p w14:paraId="5D754758" w14:textId="77777777" w:rsidR="000C6BE9" w:rsidRDefault="000C6BE9" w:rsidP="000C6BE9">
      <w:pPr>
        <w:jc w:val="both"/>
        <w:rPr>
          <w:rFonts w:cs="Arial"/>
          <w:szCs w:val="22"/>
          <w:lang w:val="es-CO" w:eastAsia="en-US"/>
        </w:rPr>
      </w:pPr>
    </w:p>
    <w:p w14:paraId="773ED481" w14:textId="77777777" w:rsidR="000C6BE9" w:rsidRDefault="000C6BE9" w:rsidP="000C6BE9">
      <w:pPr>
        <w:rPr>
          <w:rFonts w:eastAsiaTheme="minorHAnsi"/>
          <w:lang w:val="es-CO" w:eastAsia="en-US"/>
        </w:rPr>
      </w:pPr>
      <w:r>
        <w:rPr>
          <w:rFonts w:eastAsiaTheme="minorHAnsi"/>
          <w:b/>
          <w:lang w:val="es-CO" w:eastAsia="en-US"/>
        </w:rPr>
        <w:t>Productos esperados:</w:t>
      </w:r>
      <w:r>
        <w:rPr>
          <w:rFonts w:eastAsiaTheme="minorHAnsi"/>
          <w:lang w:val="es-CO" w:eastAsia="en-US"/>
        </w:rPr>
        <w:t xml:space="preserve"> </w:t>
      </w:r>
      <w:r>
        <w:rPr>
          <w:lang w:val="es-CO" w:eastAsia="en-US"/>
        </w:rPr>
        <w:t>Estudio técnico de planta radicado ante el MEN.</w:t>
      </w:r>
    </w:p>
    <w:p w14:paraId="406B5B64" w14:textId="77777777" w:rsidR="000C6BE9" w:rsidRDefault="000C6BE9" w:rsidP="000C6BE9">
      <w:pPr>
        <w:rPr>
          <w:lang w:val="es-CO" w:eastAsia="en-US"/>
        </w:rPr>
      </w:pPr>
    </w:p>
    <w:p w14:paraId="719DCEFC" w14:textId="77777777" w:rsidR="000C6BE9" w:rsidRDefault="000C6BE9" w:rsidP="000C6BE9">
      <w:pPr>
        <w:rPr>
          <w:rFonts w:eastAsiaTheme="minorHAnsi"/>
          <w:b/>
          <w:lang w:val="es-CO" w:eastAsia="en-US"/>
        </w:rPr>
      </w:pPr>
      <w:r>
        <w:rPr>
          <w:rFonts w:eastAsiaTheme="minorHAnsi"/>
          <w:b/>
          <w:lang w:val="es-CO" w:eastAsia="en-US"/>
        </w:rPr>
        <w:t>Evaluación</w:t>
      </w:r>
    </w:p>
    <w:p w14:paraId="4E1A9A93" w14:textId="77777777" w:rsidR="000C6BE9" w:rsidRDefault="000C6BE9" w:rsidP="000C6BE9">
      <w:pPr>
        <w:jc w:val="both"/>
        <w:rPr>
          <w:b/>
          <w:bCs/>
          <w:lang w:val="es-CO" w:eastAsia="en-US"/>
        </w:rPr>
      </w:pPr>
    </w:p>
    <w:p w14:paraId="6DA8CB26" w14:textId="77777777" w:rsidR="000C6BE9" w:rsidRDefault="000C6BE9" w:rsidP="000C6BE9">
      <w:pPr>
        <w:jc w:val="both"/>
        <w:textAlignment w:val="baseline"/>
        <w:rPr>
          <w:rFonts w:eastAsia="Times New Roman" w:cs="Arial"/>
          <w:szCs w:val="22"/>
          <w:lang w:eastAsia="es-CO"/>
        </w:rPr>
      </w:pPr>
      <w:r>
        <w:rPr>
          <w:rFonts w:eastAsia="Times New Roman" w:cs="Arial"/>
          <w:lang w:eastAsia="es-CO"/>
        </w:rPr>
        <w:t>El Ministerio de Educación Nacional mediante radicado No. 2021-EE-397732 del 20 de diciembre de 2021 remitió al Municipio de Lorica el Concepto Técnico de modificación de planta de cargos del personal docente, directivo docente y administrativo, el cual viabilizaba una planta de 1.251 cargos. En respuesta, el Municipio remite el oficio del 18 de marzo de 2022 en el cual manifiesta su desacuerdo con el concepto de modificación planteado por el MEN. El Municipio señala que, a pesar de haber desarrollado un trabajo en conjunto con el MEN, este no concluyó y por esta razón, la Secretaría de Educación del Municipio no presentó oficialmente el resultado del estudio técnico. Sin embargo, el MEN remitió el Concepto Técnico de Planta estando aún pendiente el cumplimiento de algunas acciones acordadas entre las partes. </w:t>
      </w:r>
    </w:p>
    <w:p w14:paraId="7F865129"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w:t>
      </w:r>
    </w:p>
    <w:p w14:paraId="5EE48283" w14:textId="77777777" w:rsidR="000C6BE9" w:rsidRDefault="000C6BE9" w:rsidP="000C6BE9">
      <w:pPr>
        <w:jc w:val="both"/>
        <w:textAlignment w:val="baseline"/>
        <w:rPr>
          <w:rFonts w:eastAsia="Times New Roman" w:cs="Arial"/>
          <w:lang w:eastAsia="es-CO"/>
        </w:rPr>
      </w:pPr>
      <w:r>
        <w:rPr>
          <w:rFonts w:eastAsia="Times New Roman" w:cs="Arial"/>
          <w:lang w:eastAsia="es-CO"/>
        </w:rPr>
        <w:t xml:space="preserve">En el oficio, el Municipio informa que el Secretario de Educación, en su momento, formuló reparos frente al Concepto Técnico mediante el oficio No. 2021-ER-459910 del 24 de diciembre de 2021. No obstante, el MEN mediante oficio No. 2022-EE-000079 del 3 de enero de 2022 informó que la Entidad debía aplicar la ley y ratificar el Concepto Técnico. Ante esta situación, la Entidad radicó ante el MEN la propuesta de Concepto Técnico de Planta de 2022, en la cual solicita se viabilice una planta de 1.335 cargos, es decir, una diferencia de 84 cargos con respecto al Concepto Técnico emitido por el MEN. </w:t>
      </w:r>
    </w:p>
    <w:p w14:paraId="7F6FB5BA"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w:t>
      </w:r>
    </w:p>
    <w:p w14:paraId="7B9B8E1D"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lastRenderedPageBreak/>
        <w:t xml:space="preserve">A continuación, se detallan las diferencias entre las plantas viabilizadas por el MEN y la propuesta de planta requerida que presenta el Municipio: </w:t>
      </w:r>
    </w:p>
    <w:p w14:paraId="19A7DDF5"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1200"/>
        <w:gridCol w:w="1200"/>
        <w:gridCol w:w="855"/>
        <w:gridCol w:w="1185"/>
        <w:gridCol w:w="1080"/>
        <w:gridCol w:w="1080"/>
      </w:tblGrid>
      <w:tr w:rsidR="000C6BE9" w14:paraId="1E92FB80" w14:textId="77777777" w:rsidTr="000C6BE9">
        <w:tc>
          <w:tcPr>
            <w:tcW w:w="2130" w:type="dxa"/>
            <w:tcBorders>
              <w:top w:val="single" w:sz="6" w:space="0" w:color="auto"/>
              <w:left w:val="single" w:sz="6" w:space="0" w:color="auto"/>
              <w:bottom w:val="single" w:sz="6" w:space="0" w:color="auto"/>
              <w:right w:val="single" w:sz="6" w:space="0" w:color="auto"/>
            </w:tcBorders>
            <w:hideMark/>
          </w:tcPr>
          <w:p w14:paraId="57FAB760"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Cargos</w:t>
            </w:r>
            <w:r>
              <w:rPr>
                <w:rFonts w:eastAsia="Times New Roman" w:cs="Arial"/>
                <w:color w:val="000000"/>
                <w:sz w:val="18"/>
                <w:szCs w:val="18"/>
                <w:lang w:eastAsia="es-CO"/>
              </w:rPr>
              <w:t> </w:t>
            </w:r>
          </w:p>
        </w:tc>
        <w:tc>
          <w:tcPr>
            <w:tcW w:w="1200" w:type="dxa"/>
            <w:tcBorders>
              <w:top w:val="single" w:sz="6" w:space="0" w:color="auto"/>
              <w:left w:val="nil"/>
              <w:bottom w:val="single" w:sz="6" w:space="0" w:color="auto"/>
              <w:right w:val="single" w:sz="6" w:space="0" w:color="auto"/>
            </w:tcBorders>
            <w:hideMark/>
          </w:tcPr>
          <w:p w14:paraId="4859C0A1"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Planta Viabilizada 2016</w:t>
            </w:r>
            <w:r>
              <w:rPr>
                <w:rFonts w:eastAsia="Times New Roman" w:cs="Arial"/>
                <w:color w:val="000000"/>
                <w:sz w:val="18"/>
                <w:szCs w:val="18"/>
                <w:lang w:eastAsia="es-CO"/>
              </w:rPr>
              <w:t> </w:t>
            </w:r>
          </w:p>
        </w:tc>
        <w:tc>
          <w:tcPr>
            <w:tcW w:w="1200" w:type="dxa"/>
            <w:tcBorders>
              <w:top w:val="single" w:sz="6" w:space="0" w:color="auto"/>
              <w:left w:val="nil"/>
              <w:bottom w:val="single" w:sz="6" w:space="0" w:color="auto"/>
              <w:right w:val="single" w:sz="6" w:space="0" w:color="auto"/>
            </w:tcBorders>
            <w:hideMark/>
          </w:tcPr>
          <w:p w14:paraId="363FC9C3"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Planta Viabilizada 2021</w:t>
            </w:r>
            <w:r>
              <w:rPr>
                <w:rFonts w:eastAsia="Times New Roman" w:cs="Arial"/>
                <w:color w:val="000000"/>
                <w:sz w:val="18"/>
                <w:szCs w:val="18"/>
                <w:lang w:eastAsia="es-CO"/>
              </w:rPr>
              <w:t> </w:t>
            </w:r>
          </w:p>
        </w:tc>
        <w:tc>
          <w:tcPr>
            <w:tcW w:w="855" w:type="dxa"/>
            <w:tcBorders>
              <w:top w:val="single" w:sz="6" w:space="0" w:color="auto"/>
              <w:left w:val="nil"/>
              <w:bottom w:val="single" w:sz="6" w:space="0" w:color="auto"/>
              <w:right w:val="single" w:sz="6" w:space="0" w:color="auto"/>
            </w:tcBorders>
            <w:hideMark/>
          </w:tcPr>
          <w:p w14:paraId="482C1F8C"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Planta Actual</w:t>
            </w:r>
            <w:r>
              <w:rPr>
                <w:rFonts w:eastAsia="Times New Roman" w:cs="Arial"/>
                <w:color w:val="000000"/>
                <w:sz w:val="18"/>
                <w:szCs w:val="18"/>
                <w:lang w:eastAsia="es-CO"/>
              </w:rPr>
              <w:t> </w:t>
            </w:r>
          </w:p>
        </w:tc>
        <w:tc>
          <w:tcPr>
            <w:tcW w:w="1185" w:type="dxa"/>
            <w:tcBorders>
              <w:top w:val="single" w:sz="6" w:space="0" w:color="auto"/>
              <w:left w:val="nil"/>
              <w:bottom w:val="single" w:sz="6" w:space="0" w:color="auto"/>
              <w:right w:val="single" w:sz="6" w:space="0" w:color="auto"/>
            </w:tcBorders>
            <w:hideMark/>
          </w:tcPr>
          <w:p w14:paraId="5FC3124D"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Planta Requerida</w:t>
            </w:r>
            <w:r>
              <w:rPr>
                <w:rFonts w:eastAsia="Times New Roman" w:cs="Arial"/>
                <w:color w:val="000000"/>
                <w:sz w:val="18"/>
                <w:szCs w:val="18"/>
                <w:lang w:eastAsia="es-CO"/>
              </w:rPr>
              <w:t> </w:t>
            </w:r>
          </w:p>
        </w:tc>
        <w:tc>
          <w:tcPr>
            <w:tcW w:w="1080" w:type="dxa"/>
            <w:tcBorders>
              <w:top w:val="single" w:sz="6" w:space="0" w:color="auto"/>
              <w:left w:val="nil"/>
              <w:bottom w:val="single" w:sz="6" w:space="0" w:color="auto"/>
              <w:right w:val="single" w:sz="6" w:space="0" w:color="auto"/>
            </w:tcBorders>
            <w:hideMark/>
          </w:tcPr>
          <w:p w14:paraId="59A20902"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Diferencia Viabilizada 2016 - Requerida</w:t>
            </w:r>
            <w:r>
              <w:rPr>
                <w:rFonts w:eastAsia="Times New Roman" w:cs="Arial"/>
                <w:color w:val="000000"/>
                <w:sz w:val="18"/>
                <w:szCs w:val="18"/>
                <w:lang w:eastAsia="es-CO"/>
              </w:rPr>
              <w:t> </w:t>
            </w:r>
          </w:p>
        </w:tc>
        <w:tc>
          <w:tcPr>
            <w:tcW w:w="1080" w:type="dxa"/>
            <w:tcBorders>
              <w:top w:val="single" w:sz="6" w:space="0" w:color="auto"/>
              <w:left w:val="nil"/>
              <w:bottom w:val="single" w:sz="6" w:space="0" w:color="auto"/>
              <w:right w:val="single" w:sz="6" w:space="0" w:color="auto"/>
            </w:tcBorders>
            <w:hideMark/>
          </w:tcPr>
          <w:p w14:paraId="3840874A"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Diferencia Viabilizada 2021 - Requerida</w:t>
            </w:r>
            <w:r>
              <w:rPr>
                <w:rFonts w:eastAsia="Times New Roman" w:cs="Arial"/>
                <w:color w:val="000000"/>
                <w:sz w:val="18"/>
                <w:szCs w:val="18"/>
                <w:lang w:eastAsia="es-CO"/>
              </w:rPr>
              <w:t> </w:t>
            </w:r>
          </w:p>
        </w:tc>
      </w:tr>
      <w:tr w:rsidR="000C6BE9" w14:paraId="54BA51BF" w14:textId="77777777" w:rsidTr="000C6BE9">
        <w:tc>
          <w:tcPr>
            <w:tcW w:w="2130" w:type="dxa"/>
            <w:tcBorders>
              <w:top w:val="nil"/>
              <w:left w:val="single" w:sz="6" w:space="0" w:color="auto"/>
              <w:bottom w:val="single" w:sz="6" w:space="0" w:color="auto"/>
              <w:right w:val="single" w:sz="6" w:space="0" w:color="auto"/>
            </w:tcBorders>
            <w:hideMark/>
          </w:tcPr>
          <w:p w14:paraId="07C71A45"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Docentes de Aula </w:t>
            </w:r>
          </w:p>
        </w:tc>
        <w:tc>
          <w:tcPr>
            <w:tcW w:w="1200" w:type="dxa"/>
            <w:tcBorders>
              <w:top w:val="nil"/>
              <w:left w:val="nil"/>
              <w:bottom w:val="single" w:sz="6" w:space="0" w:color="auto"/>
              <w:right w:val="single" w:sz="6" w:space="0" w:color="auto"/>
            </w:tcBorders>
            <w:hideMark/>
          </w:tcPr>
          <w:p w14:paraId="7C478874"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1.068 </w:t>
            </w:r>
          </w:p>
        </w:tc>
        <w:tc>
          <w:tcPr>
            <w:tcW w:w="1200" w:type="dxa"/>
            <w:tcBorders>
              <w:top w:val="nil"/>
              <w:left w:val="nil"/>
              <w:bottom w:val="single" w:sz="6" w:space="0" w:color="auto"/>
              <w:right w:val="single" w:sz="6" w:space="0" w:color="auto"/>
            </w:tcBorders>
            <w:hideMark/>
          </w:tcPr>
          <w:p w14:paraId="5F4ABD9B"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1.027 </w:t>
            </w:r>
          </w:p>
        </w:tc>
        <w:tc>
          <w:tcPr>
            <w:tcW w:w="855" w:type="dxa"/>
            <w:tcBorders>
              <w:top w:val="nil"/>
              <w:left w:val="nil"/>
              <w:bottom w:val="single" w:sz="6" w:space="0" w:color="auto"/>
              <w:right w:val="single" w:sz="6" w:space="0" w:color="auto"/>
            </w:tcBorders>
            <w:hideMark/>
          </w:tcPr>
          <w:p w14:paraId="5158B9B3"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1.071 </w:t>
            </w:r>
          </w:p>
        </w:tc>
        <w:tc>
          <w:tcPr>
            <w:tcW w:w="1185" w:type="dxa"/>
            <w:tcBorders>
              <w:top w:val="nil"/>
              <w:left w:val="nil"/>
              <w:bottom w:val="single" w:sz="6" w:space="0" w:color="auto"/>
              <w:right w:val="single" w:sz="6" w:space="0" w:color="auto"/>
            </w:tcBorders>
            <w:hideMark/>
          </w:tcPr>
          <w:p w14:paraId="53D8F26D"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1.075 </w:t>
            </w:r>
          </w:p>
        </w:tc>
        <w:tc>
          <w:tcPr>
            <w:tcW w:w="1080" w:type="dxa"/>
            <w:tcBorders>
              <w:top w:val="nil"/>
              <w:left w:val="nil"/>
              <w:bottom w:val="single" w:sz="6" w:space="0" w:color="auto"/>
              <w:right w:val="single" w:sz="6" w:space="0" w:color="auto"/>
            </w:tcBorders>
            <w:hideMark/>
          </w:tcPr>
          <w:p w14:paraId="44D916BD"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7 </w:t>
            </w:r>
          </w:p>
        </w:tc>
        <w:tc>
          <w:tcPr>
            <w:tcW w:w="1080" w:type="dxa"/>
            <w:tcBorders>
              <w:top w:val="nil"/>
              <w:left w:val="nil"/>
              <w:bottom w:val="single" w:sz="6" w:space="0" w:color="auto"/>
              <w:right w:val="single" w:sz="6" w:space="0" w:color="auto"/>
            </w:tcBorders>
            <w:hideMark/>
          </w:tcPr>
          <w:p w14:paraId="574A3404"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48 </w:t>
            </w:r>
          </w:p>
        </w:tc>
      </w:tr>
      <w:tr w:rsidR="000C6BE9" w14:paraId="541B858D" w14:textId="77777777" w:rsidTr="000C6BE9">
        <w:tc>
          <w:tcPr>
            <w:tcW w:w="2130" w:type="dxa"/>
            <w:tcBorders>
              <w:top w:val="nil"/>
              <w:left w:val="single" w:sz="6" w:space="0" w:color="auto"/>
              <w:bottom w:val="single" w:sz="6" w:space="0" w:color="auto"/>
              <w:right w:val="single" w:sz="6" w:space="0" w:color="auto"/>
            </w:tcBorders>
            <w:hideMark/>
          </w:tcPr>
          <w:p w14:paraId="0ADEF37E"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Docentes orientadores </w:t>
            </w:r>
          </w:p>
        </w:tc>
        <w:tc>
          <w:tcPr>
            <w:tcW w:w="1200" w:type="dxa"/>
            <w:tcBorders>
              <w:top w:val="nil"/>
              <w:left w:val="nil"/>
              <w:bottom w:val="single" w:sz="6" w:space="0" w:color="auto"/>
              <w:right w:val="single" w:sz="6" w:space="0" w:color="auto"/>
            </w:tcBorders>
            <w:hideMark/>
          </w:tcPr>
          <w:p w14:paraId="262FD9DA"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31 </w:t>
            </w:r>
          </w:p>
        </w:tc>
        <w:tc>
          <w:tcPr>
            <w:tcW w:w="1200" w:type="dxa"/>
            <w:tcBorders>
              <w:top w:val="nil"/>
              <w:left w:val="nil"/>
              <w:bottom w:val="single" w:sz="6" w:space="0" w:color="auto"/>
              <w:right w:val="single" w:sz="6" w:space="0" w:color="auto"/>
            </w:tcBorders>
            <w:hideMark/>
          </w:tcPr>
          <w:p w14:paraId="14C55910"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31 </w:t>
            </w:r>
          </w:p>
        </w:tc>
        <w:tc>
          <w:tcPr>
            <w:tcW w:w="855" w:type="dxa"/>
            <w:tcBorders>
              <w:top w:val="nil"/>
              <w:left w:val="nil"/>
              <w:bottom w:val="single" w:sz="6" w:space="0" w:color="auto"/>
              <w:right w:val="single" w:sz="6" w:space="0" w:color="auto"/>
            </w:tcBorders>
            <w:hideMark/>
          </w:tcPr>
          <w:p w14:paraId="71F67E9F"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16 </w:t>
            </w:r>
          </w:p>
        </w:tc>
        <w:tc>
          <w:tcPr>
            <w:tcW w:w="1185" w:type="dxa"/>
            <w:tcBorders>
              <w:top w:val="nil"/>
              <w:left w:val="nil"/>
              <w:bottom w:val="single" w:sz="6" w:space="0" w:color="auto"/>
              <w:right w:val="single" w:sz="6" w:space="0" w:color="auto"/>
            </w:tcBorders>
            <w:hideMark/>
          </w:tcPr>
          <w:p w14:paraId="1864825D"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31 </w:t>
            </w:r>
          </w:p>
        </w:tc>
        <w:tc>
          <w:tcPr>
            <w:tcW w:w="1080" w:type="dxa"/>
            <w:tcBorders>
              <w:top w:val="nil"/>
              <w:left w:val="nil"/>
              <w:bottom w:val="single" w:sz="6" w:space="0" w:color="auto"/>
              <w:right w:val="single" w:sz="6" w:space="0" w:color="auto"/>
            </w:tcBorders>
            <w:hideMark/>
          </w:tcPr>
          <w:p w14:paraId="62E9F323"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1080" w:type="dxa"/>
            <w:tcBorders>
              <w:top w:val="nil"/>
              <w:left w:val="nil"/>
              <w:bottom w:val="single" w:sz="6" w:space="0" w:color="auto"/>
              <w:right w:val="single" w:sz="6" w:space="0" w:color="auto"/>
            </w:tcBorders>
            <w:hideMark/>
          </w:tcPr>
          <w:p w14:paraId="44217F40"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r>
      <w:tr w:rsidR="000C6BE9" w14:paraId="66EF2A1C" w14:textId="77777777" w:rsidTr="000C6BE9">
        <w:tc>
          <w:tcPr>
            <w:tcW w:w="2130" w:type="dxa"/>
            <w:tcBorders>
              <w:top w:val="nil"/>
              <w:left w:val="single" w:sz="6" w:space="0" w:color="auto"/>
              <w:bottom w:val="single" w:sz="6" w:space="0" w:color="auto"/>
              <w:right w:val="single" w:sz="6" w:space="0" w:color="auto"/>
            </w:tcBorders>
            <w:hideMark/>
          </w:tcPr>
          <w:p w14:paraId="3EDF611E"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Docentes de apoyo </w:t>
            </w:r>
          </w:p>
        </w:tc>
        <w:tc>
          <w:tcPr>
            <w:tcW w:w="1200" w:type="dxa"/>
            <w:tcBorders>
              <w:top w:val="nil"/>
              <w:left w:val="nil"/>
              <w:bottom w:val="single" w:sz="6" w:space="0" w:color="auto"/>
              <w:right w:val="single" w:sz="6" w:space="0" w:color="auto"/>
            </w:tcBorders>
            <w:hideMark/>
          </w:tcPr>
          <w:p w14:paraId="1A9D8F25"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1200" w:type="dxa"/>
            <w:tcBorders>
              <w:top w:val="nil"/>
              <w:left w:val="nil"/>
              <w:bottom w:val="single" w:sz="6" w:space="0" w:color="auto"/>
              <w:right w:val="single" w:sz="6" w:space="0" w:color="auto"/>
            </w:tcBorders>
            <w:hideMark/>
          </w:tcPr>
          <w:p w14:paraId="298950B7"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855" w:type="dxa"/>
            <w:tcBorders>
              <w:top w:val="nil"/>
              <w:left w:val="nil"/>
              <w:bottom w:val="single" w:sz="6" w:space="0" w:color="auto"/>
              <w:right w:val="single" w:sz="6" w:space="0" w:color="auto"/>
            </w:tcBorders>
            <w:hideMark/>
          </w:tcPr>
          <w:p w14:paraId="13EA40E5"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1185" w:type="dxa"/>
            <w:tcBorders>
              <w:top w:val="nil"/>
              <w:left w:val="nil"/>
              <w:bottom w:val="single" w:sz="6" w:space="0" w:color="auto"/>
              <w:right w:val="single" w:sz="6" w:space="0" w:color="auto"/>
            </w:tcBorders>
            <w:hideMark/>
          </w:tcPr>
          <w:p w14:paraId="1CC83E73"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1080" w:type="dxa"/>
            <w:tcBorders>
              <w:top w:val="nil"/>
              <w:left w:val="nil"/>
              <w:bottom w:val="single" w:sz="6" w:space="0" w:color="auto"/>
              <w:right w:val="single" w:sz="6" w:space="0" w:color="auto"/>
            </w:tcBorders>
            <w:hideMark/>
          </w:tcPr>
          <w:p w14:paraId="49109087"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1080" w:type="dxa"/>
            <w:tcBorders>
              <w:top w:val="nil"/>
              <w:left w:val="nil"/>
              <w:bottom w:val="single" w:sz="6" w:space="0" w:color="auto"/>
              <w:right w:val="single" w:sz="6" w:space="0" w:color="auto"/>
            </w:tcBorders>
            <w:hideMark/>
          </w:tcPr>
          <w:p w14:paraId="1B856137"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r>
      <w:tr w:rsidR="000C6BE9" w14:paraId="3EEC2A94" w14:textId="77777777" w:rsidTr="000C6BE9">
        <w:tc>
          <w:tcPr>
            <w:tcW w:w="2130" w:type="dxa"/>
            <w:tcBorders>
              <w:top w:val="nil"/>
              <w:left w:val="single" w:sz="6" w:space="0" w:color="auto"/>
              <w:bottom w:val="single" w:sz="6" w:space="0" w:color="auto"/>
              <w:right w:val="single" w:sz="6" w:space="0" w:color="auto"/>
            </w:tcBorders>
            <w:hideMark/>
          </w:tcPr>
          <w:p w14:paraId="002F57AE"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TOTAL DOCENTES</w:t>
            </w:r>
            <w:r>
              <w:rPr>
                <w:rFonts w:eastAsia="Times New Roman" w:cs="Arial"/>
                <w:color w:val="000000"/>
                <w:sz w:val="18"/>
                <w:szCs w:val="18"/>
                <w:lang w:eastAsia="es-CO"/>
              </w:rPr>
              <w:t> </w:t>
            </w:r>
          </w:p>
        </w:tc>
        <w:tc>
          <w:tcPr>
            <w:tcW w:w="1200" w:type="dxa"/>
            <w:tcBorders>
              <w:top w:val="nil"/>
              <w:left w:val="nil"/>
              <w:bottom w:val="single" w:sz="6" w:space="0" w:color="auto"/>
              <w:right w:val="single" w:sz="6" w:space="0" w:color="auto"/>
            </w:tcBorders>
            <w:hideMark/>
          </w:tcPr>
          <w:p w14:paraId="33436A14"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1.099</w:t>
            </w:r>
            <w:r>
              <w:rPr>
                <w:rFonts w:eastAsia="Times New Roman" w:cs="Arial"/>
                <w:color w:val="000000"/>
                <w:sz w:val="18"/>
                <w:szCs w:val="18"/>
                <w:lang w:eastAsia="es-CO"/>
              </w:rPr>
              <w:t> </w:t>
            </w:r>
          </w:p>
        </w:tc>
        <w:tc>
          <w:tcPr>
            <w:tcW w:w="1200" w:type="dxa"/>
            <w:tcBorders>
              <w:top w:val="nil"/>
              <w:left w:val="nil"/>
              <w:bottom w:val="single" w:sz="6" w:space="0" w:color="auto"/>
              <w:right w:val="single" w:sz="6" w:space="0" w:color="auto"/>
            </w:tcBorders>
            <w:hideMark/>
          </w:tcPr>
          <w:p w14:paraId="3C496020"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1.058</w:t>
            </w:r>
            <w:r>
              <w:rPr>
                <w:rFonts w:eastAsia="Times New Roman" w:cs="Arial"/>
                <w:color w:val="000000"/>
                <w:sz w:val="18"/>
                <w:szCs w:val="18"/>
                <w:lang w:eastAsia="es-CO"/>
              </w:rPr>
              <w:t> </w:t>
            </w:r>
          </w:p>
        </w:tc>
        <w:tc>
          <w:tcPr>
            <w:tcW w:w="855" w:type="dxa"/>
            <w:tcBorders>
              <w:top w:val="nil"/>
              <w:left w:val="nil"/>
              <w:bottom w:val="single" w:sz="6" w:space="0" w:color="auto"/>
              <w:right w:val="single" w:sz="6" w:space="0" w:color="auto"/>
            </w:tcBorders>
            <w:hideMark/>
          </w:tcPr>
          <w:p w14:paraId="65F99233"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1.087</w:t>
            </w: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326AA1EB"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1.106</w:t>
            </w:r>
            <w:r>
              <w:rPr>
                <w:rFonts w:eastAsia="Times New Roman" w:cs="Arial"/>
                <w:color w:val="000000"/>
                <w:sz w:val="18"/>
                <w:szCs w:val="18"/>
                <w:lang w:eastAsia="es-CO"/>
              </w:rPr>
              <w:t> </w:t>
            </w:r>
          </w:p>
        </w:tc>
        <w:tc>
          <w:tcPr>
            <w:tcW w:w="1080" w:type="dxa"/>
            <w:tcBorders>
              <w:top w:val="nil"/>
              <w:left w:val="nil"/>
              <w:bottom w:val="single" w:sz="6" w:space="0" w:color="auto"/>
              <w:right w:val="single" w:sz="6" w:space="0" w:color="auto"/>
            </w:tcBorders>
            <w:hideMark/>
          </w:tcPr>
          <w:p w14:paraId="3FD283B8"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7 </w:t>
            </w:r>
          </w:p>
        </w:tc>
        <w:tc>
          <w:tcPr>
            <w:tcW w:w="1080" w:type="dxa"/>
            <w:tcBorders>
              <w:top w:val="nil"/>
              <w:left w:val="nil"/>
              <w:bottom w:val="single" w:sz="6" w:space="0" w:color="auto"/>
              <w:right w:val="single" w:sz="6" w:space="0" w:color="auto"/>
            </w:tcBorders>
            <w:hideMark/>
          </w:tcPr>
          <w:p w14:paraId="0A141166"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48 </w:t>
            </w:r>
          </w:p>
        </w:tc>
      </w:tr>
      <w:tr w:rsidR="000C6BE9" w14:paraId="00F83421" w14:textId="77777777" w:rsidTr="000C6BE9">
        <w:tc>
          <w:tcPr>
            <w:tcW w:w="2130" w:type="dxa"/>
            <w:tcBorders>
              <w:top w:val="nil"/>
              <w:left w:val="single" w:sz="6" w:space="0" w:color="auto"/>
              <w:bottom w:val="single" w:sz="6" w:space="0" w:color="auto"/>
              <w:right w:val="single" w:sz="6" w:space="0" w:color="auto"/>
            </w:tcBorders>
            <w:hideMark/>
          </w:tcPr>
          <w:p w14:paraId="052A5645"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Rectores </w:t>
            </w:r>
          </w:p>
        </w:tc>
        <w:tc>
          <w:tcPr>
            <w:tcW w:w="1200" w:type="dxa"/>
            <w:tcBorders>
              <w:top w:val="nil"/>
              <w:left w:val="nil"/>
              <w:bottom w:val="single" w:sz="6" w:space="0" w:color="auto"/>
              <w:right w:val="single" w:sz="6" w:space="0" w:color="auto"/>
            </w:tcBorders>
            <w:hideMark/>
          </w:tcPr>
          <w:p w14:paraId="443C5B20"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24 </w:t>
            </w:r>
          </w:p>
        </w:tc>
        <w:tc>
          <w:tcPr>
            <w:tcW w:w="1200" w:type="dxa"/>
            <w:tcBorders>
              <w:top w:val="nil"/>
              <w:left w:val="nil"/>
              <w:bottom w:val="single" w:sz="6" w:space="0" w:color="auto"/>
              <w:right w:val="single" w:sz="6" w:space="0" w:color="auto"/>
            </w:tcBorders>
            <w:hideMark/>
          </w:tcPr>
          <w:p w14:paraId="5A80AE18"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26 </w:t>
            </w:r>
          </w:p>
        </w:tc>
        <w:tc>
          <w:tcPr>
            <w:tcW w:w="855" w:type="dxa"/>
            <w:tcBorders>
              <w:top w:val="nil"/>
              <w:left w:val="nil"/>
              <w:bottom w:val="single" w:sz="6" w:space="0" w:color="auto"/>
              <w:right w:val="single" w:sz="6" w:space="0" w:color="auto"/>
            </w:tcBorders>
            <w:hideMark/>
          </w:tcPr>
          <w:p w14:paraId="15A3B5E6"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4485F09A"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26 </w:t>
            </w:r>
          </w:p>
        </w:tc>
        <w:tc>
          <w:tcPr>
            <w:tcW w:w="1080" w:type="dxa"/>
            <w:tcBorders>
              <w:top w:val="nil"/>
              <w:left w:val="nil"/>
              <w:bottom w:val="single" w:sz="6" w:space="0" w:color="auto"/>
              <w:right w:val="single" w:sz="6" w:space="0" w:color="auto"/>
            </w:tcBorders>
            <w:hideMark/>
          </w:tcPr>
          <w:p w14:paraId="616C18B0"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2 </w:t>
            </w:r>
          </w:p>
        </w:tc>
        <w:tc>
          <w:tcPr>
            <w:tcW w:w="1080" w:type="dxa"/>
            <w:tcBorders>
              <w:top w:val="nil"/>
              <w:left w:val="nil"/>
              <w:bottom w:val="single" w:sz="6" w:space="0" w:color="auto"/>
              <w:right w:val="single" w:sz="6" w:space="0" w:color="auto"/>
            </w:tcBorders>
            <w:hideMark/>
          </w:tcPr>
          <w:p w14:paraId="0AFC027D"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r>
      <w:tr w:rsidR="000C6BE9" w14:paraId="70B5C299" w14:textId="77777777" w:rsidTr="000C6BE9">
        <w:tc>
          <w:tcPr>
            <w:tcW w:w="2130" w:type="dxa"/>
            <w:tcBorders>
              <w:top w:val="nil"/>
              <w:left w:val="single" w:sz="6" w:space="0" w:color="auto"/>
              <w:bottom w:val="single" w:sz="6" w:space="0" w:color="auto"/>
              <w:right w:val="single" w:sz="6" w:space="0" w:color="auto"/>
            </w:tcBorders>
            <w:hideMark/>
          </w:tcPr>
          <w:p w14:paraId="4CF48ABD"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Director Rural </w:t>
            </w:r>
          </w:p>
        </w:tc>
        <w:tc>
          <w:tcPr>
            <w:tcW w:w="1200" w:type="dxa"/>
            <w:tcBorders>
              <w:top w:val="nil"/>
              <w:left w:val="nil"/>
              <w:bottom w:val="single" w:sz="6" w:space="0" w:color="auto"/>
              <w:right w:val="single" w:sz="6" w:space="0" w:color="auto"/>
            </w:tcBorders>
            <w:hideMark/>
          </w:tcPr>
          <w:p w14:paraId="5C7B49B4"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7 </w:t>
            </w:r>
          </w:p>
        </w:tc>
        <w:tc>
          <w:tcPr>
            <w:tcW w:w="1200" w:type="dxa"/>
            <w:tcBorders>
              <w:top w:val="nil"/>
              <w:left w:val="nil"/>
              <w:bottom w:val="single" w:sz="6" w:space="0" w:color="auto"/>
              <w:right w:val="single" w:sz="6" w:space="0" w:color="auto"/>
            </w:tcBorders>
            <w:hideMark/>
          </w:tcPr>
          <w:p w14:paraId="00C769EB"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5 </w:t>
            </w:r>
          </w:p>
        </w:tc>
        <w:tc>
          <w:tcPr>
            <w:tcW w:w="855" w:type="dxa"/>
            <w:tcBorders>
              <w:top w:val="nil"/>
              <w:left w:val="nil"/>
              <w:bottom w:val="single" w:sz="6" w:space="0" w:color="auto"/>
              <w:right w:val="single" w:sz="6" w:space="0" w:color="auto"/>
            </w:tcBorders>
            <w:hideMark/>
          </w:tcPr>
          <w:p w14:paraId="7D370295"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426B0065"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5 </w:t>
            </w:r>
          </w:p>
        </w:tc>
        <w:tc>
          <w:tcPr>
            <w:tcW w:w="1080" w:type="dxa"/>
            <w:tcBorders>
              <w:top w:val="nil"/>
              <w:left w:val="nil"/>
              <w:bottom w:val="single" w:sz="6" w:space="0" w:color="auto"/>
              <w:right w:val="single" w:sz="6" w:space="0" w:color="auto"/>
            </w:tcBorders>
            <w:hideMark/>
          </w:tcPr>
          <w:p w14:paraId="1DFB0839"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-2 </w:t>
            </w:r>
          </w:p>
        </w:tc>
        <w:tc>
          <w:tcPr>
            <w:tcW w:w="1080" w:type="dxa"/>
            <w:tcBorders>
              <w:top w:val="nil"/>
              <w:left w:val="nil"/>
              <w:bottom w:val="single" w:sz="6" w:space="0" w:color="auto"/>
              <w:right w:val="single" w:sz="6" w:space="0" w:color="auto"/>
            </w:tcBorders>
            <w:hideMark/>
          </w:tcPr>
          <w:p w14:paraId="42772AE7"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r>
      <w:tr w:rsidR="000C6BE9" w14:paraId="72543393" w14:textId="77777777" w:rsidTr="000C6BE9">
        <w:tc>
          <w:tcPr>
            <w:tcW w:w="2130" w:type="dxa"/>
            <w:tcBorders>
              <w:top w:val="nil"/>
              <w:left w:val="single" w:sz="6" w:space="0" w:color="auto"/>
              <w:bottom w:val="single" w:sz="6" w:space="0" w:color="auto"/>
              <w:right w:val="single" w:sz="6" w:space="0" w:color="auto"/>
            </w:tcBorders>
            <w:hideMark/>
          </w:tcPr>
          <w:p w14:paraId="07F749E4"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Coordinadores </w:t>
            </w:r>
          </w:p>
        </w:tc>
        <w:tc>
          <w:tcPr>
            <w:tcW w:w="1200" w:type="dxa"/>
            <w:tcBorders>
              <w:top w:val="nil"/>
              <w:left w:val="nil"/>
              <w:bottom w:val="single" w:sz="6" w:space="0" w:color="auto"/>
              <w:right w:val="single" w:sz="6" w:space="0" w:color="auto"/>
            </w:tcBorders>
            <w:hideMark/>
          </w:tcPr>
          <w:p w14:paraId="34DA6F4B"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45 </w:t>
            </w:r>
          </w:p>
        </w:tc>
        <w:tc>
          <w:tcPr>
            <w:tcW w:w="1200" w:type="dxa"/>
            <w:tcBorders>
              <w:top w:val="nil"/>
              <w:left w:val="nil"/>
              <w:bottom w:val="single" w:sz="6" w:space="0" w:color="auto"/>
              <w:right w:val="single" w:sz="6" w:space="0" w:color="auto"/>
            </w:tcBorders>
            <w:hideMark/>
          </w:tcPr>
          <w:p w14:paraId="3AEC6451"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40 </w:t>
            </w:r>
          </w:p>
        </w:tc>
        <w:tc>
          <w:tcPr>
            <w:tcW w:w="855" w:type="dxa"/>
            <w:tcBorders>
              <w:top w:val="nil"/>
              <w:left w:val="nil"/>
              <w:bottom w:val="single" w:sz="6" w:space="0" w:color="auto"/>
              <w:right w:val="single" w:sz="6" w:space="0" w:color="auto"/>
            </w:tcBorders>
            <w:hideMark/>
          </w:tcPr>
          <w:p w14:paraId="19D149A0"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0D023C92"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45 </w:t>
            </w:r>
          </w:p>
        </w:tc>
        <w:tc>
          <w:tcPr>
            <w:tcW w:w="1080" w:type="dxa"/>
            <w:tcBorders>
              <w:top w:val="nil"/>
              <w:left w:val="nil"/>
              <w:bottom w:val="single" w:sz="6" w:space="0" w:color="auto"/>
              <w:right w:val="single" w:sz="6" w:space="0" w:color="auto"/>
            </w:tcBorders>
            <w:hideMark/>
          </w:tcPr>
          <w:p w14:paraId="29DA5E6B"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1080" w:type="dxa"/>
            <w:tcBorders>
              <w:top w:val="nil"/>
              <w:left w:val="nil"/>
              <w:bottom w:val="single" w:sz="6" w:space="0" w:color="auto"/>
              <w:right w:val="single" w:sz="6" w:space="0" w:color="auto"/>
            </w:tcBorders>
            <w:hideMark/>
          </w:tcPr>
          <w:p w14:paraId="3964FD3F"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5 </w:t>
            </w:r>
          </w:p>
        </w:tc>
      </w:tr>
      <w:tr w:rsidR="000C6BE9" w14:paraId="319470CE" w14:textId="77777777" w:rsidTr="000C6BE9">
        <w:tc>
          <w:tcPr>
            <w:tcW w:w="2130" w:type="dxa"/>
            <w:tcBorders>
              <w:top w:val="nil"/>
              <w:left w:val="single" w:sz="6" w:space="0" w:color="auto"/>
              <w:bottom w:val="single" w:sz="6" w:space="0" w:color="auto"/>
              <w:right w:val="single" w:sz="6" w:space="0" w:color="auto"/>
            </w:tcBorders>
            <w:hideMark/>
          </w:tcPr>
          <w:p w14:paraId="234B7881"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Director Núcleo </w:t>
            </w:r>
          </w:p>
        </w:tc>
        <w:tc>
          <w:tcPr>
            <w:tcW w:w="1200" w:type="dxa"/>
            <w:tcBorders>
              <w:top w:val="nil"/>
              <w:left w:val="nil"/>
              <w:bottom w:val="single" w:sz="6" w:space="0" w:color="auto"/>
              <w:right w:val="single" w:sz="6" w:space="0" w:color="auto"/>
            </w:tcBorders>
            <w:hideMark/>
          </w:tcPr>
          <w:p w14:paraId="215AA822"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4 </w:t>
            </w:r>
          </w:p>
        </w:tc>
        <w:tc>
          <w:tcPr>
            <w:tcW w:w="1200" w:type="dxa"/>
            <w:tcBorders>
              <w:top w:val="nil"/>
              <w:left w:val="nil"/>
              <w:bottom w:val="single" w:sz="6" w:space="0" w:color="auto"/>
              <w:right w:val="single" w:sz="6" w:space="0" w:color="auto"/>
            </w:tcBorders>
            <w:hideMark/>
          </w:tcPr>
          <w:p w14:paraId="2DF0EDD4"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2 </w:t>
            </w:r>
          </w:p>
        </w:tc>
        <w:tc>
          <w:tcPr>
            <w:tcW w:w="855" w:type="dxa"/>
            <w:tcBorders>
              <w:top w:val="nil"/>
              <w:left w:val="nil"/>
              <w:bottom w:val="single" w:sz="6" w:space="0" w:color="auto"/>
              <w:right w:val="single" w:sz="6" w:space="0" w:color="auto"/>
            </w:tcBorders>
            <w:hideMark/>
          </w:tcPr>
          <w:p w14:paraId="0EE0B0D1"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5CEBEA63"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2 </w:t>
            </w:r>
          </w:p>
        </w:tc>
        <w:tc>
          <w:tcPr>
            <w:tcW w:w="1080" w:type="dxa"/>
            <w:tcBorders>
              <w:top w:val="nil"/>
              <w:left w:val="nil"/>
              <w:bottom w:val="single" w:sz="6" w:space="0" w:color="auto"/>
              <w:right w:val="single" w:sz="6" w:space="0" w:color="auto"/>
            </w:tcBorders>
            <w:hideMark/>
          </w:tcPr>
          <w:p w14:paraId="618BB519"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-2 </w:t>
            </w:r>
          </w:p>
        </w:tc>
        <w:tc>
          <w:tcPr>
            <w:tcW w:w="1080" w:type="dxa"/>
            <w:tcBorders>
              <w:top w:val="nil"/>
              <w:left w:val="nil"/>
              <w:bottom w:val="single" w:sz="6" w:space="0" w:color="auto"/>
              <w:right w:val="single" w:sz="6" w:space="0" w:color="auto"/>
            </w:tcBorders>
            <w:hideMark/>
          </w:tcPr>
          <w:p w14:paraId="47AF77D1"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r>
      <w:tr w:rsidR="000C6BE9" w14:paraId="09D90E9A" w14:textId="77777777" w:rsidTr="000C6BE9">
        <w:tc>
          <w:tcPr>
            <w:tcW w:w="2130" w:type="dxa"/>
            <w:tcBorders>
              <w:top w:val="nil"/>
              <w:left w:val="single" w:sz="6" w:space="0" w:color="auto"/>
              <w:bottom w:val="single" w:sz="6" w:space="0" w:color="auto"/>
              <w:right w:val="single" w:sz="6" w:space="0" w:color="auto"/>
            </w:tcBorders>
            <w:hideMark/>
          </w:tcPr>
          <w:p w14:paraId="26B86D8C"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Supervisor </w:t>
            </w:r>
          </w:p>
        </w:tc>
        <w:tc>
          <w:tcPr>
            <w:tcW w:w="1200" w:type="dxa"/>
            <w:tcBorders>
              <w:top w:val="nil"/>
              <w:left w:val="nil"/>
              <w:bottom w:val="single" w:sz="6" w:space="0" w:color="auto"/>
              <w:right w:val="single" w:sz="6" w:space="0" w:color="auto"/>
            </w:tcBorders>
            <w:hideMark/>
          </w:tcPr>
          <w:p w14:paraId="0C4F5E1E"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1200" w:type="dxa"/>
            <w:tcBorders>
              <w:top w:val="nil"/>
              <w:left w:val="nil"/>
              <w:bottom w:val="single" w:sz="6" w:space="0" w:color="auto"/>
              <w:right w:val="single" w:sz="6" w:space="0" w:color="auto"/>
            </w:tcBorders>
            <w:hideMark/>
          </w:tcPr>
          <w:p w14:paraId="5BDA5899"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855" w:type="dxa"/>
            <w:tcBorders>
              <w:top w:val="nil"/>
              <w:left w:val="nil"/>
              <w:bottom w:val="single" w:sz="6" w:space="0" w:color="auto"/>
              <w:right w:val="single" w:sz="6" w:space="0" w:color="auto"/>
            </w:tcBorders>
            <w:hideMark/>
          </w:tcPr>
          <w:p w14:paraId="6285CC28"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41F60DEC"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1080" w:type="dxa"/>
            <w:tcBorders>
              <w:top w:val="nil"/>
              <w:left w:val="nil"/>
              <w:bottom w:val="single" w:sz="6" w:space="0" w:color="auto"/>
              <w:right w:val="single" w:sz="6" w:space="0" w:color="auto"/>
            </w:tcBorders>
            <w:hideMark/>
          </w:tcPr>
          <w:p w14:paraId="1780E616"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c>
          <w:tcPr>
            <w:tcW w:w="1080" w:type="dxa"/>
            <w:tcBorders>
              <w:top w:val="nil"/>
              <w:left w:val="nil"/>
              <w:bottom w:val="single" w:sz="6" w:space="0" w:color="auto"/>
              <w:right w:val="single" w:sz="6" w:space="0" w:color="auto"/>
            </w:tcBorders>
            <w:hideMark/>
          </w:tcPr>
          <w:p w14:paraId="47079B2E"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0 </w:t>
            </w:r>
          </w:p>
        </w:tc>
      </w:tr>
      <w:tr w:rsidR="000C6BE9" w14:paraId="6114D345" w14:textId="77777777" w:rsidTr="000C6BE9">
        <w:tc>
          <w:tcPr>
            <w:tcW w:w="2130" w:type="dxa"/>
            <w:tcBorders>
              <w:top w:val="nil"/>
              <w:left w:val="single" w:sz="6" w:space="0" w:color="auto"/>
              <w:bottom w:val="single" w:sz="6" w:space="0" w:color="auto"/>
              <w:right w:val="single" w:sz="6" w:space="0" w:color="auto"/>
            </w:tcBorders>
            <w:hideMark/>
          </w:tcPr>
          <w:p w14:paraId="6711EA15"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 xml:space="preserve">TOTAL DIRECTIVOS </w:t>
            </w:r>
            <w:r>
              <w:rPr>
                <w:rFonts w:eastAsia="Times New Roman" w:cs="Arial"/>
                <w:color w:val="000000"/>
                <w:sz w:val="18"/>
                <w:szCs w:val="18"/>
                <w:lang w:eastAsia="es-CO"/>
              </w:rPr>
              <w:br/>
            </w:r>
            <w:r>
              <w:rPr>
                <w:rFonts w:eastAsia="Times New Roman" w:cs="Arial"/>
                <w:b/>
                <w:color w:val="000000"/>
                <w:sz w:val="18"/>
                <w:szCs w:val="18"/>
                <w:lang w:eastAsia="es-CO"/>
              </w:rPr>
              <w:t>DOCENTES</w:t>
            </w:r>
            <w:r>
              <w:rPr>
                <w:rFonts w:eastAsia="Times New Roman" w:cs="Arial"/>
                <w:color w:val="000000"/>
                <w:sz w:val="18"/>
                <w:szCs w:val="18"/>
                <w:lang w:eastAsia="es-CO"/>
              </w:rPr>
              <w:t> </w:t>
            </w:r>
          </w:p>
        </w:tc>
        <w:tc>
          <w:tcPr>
            <w:tcW w:w="1200" w:type="dxa"/>
            <w:tcBorders>
              <w:top w:val="nil"/>
              <w:left w:val="nil"/>
              <w:bottom w:val="single" w:sz="6" w:space="0" w:color="auto"/>
              <w:right w:val="single" w:sz="6" w:space="0" w:color="auto"/>
            </w:tcBorders>
            <w:hideMark/>
          </w:tcPr>
          <w:p w14:paraId="354E140D"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80</w:t>
            </w:r>
            <w:r>
              <w:rPr>
                <w:rFonts w:eastAsia="Times New Roman" w:cs="Arial"/>
                <w:color w:val="000000"/>
                <w:sz w:val="18"/>
                <w:szCs w:val="18"/>
                <w:lang w:eastAsia="es-CO"/>
              </w:rPr>
              <w:t> </w:t>
            </w:r>
          </w:p>
        </w:tc>
        <w:tc>
          <w:tcPr>
            <w:tcW w:w="1200" w:type="dxa"/>
            <w:tcBorders>
              <w:top w:val="nil"/>
              <w:left w:val="nil"/>
              <w:bottom w:val="single" w:sz="6" w:space="0" w:color="auto"/>
              <w:right w:val="single" w:sz="6" w:space="0" w:color="auto"/>
            </w:tcBorders>
            <w:hideMark/>
          </w:tcPr>
          <w:p w14:paraId="0F640A32"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73</w:t>
            </w:r>
            <w:r>
              <w:rPr>
                <w:rFonts w:eastAsia="Times New Roman" w:cs="Arial"/>
                <w:color w:val="000000"/>
                <w:sz w:val="18"/>
                <w:szCs w:val="18"/>
                <w:lang w:eastAsia="es-CO"/>
              </w:rPr>
              <w:t> </w:t>
            </w:r>
          </w:p>
        </w:tc>
        <w:tc>
          <w:tcPr>
            <w:tcW w:w="855" w:type="dxa"/>
            <w:tcBorders>
              <w:top w:val="nil"/>
              <w:left w:val="nil"/>
              <w:bottom w:val="single" w:sz="6" w:space="0" w:color="auto"/>
              <w:right w:val="single" w:sz="6" w:space="0" w:color="auto"/>
            </w:tcBorders>
            <w:hideMark/>
          </w:tcPr>
          <w:p w14:paraId="0BE7E0FB"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59AEB53B"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78</w:t>
            </w:r>
            <w:r>
              <w:rPr>
                <w:rFonts w:eastAsia="Times New Roman" w:cs="Arial"/>
                <w:color w:val="000000"/>
                <w:sz w:val="18"/>
                <w:szCs w:val="18"/>
                <w:lang w:eastAsia="es-CO"/>
              </w:rPr>
              <w:t> </w:t>
            </w:r>
          </w:p>
        </w:tc>
        <w:tc>
          <w:tcPr>
            <w:tcW w:w="1080" w:type="dxa"/>
            <w:tcBorders>
              <w:top w:val="nil"/>
              <w:left w:val="nil"/>
              <w:bottom w:val="single" w:sz="6" w:space="0" w:color="auto"/>
              <w:right w:val="single" w:sz="6" w:space="0" w:color="auto"/>
            </w:tcBorders>
            <w:hideMark/>
          </w:tcPr>
          <w:p w14:paraId="1E6B6D2E"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-2 </w:t>
            </w:r>
          </w:p>
        </w:tc>
        <w:tc>
          <w:tcPr>
            <w:tcW w:w="1080" w:type="dxa"/>
            <w:tcBorders>
              <w:top w:val="nil"/>
              <w:left w:val="nil"/>
              <w:bottom w:val="single" w:sz="6" w:space="0" w:color="auto"/>
              <w:right w:val="single" w:sz="6" w:space="0" w:color="auto"/>
            </w:tcBorders>
            <w:hideMark/>
          </w:tcPr>
          <w:p w14:paraId="1A4841E6"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5 </w:t>
            </w:r>
          </w:p>
        </w:tc>
      </w:tr>
      <w:tr w:rsidR="000C6BE9" w14:paraId="16803A1D" w14:textId="77777777" w:rsidTr="000C6BE9">
        <w:tc>
          <w:tcPr>
            <w:tcW w:w="2130" w:type="dxa"/>
            <w:tcBorders>
              <w:top w:val="nil"/>
              <w:left w:val="single" w:sz="6" w:space="0" w:color="auto"/>
              <w:bottom w:val="single" w:sz="6" w:space="0" w:color="auto"/>
              <w:right w:val="single" w:sz="6" w:space="0" w:color="auto"/>
            </w:tcBorders>
            <w:hideMark/>
          </w:tcPr>
          <w:p w14:paraId="76F9D92D"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 xml:space="preserve">TOTAL DOCENTES Y </w:t>
            </w:r>
            <w:r>
              <w:rPr>
                <w:rFonts w:eastAsia="Times New Roman" w:cs="Arial"/>
                <w:color w:val="000000"/>
                <w:sz w:val="18"/>
                <w:szCs w:val="18"/>
                <w:lang w:eastAsia="es-CO"/>
              </w:rPr>
              <w:br/>
            </w:r>
            <w:r>
              <w:rPr>
                <w:rFonts w:eastAsia="Times New Roman" w:cs="Arial"/>
                <w:b/>
                <w:color w:val="000000"/>
                <w:sz w:val="18"/>
                <w:szCs w:val="18"/>
                <w:lang w:eastAsia="es-CO"/>
              </w:rPr>
              <w:t>DIRECTIVOS DOCENTES</w:t>
            </w:r>
            <w:r>
              <w:rPr>
                <w:rFonts w:eastAsia="Times New Roman" w:cs="Arial"/>
                <w:color w:val="000000"/>
                <w:sz w:val="18"/>
                <w:szCs w:val="18"/>
                <w:lang w:eastAsia="es-CO"/>
              </w:rPr>
              <w:t> </w:t>
            </w:r>
          </w:p>
        </w:tc>
        <w:tc>
          <w:tcPr>
            <w:tcW w:w="1200" w:type="dxa"/>
            <w:tcBorders>
              <w:top w:val="nil"/>
              <w:left w:val="nil"/>
              <w:bottom w:val="single" w:sz="6" w:space="0" w:color="auto"/>
              <w:right w:val="single" w:sz="6" w:space="0" w:color="auto"/>
            </w:tcBorders>
            <w:hideMark/>
          </w:tcPr>
          <w:p w14:paraId="6A0D8EC1"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1.179</w:t>
            </w:r>
            <w:r>
              <w:rPr>
                <w:rFonts w:eastAsia="Times New Roman" w:cs="Arial"/>
                <w:color w:val="000000"/>
                <w:sz w:val="18"/>
                <w:szCs w:val="18"/>
                <w:lang w:eastAsia="es-CO"/>
              </w:rPr>
              <w:t> </w:t>
            </w:r>
          </w:p>
        </w:tc>
        <w:tc>
          <w:tcPr>
            <w:tcW w:w="1200" w:type="dxa"/>
            <w:tcBorders>
              <w:top w:val="nil"/>
              <w:left w:val="nil"/>
              <w:bottom w:val="single" w:sz="6" w:space="0" w:color="auto"/>
              <w:right w:val="single" w:sz="6" w:space="0" w:color="auto"/>
            </w:tcBorders>
            <w:hideMark/>
          </w:tcPr>
          <w:p w14:paraId="252A6240"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1.131</w:t>
            </w:r>
            <w:r>
              <w:rPr>
                <w:rFonts w:eastAsia="Times New Roman" w:cs="Arial"/>
                <w:color w:val="000000"/>
                <w:sz w:val="18"/>
                <w:szCs w:val="18"/>
                <w:lang w:eastAsia="es-CO"/>
              </w:rPr>
              <w:t> </w:t>
            </w:r>
          </w:p>
        </w:tc>
        <w:tc>
          <w:tcPr>
            <w:tcW w:w="855" w:type="dxa"/>
            <w:tcBorders>
              <w:top w:val="nil"/>
              <w:left w:val="nil"/>
              <w:bottom w:val="single" w:sz="6" w:space="0" w:color="auto"/>
              <w:right w:val="single" w:sz="6" w:space="0" w:color="auto"/>
            </w:tcBorders>
            <w:hideMark/>
          </w:tcPr>
          <w:p w14:paraId="6607E672"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5820A244"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1.184</w:t>
            </w:r>
            <w:r>
              <w:rPr>
                <w:rFonts w:eastAsia="Times New Roman" w:cs="Arial"/>
                <w:color w:val="000000"/>
                <w:sz w:val="18"/>
                <w:szCs w:val="18"/>
                <w:lang w:eastAsia="es-CO"/>
              </w:rPr>
              <w:t> </w:t>
            </w:r>
          </w:p>
        </w:tc>
        <w:tc>
          <w:tcPr>
            <w:tcW w:w="1080" w:type="dxa"/>
            <w:tcBorders>
              <w:top w:val="nil"/>
              <w:left w:val="nil"/>
              <w:bottom w:val="single" w:sz="6" w:space="0" w:color="auto"/>
              <w:right w:val="single" w:sz="6" w:space="0" w:color="auto"/>
            </w:tcBorders>
            <w:hideMark/>
          </w:tcPr>
          <w:p w14:paraId="76FDF865"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5 </w:t>
            </w:r>
          </w:p>
        </w:tc>
        <w:tc>
          <w:tcPr>
            <w:tcW w:w="1080" w:type="dxa"/>
            <w:tcBorders>
              <w:top w:val="nil"/>
              <w:left w:val="nil"/>
              <w:bottom w:val="single" w:sz="6" w:space="0" w:color="auto"/>
              <w:right w:val="single" w:sz="6" w:space="0" w:color="auto"/>
            </w:tcBorders>
            <w:hideMark/>
          </w:tcPr>
          <w:p w14:paraId="082F37E6"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53 </w:t>
            </w:r>
          </w:p>
        </w:tc>
      </w:tr>
      <w:tr w:rsidR="000C6BE9" w14:paraId="66C4E138" w14:textId="77777777" w:rsidTr="000C6BE9">
        <w:tc>
          <w:tcPr>
            <w:tcW w:w="2130" w:type="dxa"/>
            <w:tcBorders>
              <w:top w:val="nil"/>
              <w:left w:val="single" w:sz="6" w:space="0" w:color="auto"/>
              <w:bottom w:val="single" w:sz="6" w:space="0" w:color="auto"/>
              <w:right w:val="single" w:sz="6" w:space="0" w:color="auto"/>
            </w:tcBorders>
            <w:hideMark/>
          </w:tcPr>
          <w:p w14:paraId="50422FEB"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ADMINISTRATIVOS </w:t>
            </w:r>
          </w:p>
        </w:tc>
        <w:tc>
          <w:tcPr>
            <w:tcW w:w="1200" w:type="dxa"/>
            <w:tcBorders>
              <w:top w:val="nil"/>
              <w:left w:val="nil"/>
              <w:bottom w:val="single" w:sz="6" w:space="0" w:color="auto"/>
              <w:right w:val="single" w:sz="6" w:space="0" w:color="auto"/>
            </w:tcBorders>
            <w:hideMark/>
          </w:tcPr>
          <w:p w14:paraId="16352BDB"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120 </w:t>
            </w:r>
          </w:p>
        </w:tc>
        <w:tc>
          <w:tcPr>
            <w:tcW w:w="1200" w:type="dxa"/>
            <w:tcBorders>
              <w:top w:val="nil"/>
              <w:left w:val="nil"/>
              <w:bottom w:val="single" w:sz="6" w:space="0" w:color="auto"/>
              <w:right w:val="single" w:sz="6" w:space="0" w:color="auto"/>
            </w:tcBorders>
            <w:hideMark/>
          </w:tcPr>
          <w:p w14:paraId="10E0301A"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120 </w:t>
            </w:r>
          </w:p>
        </w:tc>
        <w:tc>
          <w:tcPr>
            <w:tcW w:w="855" w:type="dxa"/>
            <w:tcBorders>
              <w:top w:val="nil"/>
              <w:left w:val="nil"/>
              <w:bottom w:val="single" w:sz="6" w:space="0" w:color="auto"/>
              <w:right w:val="single" w:sz="6" w:space="0" w:color="auto"/>
            </w:tcBorders>
            <w:hideMark/>
          </w:tcPr>
          <w:p w14:paraId="03A20A20"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7A6B1555"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151 </w:t>
            </w:r>
          </w:p>
        </w:tc>
        <w:tc>
          <w:tcPr>
            <w:tcW w:w="1080" w:type="dxa"/>
            <w:tcBorders>
              <w:top w:val="nil"/>
              <w:left w:val="nil"/>
              <w:bottom w:val="single" w:sz="6" w:space="0" w:color="auto"/>
              <w:right w:val="single" w:sz="6" w:space="0" w:color="auto"/>
            </w:tcBorders>
            <w:hideMark/>
          </w:tcPr>
          <w:p w14:paraId="791E686B"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31 </w:t>
            </w:r>
          </w:p>
        </w:tc>
        <w:tc>
          <w:tcPr>
            <w:tcW w:w="1080" w:type="dxa"/>
            <w:tcBorders>
              <w:top w:val="nil"/>
              <w:left w:val="nil"/>
              <w:bottom w:val="single" w:sz="6" w:space="0" w:color="auto"/>
              <w:right w:val="single" w:sz="6" w:space="0" w:color="auto"/>
            </w:tcBorders>
            <w:hideMark/>
          </w:tcPr>
          <w:p w14:paraId="1E98CB88"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31 </w:t>
            </w:r>
          </w:p>
        </w:tc>
      </w:tr>
      <w:tr w:rsidR="000C6BE9" w14:paraId="1AC47D93" w14:textId="77777777" w:rsidTr="000C6BE9">
        <w:tc>
          <w:tcPr>
            <w:tcW w:w="2130" w:type="dxa"/>
            <w:tcBorders>
              <w:top w:val="nil"/>
              <w:left w:val="single" w:sz="6" w:space="0" w:color="auto"/>
              <w:bottom w:val="single" w:sz="6" w:space="0" w:color="auto"/>
              <w:right w:val="single" w:sz="6" w:space="0" w:color="auto"/>
            </w:tcBorders>
            <w:hideMark/>
          </w:tcPr>
          <w:p w14:paraId="2A00FFC1"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 xml:space="preserve">TOTAL DOCENTES, </w:t>
            </w:r>
            <w:r>
              <w:rPr>
                <w:rFonts w:eastAsia="Times New Roman" w:cs="Arial"/>
                <w:color w:val="000000"/>
                <w:sz w:val="18"/>
                <w:szCs w:val="18"/>
                <w:lang w:eastAsia="es-CO"/>
              </w:rPr>
              <w:br/>
            </w:r>
            <w:r>
              <w:rPr>
                <w:rFonts w:eastAsia="Times New Roman" w:cs="Arial"/>
                <w:b/>
                <w:color w:val="000000"/>
                <w:sz w:val="18"/>
                <w:szCs w:val="18"/>
                <w:lang w:eastAsia="es-CO"/>
              </w:rPr>
              <w:t xml:space="preserve">DIRECTIVOS DOCENTES Y </w:t>
            </w:r>
            <w:r>
              <w:rPr>
                <w:rFonts w:eastAsia="Times New Roman" w:cs="Arial"/>
                <w:color w:val="000000"/>
                <w:sz w:val="18"/>
                <w:szCs w:val="18"/>
                <w:lang w:eastAsia="es-CO"/>
              </w:rPr>
              <w:br/>
            </w:r>
            <w:r>
              <w:rPr>
                <w:rFonts w:eastAsia="Times New Roman" w:cs="Arial"/>
                <w:b/>
                <w:color w:val="000000"/>
                <w:sz w:val="18"/>
                <w:szCs w:val="18"/>
                <w:lang w:eastAsia="es-CO"/>
              </w:rPr>
              <w:t>ADMINISTRATIVOS</w:t>
            </w:r>
            <w:r>
              <w:rPr>
                <w:rFonts w:eastAsia="Times New Roman" w:cs="Arial"/>
                <w:color w:val="000000"/>
                <w:sz w:val="18"/>
                <w:szCs w:val="18"/>
                <w:lang w:eastAsia="es-CO"/>
              </w:rPr>
              <w:t> </w:t>
            </w:r>
          </w:p>
        </w:tc>
        <w:tc>
          <w:tcPr>
            <w:tcW w:w="1200" w:type="dxa"/>
            <w:tcBorders>
              <w:top w:val="nil"/>
              <w:left w:val="nil"/>
              <w:bottom w:val="single" w:sz="6" w:space="0" w:color="auto"/>
              <w:right w:val="single" w:sz="6" w:space="0" w:color="auto"/>
            </w:tcBorders>
            <w:hideMark/>
          </w:tcPr>
          <w:p w14:paraId="036063DC"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1.299</w:t>
            </w:r>
            <w:r>
              <w:rPr>
                <w:rFonts w:eastAsia="Times New Roman" w:cs="Arial"/>
                <w:color w:val="000000"/>
                <w:sz w:val="18"/>
                <w:szCs w:val="18"/>
                <w:lang w:eastAsia="es-CO"/>
              </w:rPr>
              <w:t> </w:t>
            </w:r>
          </w:p>
        </w:tc>
        <w:tc>
          <w:tcPr>
            <w:tcW w:w="1200" w:type="dxa"/>
            <w:tcBorders>
              <w:top w:val="nil"/>
              <w:left w:val="nil"/>
              <w:bottom w:val="single" w:sz="6" w:space="0" w:color="auto"/>
              <w:right w:val="single" w:sz="6" w:space="0" w:color="auto"/>
            </w:tcBorders>
            <w:hideMark/>
          </w:tcPr>
          <w:p w14:paraId="23E3B31C"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1.251</w:t>
            </w:r>
            <w:r>
              <w:rPr>
                <w:rFonts w:eastAsia="Times New Roman" w:cs="Arial"/>
                <w:color w:val="000000"/>
                <w:sz w:val="18"/>
                <w:szCs w:val="18"/>
                <w:lang w:eastAsia="es-CO"/>
              </w:rPr>
              <w:t> </w:t>
            </w:r>
          </w:p>
        </w:tc>
        <w:tc>
          <w:tcPr>
            <w:tcW w:w="855" w:type="dxa"/>
            <w:tcBorders>
              <w:top w:val="nil"/>
              <w:left w:val="nil"/>
              <w:bottom w:val="single" w:sz="6" w:space="0" w:color="auto"/>
              <w:right w:val="single" w:sz="6" w:space="0" w:color="auto"/>
            </w:tcBorders>
            <w:hideMark/>
          </w:tcPr>
          <w:p w14:paraId="715AF7E2" w14:textId="77777777" w:rsidR="000C6BE9" w:rsidRDefault="000C6BE9">
            <w:pPr>
              <w:jc w:val="center"/>
              <w:textAlignment w:val="baseline"/>
              <w:rPr>
                <w:rFonts w:eastAsia="Times New Roman"/>
                <w:lang w:eastAsia="es-CO"/>
              </w:rPr>
            </w:pPr>
            <w:r>
              <w:rPr>
                <w:rFonts w:eastAsia="Times New Roman" w:cs="Arial"/>
                <w:color w:val="000000"/>
                <w:sz w:val="18"/>
                <w:szCs w:val="18"/>
                <w:lang w:eastAsia="es-CO"/>
              </w:rPr>
              <w:t> </w:t>
            </w:r>
          </w:p>
        </w:tc>
        <w:tc>
          <w:tcPr>
            <w:tcW w:w="1185" w:type="dxa"/>
            <w:tcBorders>
              <w:top w:val="nil"/>
              <w:left w:val="nil"/>
              <w:bottom w:val="single" w:sz="6" w:space="0" w:color="auto"/>
              <w:right w:val="single" w:sz="6" w:space="0" w:color="auto"/>
            </w:tcBorders>
            <w:hideMark/>
          </w:tcPr>
          <w:p w14:paraId="49E49A94"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1.335</w:t>
            </w:r>
            <w:r>
              <w:rPr>
                <w:rFonts w:eastAsia="Times New Roman" w:cs="Arial"/>
                <w:color w:val="000000"/>
                <w:sz w:val="18"/>
                <w:szCs w:val="18"/>
                <w:lang w:eastAsia="es-CO"/>
              </w:rPr>
              <w:t> </w:t>
            </w:r>
          </w:p>
        </w:tc>
        <w:tc>
          <w:tcPr>
            <w:tcW w:w="1080" w:type="dxa"/>
            <w:tcBorders>
              <w:top w:val="nil"/>
              <w:left w:val="nil"/>
              <w:bottom w:val="single" w:sz="6" w:space="0" w:color="auto"/>
              <w:right w:val="single" w:sz="6" w:space="0" w:color="auto"/>
            </w:tcBorders>
            <w:hideMark/>
          </w:tcPr>
          <w:p w14:paraId="620AF4CF"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36</w:t>
            </w:r>
            <w:r>
              <w:rPr>
                <w:rFonts w:eastAsia="Times New Roman" w:cs="Arial"/>
                <w:color w:val="000000"/>
                <w:sz w:val="18"/>
                <w:szCs w:val="18"/>
                <w:lang w:eastAsia="es-CO"/>
              </w:rPr>
              <w:t> </w:t>
            </w:r>
          </w:p>
        </w:tc>
        <w:tc>
          <w:tcPr>
            <w:tcW w:w="1080" w:type="dxa"/>
            <w:tcBorders>
              <w:top w:val="nil"/>
              <w:left w:val="nil"/>
              <w:bottom w:val="single" w:sz="6" w:space="0" w:color="auto"/>
              <w:right w:val="single" w:sz="6" w:space="0" w:color="auto"/>
            </w:tcBorders>
            <w:hideMark/>
          </w:tcPr>
          <w:p w14:paraId="595E8942" w14:textId="77777777" w:rsidR="000C6BE9" w:rsidRDefault="000C6BE9">
            <w:pPr>
              <w:jc w:val="center"/>
              <w:textAlignment w:val="baseline"/>
              <w:rPr>
                <w:rFonts w:eastAsia="Times New Roman"/>
                <w:lang w:eastAsia="es-CO"/>
              </w:rPr>
            </w:pPr>
            <w:r>
              <w:rPr>
                <w:rFonts w:eastAsia="Times New Roman" w:cs="Arial"/>
                <w:b/>
                <w:color w:val="000000"/>
                <w:sz w:val="18"/>
                <w:szCs w:val="18"/>
                <w:lang w:eastAsia="es-CO"/>
              </w:rPr>
              <w:t>84</w:t>
            </w:r>
            <w:r>
              <w:rPr>
                <w:rFonts w:eastAsia="Times New Roman" w:cs="Arial"/>
                <w:color w:val="000000"/>
                <w:sz w:val="18"/>
                <w:szCs w:val="18"/>
                <w:lang w:eastAsia="es-CO"/>
              </w:rPr>
              <w:t> </w:t>
            </w:r>
          </w:p>
        </w:tc>
      </w:tr>
    </w:tbl>
    <w:p w14:paraId="7F1226A6"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sz w:val="18"/>
          <w:szCs w:val="18"/>
          <w:lang w:eastAsia="es-CO"/>
        </w:rPr>
        <w:t> </w:t>
      </w:r>
    </w:p>
    <w:p w14:paraId="76619B9F" w14:textId="77777777" w:rsidR="000C6BE9" w:rsidRDefault="000C6BE9" w:rsidP="000C6BE9">
      <w:pPr>
        <w:jc w:val="both"/>
        <w:textAlignment w:val="baseline"/>
        <w:rPr>
          <w:rFonts w:eastAsia="Times New Roman" w:cs="Arial"/>
          <w:lang w:eastAsia="es-CO"/>
        </w:rPr>
      </w:pPr>
      <w:r>
        <w:rPr>
          <w:rFonts w:eastAsia="Times New Roman" w:cs="Arial"/>
          <w:lang w:eastAsia="es-CO"/>
        </w:rPr>
        <w:t xml:space="preserve">Si bien la Entidad presentó el estudio técnico de planta, el mismo no ha sido viabilizado por el Ministerio de Educación Nacional dado que ya había emitido el Concepto Técnico, el cual, de acuerdo con lo informado por la Entidad, no obedecía a las necesidades reales de la planta. Por lo tanto, en este momento la Entidad se encuentra reevaluando el proceso con el MEN. Por lo anterior, la actividad se encuentra incumplida hasta tanto el Concepto técnico de planta sea adoptado por la entidad. </w:t>
      </w:r>
    </w:p>
    <w:p w14:paraId="199C2391" w14:textId="77777777" w:rsidR="000C6BE9" w:rsidRDefault="000C6BE9" w:rsidP="000C6BE9">
      <w:pPr>
        <w:jc w:val="both"/>
        <w:rPr>
          <w:rFonts w:eastAsia="Times New Roman" w:cs="Arial"/>
          <w:lang w:eastAsia="es-CO"/>
        </w:rPr>
      </w:pPr>
    </w:p>
    <w:p w14:paraId="160D2E72" w14:textId="77777777" w:rsidR="000C6BE9" w:rsidRDefault="000C6BE9" w:rsidP="000C6BE9">
      <w:pPr>
        <w:jc w:val="both"/>
        <w:rPr>
          <w:bCs/>
          <w:szCs w:val="22"/>
          <w:lang w:eastAsia="en-US"/>
        </w:rPr>
      </w:pPr>
      <w:r>
        <w:rPr>
          <w:bCs/>
          <w:szCs w:val="22"/>
          <w:lang w:eastAsia="en-US"/>
        </w:rPr>
        <w:t>Evaluación de la actividad: No cumple</w:t>
      </w:r>
    </w:p>
    <w:p w14:paraId="12BB8ACE" w14:textId="77777777" w:rsidR="000C6BE9" w:rsidRDefault="000C6BE9" w:rsidP="000C6BE9">
      <w:pPr>
        <w:jc w:val="both"/>
        <w:rPr>
          <w:b/>
          <w:bCs/>
          <w:lang w:val="es-CO" w:eastAsia="en-US"/>
        </w:rPr>
      </w:pPr>
    </w:p>
    <w:p w14:paraId="3FC8CDF0" w14:textId="77777777" w:rsidR="000C6BE9" w:rsidRDefault="000C6BE9" w:rsidP="000C6BE9">
      <w:pPr>
        <w:rPr>
          <w:b/>
          <w:lang w:val="es-CO" w:eastAsia="en-US"/>
        </w:rPr>
      </w:pPr>
      <w:r>
        <w:rPr>
          <w:b/>
          <w:lang w:val="es-CO" w:eastAsia="en-US"/>
        </w:rPr>
        <w:t>Recomendación</w:t>
      </w:r>
    </w:p>
    <w:p w14:paraId="15914682" w14:textId="77777777" w:rsidR="000C6BE9" w:rsidRDefault="000C6BE9" w:rsidP="000C6BE9">
      <w:pPr>
        <w:jc w:val="both"/>
        <w:rPr>
          <w:lang w:val="es-CO" w:eastAsia="en-US"/>
        </w:rPr>
      </w:pPr>
    </w:p>
    <w:p w14:paraId="014AA64C" w14:textId="77777777" w:rsidR="000C6BE9" w:rsidRDefault="000C6BE9" w:rsidP="000C6BE9">
      <w:pPr>
        <w:jc w:val="both"/>
        <w:rPr>
          <w:lang w:val="es-CO" w:eastAsia="en-US"/>
        </w:rPr>
      </w:pPr>
      <w:r>
        <w:rPr>
          <w:lang w:val="es-CO" w:eastAsia="en-US"/>
        </w:rPr>
        <w:t>Adelantar las gestiones necesarias con el MEN para que se llegue a un acuerdo en relación con el concepto técnico de planta y adoptar el concepto que emita el Ministerio de Educación Nacional.</w:t>
      </w:r>
    </w:p>
    <w:p w14:paraId="27DA6683" w14:textId="77777777" w:rsidR="000C6BE9" w:rsidRDefault="000C6BE9" w:rsidP="000C6BE9">
      <w:pPr>
        <w:jc w:val="both"/>
        <w:rPr>
          <w:rFonts w:cs="Arial"/>
          <w:szCs w:val="22"/>
          <w:lang w:val="es-CO" w:eastAsia="en-US"/>
        </w:rPr>
      </w:pPr>
    </w:p>
    <w:p w14:paraId="009B6C36" w14:textId="77777777" w:rsidR="000C6BE9" w:rsidRDefault="000C6BE9" w:rsidP="000C6BE9">
      <w:pPr>
        <w:pStyle w:val="Ttulo3"/>
        <w:spacing w:before="0"/>
        <w:jc w:val="both"/>
        <w:rPr>
          <w:rFonts w:cs="Arial"/>
          <w:szCs w:val="22"/>
        </w:rPr>
      </w:pPr>
      <w:r>
        <w:rPr>
          <w:rFonts w:cs="Arial"/>
          <w:b/>
          <w:bCs/>
          <w:szCs w:val="22"/>
        </w:rPr>
        <w:t>Actividad 3.1.3.</w:t>
      </w:r>
      <w:r>
        <w:rPr>
          <w:rFonts w:cs="Arial"/>
          <w:szCs w:val="22"/>
        </w:rPr>
        <w:t xml:space="preserve"> Adoptar mediante acto administrativo la planta de personal docente, directivo-docente y administrativo de acuerdo con el concepto de viabilización de planta emitido por el MEN.</w:t>
      </w:r>
    </w:p>
    <w:p w14:paraId="65931092" w14:textId="77777777" w:rsidR="000C6BE9" w:rsidRDefault="000C6BE9" w:rsidP="000C6BE9">
      <w:pPr>
        <w:jc w:val="both"/>
        <w:rPr>
          <w:rFonts w:cs="Arial"/>
          <w:szCs w:val="22"/>
          <w:lang w:val="es-CO" w:eastAsia="en-US"/>
        </w:rPr>
      </w:pPr>
    </w:p>
    <w:p w14:paraId="55EF9508" w14:textId="77777777" w:rsidR="000C6BE9" w:rsidRDefault="000C6BE9" w:rsidP="000C6BE9">
      <w:pPr>
        <w:jc w:val="both"/>
        <w:rPr>
          <w:rFonts w:eastAsiaTheme="minorHAnsi"/>
          <w:b/>
          <w:lang w:val="es-CO" w:eastAsia="en-US"/>
        </w:rPr>
      </w:pPr>
      <w:r>
        <w:rPr>
          <w:rFonts w:eastAsiaTheme="minorHAnsi"/>
          <w:b/>
          <w:lang w:val="es-CO" w:eastAsia="en-US"/>
        </w:rPr>
        <w:t xml:space="preserve">Productos esperados: </w:t>
      </w:r>
      <w:r>
        <w:rPr>
          <w:lang w:val="es-CO" w:eastAsia="en-US"/>
        </w:rPr>
        <w:t>Acto administrativo de adopción de planta de acuerdo con el concepto de viabilización emitido por el MEN.</w:t>
      </w:r>
    </w:p>
    <w:p w14:paraId="63353563" w14:textId="77777777" w:rsidR="000C6BE9" w:rsidRDefault="000C6BE9" w:rsidP="000C6BE9">
      <w:pPr>
        <w:jc w:val="both"/>
        <w:rPr>
          <w:lang w:val="es-CO" w:eastAsia="en-US"/>
        </w:rPr>
      </w:pPr>
    </w:p>
    <w:p w14:paraId="0B4DFCDF" w14:textId="77777777" w:rsidR="000C6BE9" w:rsidRDefault="000C6BE9" w:rsidP="000C6BE9">
      <w:pPr>
        <w:jc w:val="both"/>
        <w:rPr>
          <w:rFonts w:eastAsiaTheme="minorHAnsi"/>
          <w:b/>
          <w:lang w:val="es-CO" w:eastAsia="en-US"/>
        </w:rPr>
      </w:pPr>
      <w:r>
        <w:rPr>
          <w:rFonts w:eastAsiaTheme="minorHAnsi"/>
          <w:b/>
          <w:lang w:val="es-CO" w:eastAsia="en-US"/>
        </w:rPr>
        <w:t>Evaluación</w:t>
      </w:r>
    </w:p>
    <w:p w14:paraId="49EAABB0" w14:textId="77777777" w:rsidR="000C6BE9" w:rsidRDefault="000C6BE9" w:rsidP="000C6BE9">
      <w:pPr>
        <w:jc w:val="both"/>
        <w:rPr>
          <w:lang w:val="es-CO" w:eastAsia="en-US"/>
        </w:rPr>
      </w:pPr>
    </w:p>
    <w:p w14:paraId="4AC94D03" w14:textId="77777777" w:rsidR="000C6BE9" w:rsidRDefault="000C6BE9" w:rsidP="000C6BE9">
      <w:pPr>
        <w:jc w:val="both"/>
        <w:rPr>
          <w:rFonts w:eastAsiaTheme="majorEastAsia" w:cs="Arial"/>
          <w:szCs w:val="22"/>
          <w:lang w:val="es-CO" w:eastAsia="en-US"/>
        </w:rPr>
      </w:pPr>
      <w:r>
        <w:rPr>
          <w:rFonts w:eastAsiaTheme="majorEastAsia" w:cs="Arial"/>
          <w:szCs w:val="22"/>
          <w:lang w:val="es-CO" w:eastAsia="en-US"/>
        </w:rPr>
        <w:lastRenderedPageBreak/>
        <w:t xml:space="preserve">La Entidad remite el Decreto No. 321 del 18 de marzo de 2016 “Por el cual se modifica la planta de cargos de personal docente y directivo docente financiada con recursos del Sistema General de Participaciones del Municipio de Santa Cruz de Lorica y se dictan otras disposiciones”, en donde adopta el Concepto Técnico remitido por el MEN mediante oficio 2016-EE003512 del 18 de enero del 2016. </w:t>
      </w:r>
    </w:p>
    <w:p w14:paraId="279C5045" w14:textId="77777777" w:rsidR="000C6BE9" w:rsidRDefault="000C6BE9" w:rsidP="000C6BE9">
      <w:pPr>
        <w:jc w:val="both"/>
        <w:rPr>
          <w:rFonts w:eastAsiaTheme="majorEastAsia" w:cs="Arial"/>
          <w:szCs w:val="22"/>
          <w:lang w:val="es-CO" w:eastAsia="en-US"/>
        </w:rPr>
      </w:pPr>
      <w:r>
        <w:rPr>
          <w:rFonts w:eastAsiaTheme="majorEastAsia" w:cs="Arial"/>
          <w:szCs w:val="22"/>
          <w:lang w:val="es-CO" w:eastAsia="en-US"/>
        </w:rPr>
        <w:t xml:space="preserve"> </w:t>
      </w:r>
    </w:p>
    <w:p w14:paraId="32C03B49" w14:textId="77777777" w:rsidR="000C6BE9" w:rsidRDefault="000C6BE9" w:rsidP="000C6BE9">
      <w:pPr>
        <w:jc w:val="both"/>
        <w:rPr>
          <w:rFonts w:eastAsiaTheme="majorEastAsia" w:cs="Arial"/>
          <w:szCs w:val="22"/>
          <w:lang w:val="es-CO" w:eastAsia="en-US"/>
        </w:rPr>
      </w:pPr>
      <w:r>
        <w:rPr>
          <w:rFonts w:eastAsiaTheme="majorEastAsia" w:cs="Arial"/>
          <w:szCs w:val="22"/>
          <w:lang w:val="es-CO" w:eastAsia="en-US"/>
        </w:rPr>
        <w:t xml:space="preserve">Es decir, la Entidad no suministra el acto administrativo mediante el cual adopta el Concepto Técnico de Planta enviado por el MEN mediante radicado No. 2021-EE-397732 del 20 de diciembre de 2021 que viabiliza una planta de 1.251 cargos. Lo anterior, debido a que, como se mencionó en el punto anterior, el Municipio se encuentra en desacuerdo con el Concepto Técnico emitido ya que según manifiestan, no obedece a los parámetros del estudio técnico completo. Por tanto, la actividad se encuentra incumplida hasta que la Entidad remita el acto administrativo que adopte el último Concepto Técnico de Planta que emita el MEN para la Entidad. </w:t>
      </w:r>
    </w:p>
    <w:p w14:paraId="13AF3FA8" w14:textId="77777777" w:rsidR="000C6BE9" w:rsidRDefault="000C6BE9" w:rsidP="000C6BE9">
      <w:pPr>
        <w:jc w:val="both"/>
        <w:rPr>
          <w:rFonts w:eastAsiaTheme="majorEastAsia" w:cs="Arial"/>
          <w:szCs w:val="22"/>
          <w:lang w:val="es-CO" w:eastAsia="en-US"/>
        </w:rPr>
      </w:pPr>
    </w:p>
    <w:p w14:paraId="4529C53B" w14:textId="77777777" w:rsidR="000C6BE9" w:rsidRDefault="000C6BE9" w:rsidP="000C6BE9">
      <w:pPr>
        <w:jc w:val="both"/>
        <w:rPr>
          <w:bCs/>
          <w:szCs w:val="22"/>
          <w:lang w:eastAsia="en-US"/>
        </w:rPr>
      </w:pPr>
      <w:r>
        <w:rPr>
          <w:bCs/>
          <w:szCs w:val="22"/>
          <w:lang w:eastAsia="en-US"/>
        </w:rPr>
        <w:t>Evaluación de la actividad: No cumple</w:t>
      </w:r>
    </w:p>
    <w:p w14:paraId="6E8040EC" w14:textId="77777777" w:rsidR="000C6BE9" w:rsidRDefault="000C6BE9" w:rsidP="000C6BE9">
      <w:pPr>
        <w:jc w:val="both"/>
        <w:rPr>
          <w:rFonts w:eastAsiaTheme="majorEastAsia" w:cs="Arial"/>
          <w:iCs/>
          <w:szCs w:val="22"/>
          <w:lang w:val="es-CO" w:eastAsia="en-US"/>
        </w:rPr>
      </w:pPr>
    </w:p>
    <w:p w14:paraId="49478B6E" w14:textId="77777777" w:rsidR="000C6BE9" w:rsidRDefault="000C6BE9" w:rsidP="000C6BE9">
      <w:pPr>
        <w:rPr>
          <w:b/>
          <w:lang w:val="es-CO" w:eastAsia="en-US"/>
        </w:rPr>
      </w:pPr>
      <w:r>
        <w:rPr>
          <w:b/>
          <w:lang w:val="es-CO" w:eastAsia="en-US"/>
        </w:rPr>
        <w:t>Recomendación</w:t>
      </w:r>
    </w:p>
    <w:p w14:paraId="58BCD1CD" w14:textId="77777777" w:rsidR="000C6BE9" w:rsidRDefault="000C6BE9" w:rsidP="000C6BE9">
      <w:pPr>
        <w:rPr>
          <w:b/>
          <w:lang w:val="es-CO" w:eastAsia="en-US"/>
        </w:rPr>
      </w:pPr>
    </w:p>
    <w:p w14:paraId="5EC99351" w14:textId="77777777" w:rsidR="000C6BE9" w:rsidRDefault="000C6BE9" w:rsidP="000C6BE9">
      <w:pPr>
        <w:jc w:val="both"/>
        <w:rPr>
          <w:lang w:val="es-CO" w:eastAsia="en-US"/>
        </w:rPr>
      </w:pPr>
      <w:r>
        <w:rPr>
          <w:lang w:val="es-CO" w:eastAsia="en-US"/>
        </w:rPr>
        <w:t>Se recomienda adoptar el concepto técnico del Ministerio de Educación Nacional mediante acto administrativo.</w:t>
      </w:r>
    </w:p>
    <w:p w14:paraId="76256F34" w14:textId="77777777" w:rsidR="000C6BE9" w:rsidRDefault="000C6BE9" w:rsidP="000C6BE9">
      <w:pPr>
        <w:jc w:val="both"/>
        <w:rPr>
          <w:rFonts w:cs="Arial"/>
          <w:szCs w:val="22"/>
          <w:lang w:val="es-CO" w:eastAsia="en-US"/>
        </w:rPr>
      </w:pPr>
    </w:p>
    <w:p w14:paraId="1528037F" w14:textId="77777777" w:rsidR="000C6BE9" w:rsidRDefault="000C6BE9" w:rsidP="000C6BE9">
      <w:pPr>
        <w:pStyle w:val="Ttulo3"/>
        <w:spacing w:before="0"/>
        <w:jc w:val="both"/>
        <w:rPr>
          <w:rFonts w:eastAsiaTheme="minorHAnsi" w:cs="Arial"/>
          <w:szCs w:val="22"/>
          <w:lang w:val="es-CO" w:eastAsia="en-US"/>
        </w:rPr>
      </w:pPr>
      <w:r>
        <w:rPr>
          <w:rFonts w:eastAsiaTheme="minorHAnsi" w:cs="Arial"/>
          <w:b/>
          <w:bCs/>
          <w:szCs w:val="22"/>
          <w:lang w:val="es-CO" w:eastAsia="en-US"/>
        </w:rPr>
        <w:t>Actividad 3.1.4.</w:t>
      </w:r>
      <w:r>
        <w:rPr>
          <w:rFonts w:eastAsiaTheme="minorHAnsi" w:cs="Arial"/>
          <w:szCs w:val="22"/>
          <w:lang w:val="es-CO" w:eastAsia="en-US"/>
        </w:rPr>
        <w:t xml:space="preserve"> Expedir el acto administrativo de distribución de la planta docente, directivo docente y administrativo, por Institución Educativa de manera oportuna y en los términos del concepto técnico emitido por el Ministerio de Educación Nacional y actualizarlo en el sistema Humano.</w:t>
      </w:r>
    </w:p>
    <w:p w14:paraId="3B1ADE4D" w14:textId="77777777" w:rsidR="000C6BE9" w:rsidRDefault="000C6BE9" w:rsidP="000C6BE9">
      <w:pPr>
        <w:jc w:val="both"/>
        <w:rPr>
          <w:rFonts w:cs="Arial"/>
          <w:szCs w:val="22"/>
          <w:lang w:val="es-CO" w:eastAsia="en-US"/>
        </w:rPr>
      </w:pPr>
    </w:p>
    <w:p w14:paraId="10CF0E89" w14:textId="77777777" w:rsidR="000C6BE9" w:rsidRDefault="000C6BE9" w:rsidP="000C6BE9">
      <w:pPr>
        <w:jc w:val="both"/>
        <w:rPr>
          <w:rFonts w:eastAsiaTheme="minorHAnsi"/>
          <w:b/>
          <w:lang w:val="es-CO" w:eastAsia="en-US"/>
        </w:rPr>
      </w:pPr>
      <w:r>
        <w:rPr>
          <w:rFonts w:eastAsiaTheme="minorHAnsi"/>
          <w:b/>
          <w:lang w:val="es-CO" w:eastAsia="en-US"/>
        </w:rPr>
        <w:t xml:space="preserve">Productos esperados: </w:t>
      </w:r>
      <w:r>
        <w:rPr>
          <w:lang w:val="es-CO" w:eastAsia="en-US"/>
        </w:rPr>
        <w:t>Acto administrativo de distribución de planta expedido con oportunidad y de acuerdo con el acto administrativo de adopción de planta, anexo técnico en Excel del acto administrativo de distribución de planta y reporte de planta asignada por Institución Educativa generado desde el sistema HUMANO"</w:t>
      </w:r>
    </w:p>
    <w:p w14:paraId="726D5A16" w14:textId="77777777" w:rsidR="000C6BE9" w:rsidRDefault="000C6BE9" w:rsidP="000C6BE9">
      <w:pPr>
        <w:jc w:val="both"/>
        <w:rPr>
          <w:rFonts w:cs="Arial"/>
          <w:szCs w:val="22"/>
          <w:lang w:val="es-CO" w:eastAsia="en-US"/>
        </w:rPr>
      </w:pPr>
    </w:p>
    <w:p w14:paraId="6825E04C" w14:textId="77777777" w:rsidR="000C6BE9" w:rsidRDefault="000C6BE9" w:rsidP="000C6BE9">
      <w:pPr>
        <w:rPr>
          <w:b/>
          <w:lang w:val="es-CO" w:eastAsia="en-US"/>
        </w:rPr>
      </w:pPr>
      <w:r>
        <w:rPr>
          <w:b/>
          <w:lang w:val="es-CO" w:eastAsia="en-US"/>
        </w:rPr>
        <w:t>Evaluación</w:t>
      </w:r>
    </w:p>
    <w:p w14:paraId="101AA971" w14:textId="77777777" w:rsidR="000C6BE9" w:rsidRDefault="000C6BE9" w:rsidP="000C6BE9">
      <w:pPr>
        <w:jc w:val="both"/>
        <w:rPr>
          <w:b/>
          <w:bCs/>
          <w:lang w:val="es-CO" w:eastAsia="en-US"/>
        </w:rPr>
      </w:pPr>
    </w:p>
    <w:p w14:paraId="69E301C1"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Como lo establece el artículo 142 de la Ley 1450 de 2011, la garantía de la sostenibilidad de los recursos asignados al Sector Educación por el Sistema General de Participaciones requiere de la administración eficiente de las plantas de personal docente y directivo docente, las cuales deben ser ajustadas de acuerdo a la matrícula efectivamente atendida y de conformidad con las relaciones técnicas para cada zona y nivel educativo en las normas vigentes; en donde toda modificación efectiva de dichas plantas deberá contar con la aprobación del Ministerio de Educación Nacional para ser financiada con los recursos del Sistema General de Participaciones, en caso contrario, los mayores costos deberán ser financiados con recursos propios. </w:t>
      </w:r>
    </w:p>
    <w:p w14:paraId="44C741AC"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w:t>
      </w:r>
    </w:p>
    <w:p w14:paraId="2B2F474A"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xml:space="preserve">Por lo anterior, al analizar las plantas viabilizadas y su distribución, se identifica que la Entidad Territorial presenta el Concepto Técnico No. 2016EE003512 del 21 de diciembre de 2015, emitido por el Ministerio de Educación Nacional, según el cual la planta viabilizada para el Municipio está en capacidad de atender 23.467 alumnos, a su vez, reporta en el </w:t>
      </w:r>
      <w:r>
        <w:rPr>
          <w:rFonts w:eastAsia="Times New Roman" w:cs="Arial"/>
          <w:lang w:eastAsia="es-CO"/>
        </w:rPr>
        <w:lastRenderedPageBreak/>
        <w:t>Sistema de Información SIMAT que la matrícula oficial asciende a 23.406, es decir, 61 estudiantes menos de los que puede atender con su planta docente oficial. </w:t>
      </w:r>
    </w:p>
    <w:p w14:paraId="4FCEB9A0"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w:t>
      </w:r>
    </w:p>
    <w:p w14:paraId="48B3FD80"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Respecto a la distribución de la planta de personal, se identificó que en algunos casos no se hace en concordancia con los parámetros técnicos de distribución de docentes, directivos docentes y personal administrativo definidos por los artículos 2.4.6.1.2.1 al 2.4.6.1.2.6 del Decreto 1075 de 2015, así como en respuesta a la matrícula atendida y reportada en el Sistema de Información SIMAT. Al respecto, la Dirección General de Apoyo Fiscal evaluó la consistencia entre el acto administrativo de distribución de planta para la vigencia 2019 el cual fue el último emitido por la Entidad, el Decreto No. 1562 del 11 de abril de 2019, y el reporte de matrícula generado desde SIMAT a noviembre de 2021, evidenciando que los parámetros técnicos no están siendo aplicados con rigurosidad, por las inconsistencias que se relacionan a continuación: </w:t>
      </w:r>
    </w:p>
    <w:p w14:paraId="3C10F131"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w:t>
      </w:r>
    </w:p>
    <w:p w14:paraId="7101A889"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El Centro Educativo Cotoca Abajo cuenta con 1 director rural asignado cuando su matrícula asciende a 128, razón por la que no requeriría de director rural sin asignación académica de conformidad con lo descrito por el artículo 2.4.6.1.2.2 del Decreto 1075 de 2015. </w:t>
      </w:r>
    </w:p>
    <w:p w14:paraId="67AB7166"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El Centro Educativo Rural Mata de Caña MD cuenta con 1 director rural asignado cuando su matrícula asciende a 146, razón por la que no requeriría de director rural sin asignación académica de conformidad con lo descrito por el artículo 2.4.6.1.2.2 del Decreto 1075 de 2015. </w:t>
      </w:r>
    </w:p>
    <w:p w14:paraId="372A49F8"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La Institución Educativa El Remolino cuenta con 1 coordinador asignado cuando su matrícula asciende a 388, razón por la cual no requería de asignación de coordinadores de conformidad con lo descrito por el artículo 2.4.6.1.2.3 del Decreto 1075 de 2015. </w:t>
      </w:r>
    </w:p>
    <w:p w14:paraId="6C6488DB"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La Institución Educativa Antonio de la Torre y Miranda cuenta con 4 coordinadores asignados cuando su matrícula asciende a 1.915, solo cuenta con 3 sedes y no atiende jornada nocturna, razón por la que requeriría solamente de 3 coordinadores de conformidad con lo descrito por el artículo 2.4.6.1.2.3 del Decreto 1075 de 2015. </w:t>
      </w:r>
    </w:p>
    <w:p w14:paraId="67E32AA0"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La Institución Educativa Los Gómez cuenta con 1 coordinador asignado cuando su matrícula asciende a 370, razón por la que no requeriría de coordinadores de conformidad con lo descrito por el artículo 2.4.6.1.2.3 del Decreto 1075 de 2015. </w:t>
      </w:r>
    </w:p>
    <w:p w14:paraId="10E719B7"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El Centro Educativo Castilleral cuenta con 1 coordinador asignado cuando su matrícula asciende a 402, razón por la cual no requería de asignación de coordinadores de conformidad con lo descrito por el artículo 2.4.6.1.2.3 del Decreto 1075 de 2015. </w:t>
      </w:r>
    </w:p>
    <w:p w14:paraId="0CD22FF1"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La Institución Educativa Villa Concepción cuenta con 1 coordinador asignado cuando su matrícula asciende a 340, razón por la que no requeriría de coordinadores de conformidad con lo descrito por el artículo 2.4.6.1.2.3 del Decreto 1075 de 2015. </w:t>
      </w:r>
    </w:p>
    <w:p w14:paraId="7685D556"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La Institución Educativa José Isabel González cuenta con 1 coordinador asignado cuando su matrícula asciende a 356, razón por la que no requeriría de coordinadores de conformidad con lo descrito por el artículo 2.4.6.1.2.3 del Decreto 1075 de 2015. </w:t>
      </w:r>
    </w:p>
    <w:p w14:paraId="07564B91"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La Institución Educativa Eugenio Sánchez Cárdenas cuenta con 2 coordinadores asignados cuando su matrícula asciende a 829, solo cuenta con 4 sedes y no atiende jornada nocturna, razón por la que requeriría de 1 coordinador de conformidad con lo descrito por el artículo 2.4.6.1.2.3 del Decreto 1075 de 2015. </w:t>
      </w:r>
    </w:p>
    <w:p w14:paraId="149DAEF4" w14:textId="77777777" w:rsidR="000C6BE9" w:rsidRDefault="000C6BE9" w:rsidP="000C6BE9">
      <w:pPr>
        <w:numPr>
          <w:ilvl w:val="0"/>
          <w:numId w:val="49"/>
        </w:numPr>
        <w:ind w:left="426" w:hanging="426"/>
        <w:jc w:val="both"/>
        <w:textAlignment w:val="baseline"/>
        <w:rPr>
          <w:rFonts w:eastAsia="Times New Roman" w:cs="Arial"/>
          <w:lang w:eastAsia="es-CO"/>
        </w:rPr>
      </w:pPr>
      <w:r>
        <w:rPr>
          <w:rFonts w:eastAsia="Times New Roman" w:cs="Arial"/>
          <w:lang w:eastAsia="es-CO"/>
        </w:rPr>
        <w:t xml:space="preserve">La Institución Educativa La Unión cuenta con 2 coordinadores asignados cuando su matrícula asciende a 825, cuenta con 5 sedes y no atiende jornada nocturna, razón por </w:t>
      </w:r>
      <w:r>
        <w:rPr>
          <w:rFonts w:eastAsia="Times New Roman" w:cs="Arial"/>
          <w:lang w:eastAsia="es-CO"/>
        </w:rPr>
        <w:lastRenderedPageBreak/>
        <w:t>la que requeriría solamente de 1 coordinador de conformidad con lo descrito por el artículo 2.4.6.1.2.3 del Decreto 1075 de 2015. </w:t>
      </w:r>
    </w:p>
    <w:p w14:paraId="004D7FBD"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w:t>
      </w:r>
    </w:p>
    <w:p w14:paraId="382A38DF" w14:textId="77777777" w:rsidR="000C6BE9" w:rsidRDefault="000C6BE9" w:rsidP="000C6BE9">
      <w:pPr>
        <w:ind w:right="45"/>
        <w:jc w:val="both"/>
        <w:textAlignment w:val="baseline"/>
        <w:rPr>
          <w:rFonts w:ascii="Segoe UI" w:eastAsia="Times New Roman" w:hAnsi="Segoe UI" w:cs="Segoe UI"/>
          <w:sz w:val="18"/>
          <w:szCs w:val="18"/>
          <w:lang w:eastAsia="es-CO"/>
        </w:rPr>
      </w:pPr>
      <w:r>
        <w:rPr>
          <w:rFonts w:eastAsia="Times New Roman" w:cs="Arial"/>
          <w:lang w:eastAsia="es-CO"/>
        </w:rPr>
        <w:t>En conclusión, hay 2 cargos de director rural asignados a 2 centros educativos y 8 cargos de coordinador asignados a 8 Instituciones Educativas que no cumplen con los requisitos mínimos de matrícula, número de sedes y servicio en jornada nocturna definidos para el efecto en el artículo 2.4.6.1.2.3 del Decreto 1075 de 2015. Adicionalmente, la distribución de los cargos de coordinadores es inequitativa por cuanto estos excedentes podrían ser reubicados dentro del mismo Municipio, hacia alguna de las instituciones educativas que cumpliendo los requisitos definidos en la norma no cuentan con este cargo asignado. </w:t>
      </w:r>
    </w:p>
    <w:p w14:paraId="46D49A3B"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w:t>
      </w:r>
    </w:p>
    <w:p w14:paraId="652D9BC7"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Por otro lado, se identificaron dos establecimientos que en el decreto de distribución aparecen como centros educativos sin rector y con director rural, no obstante, en el reporte al SIMAT a noviembre de 2021 se reportan como instituciones educativas con niños matriculados en los grados de 0 a 11, estos Establecimientos Educativos son: Antonio Sánchez Gutiérrez y Castilleral. </w:t>
      </w:r>
    </w:p>
    <w:p w14:paraId="21BE1309"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w:t>
      </w:r>
    </w:p>
    <w:p w14:paraId="13ED0FC5"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Con respecto a las relaciones técnicas alumno/docente de la matrícula oficial, oscilan entre 12.75 y 33.31 alumnos/docente, mientras que el promedio según el concepto técnico de viabilización de planta es de 22.82, así: A la Institución Educativa Los Gómez le fueron asignados 24 docentes de aula para atender 370 alumnos de grado 0 a 11 (12.75 alumnos/docente), mientras que a la Institución Educativa Pablo VI se le asignaron 28 docentes de aula para la atención de 966 alumnos de grado 0 a 11 (33.31 alumnos/docente). </w:t>
      </w:r>
    </w:p>
    <w:p w14:paraId="0882C7B2" w14:textId="77777777" w:rsidR="000C6BE9" w:rsidRDefault="000C6BE9" w:rsidP="000C6BE9">
      <w:pPr>
        <w:jc w:val="both"/>
        <w:textAlignment w:val="baseline"/>
        <w:rPr>
          <w:rFonts w:ascii="Segoe UI" w:eastAsia="Times New Roman" w:hAnsi="Segoe UI" w:cs="Segoe UI"/>
          <w:sz w:val="18"/>
          <w:szCs w:val="18"/>
          <w:lang w:eastAsia="es-CO"/>
        </w:rPr>
      </w:pPr>
      <w:r>
        <w:rPr>
          <w:rFonts w:eastAsia="Times New Roman" w:cs="Arial"/>
          <w:lang w:eastAsia="es-CO"/>
        </w:rPr>
        <w:t> </w:t>
      </w:r>
    </w:p>
    <w:p w14:paraId="1C33A3F3" w14:textId="77777777" w:rsidR="000C6BE9" w:rsidRDefault="000C6BE9" w:rsidP="000C6BE9">
      <w:pPr>
        <w:jc w:val="both"/>
        <w:textAlignment w:val="baseline"/>
        <w:rPr>
          <w:rFonts w:eastAsia="Times New Roman" w:cs="Arial"/>
          <w:lang w:eastAsia="es-CO"/>
        </w:rPr>
      </w:pPr>
      <w:r>
        <w:rPr>
          <w:rFonts w:eastAsia="Times New Roman" w:cs="Arial"/>
          <w:lang w:eastAsia="es-CO"/>
        </w:rPr>
        <w:t>Así, de conformidad con lo expuesto, se evidencia que la Entidad Territorial no realiza una administración eficiente de las plantas de personal docente y directivo docente para la atención de su matrícula en contravía de lo estipulado por el artículo 142 de la Ley 1450 de 2011, toda vez que distribuye el personal incumpliendo los criterios y relaciones técnicas determinadas por las normas vigentes, artículos 2.4.6.1.2.1 al 2.4.6.1.2.6 del Decreto 1075 de 2015, ocasionando riesgos en la sostenibilidad de los recursos asignados para la prestación del Servicio por parte del Sistema General de Participaciones. </w:t>
      </w:r>
    </w:p>
    <w:p w14:paraId="0425622B" w14:textId="77777777" w:rsidR="000C6BE9" w:rsidRDefault="000C6BE9" w:rsidP="000C6BE9">
      <w:pPr>
        <w:jc w:val="both"/>
        <w:textAlignment w:val="baseline"/>
        <w:rPr>
          <w:rFonts w:eastAsia="Times New Roman" w:cs="Arial"/>
          <w:lang w:eastAsia="es-CO"/>
        </w:rPr>
      </w:pPr>
    </w:p>
    <w:p w14:paraId="2933CAA3" w14:textId="77777777" w:rsidR="000C6BE9" w:rsidRDefault="000C6BE9" w:rsidP="000C6BE9">
      <w:pPr>
        <w:jc w:val="both"/>
        <w:rPr>
          <w:bCs/>
          <w:szCs w:val="22"/>
          <w:lang w:eastAsia="en-US"/>
        </w:rPr>
      </w:pPr>
      <w:r>
        <w:rPr>
          <w:bCs/>
          <w:szCs w:val="22"/>
          <w:lang w:eastAsia="en-US"/>
        </w:rPr>
        <w:t>Evaluación de la actividad: No cumple</w:t>
      </w:r>
    </w:p>
    <w:p w14:paraId="42F19FD6" w14:textId="77777777" w:rsidR="000C6BE9" w:rsidRDefault="000C6BE9" w:rsidP="000C6BE9">
      <w:pPr>
        <w:jc w:val="both"/>
        <w:textAlignment w:val="baseline"/>
        <w:rPr>
          <w:rFonts w:ascii="Segoe UI" w:eastAsia="Times New Roman" w:hAnsi="Segoe UI" w:cs="Segoe UI"/>
          <w:sz w:val="18"/>
          <w:szCs w:val="18"/>
          <w:lang w:eastAsia="es-CO"/>
        </w:rPr>
      </w:pPr>
    </w:p>
    <w:p w14:paraId="4A8DBFAA" w14:textId="77777777" w:rsidR="000C6BE9" w:rsidRDefault="000C6BE9" w:rsidP="000C6BE9">
      <w:pPr>
        <w:rPr>
          <w:b/>
          <w:lang w:val="es-CO" w:eastAsia="en-US"/>
        </w:rPr>
      </w:pPr>
      <w:r>
        <w:rPr>
          <w:b/>
          <w:lang w:val="es-CO" w:eastAsia="en-US"/>
        </w:rPr>
        <w:t>Recomendación</w:t>
      </w:r>
    </w:p>
    <w:p w14:paraId="3AFEBE51" w14:textId="77777777" w:rsidR="000C6BE9" w:rsidRDefault="000C6BE9" w:rsidP="000C6BE9">
      <w:pPr>
        <w:jc w:val="both"/>
        <w:rPr>
          <w:rFonts w:eastAsiaTheme="minorHAnsi" w:cs="Arial"/>
          <w:szCs w:val="22"/>
          <w:lang w:val="es-CO" w:eastAsia="en-US"/>
        </w:rPr>
      </w:pPr>
    </w:p>
    <w:p w14:paraId="59D7EFEF" w14:textId="77777777" w:rsidR="000C6BE9" w:rsidRDefault="000C6BE9" w:rsidP="000C6BE9">
      <w:pPr>
        <w:jc w:val="both"/>
        <w:rPr>
          <w:rFonts w:eastAsiaTheme="minorHAnsi" w:cs="Arial"/>
          <w:szCs w:val="22"/>
          <w:lang w:val="es-CO" w:eastAsia="en-US"/>
        </w:rPr>
      </w:pPr>
      <w:r>
        <w:rPr>
          <w:rFonts w:eastAsiaTheme="minorHAnsi" w:cs="Arial"/>
          <w:szCs w:val="22"/>
          <w:lang w:val="es-CO" w:eastAsia="en-US"/>
        </w:rPr>
        <w:t>Por lo anterior, se recomienda tener en cuenta los parámetros técnicos del Decreto 1075 de 2015 para la correcta distribución de la planta docente, directivo docente por Institución Educativa y en los términos del concepto técnico emitido por el Ministerio de Educación Nacional.</w:t>
      </w:r>
    </w:p>
    <w:p w14:paraId="4C1C7ABE" w14:textId="77777777" w:rsidR="000C6BE9" w:rsidRDefault="000C6BE9" w:rsidP="000C6BE9">
      <w:pPr>
        <w:jc w:val="both"/>
        <w:rPr>
          <w:rFonts w:eastAsiaTheme="minorHAnsi" w:cs="Arial"/>
          <w:szCs w:val="22"/>
          <w:lang w:val="es-CO" w:eastAsia="en-US"/>
        </w:rPr>
      </w:pPr>
    </w:p>
    <w:p w14:paraId="7B9D9978" w14:textId="77777777" w:rsidR="000C6BE9" w:rsidRDefault="000C6BE9" w:rsidP="000C6BE9">
      <w:pPr>
        <w:pStyle w:val="Ttulo3"/>
        <w:spacing w:before="0"/>
        <w:jc w:val="both"/>
        <w:rPr>
          <w:rFonts w:eastAsiaTheme="minorHAnsi" w:cs="Arial"/>
          <w:szCs w:val="22"/>
          <w:lang w:val="es-CO" w:eastAsia="en-US"/>
        </w:rPr>
      </w:pPr>
      <w:r>
        <w:rPr>
          <w:rFonts w:eastAsiaTheme="minorHAnsi" w:cs="Arial"/>
          <w:b/>
          <w:bCs/>
          <w:szCs w:val="22"/>
          <w:lang w:val="es-CO" w:eastAsia="en-US"/>
        </w:rPr>
        <w:t>Actividad 3.1.5.</w:t>
      </w:r>
      <w:r>
        <w:rPr>
          <w:rFonts w:eastAsiaTheme="minorHAnsi" w:cs="Arial"/>
          <w:szCs w:val="22"/>
          <w:lang w:val="es-CO" w:eastAsia="en-US"/>
        </w:rPr>
        <w:t xml:space="preserve"> Reconocer oportunamente las Zonas de Difícil Acceso, así como, apropiar, ejecutar y pagar, las obligaciones por este concepto a los docentes y directivos docentes, que, durante el año lectivo, laboren permanentemente en Zonas de Difícil Acceso de acuerdo con lo establecido en la normatividad vigente y el respectivo calendario escolar.</w:t>
      </w:r>
    </w:p>
    <w:p w14:paraId="6815979D" w14:textId="77777777" w:rsidR="000C6BE9" w:rsidRDefault="000C6BE9" w:rsidP="000C6BE9">
      <w:pPr>
        <w:jc w:val="both"/>
        <w:rPr>
          <w:rFonts w:cs="Arial"/>
          <w:szCs w:val="22"/>
          <w:lang w:val="es-CO" w:eastAsia="en-US"/>
        </w:rPr>
      </w:pPr>
    </w:p>
    <w:p w14:paraId="1F66482A" w14:textId="77777777" w:rsidR="000C6BE9" w:rsidRDefault="000C6BE9" w:rsidP="000C6BE9">
      <w:pPr>
        <w:jc w:val="both"/>
        <w:rPr>
          <w:rFonts w:eastAsiaTheme="minorHAnsi"/>
          <w:b/>
          <w:lang w:val="es-CO" w:eastAsia="en-US"/>
        </w:rPr>
      </w:pPr>
      <w:r>
        <w:rPr>
          <w:rFonts w:eastAsiaTheme="minorHAnsi"/>
          <w:b/>
          <w:lang w:val="es-CO" w:eastAsia="en-US"/>
        </w:rPr>
        <w:lastRenderedPageBreak/>
        <w:t xml:space="preserve">Productos esperados: </w:t>
      </w:r>
      <w:r>
        <w:rPr>
          <w:lang w:val="es-CO" w:eastAsia="en-US"/>
        </w:rPr>
        <w:t>Acto administrativo de definición de instituciones ubicada en Zonas de Difícil Acceso, expedido oportunamente, acto administrativo de definición de calendario escolar y certificación de paz y salvo emitida por el responsable de la entidad del pago de la bonificación, debidamente soportado con las liquidaciones de nómina.</w:t>
      </w:r>
    </w:p>
    <w:p w14:paraId="31EB3CD7" w14:textId="77777777" w:rsidR="000C6BE9" w:rsidRDefault="000C6BE9" w:rsidP="000C6BE9">
      <w:pPr>
        <w:jc w:val="both"/>
        <w:rPr>
          <w:lang w:val="es-CO" w:eastAsia="en-US"/>
        </w:rPr>
      </w:pPr>
    </w:p>
    <w:p w14:paraId="2889C5D2" w14:textId="77777777" w:rsidR="000C6BE9" w:rsidRDefault="000C6BE9" w:rsidP="000C6BE9">
      <w:pPr>
        <w:jc w:val="both"/>
        <w:rPr>
          <w:rFonts w:eastAsiaTheme="minorHAnsi"/>
          <w:b/>
          <w:lang w:val="es-CO" w:eastAsia="en-US"/>
        </w:rPr>
      </w:pPr>
      <w:r>
        <w:rPr>
          <w:rFonts w:eastAsiaTheme="minorHAnsi"/>
          <w:b/>
          <w:lang w:val="es-CO" w:eastAsia="en-US"/>
        </w:rPr>
        <w:t>Evaluación</w:t>
      </w:r>
    </w:p>
    <w:p w14:paraId="4876C83B" w14:textId="77777777" w:rsidR="000C6BE9" w:rsidRDefault="000C6BE9" w:rsidP="000C6BE9">
      <w:pPr>
        <w:rPr>
          <w:lang w:val="es-CO" w:eastAsia="en-US"/>
        </w:rPr>
      </w:pPr>
    </w:p>
    <w:p w14:paraId="0FEC4917" w14:textId="77777777" w:rsidR="000C6BE9" w:rsidRDefault="000C6BE9" w:rsidP="000C6BE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s="Arial"/>
          <w:szCs w:val="22"/>
        </w:rPr>
        <w:t>De acuerdo con lo dispuesto por el artículo 2.4.4.1.2 del Decreto 1075 de 2015, las Entidades Territoriales deben determinar las zonas de difícil acceso de su jurisdicción y los establecimientos educativos que se encuentran en estas, antes del primero de noviembre de cada año para el calendario "A" y antes del primero de julio para el calendario "B".</w:t>
      </w:r>
      <w:r>
        <w:rPr>
          <w:rStyle w:val="eop"/>
          <w:rFonts w:eastAsiaTheme="majorEastAsia" w:cs="Arial"/>
          <w:szCs w:val="22"/>
        </w:rPr>
        <w:t> </w:t>
      </w:r>
    </w:p>
    <w:p w14:paraId="76BCC008" w14:textId="77777777" w:rsidR="000C6BE9" w:rsidRDefault="000C6BE9" w:rsidP="000C6BE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s="Arial"/>
          <w:szCs w:val="22"/>
        </w:rPr>
        <w:t> </w:t>
      </w:r>
    </w:p>
    <w:p w14:paraId="421FFA74" w14:textId="77777777" w:rsidR="000C6BE9" w:rsidRDefault="000C6BE9" w:rsidP="000C6BE9">
      <w:pPr>
        <w:pStyle w:val="paragraph"/>
        <w:spacing w:before="0" w:beforeAutospacing="0" w:after="0" w:afterAutospacing="0"/>
        <w:jc w:val="both"/>
        <w:textAlignment w:val="baseline"/>
        <w:rPr>
          <w:rStyle w:val="normaltextrun"/>
          <w:rFonts w:eastAsiaTheme="majorEastAsia" w:cs="Arial"/>
          <w:szCs w:val="22"/>
          <w:lang w:val="es-ES"/>
        </w:rPr>
      </w:pPr>
      <w:r>
        <w:rPr>
          <w:rStyle w:val="normaltextrun"/>
          <w:rFonts w:eastAsiaTheme="majorEastAsia" w:cs="Arial"/>
          <w:szCs w:val="22"/>
        </w:rPr>
        <w:t xml:space="preserve">La Entidad Territorial, remitió a esta dirección mediante radicado 1-2022-0058835 del 25 de julio de 2022, la Resolución 1494 del 29 de octubre de 2021 por medio de la cual se determinan los establecimientos educativos que se encuentran localizados en zona de difícil acceso para la vigencia 2022. </w:t>
      </w:r>
    </w:p>
    <w:p w14:paraId="5FD7FE3E" w14:textId="77777777" w:rsidR="000C6BE9" w:rsidRDefault="000C6BE9" w:rsidP="000C6BE9">
      <w:pPr>
        <w:pStyle w:val="paragraph"/>
        <w:spacing w:before="0" w:beforeAutospacing="0" w:after="0" w:afterAutospacing="0"/>
        <w:jc w:val="both"/>
        <w:textAlignment w:val="baseline"/>
        <w:rPr>
          <w:rStyle w:val="normaltextrun"/>
          <w:rFonts w:eastAsiaTheme="majorEastAsia" w:cs="Arial"/>
          <w:szCs w:val="22"/>
        </w:rPr>
      </w:pPr>
    </w:p>
    <w:p w14:paraId="7C418303" w14:textId="77777777" w:rsidR="000C6BE9" w:rsidRDefault="000C6BE9" w:rsidP="000C6BE9">
      <w:pPr>
        <w:pStyle w:val="paragraph"/>
        <w:spacing w:before="0" w:beforeAutospacing="0" w:after="0" w:afterAutospacing="0"/>
        <w:jc w:val="both"/>
        <w:textAlignment w:val="baseline"/>
        <w:rPr>
          <w:rStyle w:val="normaltextrun"/>
          <w:rFonts w:eastAsiaTheme="majorEastAsia" w:cs="Arial"/>
          <w:szCs w:val="22"/>
        </w:rPr>
      </w:pPr>
      <w:r>
        <w:rPr>
          <w:rStyle w:val="normaltextrun"/>
          <w:rFonts w:eastAsiaTheme="majorEastAsia" w:cs="Arial"/>
          <w:szCs w:val="22"/>
        </w:rPr>
        <w:t xml:space="preserve">De igual manera, el Municipio allegó </w:t>
      </w:r>
      <w:r>
        <w:rPr>
          <w:rFonts w:cs="Arial"/>
          <w:szCs w:val="22"/>
        </w:rPr>
        <w:t xml:space="preserve">mediante radicado número 2-2022-062872 del 4 de agosto de 2022, </w:t>
      </w:r>
      <w:r>
        <w:rPr>
          <w:rStyle w:val="normaltextrun"/>
          <w:rFonts w:eastAsiaTheme="majorEastAsia" w:cs="Arial"/>
          <w:szCs w:val="22"/>
        </w:rPr>
        <w:t>la Resolución 1487 del 29 de octubre de 2021, por medio de la cual se establece el calendario académico para el año 2022, para los establecimientos educativos oficiales y no oficiales de calendario A.</w:t>
      </w:r>
    </w:p>
    <w:p w14:paraId="784BF8E8" w14:textId="77777777" w:rsidR="000C6BE9" w:rsidRDefault="000C6BE9" w:rsidP="000C6BE9">
      <w:pPr>
        <w:pStyle w:val="paragraph"/>
        <w:spacing w:before="0" w:beforeAutospacing="0" w:after="0" w:afterAutospacing="0"/>
        <w:jc w:val="both"/>
        <w:textAlignment w:val="baseline"/>
        <w:rPr>
          <w:rStyle w:val="normaltextrun"/>
          <w:rFonts w:eastAsiaTheme="majorEastAsia" w:cs="Arial"/>
          <w:szCs w:val="22"/>
        </w:rPr>
      </w:pPr>
    </w:p>
    <w:p w14:paraId="1598CF00" w14:textId="77777777" w:rsidR="000C6BE9" w:rsidRDefault="000C6BE9" w:rsidP="000C6BE9">
      <w:pPr>
        <w:pStyle w:val="paragraph"/>
        <w:spacing w:before="0" w:beforeAutospacing="0" w:after="0" w:afterAutospacing="0"/>
        <w:jc w:val="both"/>
        <w:textAlignment w:val="baseline"/>
        <w:rPr>
          <w:rStyle w:val="normaltextrun"/>
          <w:rFonts w:eastAsiaTheme="majorEastAsia" w:cs="Arial"/>
          <w:szCs w:val="22"/>
        </w:rPr>
      </w:pPr>
      <w:r>
        <w:rPr>
          <w:rStyle w:val="normaltextrun"/>
          <w:rFonts w:eastAsiaTheme="majorEastAsia" w:cs="Arial"/>
          <w:szCs w:val="22"/>
        </w:rPr>
        <w:t>Adicionalmente, se revisó un certificado de paz y salvo suscrito por la tesorera municipal y 18 liquidaciones de nómina, en los cuales se evidencian pagos de Bonificaciones por Zonas de Difícil Acceso desde enero de 2021 hasta junio de 2022.</w:t>
      </w:r>
    </w:p>
    <w:p w14:paraId="2249EA13" w14:textId="77777777" w:rsidR="000C6BE9" w:rsidRDefault="000C6BE9" w:rsidP="000C6BE9">
      <w:pPr>
        <w:pStyle w:val="paragraph"/>
        <w:spacing w:before="0" w:beforeAutospacing="0" w:after="0" w:afterAutospacing="0"/>
        <w:jc w:val="both"/>
        <w:textAlignment w:val="baseline"/>
        <w:rPr>
          <w:rStyle w:val="eop"/>
          <w:rFonts w:eastAsiaTheme="majorEastAsia"/>
        </w:rPr>
      </w:pPr>
      <w:r>
        <w:rPr>
          <w:rStyle w:val="eop"/>
          <w:rFonts w:eastAsiaTheme="majorEastAsia" w:cs="Arial"/>
          <w:szCs w:val="22"/>
        </w:rPr>
        <w:t> </w:t>
      </w:r>
    </w:p>
    <w:p w14:paraId="08A5A1CA" w14:textId="77777777" w:rsidR="000C6BE9" w:rsidRDefault="000C6BE9" w:rsidP="000C6BE9">
      <w:pPr>
        <w:jc w:val="both"/>
        <w:textAlignment w:val="baseline"/>
        <w:rPr>
          <w:rStyle w:val="normaltextrun"/>
          <w:rFonts w:eastAsia="Times New Roman"/>
          <w:lang w:eastAsia="es-CO"/>
        </w:rPr>
      </w:pPr>
      <w:r>
        <w:rPr>
          <w:rStyle w:val="normaltextrun"/>
          <w:rFonts w:eastAsia="Times New Roman" w:cs="Arial"/>
          <w:szCs w:val="22"/>
          <w:lang w:eastAsia="es-CO"/>
        </w:rPr>
        <w:t xml:space="preserve">Al verificar dichas liquidaciones remitidas por la Entidad, se pudo constatar que, tal y como lo certifica la tesorería municipal, la Entidad realizó las liquidaciones referentes a la bonificación de zonas de difícil acceso de la vigencia 2021 y del primer semestre de la vigencia 2022. Por tanto, ya que la Entidad reconoció oportunamente las zonas de difícil acceso y liquidó la nómina correspondiente, la actividad se encuentra cumplida. </w:t>
      </w:r>
    </w:p>
    <w:p w14:paraId="553C6F6A" w14:textId="77777777" w:rsidR="000C6BE9" w:rsidRDefault="000C6BE9" w:rsidP="000C6BE9">
      <w:pPr>
        <w:jc w:val="both"/>
        <w:textAlignment w:val="baseline"/>
        <w:rPr>
          <w:rStyle w:val="normaltextrun"/>
          <w:rFonts w:eastAsia="Times New Roman" w:cs="Arial"/>
          <w:szCs w:val="22"/>
          <w:lang w:eastAsia="es-CO"/>
        </w:rPr>
      </w:pPr>
    </w:p>
    <w:p w14:paraId="0A8B15B8" w14:textId="77777777" w:rsidR="000C6BE9" w:rsidRDefault="000C6BE9" w:rsidP="000C6BE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s="Arial"/>
          <w:szCs w:val="22"/>
        </w:rPr>
        <w:t>Evaluación de la actividad: Cumple</w:t>
      </w:r>
      <w:r>
        <w:rPr>
          <w:rStyle w:val="eop"/>
          <w:rFonts w:eastAsiaTheme="majorEastAsia" w:cs="Arial"/>
          <w:szCs w:val="22"/>
        </w:rPr>
        <w:t> </w:t>
      </w:r>
    </w:p>
    <w:p w14:paraId="14CCF004" w14:textId="77777777" w:rsidR="000C6BE9" w:rsidRDefault="000C6BE9" w:rsidP="000C6BE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s="Arial"/>
          <w:szCs w:val="22"/>
        </w:rPr>
        <w:t> </w:t>
      </w:r>
    </w:p>
    <w:p w14:paraId="15207776" w14:textId="77777777" w:rsidR="000C6BE9" w:rsidRDefault="000C6BE9" w:rsidP="000C6BE9">
      <w:pPr>
        <w:rPr>
          <w:b/>
          <w:lang w:val="es-CO" w:eastAsia="en-US"/>
        </w:rPr>
      </w:pPr>
      <w:r>
        <w:rPr>
          <w:b/>
          <w:lang w:val="es-CO" w:eastAsia="en-US"/>
        </w:rPr>
        <w:t>Recomendación</w:t>
      </w:r>
    </w:p>
    <w:p w14:paraId="1993B194" w14:textId="77777777" w:rsidR="000C6BE9" w:rsidRDefault="000C6BE9" w:rsidP="000C6BE9">
      <w:pPr>
        <w:rPr>
          <w:lang w:val="es-CO" w:eastAsia="en-US"/>
        </w:rPr>
      </w:pPr>
    </w:p>
    <w:p w14:paraId="521027B9" w14:textId="77777777" w:rsidR="000C6BE9" w:rsidRDefault="000C6BE9" w:rsidP="000C6BE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s="Arial"/>
          <w:szCs w:val="22"/>
        </w:rPr>
        <w:t xml:space="preserve">La Entidad Territorial debe continuar expidiendo de manera oportuna el acto administrativo que determina las Zonas de Difícil Acceso de acuerdo con la normatividad vigente para las vigencias subsiguientes. </w:t>
      </w:r>
    </w:p>
    <w:p w14:paraId="50D0BD72" w14:textId="77777777" w:rsidR="000C6BE9" w:rsidRDefault="000C6BE9" w:rsidP="000C6BE9">
      <w:pPr>
        <w:pStyle w:val="paragraph"/>
        <w:spacing w:before="0" w:beforeAutospacing="0" w:after="0" w:afterAutospacing="0"/>
        <w:textAlignment w:val="baseline"/>
        <w:rPr>
          <w:rFonts w:eastAsiaTheme="minorHAnsi" w:cs="Arial"/>
          <w:szCs w:val="22"/>
          <w:lang w:eastAsia="en-US"/>
        </w:rPr>
      </w:pPr>
      <w:r>
        <w:rPr>
          <w:rStyle w:val="eop"/>
          <w:rFonts w:eastAsiaTheme="majorEastAsia"/>
        </w:rPr>
        <w:t> </w:t>
      </w:r>
    </w:p>
    <w:p w14:paraId="7300A510" w14:textId="77777777" w:rsidR="000C6BE9" w:rsidRDefault="000C6BE9" w:rsidP="000C6BE9">
      <w:pPr>
        <w:pStyle w:val="Ttulo3"/>
        <w:spacing w:before="0"/>
        <w:jc w:val="both"/>
        <w:rPr>
          <w:rFonts w:eastAsiaTheme="minorHAnsi" w:cs="Arial"/>
          <w:szCs w:val="22"/>
          <w:lang w:val="es-CO" w:eastAsia="en-US"/>
        </w:rPr>
      </w:pPr>
      <w:r>
        <w:rPr>
          <w:rFonts w:eastAsiaTheme="minorHAnsi" w:cs="Arial"/>
          <w:b/>
          <w:bCs/>
          <w:szCs w:val="22"/>
          <w:lang w:val="es-CO" w:eastAsia="en-US"/>
        </w:rPr>
        <w:t>Actividad 3.1.6.</w:t>
      </w:r>
      <w:r>
        <w:rPr>
          <w:rFonts w:eastAsiaTheme="minorHAnsi" w:cs="Arial"/>
          <w:szCs w:val="22"/>
          <w:lang w:val="es-CO" w:eastAsia="en-US"/>
        </w:rPr>
        <w:t xml:space="preserve"> Expedir anualmente el acto administrativo de incremento salarial de personal administrativo de acuerdo con los topes establecidos por la Nación.</w:t>
      </w:r>
    </w:p>
    <w:p w14:paraId="7AC9512B" w14:textId="77777777" w:rsidR="000C6BE9" w:rsidRDefault="000C6BE9" w:rsidP="000C6BE9">
      <w:pPr>
        <w:jc w:val="both"/>
        <w:rPr>
          <w:rFonts w:cs="Arial"/>
          <w:szCs w:val="22"/>
          <w:lang w:val="es-CO" w:eastAsia="en-US"/>
        </w:rPr>
      </w:pPr>
    </w:p>
    <w:p w14:paraId="183BD04A" w14:textId="77777777" w:rsidR="000C6BE9" w:rsidRDefault="000C6BE9" w:rsidP="000C6BE9">
      <w:pPr>
        <w:jc w:val="both"/>
        <w:rPr>
          <w:rFonts w:eastAsiaTheme="minorHAnsi"/>
          <w:b/>
          <w:lang w:val="es-CO" w:eastAsia="en-US"/>
        </w:rPr>
      </w:pPr>
      <w:r>
        <w:rPr>
          <w:rFonts w:eastAsiaTheme="minorHAnsi"/>
          <w:b/>
          <w:lang w:val="es-CO" w:eastAsia="en-US"/>
        </w:rPr>
        <w:t xml:space="preserve">Productos esperados: </w:t>
      </w:r>
      <w:r>
        <w:rPr>
          <w:lang w:val="es-CO" w:eastAsia="en-US"/>
        </w:rPr>
        <w:t>Acto administrativo de incremento salarial de personal administrativo de acuerdo con los topes establecidos por la Nación.</w:t>
      </w:r>
    </w:p>
    <w:p w14:paraId="49B26F7D" w14:textId="77777777" w:rsidR="000C6BE9" w:rsidRDefault="000C6BE9" w:rsidP="000C6BE9">
      <w:pPr>
        <w:jc w:val="both"/>
        <w:rPr>
          <w:lang w:val="es-CO" w:eastAsia="en-US"/>
        </w:rPr>
      </w:pPr>
    </w:p>
    <w:p w14:paraId="5D6BE89F" w14:textId="77777777" w:rsidR="000C6BE9" w:rsidRDefault="000C6BE9" w:rsidP="000C6BE9">
      <w:pPr>
        <w:jc w:val="both"/>
        <w:rPr>
          <w:rFonts w:eastAsiaTheme="minorHAnsi"/>
          <w:b/>
          <w:lang w:val="es-CO" w:eastAsia="en-US"/>
        </w:rPr>
      </w:pPr>
      <w:r>
        <w:rPr>
          <w:rFonts w:eastAsiaTheme="minorHAnsi"/>
          <w:b/>
          <w:lang w:val="es-CO" w:eastAsia="en-US"/>
        </w:rPr>
        <w:t>Evaluación</w:t>
      </w:r>
    </w:p>
    <w:p w14:paraId="0FC81047" w14:textId="77777777" w:rsidR="000C6BE9" w:rsidRDefault="000C6BE9" w:rsidP="000C6BE9">
      <w:pPr>
        <w:jc w:val="both"/>
        <w:rPr>
          <w:b/>
          <w:bCs/>
          <w:lang w:val="es-CO" w:eastAsia="en-US"/>
        </w:rPr>
      </w:pPr>
    </w:p>
    <w:p w14:paraId="09253895" w14:textId="77777777" w:rsidR="000C6BE9" w:rsidRDefault="000C6BE9" w:rsidP="000C6BE9">
      <w:pPr>
        <w:jc w:val="both"/>
        <w:textAlignment w:val="baseline"/>
        <w:rPr>
          <w:rFonts w:ascii="Segoe UI" w:eastAsia="Times New Roman" w:hAnsi="Segoe UI" w:cs="Segoe UI"/>
          <w:szCs w:val="22"/>
          <w:lang w:eastAsia="es-CO"/>
        </w:rPr>
      </w:pPr>
      <w:r>
        <w:rPr>
          <w:rFonts w:eastAsia="Times New Roman" w:cs="Arial"/>
          <w:szCs w:val="22"/>
          <w:lang w:eastAsia="es-CO"/>
        </w:rPr>
        <w:lastRenderedPageBreak/>
        <w:t xml:space="preserve">El Municipio expidió el Decreto No. 0315 del 31 de marzo de 2022, </w:t>
      </w:r>
      <w:r>
        <w:rPr>
          <w:rFonts w:eastAsia="Times New Roman" w:cs="Arial"/>
          <w:i/>
          <w:szCs w:val="22"/>
          <w:lang w:eastAsia="es-CO"/>
        </w:rPr>
        <w:t>"Por el cual se establece el incremento salarial para los empleados públicos de la planta central de la administración municipal de santa cruz de lorica, para la vigencia fiscal de 2022".</w:t>
      </w:r>
      <w:r>
        <w:rPr>
          <w:rFonts w:eastAsia="Times New Roman" w:cs="Arial"/>
          <w:szCs w:val="22"/>
          <w:lang w:eastAsia="es-CO"/>
        </w:rPr>
        <w:t> </w:t>
      </w:r>
    </w:p>
    <w:p w14:paraId="73F855DC" w14:textId="77777777" w:rsidR="000C6BE9" w:rsidRDefault="000C6BE9" w:rsidP="000C6BE9">
      <w:pPr>
        <w:jc w:val="both"/>
        <w:textAlignment w:val="baseline"/>
        <w:rPr>
          <w:rFonts w:ascii="Segoe UI" w:eastAsia="Times New Roman" w:hAnsi="Segoe UI" w:cs="Segoe UI"/>
          <w:szCs w:val="22"/>
          <w:lang w:eastAsia="es-CO"/>
        </w:rPr>
      </w:pPr>
      <w:r>
        <w:rPr>
          <w:rFonts w:eastAsia="Times New Roman" w:cs="Arial"/>
          <w:szCs w:val="22"/>
          <w:lang w:eastAsia="es-CO"/>
        </w:rPr>
        <w:t> </w:t>
      </w:r>
    </w:p>
    <w:p w14:paraId="1902DFCC" w14:textId="77777777" w:rsidR="000C6BE9" w:rsidRDefault="000C6BE9" w:rsidP="000C6BE9">
      <w:pPr>
        <w:jc w:val="both"/>
        <w:textAlignment w:val="baseline"/>
        <w:rPr>
          <w:rFonts w:ascii="Segoe UI" w:eastAsia="Times New Roman" w:hAnsi="Segoe UI" w:cs="Segoe UI"/>
          <w:szCs w:val="22"/>
          <w:lang w:eastAsia="es-CO"/>
        </w:rPr>
      </w:pPr>
      <w:r>
        <w:rPr>
          <w:rFonts w:eastAsia="Times New Roman" w:cs="Arial"/>
          <w:i/>
          <w:szCs w:val="22"/>
          <w:lang w:eastAsia="es-CO"/>
        </w:rPr>
        <w:t xml:space="preserve">Al verificar lo establecido en el </w:t>
      </w:r>
      <w:r>
        <w:rPr>
          <w:rFonts w:eastAsia="Times New Roman" w:cs="Arial"/>
          <w:szCs w:val="22"/>
          <w:lang w:eastAsia="es-CO"/>
        </w:rPr>
        <w:t xml:space="preserve">Decreto 462 del 29 de marzo de 2022 </w:t>
      </w:r>
      <w:r>
        <w:rPr>
          <w:rFonts w:eastAsia="Times New Roman" w:cs="Arial"/>
          <w:i/>
          <w:szCs w:val="22"/>
          <w:lang w:eastAsia="es-CO"/>
        </w:rPr>
        <w:t xml:space="preserve">“Por el cual se fijan los límites máximos salariales de los Gobernadores, Alcaldes y empleados públicos de las entidades territoriales y se dictan disposiciones en materia prestacional”, </w:t>
      </w:r>
      <w:r>
        <w:rPr>
          <w:rFonts w:eastAsia="Times New Roman" w:cs="Arial"/>
          <w:szCs w:val="22"/>
          <w:lang w:eastAsia="es-CO"/>
        </w:rPr>
        <w:t>se evidencia que el cargo de Inspector urbano de policía que, según la Entidad pertenece a nivel técnico, tiene una asignación salarial de $4.498.379, sin embargo, el decreto establece que el límite máximo asignación básica mensual para nivel técnico es de $ $3.291.615. </w:t>
      </w:r>
    </w:p>
    <w:p w14:paraId="1E5046CA" w14:textId="77777777" w:rsidR="000C6BE9" w:rsidRDefault="000C6BE9" w:rsidP="000C6BE9">
      <w:pPr>
        <w:jc w:val="both"/>
        <w:textAlignment w:val="baseline"/>
        <w:rPr>
          <w:rFonts w:ascii="Segoe UI" w:eastAsia="Times New Roman" w:hAnsi="Segoe UI" w:cs="Segoe UI"/>
          <w:szCs w:val="22"/>
          <w:lang w:eastAsia="es-CO"/>
        </w:rPr>
      </w:pPr>
      <w:r>
        <w:rPr>
          <w:rFonts w:eastAsia="Times New Roman" w:cs="Arial"/>
          <w:szCs w:val="22"/>
          <w:lang w:eastAsia="es-CO"/>
        </w:rPr>
        <w:t> </w:t>
      </w:r>
    </w:p>
    <w:p w14:paraId="08B87746" w14:textId="77777777" w:rsidR="000C6BE9" w:rsidRDefault="000C6BE9" w:rsidP="000C6BE9">
      <w:pPr>
        <w:jc w:val="both"/>
        <w:textAlignment w:val="baseline"/>
        <w:rPr>
          <w:rFonts w:ascii="Segoe UI" w:eastAsia="Times New Roman" w:hAnsi="Segoe UI" w:cs="Segoe UI"/>
          <w:szCs w:val="22"/>
          <w:lang w:eastAsia="es-CO"/>
        </w:rPr>
      </w:pPr>
      <w:r>
        <w:rPr>
          <w:rFonts w:eastAsia="Times New Roman" w:cs="Arial"/>
          <w:szCs w:val="22"/>
          <w:lang w:eastAsia="es-CO"/>
        </w:rPr>
        <w:t>Si bien el incremento salarial del cargo de Inspector urbano de policía no cumple con los topes establecidos por la Nación, se aclara que en el marco de la medida preventiva de plan de desempeño solo se les hace seguimiento a los recursos del Sistema General de Participaciones y por tanto el cargo de inspector urbano de policía no es financiable con dichos recursos. Por lo que se concluye que la Entidad expidió el decreto de incremento salarial administrativo, en el que los cargos financiados con recursos del SGP tienen en cuenta el tope de asignación básica mensual determinado por la Nación.</w:t>
      </w:r>
    </w:p>
    <w:p w14:paraId="27C45B46" w14:textId="77777777" w:rsidR="000C6BE9" w:rsidRDefault="000C6BE9" w:rsidP="000C6BE9">
      <w:pPr>
        <w:jc w:val="both"/>
        <w:rPr>
          <w:b/>
          <w:bCs/>
          <w:lang w:val="es-CO" w:eastAsia="en-US"/>
        </w:rPr>
      </w:pPr>
    </w:p>
    <w:p w14:paraId="32EE51AA" w14:textId="77777777" w:rsidR="000C6BE9" w:rsidRDefault="000C6BE9" w:rsidP="000C6BE9">
      <w:pPr>
        <w:jc w:val="both"/>
        <w:rPr>
          <w:rFonts w:eastAsia="Times New Roman" w:cs="Arial"/>
          <w:szCs w:val="22"/>
          <w:lang w:eastAsia="es-CO"/>
        </w:rPr>
      </w:pPr>
      <w:r>
        <w:rPr>
          <w:rFonts w:eastAsia="Times New Roman" w:cs="Arial"/>
          <w:szCs w:val="22"/>
          <w:lang w:eastAsia="es-CO"/>
        </w:rPr>
        <w:t>Evaluación de la actividad: Cumple</w:t>
      </w:r>
    </w:p>
    <w:p w14:paraId="7BBFBA4D" w14:textId="77777777" w:rsidR="000C6BE9" w:rsidRDefault="000C6BE9" w:rsidP="000C6BE9">
      <w:pPr>
        <w:jc w:val="both"/>
        <w:rPr>
          <w:b/>
          <w:bCs/>
          <w:lang w:val="es-CO" w:eastAsia="en-US"/>
        </w:rPr>
      </w:pPr>
    </w:p>
    <w:p w14:paraId="055B0A1F" w14:textId="77777777" w:rsidR="000C6BE9" w:rsidRDefault="000C6BE9" w:rsidP="000C6BE9">
      <w:pPr>
        <w:jc w:val="both"/>
        <w:rPr>
          <w:b/>
          <w:lang w:val="es-CO" w:eastAsia="en-US"/>
        </w:rPr>
      </w:pPr>
      <w:r>
        <w:rPr>
          <w:b/>
          <w:lang w:val="es-CO" w:eastAsia="en-US"/>
        </w:rPr>
        <w:t>Recomendación</w:t>
      </w:r>
    </w:p>
    <w:p w14:paraId="109FFB57" w14:textId="77777777" w:rsidR="000C6BE9" w:rsidRDefault="000C6BE9" w:rsidP="000C6BE9">
      <w:pPr>
        <w:jc w:val="both"/>
        <w:rPr>
          <w:b/>
          <w:lang w:val="es-CO" w:eastAsia="en-US"/>
        </w:rPr>
      </w:pPr>
    </w:p>
    <w:p w14:paraId="6479F54C" w14:textId="77777777" w:rsidR="000C6BE9" w:rsidRDefault="000C6BE9" w:rsidP="000C6BE9">
      <w:pPr>
        <w:jc w:val="both"/>
        <w:rPr>
          <w:rFonts w:eastAsia="Times New Roman" w:cs="Arial"/>
          <w:szCs w:val="22"/>
          <w:lang w:eastAsia="es-CO"/>
        </w:rPr>
      </w:pPr>
      <w:r>
        <w:rPr>
          <w:rFonts w:eastAsia="Times New Roman" w:cs="Arial"/>
          <w:szCs w:val="22"/>
          <w:lang w:eastAsia="es-CO"/>
        </w:rPr>
        <w:t>Verificar el Decreto que se expide anualmente por parte del Gobierno Nacional sobre incremento salarial antes de que se expida el acto administrativo respectivo para los empleados públicos de la planta central de la administración municipal y procurar que los incrementos que se hagan no pasen los límites establecidos en dicho decreto.</w:t>
      </w:r>
    </w:p>
    <w:p w14:paraId="35C44365" w14:textId="77777777" w:rsidR="000C6BE9" w:rsidRDefault="000C6BE9" w:rsidP="000C6BE9">
      <w:pPr>
        <w:jc w:val="both"/>
        <w:rPr>
          <w:rFonts w:eastAsiaTheme="minorHAnsi" w:cs="Arial"/>
          <w:szCs w:val="22"/>
          <w:lang w:val="es-CO" w:eastAsia="en-US"/>
        </w:rPr>
      </w:pPr>
    </w:p>
    <w:p w14:paraId="455A4AEA" w14:textId="77777777" w:rsidR="000C6BE9" w:rsidRDefault="000C6BE9" w:rsidP="000C6BE9">
      <w:pPr>
        <w:pStyle w:val="Ttulo2"/>
        <w:spacing w:before="0"/>
        <w:rPr>
          <w:rFonts w:eastAsiaTheme="minorHAnsi"/>
          <w:b/>
          <w:bCs/>
          <w:lang w:val="es-CO" w:eastAsia="en-US"/>
        </w:rPr>
      </w:pPr>
      <w:r>
        <w:rPr>
          <w:b/>
          <w:bCs/>
          <w:lang w:val="es-CO"/>
        </w:rPr>
        <w:t>CATEGORÍA 4:</w:t>
      </w:r>
      <w:r>
        <w:rPr>
          <w:rFonts w:eastAsiaTheme="minorHAnsi"/>
          <w:b/>
          <w:bCs/>
          <w:lang w:val="es-CO" w:eastAsia="en-US"/>
        </w:rPr>
        <w:t xml:space="preserve"> RENDICIÓN DE CUENTAS</w:t>
      </w:r>
    </w:p>
    <w:p w14:paraId="33F8C8F4" w14:textId="77777777" w:rsidR="000C6BE9" w:rsidRDefault="000C6BE9" w:rsidP="000C6BE9">
      <w:pPr>
        <w:jc w:val="both"/>
        <w:rPr>
          <w:rFonts w:eastAsiaTheme="minorHAnsi" w:cs="Arial"/>
          <w:szCs w:val="22"/>
          <w:lang w:val="es-CO" w:eastAsia="en-US"/>
        </w:rPr>
      </w:pPr>
    </w:p>
    <w:p w14:paraId="6A41F93A" w14:textId="77777777" w:rsidR="000C6BE9" w:rsidRDefault="000C6BE9" w:rsidP="000C6BE9">
      <w:pPr>
        <w:pStyle w:val="Ttulo2"/>
        <w:spacing w:before="0"/>
        <w:jc w:val="both"/>
        <w:rPr>
          <w:rFonts w:cs="Arial"/>
          <w:b/>
          <w:bCs/>
          <w:szCs w:val="22"/>
        </w:rPr>
      </w:pPr>
      <w:r>
        <w:rPr>
          <w:rFonts w:cs="Arial"/>
          <w:b/>
          <w:bCs/>
          <w:szCs w:val="22"/>
        </w:rPr>
        <w:t>Objetivo 4.1. Cumplir con la rendición de cuentas a la que está obligada la entidad de acuerdo con la normatividad.</w:t>
      </w:r>
    </w:p>
    <w:p w14:paraId="000315F1" w14:textId="77777777" w:rsidR="000C6BE9" w:rsidRDefault="000C6BE9" w:rsidP="000C6BE9">
      <w:pPr>
        <w:jc w:val="both"/>
        <w:rPr>
          <w:rFonts w:cs="Arial"/>
          <w:szCs w:val="22"/>
          <w:lang w:val="es-CO" w:eastAsia="en-US"/>
        </w:rPr>
      </w:pPr>
    </w:p>
    <w:p w14:paraId="116D794C" w14:textId="77777777" w:rsidR="000C6BE9" w:rsidRDefault="000C6BE9" w:rsidP="000C6BE9">
      <w:pPr>
        <w:pStyle w:val="Ttulo3"/>
        <w:spacing w:before="0"/>
        <w:jc w:val="both"/>
        <w:rPr>
          <w:rFonts w:eastAsiaTheme="minorHAnsi" w:cs="Arial"/>
          <w:szCs w:val="22"/>
          <w:lang w:val="es-CO" w:eastAsia="en-US"/>
        </w:rPr>
      </w:pPr>
      <w:r>
        <w:rPr>
          <w:rFonts w:eastAsiaTheme="minorHAnsi" w:cs="Arial"/>
          <w:b/>
          <w:szCs w:val="22"/>
          <w:lang w:val="es-CO" w:eastAsia="en-US"/>
        </w:rPr>
        <w:t>Actividad 4.1.1.</w:t>
      </w:r>
      <w:r>
        <w:rPr>
          <w:rFonts w:eastAsiaTheme="minorHAnsi" w:cs="Arial"/>
          <w:szCs w:val="22"/>
          <w:lang w:val="es-CO" w:eastAsia="en-US"/>
        </w:rPr>
        <w:t xml:space="preserve"> Realizar al menos dos ejercicios de rendición de cuentas de la medida preventiva del Plan de Desempeño</w:t>
      </w:r>
    </w:p>
    <w:p w14:paraId="2FD31BAC" w14:textId="77777777" w:rsidR="000C6BE9" w:rsidRDefault="000C6BE9" w:rsidP="000C6BE9">
      <w:pPr>
        <w:jc w:val="both"/>
        <w:rPr>
          <w:rFonts w:cs="Arial"/>
          <w:szCs w:val="22"/>
          <w:lang w:val="es-CO" w:eastAsia="en-US"/>
        </w:rPr>
      </w:pPr>
    </w:p>
    <w:p w14:paraId="50D96C96" w14:textId="77777777" w:rsidR="000C6BE9" w:rsidRDefault="000C6BE9" w:rsidP="000C6BE9">
      <w:pPr>
        <w:jc w:val="both"/>
        <w:rPr>
          <w:rFonts w:eastAsiaTheme="minorHAnsi"/>
          <w:b/>
          <w:lang w:val="es-CO" w:eastAsia="en-US"/>
        </w:rPr>
      </w:pPr>
      <w:r>
        <w:rPr>
          <w:rFonts w:eastAsiaTheme="minorHAnsi"/>
          <w:b/>
          <w:lang w:val="es-CO" w:eastAsia="en-US"/>
        </w:rPr>
        <w:t xml:space="preserve">Productos esperados: </w:t>
      </w:r>
      <w:r>
        <w:rPr>
          <w:lang w:val="es-CO" w:eastAsia="en-US"/>
        </w:rPr>
        <w:t>Evidencia de la audiencia pública de la rendición de cuentas de acuerdo con la normatividad vigente</w:t>
      </w:r>
    </w:p>
    <w:p w14:paraId="4027A98B" w14:textId="77777777" w:rsidR="000C6BE9" w:rsidRDefault="000C6BE9" w:rsidP="000C6BE9">
      <w:pPr>
        <w:rPr>
          <w:lang w:val="es-CO" w:eastAsia="en-US"/>
        </w:rPr>
      </w:pPr>
    </w:p>
    <w:p w14:paraId="4CA022FF" w14:textId="77777777" w:rsidR="000C6BE9" w:rsidRDefault="000C6BE9" w:rsidP="000C6BE9">
      <w:pPr>
        <w:rPr>
          <w:rFonts w:eastAsiaTheme="minorHAnsi"/>
          <w:b/>
          <w:lang w:val="es-CO" w:eastAsia="en-US"/>
        </w:rPr>
      </w:pPr>
      <w:r>
        <w:rPr>
          <w:rFonts w:eastAsiaTheme="minorHAnsi"/>
          <w:b/>
          <w:lang w:val="es-CO" w:eastAsia="en-US"/>
        </w:rPr>
        <w:t>Evaluación</w:t>
      </w:r>
    </w:p>
    <w:p w14:paraId="366B60E3" w14:textId="77777777" w:rsidR="000C6BE9" w:rsidRDefault="000C6BE9" w:rsidP="000C6BE9">
      <w:pPr>
        <w:rPr>
          <w:rFonts w:eastAsiaTheme="minorHAnsi"/>
          <w:b/>
          <w:lang w:val="es-CO" w:eastAsia="en-US"/>
        </w:rPr>
      </w:pPr>
    </w:p>
    <w:p w14:paraId="5070AC8C" w14:textId="77777777" w:rsidR="000C6BE9" w:rsidRDefault="000C6BE9" w:rsidP="000C6BE9">
      <w:pPr>
        <w:jc w:val="both"/>
        <w:rPr>
          <w:rFonts w:eastAsiaTheme="minorHAnsi"/>
          <w:lang w:val="es-CO" w:eastAsia="en-US"/>
        </w:rPr>
      </w:pPr>
      <w:r>
        <w:rPr>
          <w:rFonts w:eastAsiaTheme="minorHAnsi"/>
          <w:lang w:val="es-CO" w:eastAsia="en-US"/>
        </w:rPr>
        <w:t>La Entidad Territorial realizó la audiencia pública de rendición de cuentas el 15 de diciembre del 2022, se contó con una nutrida participación de la comunidad educativa. El Secretario de Educación dio a conocer de forma pedagógica los avances en el cumplimiento de la medida correctiva, se cumplieron entonces los lineamientos técnicos para realizar la rendición de cuentas, en cuanto a la convocatoria y la metodología participativa utilizada.</w:t>
      </w:r>
    </w:p>
    <w:p w14:paraId="0D9846A9" w14:textId="77777777" w:rsidR="000C6BE9" w:rsidRDefault="000C6BE9" w:rsidP="000C6BE9">
      <w:pPr>
        <w:rPr>
          <w:b/>
          <w:bCs/>
          <w:lang w:val="es-CO" w:eastAsia="en-US"/>
        </w:rPr>
      </w:pPr>
    </w:p>
    <w:p w14:paraId="25DB8608" w14:textId="77777777" w:rsidR="000C6BE9" w:rsidRDefault="000C6BE9" w:rsidP="000C6BE9">
      <w:pPr>
        <w:jc w:val="both"/>
        <w:rPr>
          <w:rFonts w:eastAsia="Times New Roman" w:cs="Arial"/>
          <w:szCs w:val="22"/>
          <w:lang w:eastAsia="es-CO"/>
        </w:rPr>
      </w:pPr>
      <w:r>
        <w:rPr>
          <w:rFonts w:eastAsia="Times New Roman" w:cs="Arial"/>
          <w:szCs w:val="22"/>
          <w:lang w:eastAsia="es-CO"/>
        </w:rPr>
        <w:t>Evaluación de la actividad: Cumple</w:t>
      </w:r>
    </w:p>
    <w:p w14:paraId="71B1A311" w14:textId="77777777" w:rsidR="000C6BE9" w:rsidRDefault="000C6BE9" w:rsidP="000C6BE9">
      <w:pPr>
        <w:rPr>
          <w:b/>
          <w:bCs/>
          <w:lang w:val="es-CO" w:eastAsia="en-US"/>
        </w:rPr>
      </w:pPr>
    </w:p>
    <w:p w14:paraId="46C9ABED" w14:textId="77777777" w:rsidR="000C6BE9" w:rsidRDefault="000C6BE9" w:rsidP="000C6BE9">
      <w:pPr>
        <w:rPr>
          <w:rFonts w:eastAsiaTheme="minorHAnsi"/>
          <w:b/>
          <w:lang w:val="es-CO" w:eastAsia="en-US"/>
        </w:rPr>
      </w:pPr>
      <w:r>
        <w:rPr>
          <w:rFonts w:eastAsiaTheme="minorHAnsi"/>
          <w:b/>
          <w:lang w:val="es-CO" w:eastAsia="en-US"/>
        </w:rPr>
        <w:t>Recomendación</w:t>
      </w:r>
    </w:p>
    <w:p w14:paraId="41D57A8A" w14:textId="77777777" w:rsidR="000C6BE9" w:rsidRDefault="000C6BE9" w:rsidP="000C6BE9">
      <w:pPr>
        <w:rPr>
          <w:rFonts w:eastAsiaTheme="minorHAnsi"/>
          <w:b/>
          <w:lang w:val="es-CO" w:eastAsia="en-US"/>
        </w:rPr>
      </w:pPr>
    </w:p>
    <w:p w14:paraId="35CAD900" w14:textId="77777777" w:rsidR="000C6BE9" w:rsidRDefault="000C6BE9" w:rsidP="000C6BE9">
      <w:pPr>
        <w:jc w:val="both"/>
        <w:rPr>
          <w:rStyle w:val="ui-provider"/>
        </w:rPr>
      </w:pPr>
      <w:r>
        <w:rPr>
          <w:rStyle w:val="ui-provider"/>
        </w:rPr>
        <w:t>Se recomienda vincular a la comunidad en procesos permanentes de planeación participativa y de rendición de cuentas de los recursos del sector educativo, Fortalecer los gobiernos escolares de todas las Instituciones educativas de la Entidad Territorial, para mejorar la gestión de los recursos en cada institución y Generar dispositivos comunicativos que permitan conocer la realidad del sector y vincular a la comunidad en el mejoramiento de los programas y proyectos que pretenden mejorar la calidad de la educación.</w:t>
      </w:r>
    </w:p>
    <w:p w14:paraId="41F398CF" w14:textId="77777777" w:rsidR="000C6BE9" w:rsidRDefault="000C6BE9" w:rsidP="000C6BE9">
      <w:pPr>
        <w:pStyle w:val="Sinespaciado"/>
        <w:jc w:val="both"/>
        <w:rPr>
          <w:rFonts w:ascii="Arial" w:hAnsi="Arial" w:cs="Arial"/>
        </w:rPr>
      </w:pPr>
    </w:p>
    <w:p w14:paraId="393A25CD" w14:textId="77777777" w:rsidR="000C6BE9" w:rsidRDefault="000C6BE9" w:rsidP="000C6BE9">
      <w:pPr>
        <w:pStyle w:val="Ttulo1"/>
        <w:numPr>
          <w:ilvl w:val="0"/>
          <w:numId w:val="33"/>
        </w:numPr>
        <w:spacing w:before="0"/>
        <w:jc w:val="both"/>
        <w:rPr>
          <w:rFonts w:ascii="Arial" w:hAnsi="Arial" w:cs="Arial"/>
          <w:b/>
          <w:color w:val="auto"/>
          <w:sz w:val="22"/>
          <w:szCs w:val="22"/>
          <w:lang w:val="es-CO"/>
        </w:rPr>
      </w:pPr>
      <w:r>
        <w:rPr>
          <w:rFonts w:ascii="Arial" w:hAnsi="Arial" w:cs="Arial"/>
          <w:b/>
          <w:color w:val="auto"/>
          <w:sz w:val="22"/>
          <w:szCs w:val="22"/>
          <w:lang w:val="es-CO"/>
        </w:rPr>
        <w:t>CONCLUSIONES Y RECOMENDACIONES.</w:t>
      </w:r>
    </w:p>
    <w:p w14:paraId="06C8F2D5" w14:textId="77777777" w:rsidR="000C6BE9" w:rsidRDefault="000C6BE9" w:rsidP="000C6BE9">
      <w:pPr>
        <w:rPr>
          <w:lang w:val="es-CO"/>
        </w:rPr>
      </w:pPr>
    </w:p>
    <w:p w14:paraId="6618822F" w14:textId="77777777" w:rsidR="000C6BE9" w:rsidRDefault="000C6BE9" w:rsidP="000C6BE9">
      <w:pPr>
        <w:jc w:val="both"/>
        <w:rPr>
          <w:rFonts w:cs="Arial"/>
          <w:szCs w:val="22"/>
        </w:rPr>
      </w:pPr>
      <w:r>
        <w:rPr>
          <w:rFonts w:cs="Arial"/>
          <w:szCs w:val="22"/>
        </w:rPr>
        <w:t xml:space="preserve">Como resultado de la evaluación se concluye que el municipio de Lorica ha cumplido con 9 de las 23 actividades de la medida preventiva de plan de desempeño. La actividad relacionada con el reporte de información financiera no fue evaluada debido a que las Entidades para la vigencia 2021 aún estaban en proceso de aprendizaje del reporte de información por la reciente implementación del catálogo de clasificación presupuestal y su reporte en la categoría CUIPO, no obstante, en 2022 se identifican algunas diferencias y se espera el reporte adecuado de la vigencia 2023. </w:t>
      </w:r>
    </w:p>
    <w:p w14:paraId="554736BD" w14:textId="77777777" w:rsidR="000C6BE9" w:rsidRDefault="000C6BE9" w:rsidP="000C6BE9">
      <w:pPr>
        <w:jc w:val="both"/>
        <w:rPr>
          <w:rFonts w:cs="Arial"/>
          <w:szCs w:val="22"/>
        </w:rPr>
      </w:pPr>
    </w:p>
    <w:p w14:paraId="280BDF8E" w14:textId="77777777" w:rsidR="000C6BE9" w:rsidRDefault="000C6BE9" w:rsidP="000C6BE9">
      <w:pPr>
        <w:jc w:val="both"/>
        <w:rPr>
          <w:rFonts w:cs="Arial"/>
          <w:szCs w:val="22"/>
        </w:rPr>
      </w:pPr>
      <w:r>
        <w:rPr>
          <w:rFonts w:cs="Arial"/>
          <w:szCs w:val="22"/>
        </w:rPr>
        <w:t>Por lo anterior, las actividades incumplidas de la medida son 13, las cuales están relacionadas con la sincronización y depuración de los sistemas de información del sector; el exceso de planta de personal administrativo del nivel central; la superación del tope de gasto administrativo; el pago con recursos propios de las obligaciones laborales y las cuentas por pagar pendientes al cierre de la vigencia 2018 y 2019; la restitución de los pagos realizados en las vigencias 2017, 2018 y 2019 con recursos del SGP cuyas destinaciones no estaban permitidas por la normatividad y de los recursos excedidos en gastos administrativos en las vigencias 2017, 2019, 2020 y 2021; la depuración y el saneamiento de las deudas del sector; la entrega oportuna de la dotación de personal; la publicación en el Sistema Electrónico de Contratación Pública – SECOP de la totalidad de los documentos contractuales, el cumplimiento de la normatividad en los procesos de contratación requeridos para el sector educativo; la presentación del estudio técnico de planta docente y su adopción mediante acto administrativo de acuerdo al concepto de viabilización emitido por el MEN, así como su respectiva distribución de acuerdo con los parámetros técnicos.</w:t>
      </w:r>
    </w:p>
    <w:p w14:paraId="6A8C1DD4" w14:textId="77777777" w:rsidR="000C6BE9" w:rsidRDefault="000C6BE9" w:rsidP="000C6BE9">
      <w:pPr>
        <w:jc w:val="both"/>
        <w:rPr>
          <w:rFonts w:cs="Arial"/>
          <w:szCs w:val="22"/>
        </w:rPr>
      </w:pPr>
    </w:p>
    <w:p w14:paraId="1C6146A7" w14:textId="77777777" w:rsidR="000C6BE9" w:rsidRDefault="000C6BE9" w:rsidP="000C6BE9">
      <w:pPr>
        <w:jc w:val="both"/>
        <w:rPr>
          <w:rFonts w:cs="Arial"/>
          <w:szCs w:val="22"/>
        </w:rPr>
      </w:pPr>
      <w:r>
        <w:rPr>
          <w:rFonts w:cs="Arial"/>
          <w:szCs w:val="22"/>
        </w:rPr>
        <w:t>En cuanto a los recursos pendientes por restituir por parte de la entidad para el cumplimiento de la actividad 1.4.2. para realizar inversiones en el sector educación financiados con fuentes distintas al SGP, a la fecha ascienden a $</w:t>
      </w:r>
      <w:r>
        <w:t xml:space="preserve">7.145 </w:t>
      </w:r>
      <w:r>
        <w:rPr>
          <w:rFonts w:cs="Arial"/>
          <w:szCs w:val="22"/>
        </w:rPr>
        <w:t xml:space="preserve">millones entre los cuales están incluidos el exceso de gasto administrativo de 2020, 2021 y 2022. </w:t>
      </w:r>
    </w:p>
    <w:p w14:paraId="5AE03914" w14:textId="77777777" w:rsidR="000C6BE9" w:rsidRDefault="000C6BE9" w:rsidP="000C6BE9">
      <w:pPr>
        <w:jc w:val="both"/>
        <w:rPr>
          <w:rFonts w:cs="Arial"/>
          <w:szCs w:val="22"/>
        </w:rPr>
      </w:pPr>
    </w:p>
    <w:p w14:paraId="66FA87E2" w14:textId="77777777" w:rsidR="000C6BE9" w:rsidRDefault="000C6BE9" w:rsidP="000C6BE9">
      <w:pPr>
        <w:jc w:val="both"/>
        <w:rPr>
          <w:lang w:val="es-CO" w:eastAsia="en-US"/>
        </w:rPr>
      </w:pPr>
      <w:r>
        <w:rPr>
          <w:rFonts w:cs="Arial"/>
          <w:szCs w:val="22"/>
        </w:rPr>
        <w:t xml:space="preserve">Para el cumplimiento de la actividad </w:t>
      </w:r>
      <w:r>
        <w:rPr>
          <w:rFonts w:eastAsiaTheme="minorHAnsi"/>
          <w:lang w:val="es-CO" w:eastAsia="en-US"/>
        </w:rPr>
        <w:t>1.4.1. sobre el pago de las obligaciones laborales y las cuentas por pagar pendientes al cierre de la vigencia 2018 y 2019 que no tenían respaldo en Tesorería, falta evidenciar el pago con recursos propios de $</w:t>
      </w:r>
      <w:r>
        <w:rPr>
          <w:lang w:val="es-CO" w:eastAsia="en-US"/>
        </w:rPr>
        <w:t>60 millones de capacitación docente del 2018, y $712 millones para cubrir obligaciones laborales pendiente al cierre de 2019.</w:t>
      </w:r>
    </w:p>
    <w:p w14:paraId="343BDE37" w14:textId="77777777" w:rsidR="000C6BE9" w:rsidRDefault="000C6BE9" w:rsidP="000C6BE9">
      <w:pPr>
        <w:jc w:val="both"/>
        <w:rPr>
          <w:lang w:val="es-CO" w:eastAsia="en-US"/>
        </w:rPr>
      </w:pPr>
    </w:p>
    <w:p w14:paraId="77C8BA25" w14:textId="77777777" w:rsidR="000C6BE9" w:rsidRDefault="000C6BE9" w:rsidP="000C6BE9">
      <w:pPr>
        <w:jc w:val="both"/>
      </w:pPr>
      <w:r>
        <w:rPr>
          <w:lang w:val="es-CO" w:eastAsia="en-US"/>
        </w:rPr>
        <w:lastRenderedPageBreak/>
        <w:t xml:space="preserve">Por lo anterior, la entidad debe poner en el sector educativo un total de $7.917 millones de recursos propios. Para lo cual </w:t>
      </w:r>
      <w:r>
        <w:t xml:space="preserve">debe tener en cuenta que los recursos que se restituyan por superar el límite de gasto administrativo no se podrán restituir en conceptos de gasto administrativo, ya que deberá financiar aquellos conceptos de gastos de calidad en que dejó de invertir por excederse en el gasto administrativo. Por lo tanto, de los $7.145 millones que quedan pendientes por restituir de la </w:t>
      </w:r>
      <w:r>
        <w:rPr>
          <w:rFonts w:cs="Arial"/>
          <w:szCs w:val="22"/>
        </w:rPr>
        <w:t>actividad 1.4.2</w:t>
      </w:r>
      <w:r>
        <w:t>, corresponden a exceso de gasto administrativo $4.393 millones ($652 millones de 2017, $2.334 millones de 2019, $473 millones de 2020,  $527 millones de 2021 y $407 millones de 2022).</w:t>
      </w:r>
    </w:p>
    <w:p w14:paraId="6A9A194C" w14:textId="77777777" w:rsidR="000C6BE9" w:rsidRDefault="000C6BE9" w:rsidP="000C6BE9">
      <w:pPr>
        <w:jc w:val="both"/>
        <w:rPr>
          <w:rFonts w:cs="Arial"/>
          <w:szCs w:val="22"/>
        </w:rPr>
      </w:pPr>
    </w:p>
    <w:p w14:paraId="34C95C31" w14:textId="77777777" w:rsidR="000C6BE9" w:rsidRDefault="000C6BE9" w:rsidP="000C6BE9">
      <w:pPr>
        <w:jc w:val="both"/>
        <w:rPr>
          <w:rFonts w:cs="Arial"/>
          <w:szCs w:val="22"/>
        </w:rPr>
      </w:pPr>
      <w:r>
        <w:rPr>
          <w:rFonts w:cs="Arial"/>
          <w:szCs w:val="22"/>
        </w:rPr>
        <w:t>Considerando lo anterior, se recomienda continuar con el seguimiento a la medida preventiva de pan de desempeño hasta tanto la Entidad restituya la totalidad de los recursos y cumpla con el total de actividades de la medida.</w:t>
      </w:r>
    </w:p>
    <w:p w14:paraId="2BE286A3" w14:textId="77777777" w:rsidR="000C6BE9" w:rsidRDefault="000C6BE9" w:rsidP="000C6BE9">
      <w:pPr>
        <w:jc w:val="both"/>
        <w:rPr>
          <w:rFonts w:cs="Arial"/>
          <w:szCs w:val="22"/>
          <w:lang w:val="es-CO"/>
        </w:rPr>
      </w:pPr>
    </w:p>
    <w:p w14:paraId="2C53F5F4" w14:textId="77777777" w:rsidR="000C6BE9" w:rsidRPr="00FD66D2" w:rsidRDefault="000C6BE9" w:rsidP="000C6BE9">
      <w:pPr>
        <w:jc w:val="both"/>
        <w:rPr>
          <w:rFonts w:cs="Arial"/>
          <w:sz w:val="14"/>
          <w:szCs w:val="16"/>
          <w:lang w:val="es-CO"/>
        </w:rPr>
      </w:pPr>
      <w:r w:rsidRPr="00FD66D2">
        <w:rPr>
          <w:rFonts w:cs="Arial"/>
          <w:sz w:val="14"/>
          <w:szCs w:val="16"/>
          <w:lang w:val="es-CO"/>
        </w:rPr>
        <w:t>APROBÓ: Fernando Olivera</w:t>
      </w:r>
    </w:p>
    <w:p w14:paraId="2C0F6A35" w14:textId="77777777" w:rsidR="000C6BE9" w:rsidRPr="00FD66D2" w:rsidRDefault="000C6BE9" w:rsidP="000C6BE9">
      <w:pPr>
        <w:jc w:val="both"/>
        <w:rPr>
          <w:rFonts w:cs="Arial"/>
          <w:sz w:val="14"/>
          <w:szCs w:val="16"/>
          <w:lang w:val="es-CO"/>
        </w:rPr>
      </w:pPr>
      <w:r w:rsidRPr="00FD66D2">
        <w:rPr>
          <w:rFonts w:cs="Arial"/>
          <w:sz w:val="14"/>
          <w:szCs w:val="16"/>
          <w:lang w:val="es-CO"/>
        </w:rPr>
        <w:t>REVISIÓN JURÍDICA: Carlos Ariza</w:t>
      </w:r>
    </w:p>
    <w:p w14:paraId="666A418D" w14:textId="77777777" w:rsidR="000C6BE9" w:rsidRPr="00FD66D2" w:rsidRDefault="000C6BE9" w:rsidP="000C6BE9">
      <w:pPr>
        <w:jc w:val="both"/>
        <w:rPr>
          <w:rFonts w:cs="Arial"/>
          <w:sz w:val="14"/>
          <w:szCs w:val="16"/>
          <w:lang w:val="es-CO"/>
        </w:rPr>
      </w:pPr>
      <w:r w:rsidRPr="00FD66D2">
        <w:rPr>
          <w:rFonts w:cs="Arial"/>
          <w:sz w:val="14"/>
          <w:szCs w:val="16"/>
          <w:lang w:val="es-CO"/>
        </w:rPr>
        <w:t>REVISIÓN TÉCNICA: Liz Rey</w:t>
      </w:r>
    </w:p>
    <w:p w14:paraId="1561B74F" w14:textId="77777777" w:rsidR="000C6BE9" w:rsidRPr="00FD66D2" w:rsidRDefault="000C6BE9" w:rsidP="000C6BE9">
      <w:pPr>
        <w:jc w:val="both"/>
        <w:rPr>
          <w:rFonts w:cs="Arial"/>
          <w:sz w:val="14"/>
          <w:szCs w:val="16"/>
          <w:lang w:val="es-CO"/>
        </w:rPr>
      </w:pPr>
      <w:r w:rsidRPr="00FD66D2">
        <w:rPr>
          <w:rFonts w:cs="Arial"/>
          <w:sz w:val="14"/>
          <w:szCs w:val="16"/>
          <w:lang w:val="es-CO"/>
        </w:rPr>
        <w:t>ELABORÓ: Carlos Ariza/Genny Rivera</w:t>
      </w:r>
    </w:p>
    <w:p w14:paraId="60C2198E" w14:textId="77777777" w:rsidR="000C6BE9" w:rsidRDefault="000C6BE9" w:rsidP="000C6BE9"/>
    <w:p w14:paraId="115B3DD9" w14:textId="77777777" w:rsidR="00D92691" w:rsidRPr="000C6BE9" w:rsidRDefault="00D92691" w:rsidP="000C6BE9"/>
    <w:sectPr w:rsidR="00D92691" w:rsidRPr="000C6BE9" w:rsidSect="004E432F">
      <w:headerReference w:type="default" r:id="rId14"/>
      <w:footerReference w:type="default" r:id="rId15"/>
      <w:headerReference w:type="first" r:id="rId16"/>
      <w:footerReference w:type="first" r:id="rId17"/>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DB40" w14:textId="77777777" w:rsidR="00BE51EA" w:rsidRDefault="00BE51EA" w:rsidP="00F71345">
      <w:r>
        <w:separator/>
      </w:r>
    </w:p>
  </w:endnote>
  <w:endnote w:type="continuationSeparator" w:id="0">
    <w:p w14:paraId="799C6D94" w14:textId="77777777" w:rsidR="00BE51EA" w:rsidRDefault="00BE51EA" w:rsidP="00F71345">
      <w:r>
        <w:continuationSeparator/>
      </w:r>
    </w:p>
  </w:endnote>
  <w:endnote w:type="continuationNotice" w:id="1">
    <w:p w14:paraId="79961990" w14:textId="77777777" w:rsidR="00BE51EA" w:rsidRDefault="00BE5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08070000" w:usb2="00000010" w:usb3="00000000" w:csb0="00020000"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D37B" w14:textId="77777777" w:rsidR="00783363" w:rsidRDefault="00783363" w:rsidP="002F2BCC">
    <w:pPr>
      <w:autoSpaceDE w:val="0"/>
      <w:autoSpaceDN w:val="0"/>
      <w:adjustRightInd w:val="0"/>
      <w:rPr>
        <w:rFonts w:ascii="Arial,Bold" w:eastAsiaTheme="minorHAnsi" w:hAnsi="Arial,Bold" w:cs="Arial,Bold"/>
        <w:b/>
        <w:bCs/>
        <w:color w:val="595959"/>
        <w:sz w:val="15"/>
        <w:szCs w:val="15"/>
        <w:lang w:val="es-CO" w:eastAsia="en-US"/>
      </w:rPr>
    </w:pPr>
    <w:r>
      <w:rPr>
        <w:rFonts w:ascii="Arial,Bold" w:eastAsiaTheme="minorHAnsi" w:hAnsi="Arial,Bold" w:cs="Arial,Bold"/>
        <w:b/>
        <w:bCs/>
        <w:color w:val="595959"/>
        <w:sz w:val="15"/>
        <w:szCs w:val="15"/>
        <w:lang w:val="es-CO" w:eastAsia="en-US"/>
      </w:rPr>
      <w:t>Ministerio de Hacienda y Crédito Público</w:t>
    </w:r>
  </w:p>
  <w:p w14:paraId="40711EBA" w14:textId="77777777" w:rsidR="00783363" w:rsidRDefault="00783363" w:rsidP="002F2BCC">
    <w:pPr>
      <w:autoSpaceDE w:val="0"/>
      <w:autoSpaceDN w:val="0"/>
      <w:adjustRightInd w:val="0"/>
      <w:rPr>
        <w:rFonts w:eastAsiaTheme="minorHAnsi" w:cs="Arial"/>
        <w:color w:val="595959"/>
        <w:sz w:val="15"/>
        <w:szCs w:val="15"/>
        <w:lang w:val="es-CO" w:eastAsia="en-US"/>
      </w:rPr>
    </w:pPr>
    <w:r>
      <w:rPr>
        <w:rFonts w:eastAsiaTheme="minorHAnsi" w:cs="Arial"/>
        <w:color w:val="595959"/>
        <w:sz w:val="15"/>
        <w:szCs w:val="15"/>
        <w:lang w:val="es-CO" w:eastAsia="en-US"/>
      </w:rPr>
      <w:t>Código Postal 111711</w:t>
    </w:r>
  </w:p>
  <w:p w14:paraId="4EB4A7F3" w14:textId="77777777" w:rsidR="00783363" w:rsidRDefault="00783363" w:rsidP="002F2BCC">
    <w:pPr>
      <w:autoSpaceDE w:val="0"/>
      <w:autoSpaceDN w:val="0"/>
      <w:adjustRightInd w:val="0"/>
      <w:rPr>
        <w:rFonts w:eastAsiaTheme="minorHAnsi" w:cs="Arial"/>
        <w:color w:val="595959"/>
        <w:sz w:val="15"/>
        <w:szCs w:val="15"/>
        <w:lang w:val="es-CO" w:eastAsia="en-US"/>
      </w:rPr>
    </w:pPr>
    <w:r>
      <w:rPr>
        <w:rFonts w:eastAsiaTheme="minorHAnsi" w:cs="Arial"/>
        <w:color w:val="595959"/>
        <w:sz w:val="15"/>
        <w:szCs w:val="15"/>
        <w:lang w:val="es-CO" w:eastAsia="en-US"/>
      </w:rPr>
      <w:t>PBX: (571) 381 1700</w:t>
    </w:r>
  </w:p>
  <w:p w14:paraId="039C0214" w14:textId="77777777" w:rsidR="00783363" w:rsidRDefault="00783363" w:rsidP="002F2BCC">
    <w:pPr>
      <w:autoSpaceDE w:val="0"/>
      <w:autoSpaceDN w:val="0"/>
      <w:adjustRightInd w:val="0"/>
      <w:rPr>
        <w:rFonts w:eastAsiaTheme="minorHAnsi" w:cs="Arial"/>
        <w:color w:val="595959"/>
        <w:sz w:val="15"/>
        <w:szCs w:val="15"/>
        <w:lang w:val="es-CO" w:eastAsia="en-US"/>
      </w:rPr>
    </w:pPr>
    <w:r>
      <w:rPr>
        <w:rFonts w:eastAsiaTheme="minorHAnsi" w:cs="Arial"/>
        <w:color w:val="595959"/>
        <w:sz w:val="15"/>
        <w:szCs w:val="15"/>
        <w:lang w:val="es-CO" w:eastAsia="en-US"/>
      </w:rPr>
      <w:t>Atención al ciudadano (571) 6021270 - Línea Nacional: 01 8000 910071</w:t>
    </w:r>
  </w:p>
  <w:p w14:paraId="130862DB" w14:textId="77777777" w:rsidR="00783363" w:rsidRPr="00166790" w:rsidRDefault="00783363" w:rsidP="002F2BCC">
    <w:pPr>
      <w:autoSpaceDE w:val="0"/>
      <w:autoSpaceDN w:val="0"/>
      <w:adjustRightInd w:val="0"/>
      <w:rPr>
        <w:rFonts w:eastAsiaTheme="minorHAnsi" w:cs="Arial"/>
        <w:color w:val="595959"/>
        <w:sz w:val="15"/>
        <w:szCs w:val="15"/>
        <w:lang w:val="pt-BR" w:eastAsia="en-US"/>
      </w:rPr>
    </w:pPr>
    <w:r w:rsidRPr="00166790">
      <w:rPr>
        <w:rFonts w:eastAsiaTheme="minorHAnsi" w:cs="Arial"/>
        <w:color w:val="595959"/>
        <w:sz w:val="15"/>
        <w:szCs w:val="15"/>
        <w:lang w:val="pt-BR" w:eastAsia="en-US"/>
      </w:rPr>
      <w:t>atencioncliente@minhacienda.gov.co</w:t>
    </w:r>
  </w:p>
  <w:p w14:paraId="43C517C4" w14:textId="77777777" w:rsidR="00783363" w:rsidRPr="00166790" w:rsidRDefault="00783363" w:rsidP="002F2BCC">
    <w:pPr>
      <w:autoSpaceDE w:val="0"/>
      <w:autoSpaceDN w:val="0"/>
      <w:adjustRightInd w:val="0"/>
      <w:rPr>
        <w:rFonts w:eastAsiaTheme="minorHAnsi" w:cs="Arial"/>
        <w:color w:val="595959"/>
        <w:sz w:val="15"/>
        <w:szCs w:val="15"/>
        <w:lang w:val="pt-BR" w:eastAsia="en-US"/>
      </w:rPr>
    </w:pPr>
    <w:r w:rsidRPr="00166790">
      <w:rPr>
        <w:rFonts w:eastAsiaTheme="minorHAnsi" w:cs="Arial"/>
        <w:color w:val="595959"/>
        <w:sz w:val="15"/>
        <w:szCs w:val="15"/>
        <w:lang w:val="pt-BR" w:eastAsia="en-US"/>
      </w:rPr>
      <w:t>Carrera 8 No. 6C- 38 Bogotá D.C.</w:t>
    </w:r>
  </w:p>
  <w:p w14:paraId="7B2D9A7C" w14:textId="77777777" w:rsidR="00783363" w:rsidRPr="00F01F75" w:rsidRDefault="00783363" w:rsidP="002F2BCC">
    <w:pPr>
      <w:pStyle w:val="Piedepgina"/>
    </w:pPr>
    <w:r>
      <w:rPr>
        <w:rFonts w:ascii="Arial" w:hAnsi="Arial" w:cs="Arial"/>
        <w:color w:val="595959"/>
        <w:sz w:val="15"/>
        <w:szCs w:val="15"/>
      </w:rPr>
      <w:t>www.minhacienda.gov.co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F269" w14:textId="77777777" w:rsidR="00783363" w:rsidRDefault="00783363" w:rsidP="002F2BCC">
    <w:pPr>
      <w:autoSpaceDE w:val="0"/>
      <w:autoSpaceDN w:val="0"/>
      <w:adjustRightInd w:val="0"/>
      <w:rPr>
        <w:rFonts w:ascii="Arial,Bold" w:eastAsiaTheme="minorHAnsi" w:hAnsi="Arial,Bold" w:cs="Arial,Bold"/>
        <w:b/>
        <w:bCs/>
        <w:color w:val="595959"/>
        <w:sz w:val="15"/>
        <w:szCs w:val="15"/>
        <w:lang w:val="es-CO" w:eastAsia="en-US"/>
      </w:rPr>
    </w:pPr>
    <w:r>
      <w:rPr>
        <w:rFonts w:ascii="Arial,Bold" w:eastAsiaTheme="minorHAnsi" w:hAnsi="Arial,Bold" w:cs="Arial,Bold"/>
        <w:b/>
        <w:bCs/>
        <w:color w:val="595959"/>
        <w:sz w:val="15"/>
        <w:szCs w:val="15"/>
        <w:lang w:val="es-CO" w:eastAsia="en-US"/>
      </w:rPr>
      <w:t>Ministerio de Hacienda y Crédito Público</w:t>
    </w:r>
  </w:p>
  <w:p w14:paraId="1C1A9138" w14:textId="77777777" w:rsidR="00783363" w:rsidRDefault="00783363" w:rsidP="002F2BCC">
    <w:pPr>
      <w:autoSpaceDE w:val="0"/>
      <w:autoSpaceDN w:val="0"/>
      <w:adjustRightInd w:val="0"/>
      <w:rPr>
        <w:rFonts w:eastAsiaTheme="minorHAnsi" w:cs="Arial"/>
        <w:color w:val="595959"/>
        <w:sz w:val="15"/>
        <w:szCs w:val="15"/>
        <w:lang w:val="es-CO" w:eastAsia="en-US"/>
      </w:rPr>
    </w:pPr>
    <w:r>
      <w:rPr>
        <w:rFonts w:eastAsiaTheme="minorHAnsi" w:cs="Arial"/>
        <w:color w:val="595959"/>
        <w:sz w:val="15"/>
        <w:szCs w:val="15"/>
        <w:lang w:val="es-CO" w:eastAsia="en-US"/>
      </w:rPr>
      <w:t>Código Postal 111711</w:t>
    </w:r>
  </w:p>
  <w:p w14:paraId="4241DA79" w14:textId="77777777" w:rsidR="00783363" w:rsidRDefault="00783363" w:rsidP="002F2BCC">
    <w:pPr>
      <w:autoSpaceDE w:val="0"/>
      <w:autoSpaceDN w:val="0"/>
      <w:adjustRightInd w:val="0"/>
      <w:rPr>
        <w:rFonts w:eastAsiaTheme="minorHAnsi" w:cs="Arial"/>
        <w:color w:val="595959"/>
        <w:sz w:val="15"/>
        <w:szCs w:val="15"/>
        <w:lang w:val="es-CO" w:eastAsia="en-US"/>
      </w:rPr>
    </w:pPr>
    <w:r>
      <w:rPr>
        <w:rFonts w:eastAsiaTheme="minorHAnsi" w:cs="Arial"/>
        <w:color w:val="595959"/>
        <w:sz w:val="15"/>
        <w:szCs w:val="15"/>
        <w:lang w:val="es-CO" w:eastAsia="en-US"/>
      </w:rPr>
      <w:t>PBX: (571) 381 1700</w:t>
    </w:r>
  </w:p>
  <w:p w14:paraId="73673895" w14:textId="77777777" w:rsidR="00783363" w:rsidRDefault="00783363" w:rsidP="002F2BCC">
    <w:pPr>
      <w:autoSpaceDE w:val="0"/>
      <w:autoSpaceDN w:val="0"/>
      <w:adjustRightInd w:val="0"/>
      <w:rPr>
        <w:rFonts w:eastAsiaTheme="minorHAnsi" w:cs="Arial"/>
        <w:color w:val="595959"/>
        <w:sz w:val="15"/>
        <w:szCs w:val="15"/>
        <w:lang w:val="es-CO" w:eastAsia="en-US"/>
      </w:rPr>
    </w:pPr>
    <w:r>
      <w:rPr>
        <w:rFonts w:eastAsiaTheme="minorHAnsi" w:cs="Arial"/>
        <w:color w:val="595959"/>
        <w:sz w:val="15"/>
        <w:szCs w:val="15"/>
        <w:lang w:val="es-CO" w:eastAsia="en-US"/>
      </w:rPr>
      <w:t>Atención al ciudadano (571) 6021270 - Línea Nacional: 01 8000 910071</w:t>
    </w:r>
  </w:p>
  <w:p w14:paraId="59F2AA28" w14:textId="77777777" w:rsidR="00783363" w:rsidRPr="00166790" w:rsidRDefault="00783363" w:rsidP="002F2BCC">
    <w:pPr>
      <w:autoSpaceDE w:val="0"/>
      <w:autoSpaceDN w:val="0"/>
      <w:adjustRightInd w:val="0"/>
      <w:rPr>
        <w:rFonts w:eastAsiaTheme="minorHAnsi" w:cs="Arial"/>
        <w:color w:val="595959"/>
        <w:sz w:val="15"/>
        <w:szCs w:val="15"/>
        <w:lang w:val="pt-BR" w:eastAsia="en-US"/>
      </w:rPr>
    </w:pPr>
    <w:r w:rsidRPr="00166790">
      <w:rPr>
        <w:rFonts w:eastAsiaTheme="minorHAnsi" w:cs="Arial"/>
        <w:color w:val="595959"/>
        <w:sz w:val="15"/>
        <w:szCs w:val="15"/>
        <w:lang w:val="pt-BR" w:eastAsia="en-US"/>
      </w:rPr>
      <w:t>atencioncliente@minhacienda.gov.co</w:t>
    </w:r>
  </w:p>
  <w:p w14:paraId="4D76AE73" w14:textId="77777777" w:rsidR="00783363" w:rsidRPr="00166790" w:rsidRDefault="00783363" w:rsidP="002F2BCC">
    <w:pPr>
      <w:autoSpaceDE w:val="0"/>
      <w:autoSpaceDN w:val="0"/>
      <w:adjustRightInd w:val="0"/>
      <w:rPr>
        <w:rFonts w:eastAsiaTheme="minorHAnsi" w:cs="Arial"/>
        <w:color w:val="595959"/>
        <w:sz w:val="15"/>
        <w:szCs w:val="15"/>
        <w:lang w:val="pt-BR" w:eastAsia="en-US"/>
      </w:rPr>
    </w:pPr>
    <w:r w:rsidRPr="00166790">
      <w:rPr>
        <w:rFonts w:eastAsiaTheme="minorHAnsi" w:cs="Arial"/>
        <w:color w:val="595959"/>
        <w:sz w:val="15"/>
        <w:szCs w:val="15"/>
        <w:lang w:val="pt-BR" w:eastAsia="en-US"/>
      </w:rPr>
      <w:t>Carrera 8 No. 6C- 38 Bogotá D.C.</w:t>
    </w:r>
  </w:p>
  <w:p w14:paraId="5D0F5D86" w14:textId="77777777" w:rsidR="00783363" w:rsidRPr="00F01F75" w:rsidRDefault="00783363" w:rsidP="002F2BCC">
    <w:pPr>
      <w:pStyle w:val="Piedepgina"/>
    </w:pPr>
    <w:r>
      <w:rPr>
        <w:rFonts w:ascii="Arial" w:hAnsi="Arial" w:cs="Arial"/>
        <w:color w:val="595959"/>
        <w:sz w:val="15"/>
        <w:szCs w:val="15"/>
      </w:rPr>
      <w:t>www.minhacienda.gov.co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D4F5" w14:textId="77777777" w:rsidR="00BE51EA" w:rsidRDefault="00BE51EA" w:rsidP="00F71345">
      <w:r>
        <w:separator/>
      </w:r>
    </w:p>
  </w:footnote>
  <w:footnote w:type="continuationSeparator" w:id="0">
    <w:p w14:paraId="74498026" w14:textId="77777777" w:rsidR="00BE51EA" w:rsidRDefault="00BE51EA" w:rsidP="00F71345">
      <w:r>
        <w:continuationSeparator/>
      </w:r>
    </w:p>
  </w:footnote>
  <w:footnote w:type="continuationNotice" w:id="1">
    <w:p w14:paraId="4759D568" w14:textId="77777777" w:rsidR="00BE51EA" w:rsidRDefault="00BE51EA"/>
  </w:footnote>
  <w:footnote w:id="2">
    <w:p w14:paraId="652993FD" w14:textId="77777777" w:rsidR="00754913" w:rsidRDefault="00670213">
      <w:pPr>
        <w:pStyle w:val="Textonotapie"/>
      </w:pPr>
      <w:r>
        <w:rPr>
          <w:rStyle w:val="Refdenotaalpie"/>
        </w:rPr>
        <w:footnoteRef/>
      </w:r>
      <w:r>
        <w:t xml:space="preserve"> Enlace SECOP I </w:t>
      </w:r>
      <w:hyperlink r:id="rId1" w:history="1">
        <w:r w:rsidR="00754913" w:rsidRPr="002F5E95">
          <w:rPr>
            <w:rStyle w:val="Hipervnculo"/>
          </w:rPr>
          <w:t>https://www.contratos.gov.co/consultas/detalleProceso.do?numConstancia=21-13-12601444&amp;g-recaptcha-response=03AIIukzhe3USS0QIfIVC840ZzWuywmn34SIbzVVnU4iapUefrwYRJfFWsKo21PkKybu8N8wkZ09ziUwME38_Yt5AsIk7mIeWA_wVzk3XHaLUe4B0mY4D5Rc2miqGYkfQ7d87roREnaKhn3JkSBlS8pPusp0Kar5Hrkzuk1ekQDkS59zjFx6HH5meETscbxBymqMBauQ_NpbNocxwmo-9D-U-HFWak2sZHndk2rKcF_TqhRuBSa8pTRKUd1O3qGKTjwnd93_0CcFn2c40cGJEaAROUWjPyXY6w7H98uW_81xix8ax2P9z8B5H1FFZGX8gO_lVXLazkMxsLCeJvZVClgTJ74e3vOgIqDWLhnkSPJFMR4UpC0MoUq6AjaF_gD9fHMcma2ZE5cqiWNfxeWmkhoJxfNcEByLP8f1c1DKeDjr7LqcdImOrHZRtkhEh97PzjYfeIscKihzHKhx5RRg8fePoJ_bH28lr7OQHeqt_OubSvuRCFf_VPvFbS5PXOT-mKin1GKQIrGlukFiWLHDIxO-l02RezFgaSVw</w:t>
        </w:r>
      </w:hyperlink>
    </w:p>
  </w:footnote>
  <w:footnote w:id="3">
    <w:p w14:paraId="071F2C7A" w14:textId="77777777" w:rsidR="00754913" w:rsidRDefault="00754913">
      <w:pPr>
        <w:pStyle w:val="Textonotapie"/>
      </w:pPr>
      <w:r>
        <w:rPr>
          <w:rStyle w:val="Refdenotaalpie"/>
        </w:rPr>
        <w:footnoteRef/>
      </w:r>
      <w:r>
        <w:t xml:space="preserve"> Enlace SECOP I </w:t>
      </w:r>
      <w:hyperlink r:id="rId2" w:history="1">
        <w:r w:rsidRPr="002F5E95">
          <w:rPr>
            <w:rStyle w:val="Hipervnculo"/>
          </w:rPr>
          <w:t>https://www.contratos.gov.co/consultas/detalleProceso.do?numConstancia=22-13-13315932&amp;g-recaptcha-response=03AIIukzhU73EAJnkrAuOVk_qnuVFkjGvb5i1DkMXj0c2JtkroGde5oNwQlRiSnagwT-pzfAdmGkmnE7bg9x6FYdA-ztOQ3lVZTrCR-MM1pgZ14-JJm-g4O9Jke6veAVHCZMKRf9hzhCiYgTfeENrRlBYuXDmK1IdyPnQKLoSyZRxfw0q0BDmRydtgKU96lIDQwdlsdBm0hHE4YJjMholzZDAPalHNmzliTu5-zCV2zJZeiLVgXJ2dKxTNr9rQy2k6XDQ4dmrEHHTPlm41rbnExDsYeG4HD_EXMuVRD3BbCZ0U_p1-F-DreoQN8Z0TYf62I8YGgMmYxSzM06xBg14oTuYrGu4fQu-Xs_fRDFD7OriIvW6_MVZspjKNpHD9oV02-vdqlwCmTZToHw9S1ZSp2UqWWdTocvR66_JYgEcJujBSxRtjrNuMlyeusD-CS_xMsnnb-PqrKmM8oZAxUxRvq_2oNQsiCE3pLnCQjiw6gC8lR_DmW4dO7NzVpUhDbLv5nWXo41AQrpHZGDMl-JclpAezKxWN70i7pA</w:t>
        </w:r>
      </w:hyperlink>
      <w:r>
        <w:t xml:space="preserve"> </w:t>
      </w:r>
    </w:p>
  </w:footnote>
  <w:footnote w:id="4">
    <w:p w14:paraId="51F9F672" w14:textId="77777777" w:rsidR="00754913" w:rsidRDefault="00754913">
      <w:pPr>
        <w:pStyle w:val="Textonotapie"/>
      </w:pPr>
      <w:r>
        <w:rPr>
          <w:rStyle w:val="Refdenotaalpie"/>
        </w:rPr>
        <w:footnoteRef/>
      </w:r>
      <w:r>
        <w:t xml:space="preserve"> Enlace SECOP I </w:t>
      </w:r>
      <w:hyperlink r:id="rId3" w:history="1">
        <w:r w:rsidRPr="002F5E95">
          <w:rPr>
            <w:rStyle w:val="Hipervnculo"/>
          </w:rPr>
          <w:t>https://www.contratos.gov.co/consultas/detalleProceso.do?numConstancia=22-13-13093085&amp;g-recaptcha-response=03AIIukzgrQw_yJIgaZqXEav-rvwnUdVe330_IcL5HF-fM0_7yXiSr0YY1fWuHUYu1H4mCajxZAofeScYHFd8aewRdvSWsYuvej-ALeRCh9BIyDnFqf0OSBP6EcwYmbNrI2nvqjgXtBJD9mkZBsUIeJRfTimOjfd25pvm_cJLe-bgg20TjBZfajDqFmNAenibUyHTl7LPHra8OXz2V0tFc7uC2lVr4tJPv8WGGV29QiXcMg3OZ406mmH-dZv2eu6StDRqltTjtcxvN6M4h7tw8ta6wkgedLefKm0ftO4R4S9eR1CLOBe7s7aPb-W7y03CKrsvcQddvKzS6mvm87VQc-3uZ5dLlyNaufRDwp3EVmJ_sg2ZwES3uxVWX2E_82wkrwQKfLqTMR-Ztoud9t-ZKcTDRq7MntpS4l1qxhnCTwpvAiixX1Vr3qUtzcQybaNmydFZoQ5oiBSBnqinQ4fuhPQ1n3kGInDZIipkpH49U9FwdAPAM97B57pTnK82BKDHbC-rQKiyGrZvDXXJx8ZfMfJSgHvhIRvpLa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D53C" w14:textId="77777777" w:rsidR="00783363" w:rsidRDefault="00FD66D2" w:rsidP="00E34626">
    <w:pPr>
      <w:pStyle w:val="Encabezado"/>
      <w:tabs>
        <w:tab w:val="clear" w:pos="4419"/>
        <w:tab w:val="clear" w:pos="8838"/>
        <w:tab w:val="left" w:pos="7713"/>
      </w:tabs>
      <w:rPr>
        <w:rFonts w:ascii="Arial" w:hAnsi="Arial" w:cs="Arial"/>
        <w:sz w:val="16"/>
        <w:szCs w:val="16"/>
      </w:rPr>
    </w:pPr>
    <w:r>
      <w:rPr>
        <w:noProof/>
        <w:lang w:eastAsia="es-CO"/>
      </w:rPr>
      <w:drawing>
        <wp:inline distT="0" distB="0" distL="0" distR="0" wp14:anchorId="6A060625" wp14:editId="0426ADE2">
          <wp:extent cx="5572664" cy="741871"/>
          <wp:effectExtent l="0" t="0" r="0" b="0"/>
          <wp:docPr id="1615993281" name="Imagen 1615993281"/>
          <wp:cNvGraphicFramePr/>
          <a:graphic xmlns:a="http://schemas.openxmlformats.org/drawingml/2006/main">
            <a:graphicData uri="http://schemas.openxmlformats.org/drawingml/2006/picture">
              <pic:pic xmlns:pic="http://schemas.openxmlformats.org/drawingml/2006/picture">
                <pic:nvPicPr>
                  <pic:cNvPr id="1615993281" name="Imagen 1615993281"/>
                  <pic:cNvPicPr/>
                </pic:nvPicPr>
                <pic:blipFill rotWithShape="1">
                  <a:blip r:embed="rId1" cstate="print">
                    <a:extLst>
                      <a:ext uri="{28A0092B-C50C-407E-A947-70E740481C1C}">
                        <a14:useLocalDpi xmlns:a14="http://schemas.microsoft.com/office/drawing/2010/main" val="0"/>
                      </a:ext>
                    </a:extLst>
                  </a:blip>
                  <a:srcRect l="12150" t="3477" r="11876" b="89284"/>
                  <a:stretch/>
                </pic:blipFill>
                <pic:spPr bwMode="auto">
                  <a:xfrm>
                    <a:off x="0" y="0"/>
                    <a:ext cx="5730757" cy="762917"/>
                  </a:xfrm>
                  <a:prstGeom prst="rect">
                    <a:avLst/>
                  </a:prstGeom>
                  <a:noFill/>
                  <a:ln>
                    <a:noFill/>
                  </a:ln>
                  <a:extLst>
                    <a:ext uri="{53640926-AAD7-44D8-BBD7-CCE9431645EC}">
                      <a14:shadowObscured xmlns:a14="http://schemas.microsoft.com/office/drawing/2010/main"/>
                    </a:ext>
                  </a:extLst>
                </pic:spPr>
              </pic:pic>
            </a:graphicData>
          </a:graphic>
        </wp:inline>
      </w:drawing>
    </w:r>
  </w:p>
  <w:p w14:paraId="5CB60802" w14:textId="77777777" w:rsidR="00783363" w:rsidRDefault="00783363" w:rsidP="00F01F75">
    <w:pPr>
      <w:pStyle w:val="Encabezado"/>
      <w:rPr>
        <w:rFonts w:ascii="Arial" w:hAnsi="Arial" w:cs="Arial"/>
        <w:sz w:val="16"/>
        <w:szCs w:val="16"/>
      </w:rPr>
    </w:pPr>
  </w:p>
  <w:p w14:paraId="4E5E0AD2" w14:textId="77777777" w:rsidR="00783363" w:rsidRPr="00F01F75" w:rsidRDefault="00783363"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informe</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201D7E">
      <w:rPr>
        <w:rStyle w:val="Nmerodepgina"/>
        <w:rFonts w:ascii="Arial" w:hAnsi="Arial" w:cs="Arial"/>
        <w:noProof/>
        <w:sz w:val="16"/>
        <w:szCs w:val="16"/>
      </w:rPr>
      <w:t>39</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201D7E">
      <w:rPr>
        <w:rStyle w:val="Nmerodepgina"/>
        <w:rFonts w:ascii="Arial" w:hAnsi="Arial" w:cs="Arial"/>
        <w:noProof/>
        <w:sz w:val="16"/>
        <w:szCs w:val="16"/>
      </w:rPr>
      <w:t>39</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7B1B" w14:textId="77777777" w:rsidR="00783363" w:rsidRDefault="00FD66D2" w:rsidP="001339E2">
    <w:pPr>
      <w:pStyle w:val="Encabezado"/>
      <w:jc w:val="right"/>
    </w:pPr>
    <w:r>
      <w:rPr>
        <w:noProof/>
        <w:lang w:eastAsia="es-CO"/>
      </w:rPr>
      <w:drawing>
        <wp:inline distT="0" distB="0" distL="0" distR="0" wp14:anchorId="5AE974EB" wp14:editId="49372F97">
          <wp:extent cx="5572664" cy="741871"/>
          <wp:effectExtent l="0" t="0" r="0" b="0"/>
          <wp:docPr id="14" name="Imagen 14"/>
          <wp:cNvGraphicFramePr/>
          <a:graphic xmlns:a="http://schemas.openxmlformats.org/drawingml/2006/main">
            <a:graphicData uri="http://schemas.openxmlformats.org/drawingml/2006/picture">
              <pic:pic xmlns:pic="http://schemas.openxmlformats.org/drawingml/2006/picture">
                <pic:nvPicPr>
                  <pic:cNvPr id="1615993281" name="Imagen 1615993281"/>
                  <pic:cNvPicPr/>
                </pic:nvPicPr>
                <pic:blipFill rotWithShape="1">
                  <a:blip r:embed="rId1" cstate="print">
                    <a:extLst>
                      <a:ext uri="{28A0092B-C50C-407E-A947-70E740481C1C}">
                        <a14:useLocalDpi xmlns:a14="http://schemas.microsoft.com/office/drawing/2010/main" val="0"/>
                      </a:ext>
                    </a:extLst>
                  </a:blip>
                  <a:srcRect l="12150" t="3477" r="11876" b="89284"/>
                  <a:stretch/>
                </pic:blipFill>
                <pic:spPr bwMode="auto">
                  <a:xfrm>
                    <a:off x="0" y="0"/>
                    <a:ext cx="5730757" cy="76291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34B"/>
    <w:multiLevelType w:val="hybridMultilevel"/>
    <w:tmpl w:val="7AE2A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A873C9"/>
    <w:multiLevelType w:val="hybridMultilevel"/>
    <w:tmpl w:val="FE9EA03E"/>
    <w:lvl w:ilvl="0" w:tplc="E300F74A">
      <w:start w:val="1"/>
      <w:numFmt w:val="decimal"/>
      <w:lvlText w:val="(%1)"/>
      <w:lvlJc w:val="left"/>
      <w:pPr>
        <w:ind w:left="720" w:hanging="360"/>
      </w:pPr>
      <w:rPr>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7607E6D"/>
    <w:multiLevelType w:val="hybridMultilevel"/>
    <w:tmpl w:val="FEDCE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2E6E89"/>
    <w:multiLevelType w:val="hybridMultilevel"/>
    <w:tmpl w:val="1256E356"/>
    <w:lvl w:ilvl="0" w:tplc="DCF08D4A">
      <w:start w:val="1"/>
      <w:numFmt w:val="bullet"/>
      <w:lvlText w:val=""/>
      <w:lvlJc w:val="left"/>
      <w:pPr>
        <w:ind w:left="720" w:hanging="360"/>
      </w:pPr>
      <w:rPr>
        <w:rFonts w:ascii="Symbol" w:hAnsi="Symbol" w:hint="default"/>
      </w:rPr>
    </w:lvl>
    <w:lvl w:ilvl="1" w:tplc="E398BB92">
      <w:start w:val="1"/>
      <w:numFmt w:val="bullet"/>
      <w:lvlText w:val="o"/>
      <w:lvlJc w:val="left"/>
      <w:pPr>
        <w:ind w:left="1440" w:hanging="360"/>
      </w:pPr>
      <w:rPr>
        <w:rFonts w:ascii="Courier New" w:hAnsi="Courier New" w:hint="default"/>
      </w:rPr>
    </w:lvl>
    <w:lvl w:ilvl="2" w:tplc="83803C20">
      <w:start w:val="1"/>
      <w:numFmt w:val="bullet"/>
      <w:lvlText w:val=""/>
      <w:lvlJc w:val="left"/>
      <w:pPr>
        <w:ind w:left="2160" w:hanging="360"/>
      </w:pPr>
      <w:rPr>
        <w:rFonts w:ascii="Wingdings" w:hAnsi="Wingdings" w:hint="default"/>
      </w:rPr>
    </w:lvl>
    <w:lvl w:ilvl="3" w:tplc="0E3453C2">
      <w:start w:val="1"/>
      <w:numFmt w:val="bullet"/>
      <w:lvlText w:val=""/>
      <w:lvlJc w:val="left"/>
      <w:pPr>
        <w:ind w:left="2880" w:hanging="360"/>
      </w:pPr>
      <w:rPr>
        <w:rFonts w:ascii="Symbol" w:hAnsi="Symbol" w:hint="default"/>
      </w:rPr>
    </w:lvl>
    <w:lvl w:ilvl="4" w:tplc="8AEE2F22">
      <w:start w:val="1"/>
      <w:numFmt w:val="bullet"/>
      <w:lvlText w:val="o"/>
      <w:lvlJc w:val="left"/>
      <w:pPr>
        <w:ind w:left="3600" w:hanging="360"/>
      </w:pPr>
      <w:rPr>
        <w:rFonts w:ascii="Courier New" w:hAnsi="Courier New" w:hint="default"/>
      </w:rPr>
    </w:lvl>
    <w:lvl w:ilvl="5" w:tplc="802EFA30">
      <w:start w:val="1"/>
      <w:numFmt w:val="bullet"/>
      <w:lvlText w:val=""/>
      <w:lvlJc w:val="left"/>
      <w:pPr>
        <w:ind w:left="4320" w:hanging="360"/>
      </w:pPr>
      <w:rPr>
        <w:rFonts w:ascii="Wingdings" w:hAnsi="Wingdings" w:hint="default"/>
      </w:rPr>
    </w:lvl>
    <w:lvl w:ilvl="6" w:tplc="A33A771E">
      <w:start w:val="1"/>
      <w:numFmt w:val="bullet"/>
      <w:lvlText w:val=""/>
      <w:lvlJc w:val="left"/>
      <w:pPr>
        <w:ind w:left="5040" w:hanging="360"/>
      </w:pPr>
      <w:rPr>
        <w:rFonts w:ascii="Symbol" w:hAnsi="Symbol" w:hint="default"/>
      </w:rPr>
    </w:lvl>
    <w:lvl w:ilvl="7" w:tplc="57609A0E">
      <w:start w:val="1"/>
      <w:numFmt w:val="bullet"/>
      <w:lvlText w:val="o"/>
      <w:lvlJc w:val="left"/>
      <w:pPr>
        <w:ind w:left="5760" w:hanging="360"/>
      </w:pPr>
      <w:rPr>
        <w:rFonts w:ascii="Courier New" w:hAnsi="Courier New" w:hint="default"/>
      </w:rPr>
    </w:lvl>
    <w:lvl w:ilvl="8" w:tplc="9362A59C">
      <w:start w:val="1"/>
      <w:numFmt w:val="bullet"/>
      <w:lvlText w:val=""/>
      <w:lvlJc w:val="left"/>
      <w:pPr>
        <w:ind w:left="6480" w:hanging="360"/>
      </w:pPr>
      <w:rPr>
        <w:rFonts w:ascii="Wingdings" w:hAnsi="Wingdings" w:hint="default"/>
      </w:rPr>
    </w:lvl>
  </w:abstractNum>
  <w:abstractNum w:abstractNumId="4" w15:restartNumberingAfterBreak="0">
    <w:nsid w:val="1E4A43C3"/>
    <w:multiLevelType w:val="hybridMultilevel"/>
    <w:tmpl w:val="8B6A0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CD5471"/>
    <w:multiLevelType w:val="hybridMultilevel"/>
    <w:tmpl w:val="64B4ED30"/>
    <w:lvl w:ilvl="0" w:tplc="ED08E63C">
      <w:start w:val="1"/>
      <w:numFmt w:val="decimal"/>
      <w:lvlText w:val="(%1)"/>
      <w:lvlJc w:val="left"/>
      <w:pPr>
        <w:ind w:left="720" w:hanging="360"/>
      </w:pPr>
      <w:rPr>
        <w:rFonts w:ascii="Arial" w:hAnsi="Arial" w:cs="Arial" w:hint="default"/>
        <w:b w:val="0"/>
        <w:sz w:val="22"/>
        <w:szCs w:val="22"/>
      </w:rPr>
    </w:lvl>
    <w:lvl w:ilvl="1" w:tplc="4BAA1FC4">
      <w:start w:val="1"/>
      <w:numFmt w:val="lowerLetter"/>
      <w:lvlText w:val="%2."/>
      <w:lvlJc w:val="left"/>
      <w:pPr>
        <w:ind w:left="1440" w:hanging="360"/>
      </w:pPr>
      <w:rPr>
        <w:rFonts w:cs="Times New Roman"/>
      </w:rPr>
    </w:lvl>
    <w:lvl w:ilvl="2" w:tplc="EC44AD82">
      <w:start w:val="1"/>
      <w:numFmt w:val="lowerRoman"/>
      <w:lvlText w:val="%3."/>
      <w:lvlJc w:val="right"/>
      <w:pPr>
        <w:ind w:left="2160" w:hanging="180"/>
      </w:pPr>
      <w:rPr>
        <w:rFonts w:cs="Times New Roman"/>
      </w:rPr>
    </w:lvl>
    <w:lvl w:ilvl="3" w:tplc="DCC2AC80">
      <w:start w:val="1"/>
      <w:numFmt w:val="decimal"/>
      <w:lvlText w:val="%4."/>
      <w:lvlJc w:val="left"/>
      <w:pPr>
        <w:ind w:left="2880" w:hanging="360"/>
      </w:pPr>
      <w:rPr>
        <w:rFonts w:cs="Times New Roman"/>
      </w:rPr>
    </w:lvl>
    <w:lvl w:ilvl="4" w:tplc="289AFF5A">
      <w:start w:val="1"/>
      <w:numFmt w:val="lowerLetter"/>
      <w:lvlText w:val="%5."/>
      <w:lvlJc w:val="left"/>
      <w:pPr>
        <w:ind w:left="3600" w:hanging="360"/>
      </w:pPr>
      <w:rPr>
        <w:rFonts w:cs="Times New Roman"/>
      </w:rPr>
    </w:lvl>
    <w:lvl w:ilvl="5" w:tplc="BB1E104C">
      <w:start w:val="1"/>
      <w:numFmt w:val="lowerRoman"/>
      <w:lvlText w:val="%6."/>
      <w:lvlJc w:val="right"/>
      <w:pPr>
        <w:ind w:left="4320" w:hanging="180"/>
      </w:pPr>
      <w:rPr>
        <w:rFonts w:cs="Times New Roman"/>
      </w:rPr>
    </w:lvl>
    <w:lvl w:ilvl="6" w:tplc="B5F03368">
      <w:start w:val="1"/>
      <w:numFmt w:val="decimal"/>
      <w:lvlText w:val="%7."/>
      <w:lvlJc w:val="left"/>
      <w:pPr>
        <w:ind w:left="5040" w:hanging="360"/>
      </w:pPr>
      <w:rPr>
        <w:rFonts w:cs="Times New Roman"/>
      </w:rPr>
    </w:lvl>
    <w:lvl w:ilvl="7" w:tplc="97AC0C20">
      <w:start w:val="1"/>
      <w:numFmt w:val="lowerLetter"/>
      <w:lvlText w:val="%8."/>
      <w:lvlJc w:val="left"/>
      <w:pPr>
        <w:ind w:left="5760" w:hanging="360"/>
      </w:pPr>
      <w:rPr>
        <w:rFonts w:cs="Times New Roman"/>
      </w:rPr>
    </w:lvl>
    <w:lvl w:ilvl="8" w:tplc="6A8C134E">
      <w:start w:val="1"/>
      <w:numFmt w:val="lowerRoman"/>
      <w:lvlText w:val="%9."/>
      <w:lvlJc w:val="right"/>
      <w:pPr>
        <w:ind w:left="6480" w:hanging="180"/>
      </w:pPr>
      <w:rPr>
        <w:rFonts w:cs="Times New Roman"/>
      </w:rPr>
    </w:lvl>
  </w:abstractNum>
  <w:abstractNum w:abstractNumId="6" w15:restartNumberingAfterBreak="0">
    <w:nsid w:val="28632B6A"/>
    <w:multiLevelType w:val="hybridMultilevel"/>
    <w:tmpl w:val="8AA69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0D7A92"/>
    <w:multiLevelType w:val="multilevel"/>
    <w:tmpl w:val="F914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50421D"/>
    <w:multiLevelType w:val="hybridMultilevel"/>
    <w:tmpl w:val="1DC0C1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AB0761"/>
    <w:multiLevelType w:val="hybridMultilevel"/>
    <w:tmpl w:val="A6B85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3D04E4"/>
    <w:multiLevelType w:val="hybridMultilevel"/>
    <w:tmpl w:val="ACBC4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022D12"/>
    <w:multiLevelType w:val="hybridMultilevel"/>
    <w:tmpl w:val="781A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684B62"/>
    <w:multiLevelType w:val="hybridMultilevel"/>
    <w:tmpl w:val="6610DA30"/>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14" w15:restartNumberingAfterBreak="0">
    <w:nsid w:val="52776D97"/>
    <w:multiLevelType w:val="multilevel"/>
    <w:tmpl w:val="FA7E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8552D7"/>
    <w:multiLevelType w:val="hybridMultilevel"/>
    <w:tmpl w:val="9196A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4F03A3"/>
    <w:multiLevelType w:val="hybridMultilevel"/>
    <w:tmpl w:val="5CBC2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EF5AA6"/>
    <w:multiLevelType w:val="hybridMultilevel"/>
    <w:tmpl w:val="C1346668"/>
    <w:lvl w:ilvl="0" w:tplc="240A0001">
      <w:start w:val="1"/>
      <w:numFmt w:val="bullet"/>
      <w:lvlText w:val=""/>
      <w:lvlJc w:val="left"/>
      <w:pPr>
        <w:ind w:left="1146" w:hanging="360"/>
      </w:pPr>
      <w:rPr>
        <w:rFonts w:ascii="Symbol" w:hAnsi="Symbol" w:hint="default"/>
        <w:color w:val="auto"/>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8" w15:restartNumberingAfterBreak="0">
    <w:nsid w:val="57BC034E"/>
    <w:multiLevelType w:val="hybridMultilevel"/>
    <w:tmpl w:val="A5AC3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3275E2"/>
    <w:multiLevelType w:val="hybridMultilevel"/>
    <w:tmpl w:val="5EB6FE48"/>
    <w:lvl w:ilvl="0" w:tplc="ED08E63C">
      <w:start w:val="1"/>
      <w:numFmt w:val="decimal"/>
      <w:lvlText w:val="(%1)"/>
      <w:lvlJc w:val="left"/>
      <w:pPr>
        <w:ind w:left="720" w:hanging="360"/>
      </w:pPr>
      <w:rPr>
        <w:rFonts w:ascii="Arial" w:hAnsi="Arial" w:cs="Arial" w:hint="default"/>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60733C"/>
    <w:multiLevelType w:val="hybridMultilevel"/>
    <w:tmpl w:val="D7742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8F77F2"/>
    <w:multiLevelType w:val="hybridMultilevel"/>
    <w:tmpl w:val="80DAA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F2490C"/>
    <w:multiLevelType w:val="hybridMultilevel"/>
    <w:tmpl w:val="64B4ED30"/>
    <w:lvl w:ilvl="0" w:tplc="ED08E63C">
      <w:start w:val="1"/>
      <w:numFmt w:val="decimal"/>
      <w:lvlText w:val="(%1)"/>
      <w:lvlJc w:val="left"/>
      <w:pPr>
        <w:ind w:left="720" w:hanging="360"/>
      </w:pPr>
      <w:rPr>
        <w:rFonts w:ascii="Arial" w:hAnsi="Arial" w:cs="Arial" w:hint="default"/>
        <w:b w:val="0"/>
        <w:sz w:val="22"/>
        <w:szCs w:val="22"/>
      </w:rPr>
    </w:lvl>
    <w:lvl w:ilvl="1" w:tplc="4BAA1FC4">
      <w:start w:val="1"/>
      <w:numFmt w:val="lowerLetter"/>
      <w:lvlText w:val="%2."/>
      <w:lvlJc w:val="left"/>
      <w:pPr>
        <w:ind w:left="1440" w:hanging="360"/>
      </w:pPr>
      <w:rPr>
        <w:rFonts w:cs="Times New Roman"/>
      </w:rPr>
    </w:lvl>
    <w:lvl w:ilvl="2" w:tplc="EC44AD82">
      <w:start w:val="1"/>
      <w:numFmt w:val="lowerRoman"/>
      <w:lvlText w:val="%3."/>
      <w:lvlJc w:val="right"/>
      <w:pPr>
        <w:ind w:left="2160" w:hanging="180"/>
      </w:pPr>
      <w:rPr>
        <w:rFonts w:cs="Times New Roman"/>
      </w:rPr>
    </w:lvl>
    <w:lvl w:ilvl="3" w:tplc="DCC2AC80">
      <w:start w:val="1"/>
      <w:numFmt w:val="decimal"/>
      <w:lvlText w:val="%4."/>
      <w:lvlJc w:val="left"/>
      <w:pPr>
        <w:ind w:left="2880" w:hanging="360"/>
      </w:pPr>
      <w:rPr>
        <w:rFonts w:cs="Times New Roman"/>
      </w:rPr>
    </w:lvl>
    <w:lvl w:ilvl="4" w:tplc="289AFF5A">
      <w:start w:val="1"/>
      <w:numFmt w:val="lowerLetter"/>
      <w:lvlText w:val="%5."/>
      <w:lvlJc w:val="left"/>
      <w:pPr>
        <w:ind w:left="3600" w:hanging="360"/>
      </w:pPr>
      <w:rPr>
        <w:rFonts w:cs="Times New Roman"/>
      </w:rPr>
    </w:lvl>
    <w:lvl w:ilvl="5" w:tplc="BB1E104C">
      <w:start w:val="1"/>
      <w:numFmt w:val="lowerRoman"/>
      <w:lvlText w:val="%6."/>
      <w:lvlJc w:val="right"/>
      <w:pPr>
        <w:ind w:left="4320" w:hanging="180"/>
      </w:pPr>
      <w:rPr>
        <w:rFonts w:cs="Times New Roman"/>
      </w:rPr>
    </w:lvl>
    <w:lvl w:ilvl="6" w:tplc="B5F03368">
      <w:start w:val="1"/>
      <w:numFmt w:val="decimal"/>
      <w:lvlText w:val="%7."/>
      <w:lvlJc w:val="left"/>
      <w:pPr>
        <w:ind w:left="5040" w:hanging="360"/>
      </w:pPr>
      <w:rPr>
        <w:rFonts w:cs="Times New Roman"/>
      </w:rPr>
    </w:lvl>
    <w:lvl w:ilvl="7" w:tplc="97AC0C20">
      <w:start w:val="1"/>
      <w:numFmt w:val="lowerLetter"/>
      <w:lvlText w:val="%8."/>
      <w:lvlJc w:val="left"/>
      <w:pPr>
        <w:ind w:left="5760" w:hanging="360"/>
      </w:pPr>
      <w:rPr>
        <w:rFonts w:cs="Times New Roman"/>
      </w:rPr>
    </w:lvl>
    <w:lvl w:ilvl="8" w:tplc="6A8C134E">
      <w:start w:val="1"/>
      <w:numFmt w:val="lowerRoman"/>
      <w:lvlText w:val="%9."/>
      <w:lvlJc w:val="right"/>
      <w:pPr>
        <w:ind w:left="6480" w:hanging="180"/>
      </w:pPr>
      <w:rPr>
        <w:rFonts w:cs="Times New Roman"/>
      </w:rPr>
    </w:lvl>
  </w:abstractNum>
  <w:abstractNum w:abstractNumId="23" w15:restartNumberingAfterBreak="0">
    <w:nsid w:val="62273CD9"/>
    <w:multiLevelType w:val="hybridMultilevel"/>
    <w:tmpl w:val="40008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BC3AC1"/>
    <w:multiLevelType w:val="hybridMultilevel"/>
    <w:tmpl w:val="187CB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67A2BB4"/>
    <w:multiLevelType w:val="hybridMultilevel"/>
    <w:tmpl w:val="C75E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B0574DE"/>
    <w:multiLevelType w:val="hybridMultilevel"/>
    <w:tmpl w:val="90CEB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707D1E"/>
    <w:multiLevelType w:val="hybridMultilevel"/>
    <w:tmpl w:val="5394AF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8DE2377"/>
    <w:multiLevelType w:val="multilevel"/>
    <w:tmpl w:val="794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525EC5"/>
    <w:multiLevelType w:val="hybridMultilevel"/>
    <w:tmpl w:val="64B4ED30"/>
    <w:lvl w:ilvl="0" w:tplc="ED08E63C">
      <w:start w:val="1"/>
      <w:numFmt w:val="decimal"/>
      <w:lvlText w:val="(%1)"/>
      <w:lvlJc w:val="left"/>
      <w:pPr>
        <w:ind w:left="720" w:hanging="360"/>
      </w:pPr>
      <w:rPr>
        <w:rFonts w:ascii="Arial" w:hAnsi="Arial" w:cs="Arial" w:hint="default"/>
        <w:b w:val="0"/>
        <w:sz w:val="22"/>
        <w:szCs w:val="22"/>
      </w:rPr>
    </w:lvl>
    <w:lvl w:ilvl="1" w:tplc="4BAA1FC4">
      <w:start w:val="1"/>
      <w:numFmt w:val="lowerLetter"/>
      <w:lvlText w:val="%2."/>
      <w:lvlJc w:val="left"/>
      <w:pPr>
        <w:ind w:left="1440" w:hanging="360"/>
      </w:pPr>
      <w:rPr>
        <w:rFonts w:cs="Times New Roman"/>
      </w:rPr>
    </w:lvl>
    <w:lvl w:ilvl="2" w:tplc="EC44AD82">
      <w:start w:val="1"/>
      <w:numFmt w:val="lowerRoman"/>
      <w:lvlText w:val="%3."/>
      <w:lvlJc w:val="right"/>
      <w:pPr>
        <w:ind w:left="2160" w:hanging="180"/>
      </w:pPr>
      <w:rPr>
        <w:rFonts w:cs="Times New Roman"/>
      </w:rPr>
    </w:lvl>
    <w:lvl w:ilvl="3" w:tplc="DCC2AC80">
      <w:start w:val="1"/>
      <w:numFmt w:val="decimal"/>
      <w:lvlText w:val="%4."/>
      <w:lvlJc w:val="left"/>
      <w:pPr>
        <w:ind w:left="2880" w:hanging="360"/>
      </w:pPr>
      <w:rPr>
        <w:rFonts w:cs="Times New Roman"/>
      </w:rPr>
    </w:lvl>
    <w:lvl w:ilvl="4" w:tplc="289AFF5A">
      <w:start w:val="1"/>
      <w:numFmt w:val="lowerLetter"/>
      <w:lvlText w:val="%5."/>
      <w:lvlJc w:val="left"/>
      <w:pPr>
        <w:ind w:left="3600" w:hanging="360"/>
      </w:pPr>
      <w:rPr>
        <w:rFonts w:cs="Times New Roman"/>
      </w:rPr>
    </w:lvl>
    <w:lvl w:ilvl="5" w:tplc="BB1E104C">
      <w:start w:val="1"/>
      <w:numFmt w:val="lowerRoman"/>
      <w:lvlText w:val="%6."/>
      <w:lvlJc w:val="right"/>
      <w:pPr>
        <w:ind w:left="4320" w:hanging="180"/>
      </w:pPr>
      <w:rPr>
        <w:rFonts w:cs="Times New Roman"/>
      </w:rPr>
    </w:lvl>
    <w:lvl w:ilvl="6" w:tplc="B5F03368">
      <w:start w:val="1"/>
      <w:numFmt w:val="decimal"/>
      <w:lvlText w:val="%7."/>
      <w:lvlJc w:val="left"/>
      <w:pPr>
        <w:ind w:left="5040" w:hanging="360"/>
      </w:pPr>
      <w:rPr>
        <w:rFonts w:cs="Times New Roman"/>
      </w:rPr>
    </w:lvl>
    <w:lvl w:ilvl="7" w:tplc="97AC0C20">
      <w:start w:val="1"/>
      <w:numFmt w:val="lowerLetter"/>
      <w:lvlText w:val="%8."/>
      <w:lvlJc w:val="left"/>
      <w:pPr>
        <w:ind w:left="5760" w:hanging="360"/>
      </w:pPr>
      <w:rPr>
        <w:rFonts w:cs="Times New Roman"/>
      </w:rPr>
    </w:lvl>
    <w:lvl w:ilvl="8" w:tplc="6A8C134E">
      <w:start w:val="1"/>
      <w:numFmt w:val="lowerRoman"/>
      <w:lvlText w:val="%9."/>
      <w:lvlJc w:val="right"/>
      <w:pPr>
        <w:ind w:left="6480" w:hanging="180"/>
      </w:pPr>
      <w:rPr>
        <w:rFonts w:cs="Times New Roman"/>
      </w:rPr>
    </w:lvl>
  </w:abstractNum>
  <w:num w:numId="1" w16cid:durableId="235094069">
    <w:abstractNumId w:val="11"/>
  </w:num>
  <w:num w:numId="2" w16cid:durableId="294258229">
    <w:abstractNumId w:val="28"/>
  </w:num>
  <w:num w:numId="3" w16cid:durableId="199557868">
    <w:abstractNumId w:val="17"/>
  </w:num>
  <w:num w:numId="4" w16cid:durableId="1633244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35084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7001992">
    <w:abstractNumId w:val="22"/>
  </w:num>
  <w:num w:numId="7" w16cid:durableId="1794131026">
    <w:abstractNumId w:val="5"/>
  </w:num>
  <w:num w:numId="8" w16cid:durableId="848329846">
    <w:abstractNumId w:val="1"/>
  </w:num>
  <w:num w:numId="9" w16cid:durableId="1164198902">
    <w:abstractNumId w:val="4"/>
  </w:num>
  <w:num w:numId="10" w16cid:durableId="1032726385">
    <w:abstractNumId w:val="25"/>
  </w:num>
  <w:num w:numId="11" w16cid:durableId="1536308226">
    <w:abstractNumId w:val="9"/>
  </w:num>
  <w:num w:numId="12" w16cid:durableId="1161309108">
    <w:abstractNumId w:val="23"/>
  </w:num>
  <w:num w:numId="13" w16cid:durableId="1365984547">
    <w:abstractNumId w:val="16"/>
  </w:num>
  <w:num w:numId="14" w16cid:durableId="1735275244">
    <w:abstractNumId w:val="2"/>
  </w:num>
  <w:num w:numId="15" w16cid:durableId="58872559">
    <w:abstractNumId w:val="15"/>
  </w:num>
  <w:num w:numId="16" w16cid:durableId="1485320062">
    <w:abstractNumId w:val="21"/>
  </w:num>
  <w:num w:numId="17" w16cid:durableId="1819302542">
    <w:abstractNumId w:val="18"/>
  </w:num>
  <w:num w:numId="18" w16cid:durableId="318198680">
    <w:abstractNumId w:val="24"/>
  </w:num>
  <w:num w:numId="19" w16cid:durableId="1267082776">
    <w:abstractNumId w:val="12"/>
  </w:num>
  <w:num w:numId="20" w16cid:durableId="686251839">
    <w:abstractNumId w:val="26"/>
  </w:num>
  <w:num w:numId="21" w16cid:durableId="1207138427">
    <w:abstractNumId w:val="0"/>
  </w:num>
  <w:num w:numId="22" w16cid:durableId="93330291">
    <w:abstractNumId w:val="10"/>
  </w:num>
  <w:num w:numId="23" w16cid:durableId="1055009965">
    <w:abstractNumId w:val="20"/>
  </w:num>
  <w:num w:numId="24" w16cid:durableId="1000935161">
    <w:abstractNumId w:val="3"/>
  </w:num>
  <w:num w:numId="25" w16cid:durableId="195775104">
    <w:abstractNumId w:val="7"/>
  </w:num>
  <w:num w:numId="26" w16cid:durableId="925843373">
    <w:abstractNumId w:val="29"/>
  </w:num>
  <w:num w:numId="27" w16cid:durableId="359555061">
    <w:abstractNumId w:val="14"/>
  </w:num>
  <w:num w:numId="28" w16cid:durableId="13310345">
    <w:abstractNumId w:val="13"/>
  </w:num>
  <w:num w:numId="29" w16cid:durableId="49035047">
    <w:abstractNumId w:val="19"/>
  </w:num>
  <w:num w:numId="30" w16cid:durableId="1348404171">
    <w:abstractNumId w:val="8"/>
  </w:num>
  <w:num w:numId="31" w16cid:durableId="775684502">
    <w:abstractNumId w:val="27"/>
  </w:num>
  <w:num w:numId="32" w16cid:durableId="58793174">
    <w:abstractNumId w:val="6"/>
  </w:num>
  <w:num w:numId="33" w16cid:durableId="1993636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2159940">
    <w:abstractNumId w:val="17"/>
  </w:num>
  <w:num w:numId="35" w16cid:durableId="2078168988">
    <w:abstractNumId w:val="30"/>
  </w:num>
  <w:num w:numId="36" w16cid:durableId="942807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051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1660233">
    <w:abstractNumId w:val="13"/>
  </w:num>
  <w:num w:numId="39" w16cid:durableId="2236114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2376580">
    <w:abstractNumId w:val="6"/>
  </w:num>
  <w:num w:numId="41" w16cid:durableId="1513564824">
    <w:abstractNumId w:val="3"/>
  </w:num>
  <w:num w:numId="42" w16cid:durableId="2101364434">
    <w:abstractNumId w:val="7"/>
  </w:num>
  <w:num w:numId="43" w16cid:durableId="1812595637">
    <w:abstractNumId w:val="29"/>
  </w:num>
  <w:num w:numId="44" w16cid:durableId="57561202">
    <w:abstractNumId w:val="14"/>
  </w:num>
  <w:num w:numId="45" w16cid:durableId="1694914221">
    <w:abstractNumId w:val="17"/>
  </w:num>
  <w:num w:numId="46" w16cid:durableId="1233739467">
    <w:abstractNumId w:val="13"/>
  </w:num>
  <w:num w:numId="47" w16cid:durableId="836112233">
    <w:abstractNumId w:val="6"/>
  </w:num>
  <w:num w:numId="48" w16cid:durableId="420372624">
    <w:abstractNumId w:val="3"/>
  </w:num>
  <w:num w:numId="49" w16cid:durableId="40842527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2C00"/>
    <w:rsid w:val="0000363C"/>
    <w:rsid w:val="000051FB"/>
    <w:rsid w:val="000062A0"/>
    <w:rsid w:val="00006B90"/>
    <w:rsid w:val="000103C6"/>
    <w:rsid w:val="00010F89"/>
    <w:rsid w:val="00011854"/>
    <w:rsid w:val="00013B9B"/>
    <w:rsid w:val="00014160"/>
    <w:rsid w:val="00015D8E"/>
    <w:rsid w:val="000170B4"/>
    <w:rsid w:val="0001730A"/>
    <w:rsid w:val="00020723"/>
    <w:rsid w:val="00020762"/>
    <w:rsid w:val="000218E4"/>
    <w:rsid w:val="000219D4"/>
    <w:rsid w:val="00021B14"/>
    <w:rsid w:val="00021F31"/>
    <w:rsid w:val="00023A69"/>
    <w:rsid w:val="0002479E"/>
    <w:rsid w:val="00025168"/>
    <w:rsid w:val="000275E7"/>
    <w:rsid w:val="00030080"/>
    <w:rsid w:val="000322E3"/>
    <w:rsid w:val="000330D0"/>
    <w:rsid w:val="000337B0"/>
    <w:rsid w:val="0003626F"/>
    <w:rsid w:val="00037F0A"/>
    <w:rsid w:val="0004068C"/>
    <w:rsid w:val="00042D32"/>
    <w:rsid w:val="00043DE6"/>
    <w:rsid w:val="00045C30"/>
    <w:rsid w:val="000463D3"/>
    <w:rsid w:val="000468FC"/>
    <w:rsid w:val="00046A6E"/>
    <w:rsid w:val="0005197E"/>
    <w:rsid w:val="000533EF"/>
    <w:rsid w:val="00054091"/>
    <w:rsid w:val="000551D7"/>
    <w:rsid w:val="00057AF8"/>
    <w:rsid w:val="00057CB6"/>
    <w:rsid w:val="00063EB3"/>
    <w:rsid w:val="000643E9"/>
    <w:rsid w:val="00064F02"/>
    <w:rsid w:val="00065034"/>
    <w:rsid w:val="0006509A"/>
    <w:rsid w:val="00066A93"/>
    <w:rsid w:val="00066D3A"/>
    <w:rsid w:val="000676FF"/>
    <w:rsid w:val="00070C78"/>
    <w:rsid w:val="000718B2"/>
    <w:rsid w:val="00073A1F"/>
    <w:rsid w:val="00075AD5"/>
    <w:rsid w:val="00075CF0"/>
    <w:rsid w:val="00077761"/>
    <w:rsid w:val="00077AA2"/>
    <w:rsid w:val="000805DA"/>
    <w:rsid w:val="000812EB"/>
    <w:rsid w:val="0008210A"/>
    <w:rsid w:val="00082232"/>
    <w:rsid w:val="0008280A"/>
    <w:rsid w:val="0008330B"/>
    <w:rsid w:val="00083AB6"/>
    <w:rsid w:val="0008507C"/>
    <w:rsid w:val="000850A3"/>
    <w:rsid w:val="000877D1"/>
    <w:rsid w:val="00090E4E"/>
    <w:rsid w:val="0009339A"/>
    <w:rsid w:val="00093D55"/>
    <w:rsid w:val="00093DCD"/>
    <w:rsid w:val="00093EB8"/>
    <w:rsid w:val="00095460"/>
    <w:rsid w:val="00095A3C"/>
    <w:rsid w:val="0009607D"/>
    <w:rsid w:val="000964F8"/>
    <w:rsid w:val="000A07D3"/>
    <w:rsid w:val="000A1163"/>
    <w:rsid w:val="000A24AE"/>
    <w:rsid w:val="000A2C68"/>
    <w:rsid w:val="000A2FC8"/>
    <w:rsid w:val="000A31BA"/>
    <w:rsid w:val="000A3E1E"/>
    <w:rsid w:val="000A4383"/>
    <w:rsid w:val="000A635E"/>
    <w:rsid w:val="000A71F1"/>
    <w:rsid w:val="000A737F"/>
    <w:rsid w:val="000A791C"/>
    <w:rsid w:val="000A79C9"/>
    <w:rsid w:val="000A7A8A"/>
    <w:rsid w:val="000A7FC4"/>
    <w:rsid w:val="000B20AE"/>
    <w:rsid w:val="000B70B1"/>
    <w:rsid w:val="000B7BC8"/>
    <w:rsid w:val="000C0B95"/>
    <w:rsid w:val="000C1C8D"/>
    <w:rsid w:val="000C2C96"/>
    <w:rsid w:val="000C30F7"/>
    <w:rsid w:val="000C4465"/>
    <w:rsid w:val="000C4D9F"/>
    <w:rsid w:val="000C5BAB"/>
    <w:rsid w:val="000C6BE9"/>
    <w:rsid w:val="000D06C9"/>
    <w:rsid w:val="000D09AB"/>
    <w:rsid w:val="000D3500"/>
    <w:rsid w:val="000D3659"/>
    <w:rsid w:val="000D466B"/>
    <w:rsid w:val="000D6114"/>
    <w:rsid w:val="000D62C1"/>
    <w:rsid w:val="000D6C39"/>
    <w:rsid w:val="000E1037"/>
    <w:rsid w:val="000E1E10"/>
    <w:rsid w:val="000E1ECA"/>
    <w:rsid w:val="000E2669"/>
    <w:rsid w:val="000E42D0"/>
    <w:rsid w:val="000E4714"/>
    <w:rsid w:val="000E5163"/>
    <w:rsid w:val="000E5748"/>
    <w:rsid w:val="000E6513"/>
    <w:rsid w:val="000E6636"/>
    <w:rsid w:val="000F0372"/>
    <w:rsid w:val="000F0EAD"/>
    <w:rsid w:val="000F1CBA"/>
    <w:rsid w:val="000F2468"/>
    <w:rsid w:val="000F3481"/>
    <w:rsid w:val="000F3807"/>
    <w:rsid w:val="000F4720"/>
    <w:rsid w:val="000F4D2E"/>
    <w:rsid w:val="000F5A64"/>
    <w:rsid w:val="000F6620"/>
    <w:rsid w:val="000F6B02"/>
    <w:rsid w:val="000F7D03"/>
    <w:rsid w:val="00101484"/>
    <w:rsid w:val="00102684"/>
    <w:rsid w:val="00102BBB"/>
    <w:rsid w:val="00103AE9"/>
    <w:rsid w:val="00103B97"/>
    <w:rsid w:val="00104068"/>
    <w:rsid w:val="001043E4"/>
    <w:rsid w:val="0010497F"/>
    <w:rsid w:val="0010545B"/>
    <w:rsid w:val="00105DA4"/>
    <w:rsid w:val="00105FB3"/>
    <w:rsid w:val="001067F4"/>
    <w:rsid w:val="00107333"/>
    <w:rsid w:val="00107993"/>
    <w:rsid w:val="001100A5"/>
    <w:rsid w:val="001107D5"/>
    <w:rsid w:val="00111C5E"/>
    <w:rsid w:val="00111EF4"/>
    <w:rsid w:val="0011263A"/>
    <w:rsid w:val="0011350E"/>
    <w:rsid w:val="00113686"/>
    <w:rsid w:val="00113CC1"/>
    <w:rsid w:val="00113DE5"/>
    <w:rsid w:val="001147E2"/>
    <w:rsid w:val="00114AE3"/>
    <w:rsid w:val="00117B7B"/>
    <w:rsid w:val="001200A0"/>
    <w:rsid w:val="00120757"/>
    <w:rsid w:val="00120EEB"/>
    <w:rsid w:val="0012148F"/>
    <w:rsid w:val="00121525"/>
    <w:rsid w:val="00121534"/>
    <w:rsid w:val="00122182"/>
    <w:rsid w:val="0012281B"/>
    <w:rsid w:val="00123D19"/>
    <w:rsid w:val="001253F4"/>
    <w:rsid w:val="001256D6"/>
    <w:rsid w:val="001258D6"/>
    <w:rsid w:val="0012705B"/>
    <w:rsid w:val="00127B2E"/>
    <w:rsid w:val="00127CD2"/>
    <w:rsid w:val="001307F5"/>
    <w:rsid w:val="00130944"/>
    <w:rsid w:val="00130F27"/>
    <w:rsid w:val="001339E2"/>
    <w:rsid w:val="00134186"/>
    <w:rsid w:val="001344C2"/>
    <w:rsid w:val="00134675"/>
    <w:rsid w:val="0013472A"/>
    <w:rsid w:val="0013528C"/>
    <w:rsid w:val="00140744"/>
    <w:rsid w:val="001419E5"/>
    <w:rsid w:val="0014249E"/>
    <w:rsid w:val="00144777"/>
    <w:rsid w:val="001448E3"/>
    <w:rsid w:val="00144A58"/>
    <w:rsid w:val="001454CA"/>
    <w:rsid w:val="00146D1C"/>
    <w:rsid w:val="00147909"/>
    <w:rsid w:val="00147E82"/>
    <w:rsid w:val="001513A2"/>
    <w:rsid w:val="001515F9"/>
    <w:rsid w:val="001518F2"/>
    <w:rsid w:val="0015261D"/>
    <w:rsid w:val="00153869"/>
    <w:rsid w:val="00153C65"/>
    <w:rsid w:val="00155650"/>
    <w:rsid w:val="001559B6"/>
    <w:rsid w:val="00156301"/>
    <w:rsid w:val="001565AB"/>
    <w:rsid w:val="0015769F"/>
    <w:rsid w:val="00160AEA"/>
    <w:rsid w:val="00160DF8"/>
    <w:rsid w:val="00162B69"/>
    <w:rsid w:val="001639B3"/>
    <w:rsid w:val="00163A10"/>
    <w:rsid w:val="00164115"/>
    <w:rsid w:val="00165A32"/>
    <w:rsid w:val="00165F74"/>
    <w:rsid w:val="00166790"/>
    <w:rsid w:val="00167BE4"/>
    <w:rsid w:val="0017111C"/>
    <w:rsid w:val="0017128E"/>
    <w:rsid w:val="00171721"/>
    <w:rsid w:val="001727CC"/>
    <w:rsid w:val="001741BB"/>
    <w:rsid w:val="00174A49"/>
    <w:rsid w:val="00174E81"/>
    <w:rsid w:val="0017545B"/>
    <w:rsid w:val="001755C7"/>
    <w:rsid w:val="00175B20"/>
    <w:rsid w:val="0018177A"/>
    <w:rsid w:val="001825DC"/>
    <w:rsid w:val="00182DEA"/>
    <w:rsid w:val="00183403"/>
    <w:rsid w:val="001837D6"/>
    <w:rsid w:val="0019035D"/>
    <w:rsid w:val="001908CB"/>
    <w:rsid w:val="001915D4"/>
    <w:rsid w:val="00191CE9"/>
    <w:rsid w:val="00191D96"/>
    <w:rsid w:val="00191E93"/>
    <w:rsid w:val="00191EBC"/>
    <w:rsid w:val="00192B2A"/>
    <w:rsid w:val="00193284"/>
    <w:rsid w:val="0019444E"/>
    <w:rsid w:val="001951C1"/>
    <w:rsid w:val="00195767"/>
    <w:rsid w:val="001971ED"/>
    <w:rsid w:val="001972B2"/>
    <w:rsid w:val="001A0BDC"/>
    <w:rsid w:val="001A12F5"/>
    <w:rsid w:val="001A1632"/>
    <w:rsid w:val="001A1ABA"/>
    <w:rsid w:val="001A2147"/>
    <w:rsid w:val="001A28C8"/>
    <w:rsid w:val="001A6E51"/>
    <w:rsid w:val="001A7599"/>
    <w:rsid w:val="001A78F3"/>
    <w:rsid w:val="001A7B58"/>
    <w:rsid w:val="001A7C7F"/>
    <w:rsid w:val="001B0799"/>
    <w:rsid w:val="001B0EB8"/>
    <w:rsid w:val="001B2572"/>
    <w:rsid w:val="001B2F6F"/>
    <w:rsid w:val="001B3240"/>
    <w:rsid w:val="001B4758"/>
    <w:rsid w:val="001B6825"/>
    <w:rsid w:val="001C0181"/>
    <w:rsid w:val="001C07A1"/>
    <w:rsid w:val="001C0881"/>
    <w:rsid w:val="001C1229"/>
    <w:rsid w:val="001C165F"/>
    <w:rsid w:val="001C3320"/>
    <w:rsid w:val="001C40E5"/>
    <w:rsid w:val="001C522D"/>
    <w:rsid w:val="001C55BB"/>
    <w:rsid w:val="001C70BA"/>
    <w:rsid w:val="001D085D"/>
    <w:rsid w:val="001D104A"/>
    <w:rsid w:val="001D13E2"/>
    <w:rsid w:val="001D1DF2"/>
    <w:rsid w:val="001D1F25"/>
    <w:rsid w:val="001D20FF"/>
    <w:rsid w:val="001D2FAA"/>
    <w:rsid w:val="001D36C0"/>
    <w:rsid w:val="001D3CE2"/>
    <w:rsid w:val="001D4567"/>
    <w:rsid w:val="001D4FB4"/>
    <w:rsid w:val="001D50FD"/>
    <w:rsid w:val="001D6B54"/>
    <w:rsid w:val="001D7500"/>
    <w:rsid w:val="001D7796"/>
    <w:rsid w:val="001E0611"/>
    <w:rsid w:val="001E1528"/>
    <w:rsid w:val="001E182F"/>
    <w:rsid w:val="001E3DF9"/>
    <w:rsid w:val="001E3E05"/>
    <w:rsid w:val="001E50F4"/>
    <w:rsid w:val="001E5520"/>
    <w:rsid w:val="001E55D9"/>
    <w:rsid w:val="001E60E2"/>
    <w:rsid w:val="001E69E1"/>
    <w:rsid w:val="001E6DC7"/>
    <w:rsid w:val="001E6E1D"/>
    <w:rsid w:val="001F0127"/>
    <w:rsid w:val="001F0B1A"/>
    <w:rsid w:val="001F27E7"/>
    <w:rsid w:val="001F2C09"/>
    <w:rsid w:val="001F2E33"/>
    <w:rsid w:val="001F3262"/>
    <w:rsid w:val="001F3891"/>
    <w:rsid w:val="001F4D1B"/>
    <w:rsid w:val="001F4ED2"/>
    <w:rsid w:val="001F5248"/>
    <w:rsid w:val="001F6014"/>
    <w:rsid w:val="001F659A"/>
    <w:rsid w:val="001F69E7"/>
    <w:rsid w:val="001F7009"/>
    <w:rsid w:val="001F72C4"/>
    <w:rsid w:val="001F7C00"/>
    <w:rsid w:val="001F7ED2"/>
    <w:rsid w:val="00200A92"/>
    <w:rsid w:val="00200B4D"/>
    <w:rsid w:val="00200C42"/>
    <w:rsid w:val="002011B1"/>
    <w:rsid w:val="00201D7E"/>
    <w:rsid w:val="00203292"/>
    <w:rsid w:val="00203DF3"/>
    <w:rsid w:val="002044E1"/>
    <w:rsid w:val="002047B0"/>
    <w:rsid w:val="002066F5"/>
    <w:rsid w:val="00206EB1"/>
    <w:rsid w:val="002076C6"/>
    <w:rsid w:val="0020773D"/>
    <w:rsid w:val="00211CA4"/>
    <w:rsid w:val="00212ECD"/>
    <w:rsid w:val="0021356C"/>
    <w:rsid w:val="0021375B"/>
    <w:rsid w:val="00215DCA"/>
    <w:rsid w:val="00216706"/>
    <w:rsid w:val="002176B9"/>
    <w:rsid w:val="002176E6"/>
    <w:rsid w:val="00220164"/>
    <w:rsid w:val="002211EF"/>
    <w:rsid w:val="00221D64"/>
    <w:rsid w:val="00221EF1"/>
    <w:rsid w:val="0022264A"/>
    <w:rsid w:val="00223697"/>
    <w:rsid w:val="002237B4"/>
    <w:rsid w:val="00224C0B"/>
    <w:rsid w:val="002251E4"/>
    <w:rsid w:val="0022521F"/>
    <w:rsid w:val="002259E9"/>
    <w:rsid w:val="002262AD"/>
    <w:rsid w:val="0022631D"/>
    <w:rsid w:val="00226B16"/>
    <w:rsid w:val="0022764D"/>
    <w:rsid w:val="00230ED9"/>
    <w:rsid w:val="00231546"/>
    <w:rsid w:val="002322F8"/>
    <w:rsid w:val="002335A5"/>
    <w:rsid w:val="0023427A"/>
    <w:rsid w:val="002356CB"/>
    <w:rsid w:val="0023633F"/>
    <w:rsid w:val="00237759"/>
    <w:rsid w:val="00237795"/>
    <w:rsid w:val="00237DFE"/>
    <w:rsid w:val="00237EFE"/>
    <w:rsid w:val="002414B0"/>
    <w:rsid w:val="00242ECE"/>
    <w:rsid w:val="00243989"/>
    <w:rsid w:val="00244872"/>
    <w:rsid w:val="0024487B"/>
    <w:rsid w:val="00244E93"/>
    <w:rsid w:val="002458E9"/>
    <w:rsid w:val="00251020"/>
    <w:rsid w:val="002511A6"/>
    <w:rsid w:val="00252368"/>
    <w:rsid w:val="00252849"/>
    <w:rsid w:val="002528EA"/>
    <w:rsid w:val="00253CF2"/>
    <w:rsid w:val="0025433B"/>
    <w:rsid w:val="00254712"/>
    <w:rsid w:val="002567A2"/>
    <w:rsid w:val="00256E9E"/>
    <w:rsid w:val="00257A5C"/>
    <w:rsid w:val="00257AAF"/>
    <w:rsid w:val="00260ABF"/>
    <w:rsid w:val="00261DBD"/>
    <w:rsid w:val="00262992"/>
    <w:rsid w:val="00263DAA"/>
    <w:rsid w:val="00263E51"/>
    <w:rsid w:val="00263EFB"/>
    <w:rsid w:val="002651C2"/>
    <w:rsid w:val="002658A7"/>
    <w:rsid w:val="00266EBA"/>
    <w:rsid w:val="00270EC8"/>
    <w:rsid w:val="00271665"/>
    <w:rsid w:val="00271E28"/>
    <w:rsid w:val="00272F50"/>
    <w:rsid w:val="0027413A"/>
    <w:rsid w:val="0027421A"/>
    <w:rsid w:val="00274DBA"/>
    <w:rsid w:val="00277DDD"/>
    <w:rsid w:val="00280A31"/>
    <w:rsid w:val="00281949"/>
    <w:rsid w:val="00282C86"/>
    <w:rsid w:val="00283D9E"/>
    <w:rsid w:val="00284941"/>
    <w:rsid w:val="002850DB"/>
    <w:rsid w:val="00285A98"/>
    <w:rsid w:val="00286E18"/>
    <w:rsid w:val="002919CE"/>
    <w:rsid w:val="00291F53"/>
    <w:rsid w:val="0029264A"/>
    <w:rsid w:val="002955C1"/>
    <w:rsid w:val="002962FA"/>
    <w:rsid w:val="002964DF"/>
    <w:rsid w:val="00296639"/>
    <w:rsid w:val="00296D51"/>
    <w:rsid w:val="00297A96"/>
    <w:rsid w:val="002A07FF"/>
    <w:rsid w:val="002A13EA"/>
    <w:rsid w:val="002A2626"/>
    <w:rsid w:val="002A26CB"/>
    <w:rsid w:val="002A27F7"/>
    <w:rsid w:val="002A5ADB"/>
    <w:rsid w:val="002A5B7F"/>
    <w:rsid w:val="002A5F77"/>
    <w:rsid w:val="002A6351"/>
    <w:rsid w:val="002A730B"/>
    <w:rsid w:val="002B0AD6"/>
    <w:rsid w:val="002B1EE1"/>
    <w:rsid w:val="002B2812"/>
    <w:rsid w:val="002B2BD3"/>
    <w:rsid w:val="002B2E03"/>
    <w:rsid w:val="002B3410"/>
    <w:rsid w:val="002B455E"/>
    <w:rsid w:val="002B4C0B"/>
    <w:rsid w:val="002B4E93"/>
    <w:rsid w:val="002B6606"/>
    <w:rsid w:val="002C100C"/>
    <w:rsid w:val="002C206C"/>
    <w:rsid w:val="002C2C85"/>
    <w:rsid w:val="002C45F1"/>
    <w:rsid w:val="002C4CF9"/>
    <w:rsid w:val="002C5DCC"/>
    <w:rsid w:val="002C64C1"/>
    <w:rsid w:val="002C6BBE"/>
    <w:rsid w:val="002C7F9D"/>
    <w:rsid w:val="002D0B07"/>
    <w:rsid w:val="002D1151"/>
    <w:rsid w:val="002D1A79"/>
    <w:rsid w:val="002D23A3"/>
    <w:rsid w:val="002D301B"/>
    <w:rsid w:val="002D3A58"/>
    <w:rsid w:val="002D3CF8"/>
    <w:rsid w:val="002D4A45"/>
    <w:rsid w:val="002D4B67"/>
    <w:rsid w:val="002D4F09"/>
    <w:rsid w:val="002D5ED9"/>
    <w:rsid w:val="002D630E"/>
    <w:rsid w:val="002D6BBB"/>
    <w:rsid w:val="002D6C5F"/>
    <w:rsid w:val="002D747E"/>
    <w:rsid w:val="002D7B18"/>
    <w:rsid w:val="002E1F1F"/>
    <w:rsid w:val="002E2871"/>
    <w:rsid w:val="002E2E66"/>
    <w:rsid w:val="002E3CED"/>
    <w:rsid w:val="002E3E8B"/>
    <w:rsid w:val="002E4B91"/>
    <w:rsid w:val="002E54FE"/>
    <w:rsid w:val="002E6BE9"/>
    <w:rsid w:val="002E72FA"/>
    <w:rsid w:val="002E7401"/>
    <w:rsid w:val="002E7640"/>
    <w:rsid w:val="002E7778"/>
    <w:rsid w:val="002F01D9"/>
    <w:rsid w:val="002F2BCC"/>
    <w:rsid w:val="002F2E1D"/>
    <w:rsid w:val="002F3621"/>
    <w:rsid w:val="002F6EC6"/>
    <w:rsid w:val="002F7F39"/>
    <w:rsid w:val="0030112E"/>
    <w:rsid w:val="003012C9"/>
    <w:rsid w:val="00301473"/>
    <w:rsid w:val="00301846"/>
    <w:rsid w:val="0030295A"/>
    <w:rsid w:val="00302AA5"/>
    <w:rsid w:val="00302CCC"/>
    <w:rsid w:val="00303345"/>
    <w:rsid w:val="003037EC"/>
    <w:rsid w:val="003051AF"/>
    <w:rsid w:val="003057C9"/>
    <w:rsid w:val="003064C0"/>
    <w:rsid w:val="003076FD"/>
    <w:rsid w:val="00311456"/>
    <w:rsid w:val="00311B9F"/>
    <w:rsid w:val="00314089"/>
    <w:rsid w:val="00314468"/>
    <w:rsid w:val="00314EBD"/>
    <w:rsid w:val="00315C44"/>
    <w:rsid w:val="003160F4"/>
    <w:rsid w:val="00322260"/>
    <w:rsid w:val="003226AB"/>
    <w:rsid w:val="0032474D"/>
    <w:rsid w:val="003300CE"/>
    <w:rsid w:val="00330AC6"/>
    <w:rsid w:val="00331971"/>
    <w:rsid w:val="0033289D"/>
    <w:rsid w:val="00332F21"/>
    <w:rsid w:val="003334C8"/>
    <w:rsid w:val="00333A25"/>
    <w:rsid w:val="0033489C"/>
    <w:rsid w:val="00334CED"/>
    <w:rsid w:val="00335778"/>
    <w:rsid w:val="00336BAB"/>
    <w:rsid w:val="00337229"/>
    <w:rsid w:val="00337308"/>
    <w:rsid w:val="00340279"/>
    <w:rsid w:val="00341877"/>
    <w:rsid w:val="003419D9"/>
    <w:rsid w:val="0034312A"/>
    <w:rsid w:val="00343C36"/>
    <w:rsid w:val="00343C55"/>
    <w:rsid w:val="00343F87"/>
    <w:rsid w:val="00344AAD"/>
    <w:rsid w:val="00344DB7"/>
    <w:rsid w:val="00345224"/>
    <w:rsid w:val="00346D99"/>
    <w:rsid w:val="0034715B"/>
    <w:rsid w:val="0034783B"/>
    <w:rsid w:val="003508F4"/>
    <w:rsid w:val="00350C08"/>
    <w:rsid w:val="0035116E"/>
    <w:rsid w:val="00351373"/>
    <w:rsid w:val="003532B4"/>
    <w:rsid w:val="003560AE"/>
    <w:rsid w:val="00356261"/>
    <w:rsid w:val="00360807"/>
    <w:rsid w:val="0036144E"/>
    <w:rsid w:val="00362BA2"/>
    <w:rsid w:val="00364551"/>
    <w:rsid w:val="00365777"/>
    <w:rsid w:val="00365E9C"/>
    <w:rsid w:val="00366CA4"/>
    <w:rsid w:val="00370540"/>
    <w:rsid w:val="00372895"/>
    <w:rsid w:val="00372C8D"/>
    <w:rsid w:val="00373F43"/>
    <w:rsid w:val="00376677"/>
    <w:rsid w:val="003774E3"/>
    <w:rsid w:val="00377EEB"/>
    <w:rsid w:val="00380AD3"/>
    <w:rsid w:val="003817FF"/>
    <w:rsid w:val="0038265A"/>
    <w:rsid w:val="00382874"/>
    <w:rsid w:val="0038303E"/>
    <w:rsid w:val="00383A3E"/>
    <w:rsid w:val="00384066"/>
    <w:rsid w:val="0038640D"/>
    <w:rsid w:val="00387857"/>
    <w:rsid w:val="00387F38"/>
    <w:rsid w:val="00391021"/>
    <w:rsid w:val="00391590"/>
    <w:rsid w:val="0039201F"/>
    <w:rsid w:val="003940EF"/>
    <w:rsid w:val="00395375"/>
    <w:rsid w:val="003955FF"/>
    <w:rsid w:val="00395922"/>
    <w:rsid w:val="00397234"/>
    <w:rsid w:val="003A1B70"/>
    <w:rsid w:val="003A1E65"/>
    <w:rsid w:val="003A4D61"/>
    <w:rsid w:val="003A4FFB"/>
    <w:rsid w:val="003A520B"/>
    <w:rsid w:val="003A6484"/>
    <w:rsid w:val="003A69FF"/>
    <w:rsid w:val="003A6E30"/>
    <w:rsid w:val="003B189E"/>
    <w:rsid w:val="003B1D05"/>
    <w:rsid w:val="003B1D80"/>
    <w:rsid w:val="003B31D1"/>
    <w:rsid w:val="003B391D"/>
    <w:rsid w:val="003B4ABE"/>
    <w:rsid w:val="003B7997"/>
    <w:rsid w:val="003B79CA"/>
    <w:rsid w:val="003B7FE6"/>
    <w:rsid w:val="003C01C0"/>
    <w:rsid w:val="003C0B68"/>
    <w:rsid w:val="003C102D"/>
    <w:rsid w:val="003C177C"/>
    <w:rsid w:val="003C2E21"/>
    <w:rsid w:val="003C380D"/>
    <w:rsid w:val="003C3E1F"/>
    <w:rsid w:val="003C6D25"/>
    <w:rsid w:val="003C7FC1"/>
    <w:rsid w:val="003D00E0"/>
    <w:rsid w:val="003D1818"/>
    <w:rsid w:val="003D1DA9"/>
    <w:rsid w:val="003D1EDC"/>
    <w:rsid w:val="003D3CD4"/>
    <w:rsid w:val="003D4C56"/>
    <w:rsid w:val="003D4DD3"/>
    <w:rsid w:val="003D5DF0"/>
    <w:rsid w:val="003D7ED4"/>
    <w:rsid w:val="003D7FD2"/>
    <w:rsid w:val="003E0637"/>
    <w:rsid w:val="003E221C"/>
    <w:rsid w:val="003E2297"/>
    <w:rsid w:val="003E2525"/>
    <w:rsid w:val="003E31A7"/>
    <w:rsid w:val="003E32C2"/>
    <w:rsid w:val="003E3355"/>
    <w:rsid w:val="003E35C5"/>
    <w:rsid w:val="003E38D1"/>
    <w:rsid w:val="003E59CF"/>
    <w:rsid w:val="003E632D"/>
    <w:rsid w:val="003E7304"/>
    <w:rsid w:val="003E77FC"/>
    <w:rsid w:val="003F07EB"/>
    <w:rsid w:val="003F0847"/>
    <w:rsid w:val="003F47D4"/>
    <w:rsid w:val="003F59D9"/>
    <w:rsid w:val="003F5C1B"/>
    <w:rsid w:val="003F617A"/>
    <w:rsid w:val="003F6A30"/>
    <w:rsid w:val="003F788E"/>
    <w:rsid w:val="003F7900"/>
    <w:rsid w:val="00401870"/>
    <w:rsid w:val="00401D2B"/>
    <w:rsid w:val="00402350"/>
    <w:rsid w:val="004057C1"/>
    <w:rsid w:val="00405E97"/>
    <w:rsid w:val="004062ED"/>
    <w:rsid w:val="00407381"/>
    <w:rsid w:val="00410445"/>
    <w:rsid w:val="00410C94"/>
    <w:rsid w:val="00411BB5"/>
    <w:rsid w:val="00411D52"/>
    <w:rsid w:val="00412976"/>
    <w:rsid w:val="0041494D"/>
    <w:rsid w:val="004158B2"/>
    <w:rsid w:val="00415FF7"/>
    <w:rsid w:val="00416019"/>
    <w:rsid w:val="00416403"/>
    <w:rsid w:val="00417D74"/>
    <w:rsid w:val="00417D78"/>
    <w:rsid w:val="00417E08"/>
    <w:rsid w:val="004212FC"/>
    <w:rsid w:val="004217FA"/>
    <w:rsid w:val="004220A4"/>
    <w:rsid w:val="004222A2"/>
    <w:rsid w:val="00423152"/>
    <w:rsid w:val="00425ECD"/>
    <w:rsid w:val="00426DC0"/>
    <w:rsid w:val="00427B75"/>
    <w:rsid w:val="004300E7"/>
    <w:rsid w:val="00430693"/>
    <w:rsid w:val="0043107F"/>
    <w:rsid w:val="004315F2"/>
    <w:rsid w:val="004318C1"/>
    <w:rsid w:val="004336A6"/>
    <w:rsid w:val="00434A0D"/>
    <w:rsid w:val="00434B41"/>
    <w:rsid w:val="00435C79"/>
    <w:rsid w:val="00436B67"/>
    <w:rsid w:val="00436BEB"/>
    <w:rsid w:val="00437A6B"/>
    <w:rsid w:val="004412E9"/>
    <w:rsid w:val="004427CC"/>
    <w:rsid w:val="0044344C"/>
    <w:rsid w:val="00445889"/>
    <w:rsid w:val="004462B2"/>
    <w:rsid w:val="00447C01"/>
    <w:rsid w:val="00447D2A"/>
    <w:rsid w:val="004502CA"/>
    <w:rsid w:val="0045079F"/>
    <w:rsid w:val="00450D48"/>
    <w:rsid w:val="00453CE2"/>
    <w:rsid w:val="00456230"/>
    <w:rsid w:val="00456DD7"/>
    <w:rsid w:val="004573D2"/>
    <w:rsid w:val="004607BE"/>
    <w:rsid w:val="00460ACE"/>
    <w:rsid w:val="00460E3C"/>
    <w:rsid w:val="004621C1"/>
    <w:rsid w:val="00467143"/>
    <w:rsid w:val="00467ACD"/>
    <w:rsid w:val="00467F84"/>
    <w:rsid w:val="004700D0"/>
    <w:rsid w:val="004701E7"/>
    <w:rsid w:val="00471037"/>
    <w:rsid w:val="00471635"/>
    <w:rsid w:val="00472DB8"/>
    <w:rsid w:val="00472DE8"/>
    <w:rsid w:val="00473B82"/>
    <w:rsid w:val="00473F70"/>
    <w:rsid w:val="00474633"/>
    <w:rsid w:val="004750EF"/>
    <w:rsid w:val="00475439"/>
    <w:rsid w:val="00476544"/>
    <w:rsid w:val="00477E2F"/>
    <w:rsid w:val="0048039B"/>
    <w:rsid w:val="004806E6"/>
    <w:rsid w:val="00481907"/>
    <w:rsid w:val="00482403"/>
    <w:rsid w:val="00482E6D"/>
    <w:rsid w:val="0048306A"/>
    <w:rsid w:val="004830E1"/>
    <w:rsid w:val="00483386"/>
    <w:rsid w:val="00483533"/>
    <w:rsid w:val="00486074"/>
    <w:rsid w:val="00487AEE"/>
    <w:rsid w:val="0049010D"/>
    <w:rsid w:val="00491720"/>
    <w:rsid w:val="004930AB"/>
    <w:rsid w:val="004940D4"/>
    <w:rsid w:val="00496473"/>
    <w:rsid w:val="004A114C"/>
    <w:rsid w:val="004A140A"/>
    <w:rsid w:val="004A2E89"/>
    <w:rsid w:val="004A5476"/>
    <w:rsid w:val="004A6C31"/>
    <w:rsid w:val="004A7F07"/>
    <w:rsid w:val="004A7F0D"/>
    <w:rsid w:val="004B006A"/>
    <w:rsid w:val="004B0C2B"/>
    <w:rsid w:val="004B267F"/>
    <w:rsid w:val="004B299B"/>
    <w:rsid w:val="004B3E6C"/>
    <w:rsid w:val="004B49F1"/>
    <w:rsid w:val="004B7619"/>
    <w:rsid w:val="004B7B18"/>
    <w:rsid w:val="004C27C9"/>
    <w:rsid w:val="004C2FDB"/>
    <w:rsid w:val="004C3700"/>
    <w:rsid w:val="004C43DA"/>
    <w:rsid w:val="004C4605"/>
    <w:rsid w:val="004C47A9"/>
    <w:rsid w:val="004D11E5"/>
    <w:rsid w:val="004D2794"/>
    <w:rsid w:val="004D3AB8"/>
    <w:rsid w:val="004D4EE2"/>
    <w:rsid w:val="004D66AD"/>
    <w:rsid w:val="004D793A"/>
    <w:rsid w:val="004E1B80"/>
    <w:rsid w:val="004E2FB8"/>
    <w:rsid w:val="004E432F"/>
    <w:rsid w:val="004E4398"/>
    <w:rsid w:val="004E4D21"/>
    <w:rsid w:val="004E59A0"/>
    <w:rsid w:val="004E5BCC"/>
    <w:rsid w:val="004E5C31"/>
    <w:rsid w:val="004E6B93"/>
    <w:rsid w:val="004E79D9"/>
    <w:rsid w:val="004E7B18"/>
    <w:rsid w:val="004F056E"/>
    <w:rsid w:val="004F093C"/>
    <w:rsid w:val="004F23EB"/>
    <w:rsid w:val="004F2BB0"/>
    <w:rsid w:val="004F5DC8"/>
    <w:rsid w:val="004F7BEA"/>
    <w:rsid w:val="005002B7"/>
    <w:rsid w:val="00500D9C"/>
    <w:rsid w:val="0050174F"/>
    <w:rsid w:val="005020C4"/>
    <w:rsid w:val="00502596"/>
    <w:rsid w:val="00502D10"/>
    <w:rsid w:val="00503497"/>
    <w:rsid w:val="00505F0B"/>
    <w:rsid w:val="00506662"/>
    <w:rsid w:val="00510D4E"/>
    <w:rsid w:val="00511B4D"/>
    <w:rsid w:val="005125B0"/>
    <w:rsid w:val="00513144"/>
    <w:rsid w:val="005137F2"/>
    <w:rsid w:val="00514FBE"/>
    <w:rsid w:val="005161D6"/>
    <w:rsid w:val="00516AC2"/>
    <w:rsid w:val="0052149D"/>
    <w:rsid w:val="00522235"/>
    <w:rsid w:val="0052323E"/>
    <w:rsid w:val="00526464"/>
    <w:rsid w:val="00530449"/>
    <w:rsid w:val="0053089E"/>
    <w:rsid w:val="0053103D"/>
    <w:rsid w:val="00531665"/>
    <w:rsid w:val="00531DDD"/>
    <w:rsid w:val="00532877"/>
    <w:rsid w:val="00533E6D"/>
    <w:rsid w:val="00534DC0"/>
    <w:rsid w:val="0053553C"/>
    <w:rsid w:val="005368CD"/>
    <w:rsid w:val="00536BB6"/>
    <w:rsid w:val="00537794"/>
    <w:rsid w:val="0053783B"/>
    <w:rsid w:val="00537951"/>
    <w:rsid w:val="00537AEC"/>
    <w:rsid w:val="00540821"/>
    <w:rsid w:val="005413D9"/>
    <w:rsid w:val="00542259"/>
    <w:rsid w:val="00542591"/>
    <w:rsid w:val="00542618"/>
    <w:rsid w:val="00542D8D"/>
    <w:rsid w:val="00542EB8"/>
    <w:rsid w:val="00542F4B"/>
    <w:rsid w:val="00543584"/>
    <w:rsid w:val="005445CE"/>
    <w:rsid w:val="0054628A"/>
    <w:rsid w:val="005463BB"/>
    <w:rsid w:val="00547009"/>
    <w:rsid w:val="00547985"/>
    <w:rsid w:val="00547A1C"/>
    <w:rsid w:val="005502C9"/>
    <w:rsid w:val="0055059C"/>
    <w:rsid w:val="00550636"/>
    <w:rsid w:val="005506C6"/>
    <w:rsid w:val="0055135E"/>
    <w:rsid w:val="00551D75"/>
    <w:rsid w:val="00552AE0"/>
    <w:rsid w:val="00553C66"/>
    <w:rsid w:val="0055424A"/>
    <w:rsid w:val="00554904"/>
    <w:rsid w:val="005568E4"/>
    <w:rsid w:val="00556D14"/>
    <w:rsid w:val="00561058"/>
    <w:rsid w:val="0056167F"/>
    <w:rsid w:val="00561999"/>
    <w:rsid w:val="00561CC5"/>
    <w:rsid w:val="00562716"/>
    <w:rsid w:val="005629E7"/>
    <w:rsid w:val="00562C85"/>
    <w:rsid w:val="00562FCA"/>
    <w:rsid w:val="00564263"/>
    <w:rsid w:val="0056580A"/>
    <w:rsid w:val="00565A21"/>
    <w:rsid w:val="005662A6"/>
    <w:rsid w:val="00567492"/>
    <w:rsid w:val="00567F8B"/>
    <w:rsid w:val="00570F94"/>
    <w:rsid w:val="00571ED1"/>
    <w:rsid w:val="0057200A"/>
    <w:rsid w:val="00575166"/>
    <w:rsid w:val="005762E1"/>
    <w:rsid w:val="00576F0C"/>
    <w:rsid w:val="00577720"/>
    <w:rsid w:val="00580F75"/>
    <w:rsid w:val="0058232E"/>
    <w:rsid w:val="005833C7"/>
    <w:rsid w:val="005853B3"/>
    <w:rsid w:val="00585452"/>
    <w:rsid w:val="005900CD"/>
    <w:rsid w:val="00590228"/>
    <w:rsid w:val="00590F1A"/>
    <w:rsid w:val="00591380"/>
    <w:rsid w:val="00591CB0"/>
    <w:rsid w:val="00593364"/>
    <w:rsid w:val="00593B2B"/>
    <w:rsid w:val="00594D66"/>
    <w:rsid w:val="0059537F"/>
    <w:rsid w:val="0059722F"/>
    <w:rsid w:val="005A1029"/>
    <w:rsid w:val="005A1256"/>
    <w:rsid w:val="005A185B"/>
    <w:rsid w:val="005A1A5A"/>
    <w:rsid w:val="005A2255"/>
    <w:rsid w:val="005A22D2"/>
    <w:rsid w:val="005A27D0"/>
    <w:rsid w:val="005A34AD"/>
    <w:rsid w:val="005A3BD8"/>
    <w:rsid w:val="005A5CA5"/>
    <w:rsid w:val="005A66AF"/>
    <w:rsid w:val="005A7A2E"/>
    <w:rsid w:val="005A7BE5"/>
    <w:rsid w:val="005B0AFD"/>
    <w:rsid w:val="005B137A"/>
    <w:rsid w:val="005B1ECF"/>
    <w:rsid w:val="005B2AE2"/>
    <w:rsid w:val="005B3A1B"/>
    <w:rsid w:val="005B47F5"/>
    <w:rsid w:val="005B4BF7"/>
    <w:rsid w:val="005B5501"/>
    <w:rsid w:val="005B5665"/>
    <w:rsid w:val="005B64E1"/>
    <w:rsid w:val="005B6CB0"/>
    <w:rsid w:val="005C07BF"/>
    <w:rsid w:val="005C07D2"/>
    <w:rsid w:val="005C16AA"/>
    <w:rsid w:val="005C318C"/>
    <w:rsid w:val="005C3FCE"/>
    <w:rsid w:val="005C5817"/>
    <w:rsid w:val="005C6163"/>
    <w:rsid w:val="005C61AC"/>
    <w:rsid w:val="005C6301"/>
    <w:rsid w:val="005C7523"/>
    <w:rsid w:val="005C78B5"/>
    <w:rsid w:val="005D214D"/>
    <w:rsid w:val="005D4DC9"/>
    <w:rsid w:val="005D6A6F"/>
    <w:rsid w:val="005D6C48"/>
    <w:rsid w:val="005E04F5"/>
    <w:rsid w:val="005E06BC"/>
    <w:rsid w:val="005E0BF8"/>
    <w:rsid w:val="005E1133"/>
    <w:rsid w:val="005E1DC1"/>
    <w:rsid w:val="005E3FD1"/>
    <w:rsid w:val="005E4450"/>
    <w:rsid w:val="005E63D1"/>
    <w:rsid w:val="005E7C52"/>
    <w:rsid w:val="005F0266"/>
    <w:rsid w:val="005F1482"/>
    <w:rsid w:val="005F2435"/>
    <w:rsid w:val="005F245D"/>
    <w:rsid w:val="005F4276"/>
    <w:rsid w:val="005F4414"/>
    <w:rsid w:val="005F45E0"/>
    <w:rsid w:val="005F60FA"/>
    <w:rsid w:val="005F6F93"/>
    <w:rsid w:val="005F726F"/>
    <w:rsid w:val="005F77DF"/>
    <w:rsid w:val="005F7C06"/>
    <w:rsid w:val="005F7ED2"/>
    <w:rsid w:val="0060069D"/>
    <w:rsid w:val="006008A1"/>
    <w:rsid w:val="00600DE6"/>
    <w:rsid w:val="00602336"/>
    <w:rsid w:val="006024CB"/>
    <w:rsid w:val="00603CE8"/>
    <w:rsid w:val="006040F4"/>
    <w:rsid w:val="00604180"/>
    <w:rsid w:val="00604613"/>
    <w:rsid w:val="00605557"/>
    <w:rsid w:val="006078F2"/>
    <w:rsid w:val="006079F8"/>
    <w:rsid w:val="0061145E"/>
    <w:rsid w:val="00611500"/>
    <w:rsid w:val="00611CFE"/>
    <w:rsid w:val="00611D36"/>
    <w:rsid w:val="00612649"/>
    <w:rsid w:val="00614627"/>
    <w:rsid w:val="00616130"/>
    <w:rsid w:val="00616856"/>
    <w:rsid w:val="006170E3"/>
    <w:rsid w:val="00617734"/>
    <w:rsid w:val="0062040F"/>
    <w:rsid w:val="006206EE"/>
    <w:rsid w:val="0062226A"/>
    <w:rsid w:val="006222B2"/>
    <w:rsid w:val="00622789"/>
    <w:rsid w:val="00622C55"/>
    <w:rsid w:val="00622DE5"/>
    <w:rsid w:val="0062477B"/>
    <w:rsid w:val="006252FE"/>
    <w:rsid w:val="00625468"/>
    <w:rsid w:val="00625968"/>
    <w:rsid w:val="00625C34"/>
    <w:rsid w:val="00625FC7"/>
    <w:rsid w:val="00625FD5"/>
    <w:rsid w:val="006268D8"/>
    <w:rsid w:val="00627337"/>
    <w:rsid w:val="00627B32"/>
    <w:rsid w:val="006304A5"/>
    <w:rsid w:val="00630EA6"/>
    <w:rsid w:val="0063188F"/>
    <w:rsid w:val="00635021"/>
    <w:rsid w:val="00635482"/>
    <w:rsid w:val="00635F89"/>
    <w:rsid w:val="00636431"/>
    <w:rsid w:val="006368DA"/>
    <w:rsid w:val="0063763F"/>
    <w:rsid w:val="00641321"/>
    <w:rsid w:val="006413EA"/>
    <w:rsid w:val="00642DF2"/>
    <w:rsid w:val="006430AB"/>
    <w:rsid w:val="00643815"/>
    <w:rsid w:val="00644D19"/>
    <w:rsid w:val="006473B9"/>
    <w:rsid w:val="006511EB"/>
    <w:rsid w:val="006525C0"/>
    <w:rsid w:val="0065292F"/>
    <w:rsid w:val="00653965"/>
    <w:rsid w:val="00656DBE"/>
    <w:rsid w:val="00660438"/>
    <w:rsid w:val="006619FE"/>
    <w:rsid w:val="006641C7"/>
    <w:rsid w:val="00666526"/>
    <w:rsid w:val="00670213"/>
    <w:rsid w:val="00670F42"/>
    <w:rsid w:val="0067163C"/>
    <w:rsid w:val="00671862"/>
    <w:rsid w:val="006725A8"/>
    <w:rsid w:val="0067399B"/>
    <w:rsid w:val="00673B48"/>
    <w:rsid w:val="006741B0"/>
    <w:rsid w:val="00675193"/>
    <w:rsid w:val="00675789"/>
    <w:rsid w:val="00675B68"/>
    <w:rsid w:val="006760A8"/>
    <w:rsid w:val="006769DE"/>
    <w:rsid w:val="00680B63"/>
    <w:rsid w:val="00681239"/>
    <w:rsid w:val="00683733"/>
    <w:rsid w:val="006839BE"/>
    <w:rsid w:val="00684340"/>
    <w:rsid w:val="006845A4"/>
    <w:rsid w:val="00687E5C"/>
    <w:rsid w:val="006908D7"/>
    <w:rsid w:val="0069245E"/>
    <w:rsid w:val="006928D2"/>
    <w:rsid w:val="00693FF1"/>
    <w:rsid w:val="0069486D"/>
    <w:rsid w:val="00695572"/>
    <w:rsid w:val="00695B4E"/>
    <w:rsid w:val="00695F10"/>
    <w:rsid w:val="00696404"/>
    <w:rsid w:val="00697F47"/>
    <w:rsid w:val="006A0182"/>
    <w:rsid w:val="006A042D"/>
    <w:rsid w:val="006A05E2"/>
    <w:rsid w:val="006A18EF"/>
    <w:rsid w:val="006A29E0"/>
    <w:rsid w:val="006A2CAF"/>
    <w:rsid w:val="006A2E6C"/>
    <w:rsid w:val="006A36E8"/>
    <w:rsid w:val="006A4A8E"/>
    <w:rsid w:val="006A66F0"/>
    <w:rsid w:val="006A67C6"/>
    <w:rsid w:val="006A6969"/>
    <w:rsid w:val="006A70FE"/>
    <w:rsid w:val="006A7204"/>
    <w:rsid w:val="006A7F83"/>
    <w:rsid w:val="006B0D54"/>
    <w:rsid w:val="006B16FC"/>
    <w:rsid w:val="006B228D"/>
    <w:rsid w:val="006B2713"/>
    <w:rsid w:val="006B5836"/>
    <w:rsid w:val="006B63F0"/>
    <w:rsid w:val="006B67C9"/>
    <w:rsid w:val="006B6F38"/>
    <w:rsid w:val="006C1492"/>
    <w:rsid w:val="006C25DA"/>
    <w:rsid w:val="006C2B4A"/>
    <w:rsid w:val="006C2D70"/>
    <w:rsid w:val="006C2DD0"/>
    <w:rsid w:val="006C3264"/>
    <w:rsid w:val="006C509B"/>
    <w:rsid w:val="006C54CE"/>
    <w:rsid w:val="006C5CE6"/>
    <w:rsid w:val="006C6070"/>
    <w:rsid w:val="006D02C8"/>
    <w:rsid w:val="006D0E62"/>
    <w:rsid w:val="006D1FB5"/>
    <w:rsid w:val="006D2F34"/>
    <w:rsid w:val="006D3E32"/>
    <w:rsid w:val="006D5525"/>
    <w:rsid w:val="006D63DF"/>
    <w:rsid w:val="006D6A75"/>
    <w:rsid w:val="006E0861"/>
    <w:rsid w:val="006E137B"/>
    <w:rsid w:val="006E153F"/>
    <w:rsid w:val="006E1C00"/>
    <w:rsid w:val="006E247D"/>
    <w:rsid w:val="006E358F"/>
    <w:rsid w:val="006E4471"/>
    <w:rsid w:val="006E6723"/>
    <w:rsid w:val="006E6B01"/>
    <w:rsid w:val="006E6E29"/>
    <w:rsid w:val="006E78B5"/>
    <w:rsid w:val="006F07E5"/>
    <w:rsid w:val="006F14E7"/>
    <w:rsid w:val="006F2976"/>
    <w:rsid w:val="006F50C2"/>
    <w:rsid w:val="006F5226"/>
    <w:rsid w:val="006F74CF"/>
    <w:rsid w:val="00702037"/>
    <w:rsid w:val="0070359C"/>
    <w:rsid w:val="00703894"/>
    <w:rsid w:val="0070501E"/>
    <w:rsid w:val="00705EA4"/>
    <w:rsid w:val="00706A63"/>
    <w:rsid w:val="00707C0A"/>
    <w:rsid w:val="00710162"/>
    <w:rsid w:val="00710ED1"/>
    <w:rsid w:val="00711742"/>
    <w:rsid w:val="007150B8"/>
    <w:rsid w:val="007161D0"/>
    <w:rsid w:val="007178FE"/>
    <w:rsid w:val="00717922"/>
    <w:rsid w:val="00717F9F"/>
    <w:rsid w:val="00720367"/>
    <w:rsid w:val="0072153B"/>
    <w:rsid w:val="0072156C"/>
    <w:rsid w:val="00721671"/>
    <w:rsid w:val="00721D7E"/>
    <w:rsid w:val="00723C46"/>
    <w:rsid w:val="00723FFF"/>
    <w:rsid w:val="00724108"/>
    <w:rsid w:val="0072442F"/>
    <w:rsid w:val="00724A15"/>
    <w:rsid w:val="00726C0E"/>
    <w:rsid w:val="0073054A"/>
    <w:rsid w:val="007326C6"/>
    <w:rsid w:val="007338E1"/>
    <w:rsid w:val="00733B07"/>
    <w:rsid w:val="00736096"/>
    <w:rsid w:val="0073609A"/>
    <w:rsid w:val="007364A7"/>
    <w:rsid w:val="00741E0C"/>
    <w:rsid w:val="007421D0"/>
    <w:rsid w:val="00743EA2"/>
    <w:rsid w:val="0074453A"/>
    <w:rsid w:val="00744F68"/>
    <w:rsid w:val="00745265"/>
    <w:rsid w:val="00746519"/>
    <w:rsid w:val="0074664A"/>
    <w:rsid w:val="007467EF"/>
    <w:rsid w:val="00746BB2"/>
    <w:rsid w:val="00746D79"/>
    <w:rsid w:val="007475BE"/>
    <w:rsid w:val="00747C3D"/>
    <w:rsid w:val="00751198"/>
    <w:rsid w:val="00751CA6"/>
    <w:rsid w:val="00752767"/>
    <w:rsid w:val="00754913"/>
    <w:rsid w:val="00754A10"/>
    <w:rsid w:val="00754A95"/>
    <w:rsid w:val="007563D2"/>
    <w:rsid w:val="00756840"/>
    <w:rsid w:val="00756935"/>
    <w:rsid w:val="007574F4"/>
    <w:rsid w:val="00760165"/>
    <w:rsid w:val="00760476"/>
    <w:rsid w:val="007609B1"/>
    <w:rsid w:val="007609E0"/>
    <w:rsid w:val="0076104D"/>
    <w:rsid w:val="0076127D"/>
    <w:rsid w:val="0076135D"/>
    <w:rsid w:val="007616AB"/>
    <w:rsid w:val="00761DA0"/>
    <w:rsid w:val="00762EFC"/>
    <w:rsid w:val="00763042"/>
    <w:rsid w:val="007649A3"/>
    <w:rsid w:val="00770BAA"/>
    <w:rsid w:val="00771AEE"/>
    <w:rsid w:val="00772099"/>
    <w:rsid w:val="0077454A"/>
    <w:rsid w:val="00774648"/>
    <w:rsid w:val="007760F2"/>
    <w:rsid w:val="0077677C"/>
    <w:rsid w:val="00777632"/>
    <w:rsid w:val="007808EB"/>
    <w:rsid w:val="007810B5"/>
    <w:rsid w:val="00782057"/>
    <w:rsid w:val="007823C0"/>
    <w:rsid w:val="00782D10"/>
    <w:rsid w:val="00783363"/>
    <w:rsid w:val="007854AF"/>
    <w:rsid w:val="0078626A"/>
    <w:rsid w:val="00786D88"/>
    <w:rsid w:val="007902C2"/>
    <w:rsid w:val="0079156F"/>
    <w:rsid w:val="00793C05"/>
    <w:rsid w:val="00794BBB"/>
    <w:rsid w:val="0079650C"/>
    <w:rsid w:val="00797B07"/>
    <w:rsid w:val="00797C81"/>
    <w:rsid w:val="00797DA6"/>
    <w:rsid w:val="007A09A6"/>
    <w:rsid w:val="007A2467"/>
    <w:rsid w:val="007A25C5"/>
    <w:rsid w:val="007A2915"/>
    <w:rsid w:val="007A435B"/>
    <w:rsid w:val="007A5386"/>
    <w:rsid w:val="007A5A49"/>
    <w:rsid w:val="007B0FBC"/>
    <w:rsid w:val="007B1D31"/>
    <w:rsid w:val="007B4855"/>
    <w:rsid w:val="007B4A83"/>
    <w:rsid w:val="007B5390"/>
    <w:rsid w:val="007B55C2"/>
    <w:rsid w:val="007B5F01"/>
    <w:rsid w:val="007B6CCE"/>
    <w:rsid w:val="007C2CBE"/>
    <w:rsid w:val="007C3FC6"/>
    <w:rsid w:val="007C4810"/>
    <w:rsid w:val="007C5357"/>
    <w:rsid w:val="007C610F"/>
    <w:rsid w:val="007C6A89"/>
    <w:rsid w:val="007C7214"/>
    <w:rsid w:val="007D387B"/>
    <w:rsid w:val="007D3A7F"/>
    <w:rsid w:val="007D43A8"/>
    <w:rsid w:val="007D55D3"/>
    <w:rsid w:val="007D5B96"/>
    <w:rsid w:val="007D6D3A"/>
    <w:rsid w:val="007D70FC"/>
    <w:rsid w:val="007E00A3"/>
    <w:rsid w:val="007E0BF0"/>
    <w:rsid w:val="007E14F4"/>
    <w:rsid w:val="007E2C10"/>
    <w:rsid w:val="007E3A6A"/>
    <w:rsid w:val="007E406F"/>
    <w:rsid w:val="007E55C0"/>
    <w:rsid w:val="007E5B5A"/>
    <w:rsid w:val="007E5FCF"/>
    <w:rsid w:val="007E680D"/>
    <w:rsid w:val="007E7102"/>
    <w:rsid w:val="007E7756"/>
    <w:rsid w:val="007F2456"/>
    <w:rsid w:val="007F267A"/>
    <w:rsid w:val="007F4615"/>
    <w:rsid w:val="007F5D3F"/>
    <w:rsid w:val="0080105B"/>
    <w:rsid w:val="0080212F"/>
    <w:rsid w:val="00804184"/>
    <w:rsid w:val="008054FF"/>
    <w:rsid w:val="00807524"/>
    <w:rsid w:val="0081002E"/>
    <w:rsid w:val="00810557"/>
    <w:rsid w:val="00810E83"/>
    <w:rsid w:val="00811F04"/>
    <w:rsid w:val="008129FC"/>
    <w:rsid w:val="00812EC7"/>
    <w:rsid w:val="008130E6"/>
    <w:rsid w:val="00815253"/>
    <w:rsid w:val="00815BF6"/>
    <w:rsid w:val="0081746A"/>
    <w:rsid w:val="0082030E"/>
    <w:rsid w:val="008218D9"/>
    <w:rsid w:val="00823102"/>
    <w:rsid w:val="00823ABF"/>
    <w:rsid w:val="00823B1E"/>
    <w:rsid w:val="008240C6"/>
    <w:rsid w:val="00831880"/>
    <w:rsid w:val="00832469"/>
    <w:rsid w:val="0083310E"/>
    <w:rsid w:val="00833836"/>
    <w:rsid w:val="00833D62"/>
    <w:rsid w:val="008341CE"/>
    <w:rsid w:val="008363B6"/>
    <w:rsid w:val="00836626"/>
    <w:rsid w:val="00841F90"/>
    <w:rsid w:val="00842933"/>
    <w:rsid w:val="00842A12"/>
    <w:rsid w:val="00843027"/>
    <w:rsid w:val="00843126"/>
    <w:rsid w:val="00843519"/>
    <w:rsid w:val="0084356B"/>
    <w:rsid w:val="00844E45"/>
    <w:rsid w:val="00844E5C"/>
    <w:rsid w:val="00844FB7"/>
    <w:rsid w:val="0084780B"/>
    <w:rsid w:val="00850CA0"/>
    <w:rsid w:val="00851356"/>
    <w:rsid w:val="008522AD"/>
    <w:rsid w:val="00852C4B"/>
    <w:rsid w:val="008540DC"/>
    <w:rsid w:val="00854706"/>
    <w:rsid w:val="00854915"/>
    <w:rsid w:val="00854C45"/>
    <w:rsid w:val="008568E3"/>
    <w:rsid w:val="00862563"/>
    <w:rsid w:val="00862814"/>
    <w:rsid w:val="00862A45"/>
    <w:rsid w:val="008630CA"/>
    <w:rsid w:val="00863425"/>
    <w:rsid w:val="008663CA"/>
    <w:rsid w:val="008674EE"/>
    <w:rsid w:val="00867C61"/>
    <w:rsid w:val="00870225"/>
    <w:rsid w:val="00870E09"/>
    <w:rsid w:val="0087227D"/>
    <w:rsid w:val="0087233C"/>
    <w:rsid w:val="008723DA"/>
    <w:rsid w:val="00873BDD"/>
    <w:rsid w:val="00874027"/>
    <w:rsid w:val="00874628"/>
    <w:rsid w:val="00875B02"/>
    <w:rsid w:val="00876025"/>
    <w:rsid w:val="00876917"/>
    <w:rsid w:val="00877CE0"/>
    <w:rsid w:val="00881BB8"/>
    <w:rsid w:val="0088213E"/>
    <w:rsid w:val="008840C6"/>
    <w:rsid w:val="00884F11"/>
    <w:rsid w:val="00885F32"/>
    <w:rsid w:val="00891CEC"/>
    <w:rsid w:val="00891F5B"/>
    <w:rsid w:val="00892B46"/>
    <w:rsid w:val="00894E28"/>
    <w:rsid w:val="008958DB"/>
    <w:rsid w:val="00896C0A"/>
    <w:rsid w:val="008A0EFD"/>
    <w:rsid w:val="008A1BA2"/>
    <w:rsid w:val="008A2D0E"/>
    <w:rsid w:val="008A2D15"/>
    <w:rsid w:val="008A3A54"/>
    <w:rsid w:val="008A3A99"/>
    <w:rsid w:val="008A3C66"/>
    <w:rsid w:val="008A4DC4"/>
    <w:rsid w:val="008A73E0"/>
    <w:rsid w:val="008A7FF1"/>
    <w:rsid w:val="008B2F4F"/>
    <w:rsid w:val="008B3DEC"/>
    <w:rsid w:val="008B4A47"/>
    <w:rsid w:val="008B681E"/>
    <w:rsid w:val="008B7390"/>
    <w:rsid w:val="008C029E"/>
    <w:rsid w:val="008C0898"/>
    <w:rsid w:val="008C1D61"/>
    <w:rsid w:val="008C1DD1"/>
    <w:rsid w:val="008C22DE"/>
    <w:rsid w:val="008C284B"/>
    <w:rsid w:val="008C2984"/>
    <w:rsid w:val="008C316F"/>
    <w:rsid w:val="008C49F3"/>
    <w:rsid w:val="008C4EF3"/>
    <w:rsid w:val="008C56E9"/>
    <w:rsid w:val="008C5C31"/>
    <w:rsid w:val="008C66C6"/>
    <w:rsid w:val="008C705B"/>
    <w:rsid w:val="008C7556"/>
    <w:rsid w:val="008C7CD2"/>
    <w:rsid w:val="008D0D1E"/>
    <w:rsid w:val="008D12E0"/>
    <w:rsid w:val="008D1E68"/>
    <w:rsid w:val="008D341A"/>
    <w:rsid w:val="008D3BBF"/>
    <w:rsid w:val="008D4001"/>
    <w:rsid w:val="008D6672"/>
    <w:rsid w:val="008D66A7"/>
    <w:rsid w:val="008D72C1"/>
    <w:rsid w:val="008D7E24"/>
    <w:rsid w:val="008E26A7"/>
    <w:rsid w:val="008E33A2"/>
    <w:rsid w:val="008E35C0"/>
    <w:rsid w:val="008E6BC1"/>
    <w:rsid w:val="008F0380"/>
    <w:rsid w:val="008F06B4"/>
    <w:rsid w:val="008F080F"/>
    <w:rsid w:val="008F0F73"/>
    <w:rsid w:val="008F100B"/>
    <w:rsid w:val="008F288C"/>
    <w:rsid w:val="008F346F"/>
    <w:rsid w:val="008F4297"/>
    <w:rsid w:val="008F70B3"/>
    <w:rsid w:val="008F74B6"/>
    <w:rsid w:val="00900E84"/>
    <w:rsid w:val="00901372"/>
    <w:rsid w:val="00902163"/>
    <w:rsid w:val="0090268D"/>
    <w:rsid w:val="00904468"/>
    <w:rsid w:val="0090467A"/>
    <w:rsid w:val="00905CC1"/>
    <w:rsid w:val="0090796C"/>
    <w:rsid w:val="00907C78"/>
    <w:rsid w:val="00911020"/>
    <w:rsid w:val="00911C9F"/>
    <w:rsid w:val="00912562"/>
    <w:rsid w:val="009126B6"/>
    <w:rsid w:val="00914C28"/>
    <w:rsid w:val="00915E9A"/>
    <w:rsid w:val="00916B1B"/>
    <w:rsid w:val="00917D6F"/>
    <w:rsid w:val="0092035F"/>
    <w:rsid w:val="00920449"/>
    <w:rsid w:val="00920D6C"/>
    <w:rsid w:val="00923634"/>
    <w:rsid w:val="00923729"/>
    <w:rsid w:val="009246CF"/>
    <w:rsid w:val="009271C8"/>
    <w:rsid w:val="0093087B"/>
    <w:rsid w:val="00930BB3"/>
    <w:rsid w:val="009317B8"/>
    <w:rsid w:val="00931D87"/>
    <w:rsid w:val="0093482B"/>
    <w:rsid w:val="009355DE"/>
    <w:rsid w:val="009436F2"/>
    <w:rsid w:val="00943E03"/>
    <w:rsid w:val="00944394"/>
    <w:rsid w:val="00944CEA"/>
    <w:rsid w:val="00945819"/>
    <w:rsid w:val="00946649"/>
    <w:rsid w:val="00946697"/>
    <w:rsid w:val="0095171F"/>
    <w:rsid w:val="00951B76"/>
    <w:rsid w:val="009527D9"/>
    <w:rsid w:val="00952CD2"/>
    <w:rsid w:val="00954941"/>
    <w:rsid w:val="00955635"/>
    <w:rsid w:val="009561E7"/>
    <w:rsid w:val="009565E0"/>
    <w:rsid w:val="009600C8"/>
    <w:rsid w:val="0096240B"/>
    <w:rsid w:val="00964B71"/>
    <w:rsid w:val="009672AE"/>
    <w:rsid w:val="009674FC"/>
    <w:rsid w:val="00967752"/>
    <w:rsid w:val="009677C0"/>
    <w:rsid w:val="00967DB2"/>
    <w:rsid w:val="0097077B"/>
    <w:rsid w:val="009710C5"/>
    <w:rsid w:val="00974CDD"/>
    <w:rsid w:val="00975111"/>
    <w:rsid w:val="00977134"/>
    <w:rsid w:val="0097753F"/>
    <w:rsid w:val="00977750"/>
    <w:rsid w:val="00982104"/>
    <w:rsid w:val="00982AC4"/>
    <w:rsid w:val="009863BD"/>
    <w:rsid w:val="00991715"/>
    <w:rsid w:val="00992748"/>
    <w:rsid w:val="00992EC1"/>
    <w:rsid w:val="00992F17"/>
    <w:rsid w:val="0099421E"/>
    <w:rsid w:val="00995783"/>
    <w:rsid w:val="00995BAA"/>
    <w:rsid w:val="00996272"/>
    <w:rsid w:val="00996752"/>
    <w:rsid w:val="00996E42"/>
    <w:rsid w:val="00996E4F"/>
    <w:rsid w:val="0099728C"/>
    <w:rsid w:val="00997A66"/>
    <w:rsid w:val="009A00D8"/>
    <w:rsid w:val="009A0260"/>
    <w:rsid w:val="009A0E4F"/>
    <w:rsid w:val="009A1CDC"/>
    <w:rsid w:val="009A34A5"/>
    <w:rsid w:val="009A4C74"/>
    <w:rsid w:val="009A5014"/>
    <w:rsid w:val="009A5550"/>
    <w:rsid w:val="009A6929"/>
    <w:rsid w:val="009A75F9"/>
    <w:rsid w:val="009B06E4"/>
    <w:rsid w:val="009B3C7A"/>
    <w:rsid w:val="009B4735"/>
    <w:rsid w:val="009B4F70"/>
    <w:rsid w:val="009B62ED"/>
    <w:rsid w:val="009B7776"/>
    <w:rsid w:val="009C1E4E"/>
    <w:rsid w:val="009C28A9"/>
    <w:rsid w:val="009C2CD1"/>
    <w:rsid w:val="009C49C7"/>
    <w:rsid w:val="009C541E"/>
    <w:rsid w:val="009C66E3"/>
    <w:rsid w:val="009C6FEB"/>
    <w:rsid w:val="009D1CFE"/>
    <w:rsid w:val="009D2198"/>
    <w:rsid w:val="009D3916"/>
    <w:rsid w:val="009D6F03"/>
    <w:rsid w:val="009E0325"/>
    <w:rsid w:val="009E0515"/>
    <w:rsid w:val="009E1B82"/>
    <w:rsid w:val="009E1EE7"/>
    <w:rsid w:val="009E36F1"/>
    <w:rsid w:val="009E39A2"/>
    <w:rsid w:val="009E4362"/>
    <w:rsid w:val="009E4E7C"/>
    <w:rsid w:val="009E57BF"/>
    <w:rsid w:val="009E69CA"/>
    <w:rsid w:val="009E6AC4"/>
    <w:rsid w:val="009E6F2A"/>
    <w:rsid w:val="009F0FAB"/>
    <w:rsid w:val="009F1065"/>
    <w:rsid w:val="009F10E3"/>
    <w:rsid w:val="009F396A"/>
    <w:rsid w:val="009F5F7B"/>
    <w:rsid w:val="009F6BD3"/>
    <w:rsid w:val="00A00B26"/>
    <w:rsid w:val="00A01FAC"/>
    <w:rsid w:val="00A0256F"/>
    <w:rsid w:val="00A02A0B"/>
    <w:rsid w:val="00A034A0"/>
    <w:rsid w:val="00A04079"/>
    <w:rsid w:val="00A046A7"/>
    <w:rsid w:val="00A04C49"/>
    <w:rsid w:val="00A05919"/>
    <w:rsid w:val="00A06BAB"/>
    <w:rsid w:val="00A11205"/>
    <w:rsid w:val="00A117D7"/>
    <w:rsid w:val="00A118F7"/>
    <w:rsid w:val="00A13B04"/>
    <w:rsid w:val="00A20652"/>
    <w:rsid w:val="00A216D4"/>
    <w:rsid w:val="00A21993"/>
    <w:rsid w:val="00A22AE9"/>
    <w:rsid w:val="00A23F6C"/>
    <w:rsid w:val="00A240A7"/>
    <w:rsid w:val="00A24D8A"/>
    <w:rsid w:val="00A24E84"/>
    <w:rsid w:val="00A2587A"/>
    <w:rsid w:val="00A2591C"/>
    <w:rsid w:val="00A25DEC"/>
    <w:rsid w:val="00A278DE"/>
    <w:rsid w:val="00A303FA"/>
    <w:rsid w:val="00A324C6"/>
    <w:rsid w:val="00A36102"/>
    <w:rsid w:val="00A36875"/>
    <w:rsid w:val="00A3704E"/>
    <w:rsid w:val="00A377A0"/>
    <w:rsid w:val="00A40537"/>
    <w:rsid w:val="00A405D3"/>
    <w:rsid w:val="00A40827"/>
    <w:rsid w:val="00A42FA5"/>
    <w:rsid w:val="00A44320"/>
    <w:rsid w:val="00A453A3"/>
    <w:rsid w:val="00A45C91"/>
    <w:rsid w:val="00A50048"/>
    <w:rsid w:val="00A50365"/>
    <w:rsid w:val="00A544DE"/>
    <w:rsid w:val="00A57BE4"/>
    <w:rsid w:val="00A62B42"/>
    <w:rsid w:val="00A63200"/>
    <w:rsid w:val="00A645F7"/>
    <w:rsid w:val="00A646FC"/>
    <w:rsid w:val="00A65BBE"/>
    <w:rsid w:val="00A65FDF"/>
    <w:rsid w:val="00A6613C"/>
    <w:rsid w:val="00A67F1A"/>
    <w:rsid w:val="00A71316"/>
    <w:rsid w:val="00A71FAA"/>
    <w:rsid w:val="00A74D82"/>
    <w:rsid w:val="00A77A34"/>
    <w:rsid w:val="00A8056F"/>
    <w:rsid w:val="00A819A5"/>
    <w:rsid w:val="00A82889"/>
    <w:rsid w:val="00A8367C"/>
    <w:rsid w:val="00A85A0D"/>
    <w:rsid w:val="00A85D12"/>
    <w:rsid w:val="00A8686F"/>
    <w:rsid w:val="00A87299"/>
    <w:rsid w:val="00A91194"/>
    <w:rsid w:val="00A9154B"/>
    <w:rsid w:val="00A917D4"/>
    <w:rsid w:val="00A91A1F"/>
    <w:rsid w:val="00A9281B"/>
    <w:rsid w:val="00A961F0"/>
    <w:rsid w:val="00A962F2"/>
    <w:rsid w:val="00A963CA"/>
    <w:rsid w:val="00A977FB"/>
    <w:rsid w:val="00A978EA"/>
    <w:rsid w:val="00AA172F"/>
    <w:rsid w:val="00AA2C59"/>
    <w:rsid w:val="00AA3408"/>
    <w:rsid w:val="00AA4DBA"/>
    <w:rsid w:val="00AA5012"/>
    <w:rsid w:val="00AA56AC"/>
    <w:rsid w:val="00AA64DC"/>
    <w:rsid w:val="00AA7A6A"/>
    <w:rsid w:val="00AB0005"/>
    <w:rsid w:val="00AB17DD"/>
    <w:rsid w:val="00AB2636"/>
    <w:rsid w:val="00AB2DF2"/>
    <w:rsid w:val="00AB3160"/>
    <w:rsid w:val="00AB3BF7"/>
    <w:rsid w:val="00AB4ABB"/>
    <w:rsid w:val="00AB5BF0"/>
    <w:rsid w:val="00AB5CD6"/>
    <w:rsid w:val="00AB611F"/>
    <w:rsid w:val="00AB7581"/>
    <w:rsid w:val="00AB7EED"/>
    <w:rsid w:val="00AC092C"/>
    <w:rsid w:val="00AC150F"/>
    <w:rsid w:val="00AC318E"/>
    <w:rsid w:val="00AC3319"/>
    <w:rsid w:val="00AC47A2"/>
    <w:rsid w:val="00AC4939"/>
    <w:rsid w:val="00AC4D2D"/>
    <w:rsid w:val="00AC52C9"/>
    <w:rsid w:val="00AC5881"/>
    <w:rsid w:val="00AC64D9"/>
    <w:rsid w:val="00AC7EF2"/>
    <w:rsid w:val="00AD0830"/>
    <w:rsid w:val="00AD3D48"/>
    <w:rsid w:val="00AD46E2"/>
    <w:rsid w:val="00AD5175"/>
    <w:rsid w:val="00AD565F"/>
    <w:rsid w:val="00AD5E9A"/>
    <w:rsid w:val="00AD6FC7"/>
    <w:rsid w:val="00AD73A9"/>
    <w:rsid w:val="00AE0781"/>
    <w:rsid w:val="00AE1B05"/>
    <w:rsid w:val="00AE2750"/>
    <w:rsid w:val="00AE326B"/>
    <w:rsid w:val="00AE3C12"/>
    <w:rsid w:val="00AE60FB"/>
    <w:rsid w:val="00AE63E9"/>
    <w:rsid w:val="00AE69F7"/>
    <w:rsid w:val="00AE7ABF"/>
    <w:rsid w:val="00AF0A0D"/>
    <w:rsid w:val="00AF112C"/>
    <w:rsid w:val="00AF5DE1"/>
    <w:rsid w:val="00AF68BA"/>
    <w:rsid w:val="00B006B5"/>
    <w:rsid w:val="00B015D8"/>
    <w:rsid w:val="00B01906"/>
    <w:rsid w:val="00B01DA2"/>
    <w:rsid w:val="00B022F5"/>
    <w:rsid w:val="00B02E1F"/>
    <w:rsid w:val="00B04A57"/>
    <w:rsid w:val="00B04F94"/>
    <w:rsid w:val="00B06A02"/>
    <w:rsid w:val="00B07106"/>
    <w:rsid w:val="00B11476"/>
    <w:rsid w:val="00B11505"/>
    <w:rsid w:val="00B11937"/>
    <w:rsid w:val="00B11C19"/>
    <w:rsid w:val="00B12CC4"/>
    <w:rsid w:val="00B13B7F"/>
    <w:rsid w:val="00B13F72"/>
    <w:rsid w:val="00B13FEB"/>
    <w:rsid w:val="00B15AE5"/>
    <w:rsid w:val="00B15D52"/>
    <w:rsid w:val="00B165CB"/>
    <w:rsid w:val="00B16A12"/>
    <w:rsid w:val="00B16DD7"/>
    <w:rsid w:val="00B20EFC"/>
    <w:rsid w:val="00B229DA"/>
    <w:rsid w:val="00B22F0D"/>
    <w:rsid w:val="00B23027"/>
    <w:rsid w:val="00B260C3"/>
    <w:rsid w:val="00B268C2"/>
    <w:rsid w:val="00B3089A"/>
    <w:rsid w:val="00B32956"/>
    <w:rsid w:val="00B32F87"/>
    <w:rsid w:val="00B33D0A"/>
    <w:rsid w:val="00B33DF4"/>
    <w:rsid w:val="00B33EC2"/>
    <w:rsid w:val="00B34048"/>
    <w:rsid w:val="00B35096"/>
    <w:rsid w:val="00B35263"/>
    <w:rsid w:val="00B35D69"/>
    <w:rsid w:val="00B361B3"/>
    <w:rsid w:val="00B3641C"/>
    <w:rsid w:val="00B366E5"/>
    <w:rsid w:val="00B40372"/>
    <w:rsid w:val="00B410AE"/>
    <w:rsid w:val="00B41981"/>
    <w:rsid w:val="00B41AE8"/>
    <w:rsid w:val="00B42B54"/>
    <w:rsid w:val="00B43896"/>
    <w:rsid w:val="00B43A03"/>
    <w:rsid w:val="00B44184"/>
    <w:rsid w:val="00B44746"/>
    <w:rsid w:val="00B45CD6"/>
    <w:rsid w:val="00B504CF"/>
    <w:rsid w:val="00B50691"/>
    <w:rsid w:val="00B50692"/>
    <w:rsid w:val="00B516F5"/>
    <w:rsid w:val="00B51957"/>
    <w:rsid w:val="00B51EB9"/>
    <w:rsid w:val="00B526FA"/>
    <w:rsid w:val="00B53138"/>
    <w:rsid w:val="00B55762"/>
    <w:rsid w:val="00B55812"/>
    <w:rsid w:val="00B56A74"/>
    <w:rsid w:val="00B6126A"/>
    <w:rsid w:val="00B619A1"/>
    <w:rsid w:val="00B622CA"/>
    <w:rsid w:val="00B62D9B"/>
    <w:rsid w:val="00B62FD1"/>
    <w:rsid w:val="00B6545A"/>
    <w:rsid w:val="00B65C5E"/>
    <w:rsid w:val="00B66236"/>
    <w:rsid w:val="00B665CD"/>
    <w:rsid w:val="00B667E4"/>
    <w:rsid w:val="00B703F6"/>
    <w:rsid w:val="00B70BE1"/>
    <w:rsid w:val="00B71693"/>
    <w:rsid w:val="00B7347D"/>
    <w:rsid w:val="00B73CE0"/>
    <w:rsid w:val="00B74688"/>
    <w:rsid w:val="00B74A64"/>
    <w:rsid w:val="00B756B5"/>
    <w:rsid w:val="00B7669A"/>
    <w:rsid w:val="00B76CB3"/>
    <w:rsid w:val="00B76F21"/>
    <w:rsid w:val="00B81221"/>
    <w:rsid w:val="00B813B8"/>
    <w:rsid w:val="00B81971"/>
    <w:rsid w:val="00B81E2D"/>
    <w:rsid w:val="00B824AA"/>
    <w:rsid w:val="00B82F90"/>
    <w:rsid w:val="00B84C81"/>
    <w:rsid w:val="00B85E1C"/>
    <w:rsid w:val="00B8693A"/>
    <w:rsid w:val="00B87F37"/>
    <w:rsid w:val="00B87F4D"/>
    <w:rsid w:val="00B90B4B"/>
    <w:rsid w:val="00B9309E"/>
    <w:rsid w:val="00B951FF"/>
    <w:rsid w:val="00BA0598"/>
    <w:rsid w:val="00BA08A8"/>
    <w:rsid w:val="00BA111D"/>
    <w:rsid w:val="00BA1393"/>
    <w:rsid w:val="00BA1ABA"/>
    <w:rsid w:val="00BA220A"/>
    <w:rsid w:val="00BA32B3"/>
    <w:rsid w:val="00BA46B9"/>
    <w:rsid w:val="00BA5AB6"/>
    <w:rsid w:val="00BB03C4"/>
    <w:rsid w:val="00BB07E9"/>
    <w:rsid w:val="00BB1CC7"/>
    <w:rsid w:val="00BB23F6"/>
    <w:rsid w:val="00BB2B65"/>
    <w:rsid w:val="00BB3FEA"/>
    <w:rsid w:val="00BB40CD"/>
    <w:rsid w:val="00BB5205"/>
    <w:rsid w:val="00BB5784"/>
    <w:rsid w:val="00BB5B94"/>
    <w:rsid w:val="00BB5CAC"/>
    <w:rsid w:val="00BB5E58"/>
    <w:rsid w:val="00BB76D5"/>
    <w:rsid w:val="00BC1185"/>
    <w:rsid w:val="00BC14DC"/>
    <w:rsid w:val="00BC1762"/>
    <w:rsid w:val="00BC28AB"/>
    <w:rsid w:val="00BC401E"/>
    <w:rsid w:val="00BC4FAE"/>
    <w:rsid w:val="00BC5550"/>
    <w:rsid w:val="00BC6847"/>
    <w:rsid w:val="00BC6ABE"/>
    <w:rsid w:val="00BC7E4B"/>
    <w:rsid w:val="00BD140C"/>
    <w:rsid w:val="00BD27C1"/>
    <w:rsid w:val="00BD45E7"/>
    <w:rsid w:val="00BD532F"/>
    <w:rsid w:val="00BD6699"/>
    <w:rsid w:val="00BD7E24"/>
    <w:rsid w:val="00BE05AA"/>
    <w:rsid w:val="00BE1173"/>
    <w:rsid w:val="00BE14C8"/>
    <w:rsid w:val="00BE2222"/>
    <w:rsid w:val="00BE2801"/>
    <w:rsid w:val="00BE2D78"/>
    <w:rsid w:val="00BE51EA"/>
    <w:rsid w:val="00BE5DD3"/>
    <w:rsid w:val="00BE5E81"/>
    <w:rsid w:val="00BE65F3"/>
    <w:rsid w:val="00BE6CB4"/>
    <w:rsid w:val="00BE7465"/>
    <w:rsid w:val="00BF07B8"/>
    <w:rsid w:val="00BF0BF4"/>
    <w:rsid w:val="00BF1DA4"/>
    <w:rsid w:val="00BF3C53"/>
    <w:rsid w:val="00BF42F6"/>
    <w:rsid w:val="00BF5213"/>
    <w:rsid w:val="00BF77BA"/>
    <w:rsid w:val="00BF7E59"/>
    <w:rsid w:val="00BF7E7E"/>
    <w:rsid w:val="00C015DB"/>
    <w:rsid w:val="00C01B61"/>
    <w:rsid w:val="00C01D97"/>
    <w:rsid w:val="00C0298B"/>
    <w:rsid w:val="00C02F39"/>
    <w:rsid w:val="00C0385C"/>
    <w:rsid w:val="00C03979"/>
    <w:rsid w:val="00C042C9"/>
    <w:rsid w:val="00C0502C"/>
    <w:rsid w:val="00C057ED"/>
    <w:rsid w:val="00C05A9C"/>
    <w:rsid w:val="00C05E31"/>
    <w:rsid w:val="00C0655A"/>
    <w:rsid w:val="00C06A06"/>
    <w:rsid w:val="00C0734E"/>
    <w:rsid w:val="00C07B20"/>
    <w:rsid w:val="00C10CFD"/>
    <w:rsid w:val="00C10D22"/>
    <w:rsid w:val="00C11141"/>
    <w:rsid w:val="00C15484"/>
    <w:rsid w:val="00C16681"/>
    <w:rsid w:val="00C21D7D"/>
    <w:rsid w:val="00C246B9"/>
    <w:rsid w:val="00C250C6"/>
    <w:rsid w:val="00C25239"/>
    <w:rsid w:val="00C27120"/>
    <w:rsid w:val="00C27CC8"/>
    <w:rsid w:val="00C303AA"/>
    <w:rsid w:val="00C305E8"/>
    <w:rsid w:val="00C314F4"/>
    <w:rsid w:val="00C31B44"/>
    <w:rsid w:val="00C31DB8"/>
    <w:rsid w:val="00C31EBD"/>
    <w:rsid w:val="00C32D7F"/>
    <w:rsid w:val="00C33629"/>
    <w:rsid w:val="00C33C8C"/>
    <w:rsid w:val="00C3538C"/>
    <w:rsid w:val="00C364B2"/>
    <w:rsid w:val="00C37C87"/>
    <w:rsid w:val="00C406E0"/>
    <w:rsid w:val="00C40F41"/>
    <w:rsid w:val="00C4217B"/>
    <w:rsid w:val="00C427C0"/>
    <w:rsid w:val="00C43209"/>
    <w:rsid w:val="00C447A9"/>
    <w:rsid w:val="00C453E3"/>
    <w:rsid w:val="00C45AFC"/>
    <w:rsid w:val="00C45B9C"/>
    <w:rsid w:val="00C45CD9"/>
    <w:rsid w:val="00C47352"/>
    <w:rsid w:val="00C47AED"/>
    <w:rsid w:val="00C51335"/>
    <w:rsid w:val="00C5215E"/>
    <w:rsid w:val="00C52A22"/>
    <w:rsid w:val="00C52CE4"/>
    <w:rsid w:val="00C53723"/>
    <w:rsid w:val="00C539EB"/>
    <w:rsid w:val="00C53A25"/>
    <w:rsid w:val="00C541BF"/>
    <w:rsid w:val="00C55B7E"/>
    <w:rsid w:val="00C56078"/>
    <w:rsid w:val="00C577BD"/>
    <w:rsid w:val="00C57B1A"/>
    <w:rsid w:val="00C57E5C"/>
    <w:rsid w:val="00C61233"/>
    <w:rsid w:val="00C631F4"/>
    <w:rsid w:val="00C633CC"/>
    <w:rsid w:val="00C63C0E"/>
    <w:rsid w:val="00C63CBF"/>
    <w:rsid w:val="00C63D66"/>
    <w:rsid w:val="00C6415B"/>
    <w:rsid w:val="00C64A65"/>
    <w:rsid w:val="00C64C69"/>
    <w:rsid w:val="00C65B1C"/>
    <w:rsid w:val="00C668DD"/>
    <w:rsid w:val="00C67A77"/>
    <w:rsid w:val="00C7092E"/>
    <w:rsid w:val="00C73DA1"/>
    <w:rsid w:val="00C742A8"/>
    <w:rsid w:val="00C742D7"/>
    <w:rsid w:val="00C75DA9"/>
    <w:rsid w:val="00C76616"/>
    <w:rsid w:val="00C77312"/>
    <w:rsid w:val="00C773F5"/>
    <w:rsid w:val="00C7760A"/>
    <w:rsid w:val="00C77C56"/>
    <w:rsid w:val="00C801E8"/>
    <w:rsid w:val="00C81795"/>
    <w:rsid w:val="00C82BEA"/>
    <w:rsid w:val="00C82D58"/>
    <w:rsid w:val="00C85773"/>
    <w:rsid w:val="00C859A0"/>
    <w:rsid w:val="00C877AE"/>
    <w:rsid w:val="00C900E3"/>
    <w:rsid w:val="00C9027A"/>
    <w:rsid w:val="00C90BA5"/>
    <w:rsid w:val="00C91A12"/>
    <w:rsid w:val="00C92357"/>
    <w:rsid w:val="00C9264B"/>
    <w:rsid w:val="00C92E27"/>
    <w:rsid w:val="00C94041"/>
    <w:rsid w:val="00C943ED"/>
    <w:rsid w:val="00C946CC"/>
    <w:rsid w:val="00C94DE4"/>
    <w:rsid w:val="00CA0282"/>
    <w:rsid w:val="00CA0491"/>
    <w:rsid w:val="00CA0D07"/>
    <w:rsid w:val="00CA304B"/>
    <w:rsid w:val="00CA4476"/>
    <w:rsid w:val="00CA470B"/>
    <w:rsid w:val="00CA4EF8"/>
    <w:rsid w:val="00CA5028"/>
    <w:rsid w:val="00CA64EA"/>
    <w:rsid w:val="00CA7D08"/>
    <w:rsid w:val="00CB06B5"/>
    <w:rsid w:val="00CB2402"/>
    <w:rsid w:val="00CB2474"/>
    <w:rsid w:val="00CB5F7D"/>
    <w:rsid w:val="00CB6B23"/>
    <w:rsid w:val="00CB70F7"/>
    <w:rsid w:val="00CB75AF"/>
    <w:rsid w:val="00CC17B1"/>
    <w:rsid w:val="00CC26A7"/>
    <w:rsid w:val="00CD0286"/>
    <w:rsid w:val="00CD0B0B"/>
    <w:rsid w:val="00CD1C0F"/>
    <w:rsid w:val="00CD22CC"/>
    <w:rsid w:val="00CD2418"/>
    <w:rsid w:val="00CD2B33"/>
    <w:rsid w:val="00CD3918"/>
    <w:rsid w:val="00CD4533"/>
    <w:rsid w:val="00CD4BB6"/>
    <w:rsid w:val="00CD5C9D"/>
    <w:rsid w:val="00CD5E28"/>
    <w:rsid w:val="00CD6112"/>
    <w:rsid w:val="00CD63F7"/>
    <w:rsid w:val="00CD74BB"/>
    <w:rsid w:val="00CD74BD"/>
    <w:rsid w:val="00CE289C"/>
    <w:rsid w:val="00CE3678"/>
    <w:rsid w:val="00CE53C3"/>
    <w:rsid w:val="00CE7065"/>
    <w:rsid w:val="00CE7923"/>
    <w:rsid w:val="00CF0544"/>
    <w:rsid w:val="00CF173F"/>
    <w:rsid w:val="00CF4469"/>
    <w:rsid w:val="00CF5704"/>
    <w:rsid w:val="00CF65E9"/>
    <w:rsid w:val="00CF7B61"/>
    <w:rsid w:val="00D0144F"/>
    <w:rsid w:val="00D031A9"/>
    <w:rsid w:val="00D03DB1"/>
    <w:rsid w:val="00D05CC2"/>
    <w:rsid w:val="00D06885"/>
    <w:rsid w:val="00D06911"/>
    <w:rsid w:val="00D07858"/>
    <w:rsid w:val="00D10175"/>
    <w:rsid w:val="00D10AAF"/>
    <w:rsid w:val="00D11410"/>
    <w:rsid w:val="00D122F7"/>
    <w:rsid w:val="00D12651"/>
    <w:rsid w:val="00D12AB3"/>
    <w:rsid w:val="00D12F1B"/>
    <w:rsid w:val="00D12FFB"/>
    <w:rsid w:val="00D14983"/>
    <w:rsid w:val="00D153EA"/>
    <w:rsid w:val="00D1772A"/>
    <w:rsid w:val="00D20591"/>
    <w:rsid w:val="00D210E1"/>
    <w:rsid w:val="00D2162C"/>
    <w:rsid w:val="00D23CFD"/>
    <w:rsid w:val="00D27A6F"/>
    <w:rsid w:val="00D3085F"/>
    <w:rsid w:val="00D31324"/>
    <w:rsid w:val="00D32DC4"/>
    <w:rsid w:val="00D33C02"/>
    <w:rsid w:val="00D3599A"/>
    <w:rsid w:val="00D40B7A"/>
    <w:rsid w:val="00D40F22"/>
    <w:rsid w:val="00D413C3"/>
    <w:rsid w:val="00D4399C"/>
    <w:rsid w:val="00D45F04"/>
    <w:rsid w:val="00D46C89"/>
    <w:rsid w:val="00D50B8B"/>
    <w:rsid w:val="00D51227"/>
    <w:rsid w:val="00D516C8"/>
    <w:rsid w:val="00D52E85"/>
    <w:rsid w:val="00D54781"/>
    <w:rsid w:val="00D54EF7"/>
    <w:rsid w:val="00D55234"/>
    <w:rsid w:val="00D5544D"/>
    <w:rsid w:val="00D5628C"/>
    <w:rsid w:val="00D56FE3"/>
    <w:rsid w:val="00D61C2E"/>
    <w:rsid w:val="00D63A31"/>
    <w:rsid w:val="00D64F4D"/>
    <w:rsid w:val="00D674F6"/>
    <w:rsid w:val="00D674F8"/>
    <w:rsid w:val="00D70F1B"/>
    <w:rsid w:val="00D7302D"/>
    <w:rsid w:val="00D73AA3"/>
    <w:rsid w:val="00D771C3"/>
    <w:rsid w:val="00D80792"/>
    <w:rsid w:val="00D80F0C"/>
    <w:rsid w:val="00D8105F"/>
    <w:rsid w:val="00D8162B"/>
    <w:rsid w:val="00D81AF6"/>
    <w:rsid w:val="00D81F18"/>
    <w:rsid w:val="00D820DF"/>
    <w:rsid w:val="00D831BF"/>
    <w:rsid w:val="00D84F2D"/>
    <w:rsid w:val="00D8506B"/>
    <w:rsid w:val="00D85863"/>
    <w:rsid w:val="00D90014"/>
    <w:rsid w:val="00D91956"/>
    <w:rsid w:val="00D91961"/>
    <w:rsid w:val="00D91E61"/>
    <w:rsid w:val="00D91E88"/>
    <w:rsid w:val="00D92691"/>
    <w:rsid w:val="00D938CA"/>
    <w:rsid w:val="00D941D4"/>
    <w:rsid w:val="00D952A9"/>
    <w:rsid w:val="00D96380"/>
    <w:rsid w:val="00D96A3E"/>
    <w:rsid w:val="00DA01D7"/>
    <w:rsid w:val="00DA24B0"/>
    <w:rsid w:val="00DA3A7B"/>
    <w:rsid w:val="00DA6CB2"/>
    <w:rsid w:val="00DA6DB9"/>
    <w:rsid w:val="00DA6F0F"/>
    <w:rsid w:val="00DA7FA8"/>
    <w:rsid w:val="00DB0643"/>
    <w:rsid w:val="00DB1A70"/>
    <w:rsid w:val="00DB1B9A"/>
    <w:rsid w:val="00DB2378"/>
    <w:rsid w:val="00DB264B"/>
    <w:rsid w:val="00DB4A24"/>
    <w:rsid w:val="00DB7C66"/>
    <w:rsid w:val="00DB7F7B"/>
    <w:rsid w:val="00DC0AC8"/>
    <w:rsid w:val="00DC205F"/>
    <w:rsid w:val="00DC24E9"/>
    <w:rsid w:val="00DC25D3"/>
    <w:rsid w:val="00DC2787"/>
    <w:rsid w:val="00DC37F7"/>
    <w:rsid w:val="00DC4423"/>
    <w:rsid w:val="00DC54AF"/>
    <w:rsid w:val="00DC5B81"/>
    <w:rsid w:val="00DC60BE"/>
    <w:rsid w:val="00DC7BBB"/>
    <w:rsid w:val="00DD3825"/>
    <w:rsid w:val="00DD3A11"/>
    <w:rsid w:val="00DD3C3F"/>
    <w:rsid w:val="00DD4C14"/>
    <w:rsid w:val="00DD4F7C"/>
    <w:rsid w:val="00DD67D4"/>
    <w:rsid w:val="00DE071F"/>
    <w:rsid w:val="00DE0872"/>
    <w:rsid w:val="00DE2269"/>
    <w:rsid w:val="00DE65C0"/>
    <w:rsid w:val="00DF0446"/>
    <w:rsid w:val="00DF0787"/>
    <w:rsid w:val="00DF13EB"/>
    <w:rsid w:val="00DF1791"/>
    <w:rsid w:val="00DF4CC1"/>
    <w:rsid w:val="00DF5C1A"/>
    <w:rsid w:val="00DF6348"/>
    <w:rsid w:val="00DF6E27"/>
    <w:rsid w:val="00DF72EE"/>
    <w:rsid w:val="00DF7971"/>
    <w:rsid w:val="00DF7F49"/>
    <w:rsid w:val="00E005C2"/>
    <w:rsid w:val="00E01216"/>
    <w:rsid w:val="00E02036"/>
    <w:rsid w:val="00E02276"/>
    <w:rsid w:val="00E045EA"/>
    <w:rsid w:val="00E05BDD"/>
    <w:rsid w:val="00E06456"/>
    <w:rsid w:val="00E06793"/>
    <w:rsid w:val="00E0759D"/>
    <w:rsid w:val="00E10086"/>
    <w:rsid w:val="00E10FCF"/>
    <w:rsid w:val="00E111FA"/>
    <w:rsid w:val="00E11760"/>
    <w:rsid w:val="00E120A8"/>
    <w:rsid w:val="00E12B98"/>
    <w:rsid w:val="00E14AE0"/>
    <w:rsid w:val="00E14B50"/>
    <w:rsid w:val="00E15BE8"/>
    <w:rsid w:val="00E20CD5"/>
    <w:rsid w:val="00E21620"/>
    <w:rsid w:val="00E22584"/>
    <w:rsid w:val="00E245A4"/>
    <w:rsid w:val="00E3018A"/>
    <w:rsid w:val="00E30903"/>
    <w:rsid w:val="00E30FA8"/>
    <w:rsid w:val="00E32A50"/>
    <w:rsid w:val="00E33180"/>
    <w:rsid w:val="00E34626"/>
    <w:rsid w:val="00E35077"/>
    <w:rsid w:val="00E35715"/>
    <w:rsid w:val="00E35E3F"/>
    <w:rsid w:val="00E370EA"/>
    <w:rsid w:val="00E37ACF"/>
    <w:rsid w:val="00E40750"/>
    <w:rsid w:val="00E41336"/>
    <w:rsid w:val="00E436B4"/>
    <w:rsid w:val="00E44562"/>
    <w:rsid w:val="00E45087"/>
    <w:rsid w:val="00E4661F"/>
    <w:rsid w:val="00E46872"/>
    <w:rsid w:val="00E4751F"/>
    <w:rsid w:val="00E47CBF"/>
    <w:rsid w:val="00E51330"/>
    <w:rsid w:val="00E5180B"/>
    <w:rsid w:val="00E51E4A"/>
    <w:rsid w:val="00E525F3"/>
    <w:rsid w:val="00E52F3E"/>
    <w:rsid w:val="00E5431B"/>
    <w:rsid w:val="00E543C2"/>
    <w:rsid w:val="00E5464B"/>
    <w:rsid w:val="00E549BE"/>
    <w:rsid w:val="00E54C86"/>
    <w:rsid w:val="00E5534B"/>
    <w:rsid w:val="00E55716"/>
    <w:rsid w:val="00E55A14"/>
    <w:rsid w:val="00E5718B"/>
    <w:rsid w:val="00E5786B"/>
    <w:rsid w:val="00E603F8"/>
    <w:rsid w:val="00E60B93"/>
    <w:rsid w:val="00E61E67"/>
    <w:rsid w:val="00E62ACB"/>
    <w:rsid w:val="00E63E52"/>
    <w:rsid w:val="00E63F76"/>
    <w:rsid w:val="00E6602E"/>
    <w:rsid w:val="00E674BE"/>
    <w:rsid w:val="00E678D9"/>
    <w:rsid w:val="00E67923"/>
    <w:rsid w:val="00E70CF7"/>
    <w:rsid w:val="00E71A3E"/>
    <w:rsid w:val="00E71C4E"/>
    <w:rsid w:val="00E72535"/>
    <w:rsid w:val="00E72E74"/>
    <w:rsid w:val="00E74AD8"/>
    <w:rsid w:val="00E76FC5"/>
    <w:rsid w:val="00E805F4"/>
    <w:rsid w:val="00E84405"/>
    <w:rsid w:val="00E847D6"/>
    <w:rsid w:val="00E84A33"/>
    <w:rsid w:val="00E917BD"/>
    <w:rsid w:val="00E92F5B"/>
    <w:rsid w:val="00E93FBB"/>
    <w:rsid w:val="00E97BFD"/>
    <w:rsid w:val="00EA09E2"/>
    <w:rsid w:val="00EA199A"/>
    <w:rsid w:val="00EA1AF5"/>
    <w:rsid w:val="00EA4B94"/>
    <w:rsid w:val="00EA6428"/>
    <w:rsid w:val="00EA7547"/>
    <w:rsid w:val="00EA7DFF"/>
    <w:rsid w:val="00EA7E61"/>
    <w:rsid w:val="00EB0DD1"/>
    <w:rsid w:val="00EB0DDB"/>
    <w:rsid w:val="00EB1709"/>
    <w:rsid w:val="00EB2673"/>
    <w:rsid w:val="00EB2676"/>
    <w:rsid w:val="00EB2BC9"/>
    <w:rsid w:val="00EB3399"/>
    <w:rsid w:val="00EB3AAB"/>
    <w:rsid w:val="00EB3DC1"/>
    <w:rsid w:val="00EB61E5"/>
    <w:rsid w:val="00EB7D0C"/>
    <w:rsid w:val="00EC0552"/>
    <w:rsid w:val="00EC1F1B"/>
    <w:rsid w:val="00EC40EF"/>
    <w:rsid w:val="00EC4712"/>
    <w:rsid w:val="00EC4930"/>
    <w:rsid w:val="00EC4D8A"/>
    <w:rsid w:val="00EC679C"/>
    <w:rsid w:val="00EC71D3"/>
    <w:rsid w:val="00EC7905"/>
    <w:rsid w:val="00ED0B80"/>
    <w:rsid w:val="00ED17A7"/>
    <w:rsid w:val="00ED2360"/>
    <w:rsid w:val="00ED251E"/>
    <w:rsid w:val="00ED3344"/>
    <w:rsid w:val="00ED3632"/>
    <w:rsid w:val="00ED42E5"/>
    <w:rsid w:val="00ED603A"/>
    <w:rsid w:val="00ED67E0"/>
    <w:rsid w:val="00ED774F"/>
    <w:rsid w:val="00ED7BA2"/>
    <w:rsid w:val="00EE01C2"/>
    <w:rsid w:val="00EE10E1"/>
    <w:rsid w:val="00EE21C7"/>
    <w:rsid w:val="00EE231F"/>
    <w:rsid w:val="00EE38EB"/>
    <w:rsid w:val="00EE3936"/>
    <w:rsid w:val="00EE68C8"/>
    <w:rsid w:val="00EF0321"/>
    <w:rsid w:val="00EF0328"/>
    <w:rsid w:val="00EF04A8"/>
    <w:rsid w:val="00EF04ED"/>
    <w:rsid w:val="00EF1D9B"/>
    <w:rsid w:val="00EF27B9"/>
    <w:rsid w:val="00EF3443"/>
    <w:rsid w:val="00EF3D14"/>
    <w:rsid w:val="00EF3FF1"/>
    <w:rsid w:val="00EF523B"/>
    <w:rsid w:val="00EF55E2"/>
    <w:rsid w:val="00EF55FD"/>
    <w:rsid w:val="00EF5D6B"/>
    <w:rsid w:val="00EF6C25"/>
    <w:rsid w:val="00EF71C9"/>
    <w:rsid w:val="00EF7366"/>
    <w:rsid w:val="00EF7BF4"/>
    <w:rsid w:val="00EF7CAA"/>
    <w:rsid w:val="00F00EEA"/>
    <w:rsid w:val="00F018CF"/>
    <w:rsid w:val="00F01F75"/>
    <w:rsid w:val="00F02B45"/>
    <w:rsid w:val="00F02E2D"/>
    <w:rsid w:val="00F04620"/>
    <w:rsid w:val="00F04D0A"/>
    <w:rsid w:val="00F05027"/>
    <w:rsid w:val="00F06895"/>
    <w:rsid w:val="00F10C44"/>
    <w:rsid w:val="00F10F49"/>
    <w:rsid w:val="00F12BAC"/>
    <w:rsid w:val="00F13EDA"/>
    <w:rsid w:val="00F13F55"/>
    <w:rsid w:val="00F140E1"/>
    <w:rsid w:val="00F14C7B"/>
    <w:rsid w:val="00F14F05"/>
    <w:rsid w:val="00F15C4E"/>
    <w:rsid w:val="00F1690C"/>
    <w:rsid w:val="00F16C6E"/>
    <w:rsid w:val="00F17232"/>
    <w:rsid w:val="00F200D5"/>
    <w:rsid w:val="00F21783"/>
    <w:rsid w:val="00F22067"/>
    <w:rsid w:val="00F2208E"/>
    <w:rsid w:val="00F231A6"/>
    <w:rsid w:val="00F24094"/>
    <w:rsid w:val="00F2417D"/>
    <w:rsid w:val="00F247C5"/>
    <w:rsid w:val="00F267FC"/>
    <w:rsid w:val="00F30F36"/>
    <w:rsid w:val="00F310FC"/>
    <w:rsid w:val="00F31579"/>
    <w:rsid w:val="00F31A94"/>
    <w:rsid w:val="00F31BF9"/>
    <w:rsid w:val="00F330BF"/>
    <w:rsid w:val="00F33D8C"/>
    <w:rsid w:val="00F343CB"/>
    <w:rsid w:val="00F34DFC"/>
    <w:rsid w:val="00F36754"/>
    <w:rsid w:val="00F3783B"/>
    <w:rsid w:val="00F4019A"/>
    <w:rsid w:val="00F40D49"/>
    <w:rsid w:val="00F418EA"/>
    <w:rsid w:val="00F425B0"/>
    <w:rsid w:val="00F43088"/>
    <w:rsid w:val="00F436BA"/>
    <w:rsid w:val="00F44B08"/>
    <w:rsid w:val="00F45B43"/>
    <w:rsid w:val="00F46181"/>
    <w:rsid w:val="00F46363"/>
    <w:rsid w:val="00F526B4"/>
    <w:rsid w:val="00F54663"/>
    <w:rsid w:val="00F54921"/>
    <w:rsid w:val="00F5504D"/>
    <w:rsid w:val="00F55186"/>
    <w:rsid w:val="00F56468"/>
    <w:rsid w:val="00F565B6"/>
    <w:rsid w:val="00F61302"/>
    <w:rsid w:val="00F62A45"/>
    <w:rsid w:val="00F643F4"/>
    <w:rsid w:val="00F64F17"/>
    <w:rsid w:val="00F64FA8"/>
    <w:rsid w:val="00F65605"/>
    <w:rsid w:val="00F65748"/>
    <w:rsid w:val="00F65B94"/>
    <w:rsid w:val="00F66E38"/>
    <w:rsid w:val="00F71345"/>
    <w:rsid w:val="00F71505"/>
    <w:rsid w:val="00F71655"/>
    <w:rsid w:val="00F71854"/>
    <w:rsid w:val="00F71A75"/>
    <w:rsid w:val="00F75D9A"/>
    <w:rsid w:val="00F76DBE"/>
    <w:rsid w:val="00F77458"/>
    <w:rsid w:val="00F776DE"/>
    <w:rsid w:val="00F77A5D"/>
    <w:rsid w:val="00F80CAD"/>
    <w:rsid w:val="00F82BD2"/>
    <w:rsid w:val="00F83FE0"/>
    <w:rsid w:val="00F86FB3"/>
    <w:rsid w:val="00F87245"/>
    <w:rsid w:val="00F9090C"/>
    <w:rsid w:val="00F93451"/>
    <w:rsid w:val="00F93F04"/>
    <w:rsid w:val="00F942A6"/>
    <w:rsid w:val="00F945B8"/>
    <w:rsid w:val="00F95080"/>
    <w:rsid w:val="00F95470"/>
    <w:rsid w:val="00F95796"/>
    <w:rsid w:val="00F95AE8"/>
    <w:rsid w:val="00F970D0"/>
    <w:rsid w:val="00F97132"/>
    <w:rsid w:val="00FA03B3"/>
    <w:rsid w:val="00FA071F"/>
    <w:rsid w:val="00FA0D2B"/>
    <w:rsid w:val="00FA0ED4"/>
    <w:rsid w:val="00FA3A7D"/>
    <w:rsid w:val="00FB0DFC"/>
    <w:rsid w:val="00FB20F6"/>
    <w:rsid w:val="00FB3DE3"/>
    <w:rsid w:val="00FB4415"/>
    <w:rsid w:val="00FB58C7"/>
    <w:rsid w:val="00FB58EB"/>
    <w:rsid w:val="00FB6007"/>
    <w:rsid w:val="00FB63DC"/>
    <w:rsid w:val="00FC1153"/>
    <w:rsid w:val="00FC168E"/>
    <w:rsid w:val="00FC1BF5"/>
    <w:rsid w:val="00FC3CC7"/>
    <w:rsid w:val="00FC45B5"/>
    <w:rsid w:val="00FC4A32"/>
    <w:rsid w:val="00FC794A"/>
    <w:rsid w:val="00FD0885"/>
    <w:rsid w:val="00FD2584"/>
    <w:rsid w:val="00FD2832"/>
    <w:rsid w:val="00FD33B7"/>
    <w:rsid w:val="00FD4185"/>
    <w:rsid w:val="00FD4248"/>
    <w:rsid w:val="00FD49D0"/>
    <w:rsid w:val="00FD6239"/>
    <w:rsid w:val="00FD66D2"/>
    <w:rsid w:val="00FD6D86"/>
    <w:rsid w:val="00FE3832"/>
    <w:rsid w:val="00FE5911"/>
    <w:rsid w:val="00FE6808"/>
    <w:rsid w:val="00FE6BFB"/>
    <w:rsid w:val="00FF0B33"/>
    <w:rsid w:val="00FF40BC"/>
    <w:rsid w:val="00FF40D6"/>
    <w:rsid w:val="00FF4B12"/>
    <w:rsid w:val="00FF6628"/>
    <w:rsid w:val="00FF6CA5"/>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CCF02"/>
  <w15:docId w15:val="{2873B5DF-0A3A-4E56-BEE1-47492D21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A7"/>
    <w:rPr>
      <w:rFonts w:ascii="Arial" w:eastAsia="MS Mincho" w:hAnsi="Arial" w:cs="Times New Roman"/>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D3E32"/>
    <w:pPr>
      <w:keepNext/>
      <w:keepLines/>
      <w:spacing w:before="40"/>
      <w:outlineLvl w:val="1"/>
    </w:pPr>
    <w:rPr>
      <w:rFonts w:eastAsiaTheme="majorEastAsia" w:cstheme="majorBidi"/>
      <w:szCs w:val="26"/>
    </w:rPr>
  </w:style>
  <w:style w:type="paragraph" w:styleId="Ttulo3">
    <w:name w:val="heading 3"/>
    <w:basedOn w:val="Normal"/>
    <w:next w:val="Normal"/>
    <w:link w:val="Ttulo3Car"/>
    <w:uiPriority w:val="9"/>
    <w:unhideWhenUsed/>
    <w:qFormat/>
    <w:rsid w:val="006D3E32"/>
    <w:pPr>
      <w:keepNext/>
      <w:keepLines/>
      <w:spacing w:before="40"/>
      <w:outlineLvl w:val="2"/>
    </w:pPr>
    <w:rPr>
      <w:rFonts w:eastAsiaTheme="majorEastAsia" w:cstheme="majorBidi"/>
    </w:rPr>
  </w:style>
  <w:style w:type="paragraph" w:styleId="Ttulo4">
    <w:name w:val="heading 4"/>
    <w:basedOn w:val="Normal"/>
    <w:next w:val="Normal"/>
    <w:link w:val="Ttulo4Car"/>
    <w:uiPriority w:val="9"/>
    <w:unhideWhenUsed/>
    <w:qFormat/>
    <w:rsid w:val="004C4605"/>
    <w:pPr>
      <w:keepNext/>
      <w:keepLines/>
      <w:spacing w:before="40"/>
      <w:outlineLvl w:val="3"/>
    </w:pPr>
    <w:rPr>
      <w:rFonts w:eastAsiaTheme="majorEastAsia"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Lista1,TIT 2 IND,Titulo parrafo,Dot pt,No Spacing1,List Paragraph Char Char Char,Indicator Text,Numbered Para 1,Colorful List - Accent 1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6D3E32"/>
    <w:rPr>
      <w:rFonts w:ascii="Arial" w:eastAsiaTheme="majorEastAsia" w:hAnsi="Arial" w:cstheme="majorBidi"/>
      <w:szCs w:val="26"/>
      <w:lang w:val="es-ES" w:eastAsia="es-ES"/>
    </w:rPr>
  </w:style>
  <w:style w:type="character" w:customStyle="1" w:styleId="Ttulo3Car">
    <w:name w:val="Título 3 Car"/>
    <w:basedOn w:val="Fuentedeprrafopredeter"/>
    <w:link w:val="Ttulo3"/>
    <w:uiPriority w:val="9"/>
    <w:rsid w:val="006D3E32"/>
    <w:rPr>
      <w:rFonts w:ascii="Arial" w:eastAsiaTheme="majorEastAsia" w:hAnsi="Arial" w:cstheme="majorBidi"/>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eastAsiaTheme="majorEastAsia"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eastAsia="Times New Roman"/>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Lista1 Car,TIT 2 IND Car,Titulo parrafo Car,Dot pt Car,No Spacing1 Car,List Paragraph Char Char Char Car"/>
    <w:link w:val="Prrafodelista"/>
    <w:uiPriority w:val="34"/>
    <w:qFormat/>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character" w:customStyle="1" w:styleId="Ttulo4Car">
    <w:name w:val="Título 4 Car"/>
    <w:basedOn w:val="Fuentedeprrafopredeter"/>
    <w:link w:val="Ttulo4"/>
    <w:uiPriority w:val="9"/>
    <w:rsid w:val="004C4605"/>
    <w:rPr>
      <w:rFonts w:ascii="Arial" w:eastAsiaTheme="majorEastAsia" w:hAnsi="Arial" w:cstheme="majorBidi"/>
      <w:iCs/>
      <w:szCs w:val="24"/>
      <w:lang w:val="es-ES" w:eastAsia="es-ES"/>
    </w:rPr>
  </w:style>
  <w:style w:type="paragraph" w:customStyle="1" w:styleId="paragraph">
    <w:name w:val="paragraph"/>
    <w:basedOn w:val="Normal"/>
    <w:uiPriority w:val="99"/>
    <w:rsid w:val="00B20EFC"/>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B20EFC"/>
  </w:style>
  <w:style w:type="character" w:customStyle="1" w:styleId="eop">
    <w:name w:val="eop"/>
    <w:basedOn w:val="Fuentedeprrafopredeter"/>
    <w:rsid w:val="00B20EFC"/>
  </w:style>
  <w:style w:type="paragraph" w:styleId="Revisin">
    <w:name w:val="Revision"/>
    <w:hidden/>
    <w:uiPriority w:val="99"/>
    <w:semiHidden/>
    <w:rsid w:val="00284941"/>
    <w:rPr>
      <w:rFonts w:ascii="Times New Roman" w:eastAsia="MS Mincho" w:hAnsi="Times New Roman" w:cs="Times New Roman"/>
      <w:sz w:val="24"/>
      <w:szCs w:val="24"/>
      <w:lang w:val="es-ES" w:eastAsia="es-ES"/>
    </w:rPr>
  </w:style>
  <w:style w:type="paragraph" w:styleId="Textoindependiente">
    <w:name w:val="Body Text"/>
    <w:basedOn w:val="Normal"/>
    <w:link w:val="TextoindependienteCar"/>
    <w:uiPriority w:val="99"/>
    <w:unhideWhenUsed/>
    <w:rsid w:val="009674FC"/>
    <w:pPr>
      <w:spacing w:after="120"/>
    </w:pPr>
  </w:style>
  <w:style w:type="character" w:customStyle="1" w:styleId="TextoindependienteCar">
    <w:name w:val="Texto independiente Car"/>
    <w:basedOn w:val="Fuentedeprrafopredeter"/>
    <w:link w:val="Textoindependiente"/>
    <w:uiPriority w:val="99"/>
    <w:rsid w:val="009674FC"/>
    <w:rPr>
      <w:rFonts w:ascii="Times New Roman" w:eastAsia="MS Mincho"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6268D8"/>
    <w:rPr>
      <w:color w:val="605E5C"/>
      <w:shd w:val="clear" w:color="auto" w:fill="E1DFDD"/>
    </w:rPr>
  </w:style>
  <w:style w:type="character" w:customStyle="1" w:styleId="ui-provider">
    <w:name w:val="ui-provider"/>
    <w:basedOn w:val="Fuentedeprrafopredeter"/>
    <w:rsid w:val="002C100C"/>
  </w:style>
  <w:style w:type="paragraph" w:customStyle="1" w:styleId="pf0">
    <w:name w:val="pf0"/>
    <w:basedOn w:val="Normal"/>
    <w:uiPriority w:val="99"/>
    <w:rsid w:val="000C6BE9"/>
    <w:pPr>
      <w:spacing w:before="100" w:beforeAutospacing="1" w:after="100" w:afterAutospacing="1"/>
    </w:pPr>
    <w:rPr>
      <w:rFonts w:ascii="Times New Roman" w:eastAsia="Times New Roman" w:hAnsi="Times New Roman"/>
      <w:sz w:val="24"/>
      <w:lang w:val="es-CO" w:eastAsia="es-CO"/>
    </w:rPr>
  </w:style>
  <w:style w:type="character" w:styleId="Mencinsinresolver">
    <w:name w:val="Unresolved Mention"/>
    <w:basedOn w:val="Fuentedeprrafopredeter"/>
    <w:uiPriority w:val="99"/>
    <w:semiHidden/>
    <w:unhideWhenUsed/>
    <w:rsid w:val="0075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350">
      <w:bodyDiv w:val="1"/>
      <w:marLeft w:val="0"/>
      <w:marRight w:val="0"/>
      <w:marTop w:val="0"/>
      <w:marBottom w:val="0"/>
      <w:divBdr>
        <w:top w:val="none" w:sz="0" w:space="0" w:color="auto"/>
        <w:left w:val="none" w:sz="0" w:space="0" w:color="auto"/>
        <w:bottom w:val="none" w:sz="0" w:space="0" w:color="auto"/>
        <w:right w:val="none" w:sz="0" w:space="0" w:color="auto"/>
      </w:divBdr>
    </w:div>
    <w:div w:id="132599989">
      <w:bodyDiv w:val="1"/>
      <w:marLeft w:val="0"/>
      <w:marRight w:val="0"/>
      <w:marTop w:val="0"/>
      <w:marBottom w:val="0"/>
      <w:divBdr>
        <w:top w:val="none" w:sz="0" w:space="0" w:color="auto"/>
        <w:left w:val="none" w:sz="0" w:space="0" w:color="auto"/>
        <w:bottom w:val="none" w:sz="0" w:space="0" w:color="auto"/>
        <w:right w:val="none" w:sz="0" w:space="0" w:color="auto"/>
      </w:divBdr>
    </w:div>
    <w:div w:id="153689671">
      <w:bodyDiv w:val="1"/>
      <w:marLeft w:val="0"/>
      <w:marRight w:val="0"/>
      <w:marTop w:val="0"/>
      <w:marBottom w:val="0"/>
      <w:divBdr>
        <w:top w:val="none" w:sz="0" w:space="0" w:color="auto"/>
        <w:left w:val="none" w:sz="0" w:space="0" w:color="auto"/>
        <w:bottom w:val="none" w:sz="0" w:space="0" w:color="auto"/>
        <w:right w:val="none" w:sz="0" w:space="0" w:color="auto"/>
      </w:divBdr>
      <w:divsChild>
        <w:div w:id="149642307">
          <w:marLeft w:val="0"/>
          <w:marRight w:val="0"/>
          <w:marTop w:val="0"/>
          <w:marBottom w:val="0"/>
          <w:divBdr>
            <w:top w:val="none" w:sz="0" w:space="0" w:color="auto"/>
            <w:left w:val="none" w:sz="0" w:space="0" w:color="auto"/>
            <w:bottom w:val="none" w:sz="0" w:space="0" w:color="auto"/>
            <w:right w:val="none" w:sz="0" w:space="0" w:color="auto"/>
          </w:divBdr>
          <w:divsChild>
            <w:div w:id="513685481">
              <w:marLeft w:val="-75"/>
              <w:marRight w:val="0"/>
              <w:marTop w:val="30"/>
              <w:marBottom w:val="30"/>
              <w:divBdr>
                <w:top w:val="none" w:sz="0" w:space="0" w:color="auto"/>
                <w:left w:val="none" w:sz="0" w:space="0" w:color="auto"/>
                <w:bottom w:val="none" w:sz="0" w:space="0" w:color="auto"/>
                <w:right w:val="none" w:sz="0" w:space="0" w:color="auto"/>
              </w:divBdr>
              <w:divsChild>
                <w:div w:id="865209">
                  <w:marLeft w:val="0"/>
                  <w:marRight w:val="0"/>
                  <w:marTop w:val="0"/>
                  <w:marBottom w:val="0"/>
                  <w:divBdr>
                    <w:top w:val="none" w:sz="0" w:space="0" w:color="auto"/>
                    <w:left w:val="none" w:sz="0" w:space="0" w:color="auto"/>
                    <w:bottom w:val="none" w:sz="0" w:space="0" w:color="auto"/>
                    <w:right w:val="none" w:sz="0" w:space="0" w:color="auto"/>
                  </w:divBdr>
                  <w:divsChild>
                    <w:div w:id="536939584">
                      <w:marLeft w:val="0"/>
                      <w:marRight w:val="0"/>
                      <w:marTop w:val="0"/>
                      <w:marBottom w:val="0"/>
                      <w:divBdr>
                        <w:top w:val="none" w:sz="0" w:space="0" w:color="auto"/>
                        <w:left w:val="none" w:sz="0" w:space="0" w:color="auto"/>
                        <w:bottom w:val="none" w:sz="0" w:space="0" w:color="auto"/>
                        <w:right w:val="none" w:sz="0" w:space="0" w:color="auto"/>
                      </w:divBdr>
                    </w:div>
                  </w:divsChild>
                </w:div>
                <w:div w:id="29765203">
                  <w:marLeft w:val="0"/>
                  <w:marRight w:val="0"/>
                  <w:marTop w:val="0"/>
                  <w:marBottom w:val="0"/>
                  <w:divBdr>
                    <w:top w:val="none" w:sz="0" w:space="0" w:color="auto"/>
                    <w:left w:val="none" w:sz="0" w:space="0" w:color="auto"/>
                    <w:bottom w:val="none" w:sz="0" w:space="0" w:color="auto"/>
                    <w:right w:val="none" w:sz="0" w:space="0" w:color="auto"/>
                  </w:divBdr>
                  <w:divsChild>
                    <w:div w:id="1950433241">
                      <w:marLeft w:val="0"/>
                      <w:marRight w:val="0"/>
                      <w:marTop w:val="0"/>
                      <w:marBottom w:val="0"/>
                      <w:divBdr>
                        <w:top w:val="none" w:sz="0" w:space="0" w:color="auto"/>
                        <w:left w:val="none" w:sz="0" w:space="0" w:color="auto"/>
                        <w:bottom w:val="none" w:sz="0" w:space="0" w:color="auto"/>
                        <w:right w:val="none" w:sz="0" w:space="0" w:color="auto"/>
                      </w:divBdr>
                    </w:div>
                  </w:divsChild>
                </w:div>
                <w:div w:id="64034483">
                  <w:marLeft w:val="0"/>
                  <w:marRight w:val="0"/>
                  <w:marTop w:val="0"/>
                  <w:marBottom w:val="0"/>
                  <w:divBdr>
                    <w:top w:val="none" w:sz="0" w:space="0" w:color="auto"/>
                    <w:left w:val="none" w:sz="0" w:space="0" w:color="auto"/>
                    <w:bottom w:val="none" w:sz="0" w:space="0" w:color="auto"/>
                    <w:right w:val="none" w:sz="0" w:space="0" w:color="auto"/>
                  </w:divBdr>
                  <w:divsChild>
                    <w:div w:id="851652658">
                      <w:marLeft w:val="0"/>
                      <w:marRight w:val="0"/>
                      <w:marTop w:val="0"/>
                      <w:marBottom w:val="0"/>
                      <w:divBdr>
                        <w:top w:val="none" w:sz="0" w:space="0" w:color="auto"/>
                        <w:left w:val="none" w:sz="0" w:space="0" w:color="auto"/>
                        <w:bottom w:val="none" w:sz="0" w:space="0" w:color="auto"/>
                        <w:right w:val="none" w:sz="0" w:space="0" w:color="auto"/>
                      </w:divBdr>
                    </w:div>
                  </w:divsChild>
                </w:div>
                <w:div w:id="72708019">
                  <w:marLeft w:val="0"/>
                  <w:marRight w:val="0"/>
                  <w:marTop w:val="0"/>
                  <w:marBottom w:val="0"/>
                  <w:divBdr>
                    <w:top w:val="none" w:sz="0" w:space="0" w:color="auto"/>
                    <w:left w:val="none" w:sz="0" w:space="0" w:color="auto"/>
                    <w:bottom w:val="none" w:sz="0" w:space="0" w:color="auto"/>
                    <w:right w:val="none" w:sz="0" w:space="0" w:color="auto"/>
                  </w:divBdr>
                  <w:divsChild>
                    <w:div w:id="1258096273">
                      <w:marLeft w:val="0"/>
                      <w:marRight w:val="0"/>
                      <w:marTop w:val="0"/>
                      <w:marBottom w:val="0"/>
                      <w:divBdr>
                        <w:top w:val="none" w:sz="0" w:space="0" w:color="auto"/>
                        <w:left w:val="none" w:sz="0" w:space="0" w:color="auto"/>
                        <w:bottom w:val="none" w:sz="0" w:space="0" w:color="auto"/>
                        <w:right w:val="none" w:sz="0" w:space="0" w:color="auto"/>
                      </w:divBdr>
                    </w:div>
                  </w:divsChild>
                </w:div>
                <w:div w:id="93551084">
                  <w:marLeft w:val="0"/>
                  <w:marRight w:val="0"/>
                  <w:marTop w:val="0"/>
                  <w:marBottom w:val="0"/>
                  <w:divBdr>
                    <w:top w:val="none" w:sz="0" w:space="0" w:color="auto"/>
                    <w:left w:val="none" w:sz="0" w:space="0" w:color="auto"/>
                    <w:bottom w:val="none" w:sz="0" w:space="0" w:color="auto"/>
                    <w:right w:val="none" w:sz="0" w:space="0" w:color="auto"/>
                  </w:divBdr>
                  <w:divsChild>
                    <w:div w:id="2106609296">
                      <w:marLeft w:val="0"/>
                      <w:marRight w:val="0"/>
                      <w:marTop w:val="0"/>
                      <w:marBottom w:val="0"/>
                      <w:divBdr>
                        <w:top w:val="none" w:sz="0" w:space="0" w:color="auto"/>
                        <w:left w:val="none" w:sz="0" w:space="0" w:color="auto"/>
                        <w:bottom w:val="none" w:sz="0" w:space="0" w:color="auto"/>
                        <w:right w:val="none" w:sz="0" w:space="0" w:color="auto"/>
                      </w:divBdr>
                    </w:div>
                  </w:divsChild>
                </w:div>
                <w:div w:id="117528466">
                  <w:marLeft w:val="0"/>
                  <w:marRight w:val="0"/>
                  <w:marTop w:val="0"/>
                  <w:marBottom w:val="0"/>
                  <w:divBdr>
                    <w:top w:val="none" w:sz="0" w:space="0" w:color="auto"/>
                    <w:left w:val="none" w:sz="0" w:space="0" w:color="auto"/>
                    <w:bottom w:val="none" w:sz="0" w:space="0" w:color="auto"/>
                    <w:right w:val="none" w:sz="0" w:space="0" w:color="auto"/>
                  </w:divBdr>
                  <w:divsChild>
                    <w:div w:id="237207374">
                      <w:marLeft w:val="0"/>
                      <w:marRight w:val="0"/>
                      <w:marTop w:val="0"/>
                      <w:marBottom w:val="0"/>
                      <w:divBdr>
                        <w:top w:val="none" w:sz="0" w:space="0" w:color="auto"/>
                        <w:left w:val="none" w:sz="0" w:space="0" w:color="auto"/>
                        <w:bottom w:val="none" w:sz="0" w:space="0" w:color="auto"/>
                        <w:right w:val="none" w:sz="0" w:space="0" w:color="auto"/>
                      </w:divBdr>
                    </w:div>
                  </w:divsChild>
                </w:div>
                <w:div w:id="162940108">
                  <w:marLeft w:val="0"/>
                  <w:marRight w:val="0"/>
                  <w:marTop w:val="0"/>
                  <w:marBottom w:val="0"/>
                  <w:divBdr>
                    <w:top w:val="none" w:sz="0" w:space="0" w:color="auto"/>
                    <w:left w:val="none" w:sz="0" w:space="0" w:color="auto"/>
                    <w:bottom w:val="none" w:sz="0" w:space="0" w:color="auto"/>
                    <w:right w:val="none" w:sz="0" w:space="0" w:color="auto"/>
                  </w:divBdr>
                  <w:divsChild>
                    <w:div w:id="1380475824">
                      <w:marLeft w:val="0"/>
                      <w:marRight w:val="0"/>
                      <w:marTop w:val="0"/>
                      <w:marBottom w:val="0"/>
                      <w:divBdr>
                        <w:top w:val="none" w:sz="0" w:space="0" w:color="auto"/>
                        <w:left w:val="none" w:sz="0" w:space="0" w:color="auto"/>
                        <w:bottom w:val="none" w:sz="0" w:space="0" w:color="auto"/>
                        <w:right w:val="none" w:sz="0" w:space="0" w:color="auto"/>
                      </w:divBdr>
                    </w:div>
                  </w:divsChild>
                </w:div>
                <w:div w:id="178475016">
                  <w:marLeft w:val="0"/>
                  <w:marRight w:val="0"/>
                  <w:marTop w:val="0"/>
                  <w:marBottom w:val="0"/>
                  <w:divBdr>
                    <w:top w:val="none" w:sz="0" w:space="0" w:color="auto"/>
                    <w:left w:val="none" w:sz="0" w:space="0" w:color="auto"/>
                    <w:bottom w:val="none" w:sz="0" w:space="0" w:color="auto"/>
                    <w:right w:val="none" w:sz="0" w:space="0" w:color="auto"/>
                  </w:divBdr>
                  <w:divsChild>
                    <w:div w:id="1841696976">
                      <w:marLeft w:val="0"/>
                      <w:marRight w:val="0"/>
                      <w:marTop w:val="0"/>
                      <w:marBottom w:val="0"/>
                      <w:divBdr>
                        <w:top w:val="none" w:sz="0" w:space="0" w:color="auto"/>
                        <w:left w:val="none" w:sz="0" w:space="0" w:color="auto"/>
                        <w:bottom w:val="none" w:sz="0" w:space="0" w:color="auto"/>
                        <w:right w:val="none" w:sz="0" w:space="0" w:color="auto"/>
                      </w:divBdr>
                    </w:div>
                  </w:divsChild>
                </w:div>
                <w:div w:id="193924889">
                  <w:marLeft w:val="0"/>
                  <w:marRight w:val="0"/>
                  <w:marTop w:val="0"/>
                  <w:marBottom w:val="0"/>
                  <w:divBdr>
                    <w:top w:val="none" w:sz="0" w:space="0" w:color="auto"/>
                    <w:left w:val="none" w:sz="0" w:space="0" w:color="auto"/>
                    <w:bottom w:val="none" w:sz="0" w:space="0" w:color="auto"/>
                    <w:right w:val="none" w:sz="0" w:space="0" w:color="auto"/>
                  </w:divBdr>
                  <w:divsChild>
                    <w:div w:id="1256355358">
                      <w:marLeft w:val="0"/>
                      <w:marRight w:val="0"/>
                      <w:marTop w:val="0"/>
                      <w:marBottom w:val="0"/>
                      <w:divBdr>
                        <w:top w:val="none" w:sz="0" w:space="0" w:color="auto"/>
                        <w:left w:val="none" w:sz="0" w:space="0" w:color="auto"/>
                        <w:bottom w:val="none" w:sz="0" w:space="0" w:color="auto"/>
                        <w:right w:val="none" w:sz="0" w:space="0" w:color="auto"/>
                      </w:divBdr>
                    </w:div>
                  </w:divsChild>
                </w:div>
                <w:div w:id="279991422">
                  <w:marLeft w:val="0"/>
                  <w:marRight w:val="0"/>
                  <w:marTop w:val="0"/>
                  <w:marBottom w:val="0"/>
                  <w:divBdr>
                    <w:top w:val="none" w:sz="0" w:space="0" w:color="auto"/>
                    <w:left w:val="none" w:sz="0" w:space="0" w:color="auto"/>
                    <w:bottom w:val="none" w:sz="0" w:space="0" w:color="auto"/>
                    <w:right w:val="none" w:sz="0" w:space="0" w:color="auto"/>
                  </w:divBdr>
                  <w:divsChild>
                    <w:div w:id="1268344820">
                      <w:marLeft w:val="0"/>
                      <w:marRight w:val="0"/>
                      <w:marTop w:val="0"/>
                      <w:marBottom w:val="0"/>
                      <w:divBdr>
                        <w:top w:val="none" w:sz="0" w:space="0" w:color="auto"/>
                        <w:left w:val="none" w:sz="0" w:space="0" w:color="auto"/>
                        <w:bottom w:val="none" w:sz="0" w:space="0" w:color="auto"/>
                        <w:right w:val="none" w:sz="0" w:space="0" w:color="auto"/>
                      </w:divBdr>
                    </w:div>
                  </w:divsChild>
                </w:div>
                <w:div w:id="313218338">
                  <w:marLeft w:val="0"/>
                  <w:marRight w:val="0"/>
                  <w:marTop w:val="0"/>
                  <w:marBottom w:val="0"/>
                  <w:divBdr>
                    <w:top w:val="none" w:sz="0" w:space="0" w:color="auto"/>
                    <w:left w:val="none" w:sz="0" w:space="0" w:color="auto"/>
                    <w:bottom w:val="none" w:sz="0" w:space="0" w:color="auto"/>
                    <w:right w:val="none" w:sz="0" w:space="0" w:color="auto"/>
                  </w:divBdr>
                  <w:divsChild>
                    <w:div w:id="984622036">
                      <w:marLeft w:val="0"/>
                      <w:marRight w:val="0"/>
                      <w:marTop w:val="0"/>
                      <w:marBottom w:val="0"/>
                      <w:divBdr>
                        <w:top w:val="none" w:sz="0" w:space="0" w:color="auto"/>
                        <w:left w:val="none" w:sz="0" w:space="0" w:color="auto"/>
                        <w:bottom w:val="none" w:sz="0" w:space="0" w:color="auto"/>
                        <w:right w:val="none" w:sz="0" w:space="0" w:color="auto"/>
                      </w:divBdr>
                    </w:div>
                  </w:divsChild>
                </w:div>
                <w:div w:id="314573303">
                  <w:marLeft w:val="0"/>
                  <w:marRight w:val="0"/>
                  <w:marTop w:val="0"/>
                  <w:marBottom w:val="0"/>
                  <w:divBdr>
                    <w:top w:val="none" w:sz="0" w:space="0" w:color="auto"/>
                    <w:left w:val="none" w:sz="0" w:space="0" w:color="auto"/>
                    <w:bottom w:val="none" w:sz="0" w:space="0" w:color="auto"/>
                    <w:right w:val="none" w:sz="0" w:space="0" w:color="auto"/>
                  </w:divBdr>
                  <w:divsChild>
                    <w:div w:id="922493448">
                      <w:marLeft w:val="0"/>
                      <w:marRight w:val="0"/>
                      <w:marTop w:val="0"/>
                      <w:marBottom w:val="0"/>
                      <w:divBdr>
                        <w:top w:val="none" w:sz="0" w:space="0" w:color="auto"/>
                        <w:left w:val="none" w:sz="0" w:space="0" w:color="auto"/>
                        <w:bottom w:val="none" w:sz="0" w:space="0" w:color="auto"/>
                        <w:right w:val="none" w:sz="0" w:space="0" w:color="auto"/>
                      </w:divBdr>
                    </w:div>
                  </w:divsChild>
                </w:div>
                <w:div w:id="343552329">
                  <w:marLeft w:val="0"/>
                  <w:marRight w:val="0"/>
                  <w:marTop w:val="0"/>
                  <w:marBottom w:val="0"/>
                  <w:divBdr>
                    <w:top w:val="none" w:sz="0" w:space="0" w:color="auto"/>
                    <w:left w:val="none" w:sz="0" w:space="0" w:color="auto"/>
                    <w:bottom w:val="none" w:sz="0" w:space="0" w:color="auto"/>
                    <w:right w:val="none" w:sz="0" w:space="0" w:color="auto"/>
                  </w:divBdr>
                  <w:divsChild>
                    <w:div w:id="1457455805">
                      <w:marLeft w:val="0"/>
                      <w:marRight w:val="0"/>
                      <w:marTop w:val="0"/>
                      <w:marBottom w:val="0"/>
                      <w:divBdr>
                        <w:top w:val="none" w:sz="0" w:space="0" w:color="auto"/>
                        <w:left w:val="none" w:sz="0" w:space="0" w:color="auto"/>
                        <w:bottom w:val="none" w:sz="0" w:space="0" w:color="auto"/>
                        <w:right w:val="none" w:sz="0" w:space="0" w:color="auto"/>
                      </w:divBdr>
                    </w:div>
                  </w:divsChild>
                </w:div>
                <w:div w:id="479348997">
                  <w:marLeft w:val="0"/>
                  <w:marRight w:val="0"/>
                  <w:marTop w:val="0"/>
                  <w:marBottom w:val="0"/>
                  <w:divBdr>
                    <w:top w:val="none" w:sz="0" w:space="0" w:color="auto"/>
                    <w:left w:val="none" w:sz="0" w:space="0" w:color="auto"/>
                    <w:bottom w:val="none" w:sz="0" w:space="0" w:color="auto"/>
                    <w:right w:val="none" w:sz="0" w:space="0" w:color="auto"/>
                  </w:divBdr>
                  <w:divsChild>
                    <w:div w:id="837116442">
                      <w:marLeft w:val="0"/>
                      <w:marRight w:val="0"/>
                      <w:marTop w:val="0"/>
                      <w:marBottom w:val="0"/>
                      <w:divBdr>
                        <w:top w:val="none" w:sz="0" w:space="0" w:color="auto"/>
                        <w:left w:val="none" w:sz="0" w:space="0" w:color="auto"/>
                        <w:bottom w:val="none" w:sz="0" w:space="0" w:color="auto"/>
                        <w:right w:val="none" w:sz="0" w:space="0" w:color="auto"/>
                      </w:divBdr>
                    </w:div>
                  </w:divsChild>
                </w:div>
                <w:div w:id="524175658">
                  <w:marLeft w:val="0"/>
                  <w:marRight w:val="0"/>
                  <w:marTop w:val="0"/>
                  <w:marBottom w:val="0"/>
                  <w:divBdr>
                    <w:top w:val="none" w:sz="0" w:space="0" w:color="auto"/>
                    <w:left w:val="none" w:sz="0" w:space="0" w:color="auto"/>
                    <w:bottom w:val="none" w:sz="0" w:space="0" w:color="auto"/>
                    <w:right w:val="none" w:sz="0" w:space="0" w:color="auto"/>
                  </w:divBdr>
                  <w:divsChild>
                    <w:div w:id="657922824">
                      <w:marLeft w:val="0"/>
                      <w:marRight w:val="0"/>
                      <w:marTop w:val="0"/>
                      <w:marBottom w:val="0"/>
                      <w:divBdr>
                        <w:top w:val="none" w:sz="0" w:space="0" w:color="auto"/>
                        <w:left w:val="none" w:sz="0" w:space="0" w:color="auto"/>
                        <w:bottom w:val="none" w:sz="0" w:space="0" w:color="auto"/>
                        <w:right w:val="none" w:sz="0" w:space="0" w:color="auto"/>
                      </w:divBdr>
                    </w:div>
                  </w:divsChild>
                </w:div>
                <w:div w:id="666179052">
                  <w:marLeft w:val="0"/>
                  <w:marRight w:val="0"/>
                  <w:marTop w:val="0"/>
                  <w:marBottom w:val="0"/>
                  <w:divBdr>
                    <w:top w:val="none" w:sz="0" w:space="0" w:color="auto"/>
                    <w:left w:val="none" w:sz="0" w:space="0" w:color="auto"/>
                    <w:bottom w:val="none" w:sz="0" w:space="0" w:color="auto"/>
                    <w:right w:val="none" w:sz="0" w:space="0" w:color="auto"/>
                  </w:divBdr>
                  <w:divsChild>
                    <w:div w:id="2104842167">
                      <w:marLeft w:val="0"/>
                      <w:marRight w:val="0"/>
                      <w:marTop w:val="0"/>
                      <w:marBottom w:val="0"/>
                      <w:divBdr>
                        <w:top w:val="none" w:sz="0" w:space="0" w:color="auto"/>
                        <w:left w:val="none" w:sz="0" w:space="0" w:color="auto"/>
                        <w:bottom w:val="none" w:sz="0" w:space="0" w:color="auto"/>
                        <w:right w:val="none" w:sz="0" w:space="0" w:color="auto"/>
                      </w:divBdr>
                    </w:div>
                  </w:divsChild>
                </w:div>
                <w:div w:id="774328516">
                  <w:marLeft w:val="0"/>
                  <w:marRight w:val="0"/>
                  <w:marTop w:val="0"/>
                  <w:marBottom w:val="0"/>
                  <w:divBdr>
                    <w:top w:val="none" w:sz="0" w:space="0" w:color="auto"/>
                    <w:left w:val="none" w:sz="0" w:space="0" w:color="auto"/>
                    <w:bottom w:val="none" w:sz="0" w:space="0" w:color="auto"/>
                    <w:right w:val="none" w:sz="0" w:space="0" w:color="auto"/>
                  </w:divBdr>
                  <w:divsChild>
                    <w:div w:id="1559435410">
                      <w:marLeft w:val="0"/>
                      <w:marRight w:val="0"/>
                      <w:marTop w:val="0"/>
                      <w:marBottom w:val="0"/>
                      <w:divBdr>
                        <w:top w:val="none" w:sz="0" w:space="0" w:color="auto"/>
                        <w:left w:val="none" w:sz="0" w:space="0" w:color="auto"/>
                        <w:bottom w:val="none" w:sz="0" w:space="0" w:color="auto"/>
                        <w:right w:val="none" w:sz="0" w:space="0" w:color="auto"/>
                      </w:divBdr>
                    </w:div>
                  </w:divsChild>
                </w:div>
                <w:div w:id="782578789">
                  <w:marLeft w:val="0"/>
                  <w:marRight w:val="0"/>
                  <w:marTop w:val="0"/>
                  <w:marBottom w:val="0"/>
                  <w:divBdr>
                    <w:top w:val="none" w:sz="0" w:space="0" w:color="auto"/>
                    <w:left w:val="none" w:sz="0" w:space="0" w:color="auto"/>
                    <w:bottom w:val="none" w:sz="0" w:space="0" w:color="auto"/>
                    <w:right w:val="none" w:sz="0" w:space="0" w:color="auto"/>
                  </w:divBdr>
                  <w:divsChild>
                    <w:div w:id="1363169143">
                      <w:marLeft w:val="0"/>
                      <w:marRight w:val="0"/>
                      <w:marTop w:val="0"/>
                      <w:marBottom w:val="0"/>
                      <w:divBdr>
                        <w:top w:val="none" w:sz="0" w:space="0" w:color="auto"/>
                        <w:left w:val="none" w:sz="0" w:space="0" w:color="auto"/>
                        <w:bottom w:val="none" w:sz="0" w:space="0" w:color="auto"/>
                        <w:right w:val="none" w:sz="0" w:space="0" w:color="auto"/>
                      </w:divBdr>
                    </w:div>
                  </w:divsChild>
                </w:div>
                <w:div w:id="783772408">
                  <w:marLeft w:val="0"/>
                  <w:marRight w:val="0"/>
                  <w:marTop w:val="0"/>
                  <w:marBottom w:val="0"/>
                  <w:divBdr>
                    <w:top w:val="none" w:sz="0" w:space="0" w:color="auto"/>
                    <w:left w:val="none" w:sz="0" w:space="0" w:color="auto"/>
                    <w:bottom w:val="none" w:sz="0" w:space="0" w:color="auto"/>
                    <w:right w:val="none" w:sz="0" w:space="0" w:color="auto"/>
                  </w:divBdr>
                  <w:divsChild>
                    <w:div w:id="390926031">
                      <w:marLeft w:val="0"/>
                      <w:marRight w:val="0"/>
                      <w:marTop w:val="0"/>
                      <w:marBottom w:val="0"/>
                      <w:divBdr>
                        <w:top w:val="none" w:sz="0" w:space="0" w:color="auto"/>
                        <w:left w:val="none" w:sz="0" w:space="0" w:color="auto"/>
                        <w:bottom w:val="none" w:sz="0" w:space="0" w:color="auto"/>
                        <w:right w:val="none" w:sz="0" w:space="0" w:color="auto"/>
                      </w:divBdr>
                    </w:div>
                    <w:div w:id="1521967758">
                      <w:marLeft w:val="0"/>
                      <w:marRight w:val="0"/>
                      <w:marTop w:val="0"/>
                      <w:marBottom w:val="0"/>
                      <w:divBdr>
                        <w:top w:val="none" w:sz="0" w:space="0" w:color="auto"/>
                        <w:left w:val="none" w:sz="0" w:space="0" w:color="auto"/>
                        <w:bottom w:val="none" w:sz="0" w:space="0" w:color="auto"/>
                        <w:right w:val="none" w:sz="0" w:space="0" w:color="auto"/>
                      </w:divBdr>
                    </w:div>
                  </w:divsChild>
                </w:div>
                <w:div w:id="813529704">
                  <w:marLeft w:val="0"/>
                  <w:marRight w:val="0"/>
                  <w:marTop w:val="0"/>
                  <w:marBottom w:val="0"/>
                  <w:divBdr>
                    <w:top w:val="none" w:sz="0" w:space="0" w:color="auto"/>
                    <w:left w:val="none" w:sz="0" w:space="0" w:color="auto"/>
                    <w:bottom w:val="none" w:sz="0" w:space="0" w:color="auto"/>
                    <w:right w:val="none" w:sz="0" w:space="0" w:color="auto"/>
                  </w:divBdr>
                  <w:divsChild>
                    <w:div w:id="1279869938">
                      <w:marLeft w:val="0"/>
                      <w:marRight w:val="0"/>
                      <w:marTop w:val="0"/>
                      <w:marBottom w:val="0"/>
                      <w:divBdr>
                        <w:top w:val="none" w:sz="0" w:space="0" w:color="auto"/>
                        <w:left w:val="none" w:sz="0" w:space="0" w:color="auto"/>
                        <w:bottom w:val="none" w:sz="0" w:space="0" w:color="auto"/>
                        <w:right w:val="none" w:sz="0" w:space="0" w:color="auto"/>
                      </w:divBdr>
                    </w:div>
                  </w:divsChild>
                </w:div>
                <w:div w:id="826480547">
                  <w:marLeft w:val="0"/>
                  <w:marRight w:val="0"/>
                  <w:marTop w:val="0"/>
                  <w:marBottom w:val="0"/>
                  <w:divBdr>
                    <w:top w:val="none" w:sz="0" w:space="0" w:color="auto"/>
                    <w:left w:val="none" w:sz="0" w:space="0" w:color="auto"/>
                    <w:bottom w:val="none" w:sz="0" w:space="0" w:color="auto"/>
                    <w:right w:val="none" w:sz="0" w:space="0" w:color="auto"/>
                  </w:divBdr>
                  <w:divsChild>
                    <w:div w:id="475419505">
                      <w:marLeft w:val="0"/>
                      <w:marRight w:val="0"/>
                      <w:marTop w:val="0"/>
                      <w:marBottom w:val="0"/>
                      <w:divBdr>
                        <w:top w:val="none" w:sz="0" w:space="0" w:color="auto"/>
                        <w:left w:val="none" w:sz="0" w:space="0" w:color="auto"/>
                        <w:bottom w:val="none" w:sz="0" w:space="0" w:color="auto"/>
                        <w:right w:val="none" w:sz="0" w:space="0" w:color="auto"/>
                      </w:divBdr>
                    </w:div>
                  </w:divsChild>
                </w:div>
                <w:div w:id="877278135">
                  <w:marLeft w:val="0"/>
                  <w:marRight w:val="0"/>
                  <w:marTop w:val="0"/>
                  <w:marBottom w:val="0"/>
                  <w:divBdr>
                    <w:top w:val="none" w:sz="0" w:space="0" w:color="auto"/>
                    <w:left w:val="none" w:sz="0" w:space="0" w:color="auto"/>
                    <w:bottom w:val="none" w:sz="0" w:space="0" w:color="auto"/>
                    <w:right w:val="none" w:sz="0" w:space="0" w:color="auto"/>
                  </w:divBdr>
                  <w:divsChild>
                    <w:div w:id="1143428123">
                      <w:marLeft w:val="0"/>
                      <w:marRight w:val="0"/>
                      <w:marTop w:val="0"/>
                      <w:marBottom w:val="0"/>
                      <w:divBdr>
                        <w:top w:val="none" w:sz="0" w:space="0" w:color="auto"/>
                        <w:left w:val="none" w:sz="0" w:space="0" w:color="auto"/>
                        <w:bottom w:val="none" w:sz="0" w:space="0" w:color="auto"/>
                        <w:right w:val="none" w:sz="0" w:space="0" w:color="auto"/>
                      </w:divBdr>
                    </w:div>
                  </w:divsChild>
                </w:div>
                <w:div w:id="902372866">
                  <w:marLeft w:val="0"/>
                  <w:marRight w:val="0"/>
                  <w:marTop w:val="0"/>
                  <w:marBottom w:val="0"/>
                  <w:divBdr>
                    <w:top w:val="none" w:sz="0" w:space="0" w:color="auto"/>
                    <w:left w:val="none" w:sz="0" w:space="0" w:color="auto"/>
                    <w:bottom w:val="none" w:sz="0" w:space="0" w:color="auto"/>
                    <w:right w:val="none" w:sz="0" w:space="0" w:color="auto"/>
                  </w:divBdr>
                  <w:divsChild>
                    <w:div w:id="2078703399">
                      <w:marLeft w:val="0"/>
                      <w:marRight w:val="0"/>
                      <w:marTop w:val="0"/>
                      <w:marBottom w:val="0"/>
                      <w:divBdr>
                        <w:top w:val="none" w:sz="0" w:space="0" w:color="auto"/>
                        <w:left w:val="none" w:sz="0" w:space="0" w:color="auto"/>
                        <w:bottom w:val="none" w:sz="0" w:space="0" w:color="auto"/>
                        <w:right w:val="none" w:sz="0" w:space="0" w:color="auto"/>
                      </w:divBdr>
                    </w:div>
                  </w:divsChild>
                </w:div>
                <w:div w:id="967902687">
                  <w:marLeft w:val="0"/>
                  <w:marRight w:val="0"/>
                  <w:marTop w:val="0"/>
                  <w:marBottom w:val="0"/>
                  <w:divBdr>
                    <w:top w:val="none" w:sz="0" w:space="0" w:color="auto"/>
                    <w:left w:val="none" w:sz="0" w:space="0" w:color="auto"/>
                    <w:bottom w:val="none" w:sz="0" w:space="0" w:color="auto"/>
                    <w:right w:val="none" w:sz="0" w:space="0" w:color="auto"/>
                  </w:divBdr>
                  <w:divsChild>
                    <w:div w:id="274413663">
                      <w:marLeft w:val="0"/>
                      <w:marRight w:val="0"/>
                      <w:marTop w:val="0"/>
                      <w:marBottom w:val="0"/>
                      <w:divBdr>
                        <w:top w:val="none" w:sz="0" w:space="0" w:color="auto"/>
                        <w:left w:val="none" w:sz="0" w:space="0" w:color="auto"/>
                        <w:bottom w:val="none" w:sz="0" w:space="0" w:color="auto"/>
                        <w:right w:val="none" w:sz="0" w:space="0" w:color="auto"/>
                      </w:divBdr>
                    </w:div>
                  </w:divsChild>
                </w:div>
                <w:div w:id="1050617532">
                  <w:marLeft w:val="0"/>
                  <w:marRight w:val="0"/>
                  <w:marTop w:val="0"/>
                  <w:marBottom w:val="0"/>
                  <w:divBdr>
                    <w:top w:val="none" w:sz="0" w:space="0" w:color="auto"/>
                    <w:left w:val="none" w:sz="0" w:space="0" w:color="auto"/>
                    <w:bottom w:val="none" w:sz="0" w:space="0" w:color="auto"/>
                    <w:right w:val="none" w:sz="0" w:space="0" w:color="auto"/>
                  </w:divBdr>
                  <w:divsChild>
                    <w:div w:id="174732977">
                      <w:marLeft w:val="0"/>
                      <w:marRight w:val="0"/>
                      <w:marTop w:val="0"/>
                      <w:marBottom w:val="0"/>
                      <w:divBdr>
                        <w:top w:val="none" w:sz="0" w:space="0" w:color="auto"/>
                        <w:left w:val="none" w:sz="0" w:space="0" w:color="auto"/>
                        <w:bottom w:val="none" w:sz="0" w:space="0" w:color="auto"/>
                        <w:right w:val="none" w:sz="0" w:space="0" w:color="auto"/>
                      </w:divBdr>
                    </w:div>
                  </w:divsChild>
                </w:div>
                <w:div w:id="1111316048">
                  <w:marLeft w:val="0"/>
                  <w:marRight w:val="0"/>
                  <w:marTop w:val="0"/>
                  <w:marBottom w:val="0"/>
                  <w:divBdr>
                    <w:top w:val="none" w:sz="0" w:space="0" w:color="auto"/>
                    <w:left w:val="none" w:sz="0" w:space="0" w:color="auto"/>
                    <w:bottom w:val="none" w:sz="0" w:space="0" w:color="auto"/>
                    <w:right w:val="none" w:sz="0" w:space="0" w:color="auto"/>
                  </w:divBdr>
                  <w:divsChild>
                    <w:div w:id="1633707774">
                      <w:marLeft w:val="0"/>
                      <w:marRight w:val="0"/>
                      <w:marTop w:val="0"/>
                      <w:marBottom w:val="0"/>
                      <w:divBdr>
                        <w:top w:val="none" w:sz="0" w:space="0" w:color="auto"/>
                        <w:left w:val="none" w:sz="0" w:space="0" w:color="auto"/>
                        <w:bottom w:val="none" w:sz="0" w:space="0" w:color="auto"/>
                        <w:right w:val="none" w:sz="0" w:space="0" w:color="auto"/>
                      </w:divBdr>
                    </w:div>
                  </w:divsChild>
                </w:div>
                <w:div w:id="1111509604">
                  <w:marLeft w:val="0"/>
                  <w:marRight w:val="0"/>
                  <w:marTop w:val="0"/>
                  <w:marBottom w:val="0"/>
                  <w:divBdr>
                    <w:top w:val="none" w:sz="0" w:space="0" w:color="auto"/>
                    <w:left w:val="none" w:sz="0" w:space="0" w:color="auto"/>
                    <w:bottom w:val="none" w:sz="0" w:space="0" w:color="auto"/>
                    <w:right w:val="none" w:sz="0" w:space="0" w:color="auto"/>
                  </w:divBdr>
                  <w:divsChild>
                    <w:div w:id="199170789">
                      <w:marLeft w:val="0"/>
                      <w:marRight w:val="0"/>
                      <w:marTop w:val="0"/>
                      <w:marBottom w:val="0"/>
                      <w:divBdr>
                        <w:top w:val="none" w:sz="0" w:space="0" w:color="auto"/>
                        <w:left w:val="none" w:sz="0" w:space="0" w:color="auto"/>
                        <w:bottom w:val="none" w:sz="0" w:space="0" w:color="auto"/>
                        <w:right w:val="none" w:sz="0" w:space="0" w:color="auto"/>
                      </w:divBdr>
                    </w:div>
                  </w:divsChild>
                </w:div>
                <w:div w:id="1192763261">
                  <w:marLeft w:val="0"/>
                  <w:marRight w:val="0"/>
                  <w:marTop w:val="0"/>
                  <w:marBottom w:val="0"/>
                  <w:divBdr>
                    <w:top w:val="none" w:sz="0" w:space="0" w:color="auto"/>
                    <w:left w:val="none" w:sz="0" w:space="0" w:color="auto"/>
                    <w:bottom w:val="none" w:sz="0" w:space="0" w:color="auto"/>
                    <w:right w:val="none" w:sz="0" w:space="0" w:color="auto"/>
                  </w:divBdr>
                  <w:divsChild>
                    <w:div w:id="593129912">
                      <w:marLeft w:val="0"/>
                      <w:marRight w:val="0"/>
                      <w:marTop w:val="0"/>
                      <w:marBottom w:val="0"/>
                      <w:divBdr>
                        <w:top w:val="none" w:sz="0" w:space="0" w:color="auto"/>
                        <w:left w:val="none" w:sz="0" w:space="0" w:color="auto"/>
                        <w:bottom w:val="none" w:sz="0" w:space="0" w:color="auto"/>
                        <w:right w:val="none" w:sz="0" w:space="0" w:color="auto"/>
                      </w:divBdr>
                    </w:div>
                  </w:divsChild>
                </w:div>
                <w:div w:id="1291663744">
                  <w:marLeft w:val="0"/>
                  <w:marRight w:val="0"/>
                  <w:marTop w:val="0"/>
                  <w:marBottom w:val="0"/>
                  <w:divBdr>
                    <w:top w:val="none" w:sz="0" w:space="0" w:color="auto"/>
                    <w:left w:val="none" w:sz="0" w:space="0" w:color="auto"/>
                    <w:bottom w:val="none" w:sz="0" w:space="0" w:color="auto"/>
                    <w:right w:val="none" w:sz="0" w:space="0" w:color="auto"/>
                  </w:divBdr>
                  <w:divsChild>
                    <w:div w:id="722829253">
                      <w:marLeft w:val="0"/>
                      <w:marRight w:val="0"/>
                      <w:marTop w:val="0"/>
                      <w:marBottom w:val="0"/>
                      <w:divBdr>
                        <w:top w:val="none" w:sz="0" w:space="0" w:color="auto"/>
                        <w:left w:val="none" w:sz="0" w:space="0" w:color="auto"/>
                        <w:bottom w:val="none" w:sz="0" w:space="0" w:color="auto"/>
                        <w:right w:val="none" w:sz="0" w:space="0" w:color="auto"/>
                      </w:divBdr>
                    </w:div>
                  </w:divsChild>
                </w:div>
                <w:div w:id="1317224499">
                  <w:marLeft w:val="0"/>
                  <w:marRight w:val="0"/>
                  <w:marTop w:val="0"/>
                  <w:marBottom w:val="0"/>
                  <w:divBdr>
                    <w:top w:val="none" w:sz="0" w:space="0" w:color="auto"/>
                    <w:left w:val="none" w:sz="0" w:space="0" w:color="auto"/>
                    <w:bottom w:val="none" w:sz="0" w:space="0" w:color="auto"/>
                    <w:right w:val="none" w:sz="0" w:space="0" w:color="auto"/>
                  </w:divBdr>
                  <w:divsChild>
                    <w:div w:id="1506169116">
                      <w:marLeft w:val="0"/>
                      <w:marRight w:val="0"/>
                      <w:marTop w:val="0"/>
                      <w:marBottom w:val="0"/>
                      <w:divBdr>
                        <w:top w:val="none" w:sz="0" w:space="0" w:color="auto"/>
                        <w:left w:val="none" w:sz="0" w:space="0" w:color="auto"/>
                        <w:bottom w:val="none" w:sz="0" w:space="0" w:color="auto"/>
                        <w:right w:val="none" w:sz="0" w:space="0" w:color="auto"/>
                      </w:divBdr>
                    </w:div>
                  </w:divsChild>
                </w:div>
                <w:div w:id="1513304578">
                  <w:marLeft w:val="0"/>
                  <w:marRight w:val="0"/>
                  <w:marTop w:val="0"/>
                  <w:marBottom w:val="0"/>
                  <w:divBdr>
                    <w:top w:val="none" w:sz="0" w:space="0" w:color="auto"/>
                    <w:left w:val="none" w:sz="0" w:space="0" w:color="auto"/>
                    <w:bottom w:val="none" w:sz="0" w:space="0" w:color="auto"/>
                    <w:right w:val="none" w:sz="0" w:space="0" w:color="auto"/>
                  </w:divBdr>
                  <w:divsChild>
                    <w:div w:id="51924172">
                      <w:marLeft w:val="0"/>
                      <w:marRight w:val="0"/>
                      <w:marTop w:val="0"/>
                      <w:marBottom w:val="0"/>
                      <w:divBdr>
                        <w:top w:val="none" w:sz="0" w:space="0" w:color="auto"/>
                        <w:left w:val="none" w:sz="0" w:space="0" w:color="auto"/>
                        <w:bottom w:val="none" w:sz="0" w:space="0" w:color="auto"/>
                        <w:right w:val="none" w:sz="0" w:space="0" w:color="auto"/>
                      </w:divBdr>
                    </w:div>
                  </w:divsChild>
                </w:div>
                <w:div w:id="1517617482">
                  <w:marLeft w:val="0"/>
                  <w:marRight w:val="0"/>
                  <w:marTop w:val="0"/>
                  <w:marBottom w:val="0"/>
                  <w:divBdr>
                    <w:top w:val="none" w:sz="0" w:space="0" w:color="auto"/>
                    <w:left w:val="none" w:sz="0" w:space="0" w:color="auto"/>
                    <w:bottom w:val="none" w:sz="0" w:space="0" w:color="auto"/>
                    <w:right w:val="none" w:sz="0" w:space="0" w:color="auto"/>
                  </w:divBdr>
                  <w:divsChild>
                    <w:div w:id="69160010">
                      <w:marLeft w:val="0"/>
                      <w:marRight w:val="0"/>
                      <w:marTop w:val="0"/>
                      <w:marBottom w:val="0"/>
                      <w:divBdr>
                        <w:top w:val="none" w:sz="0" w:space="0" w:color="auto"/>
                        <w:left w:val="none" w:sz="0" w:space="0" w:color="auto"/>
                        <w:bottom w:val="none" w:sz="0" w:space="0" w:color="auto"/>
                        <w:right w:val="none" w:sz="0" w:space="0" w:color="auto"/>
                      </w:divBdr>
                    </w:div>
                  </w:divsChild>
                </w:div>
                <w:div w:id="1530148402">
                  <w:marLeft w:val="0"/>
                  <w:marRight w:val="0"/>
                  <w:marTop w:val="0"/>
                  <w:marBottom w:val="0"/>
                  <w:divBdr>
                    <w:top w:val="none" w:sz="0" w:space="0" w:color="auto"/>
                    <w:left w:val="none" w:sz="0" w:space="0" w:color="auto"/>
                    <w:bottom w:val="none" w:sz="0" w:space="0" w:color="auto"/>
                    <w:right w:val="none" w:sz="0" w:space="0" w:color="auto"/>
                  </w:divBdr>
                  <w:divsChild>
                    <w:div w:id="1472166219">
                      <w:marLeft w:val="0"/>
                      <w:marRight w:val="0"/>
                      <w:marTop w:val="0"/>
                      <w:marBottom w:val="0"/>
                      <w:divBdr>
                        <w:top w:val="none" w:sz="0" w:space="0" w:color="auto"/>
                        <w:left w:val="none" w:sz="0" w:space="0" w:color="auto"/>
                        <w:bottom w:val="none" w:sz="0" w:space="0" w:color="auto"/>
                        <w:right w:val="none" w:sz="0" w:space="0" w:color="auto"/>
                      </w:divBdr>
                    </w:div>
                  </w:divsChild>
                </w:div>
                <w:div w:id="1623148214">
                  <w:marLeft w:val="0"/>
                  <w:marRight w:val="0"/>
                  <w:marTop w:val="0"/>
                  <w:marBottom w:val="0"/>
                  <w:divBdr>
                    <w:top w:val="none" w:sz="0" w:space="0" w:color="auto"/>
                    <w:left w:val="none" w:sz="0" w:space="0" w:color="auto"/>
                    <w:bottom w:val="none" w:sz="0" w:space="0" w:color="auto"/>
                    <w:right w:val="none" w:sz="0" w:space="0" w:color="auto"/>
                  </w:divBdr>
                  <w:divsChild>
                    <w:div w:id="758066238">
                      <w:marLeft w:val="0"/>
                      <w:marRight w:val="0"/>
                      <w:marTop w:val="0"/>
                      <w:marBottom w:val="0"/>
                      <w:divBdr>
                        <w:top w:val="none" w:sz="0" w:space="0" w:color="auto"/>
                        <w:left w:val="none" w:sz="0" w:space="0" w:color="auto"/>
                        <w:bottom w:val="none" w:sz="0" w:space="0" w:color="auto"/>
                        <w:right w:val="none" w:sz="0" w:space="0" w:color="auto"/>
                      </w:divBdr>
                    </w:div>
                  </w:divsChild>
                </w:div>
                <w:div w:id="1630435185">
                  <w:marLeft w:val="0"/>
                  <w:marRight w:val="0"/>
                  <w:marTop w:val="0"/>
                  <w:marBottom w:val="0"/>
                  <w:divBdr>
                    <w:top w:val="none" w:sz="0" w:space="0" w:color="auto"/>
                    <w:left w:val="none" w:sz="0" w:space="0" w:color="auto"/>
                    <w:bottom w:val="none" w:sz="0" w:space="0" w:color="auto"/>
                    <w:right w:val="none" w:sz="0" w:space="0" w:color="auto"/>
                  </w:divBdr>
                  <w:divsChild>
                    <w:div w:id="465974235">
                      <w:marLeft w:val="0"/>
                      <w:marRight w:val="0"/>
                      <w:marTop w:val="0"/>
                      <w:marBottom w:val="0"/>
                      <w:divBdr>
                        <w:top w:val="none" w:sz="0" w:space="0" w:color="auto"/>
                        <w:left w:val="none" w:sz="0" w:space="0" w:color="auto"/>
                        <w:bottom w:val="none" w:sz="0" w:space="0" w:color="auto"/>
                        <w:right w:val="none" w:sz="0" w:space="0" w:color="auto"/>
                      </w:divBdr>
                    </w:div>
                  </w:divsChild>
                </w:div>
                <w:div w:id="1664433557">
                  <w:marLeft w:val="0"/>
                  <w:marRight w:val="0"/>
                  <w:marTop w:val="0"/>
                  <w:marBottom w:val="0"/>
                  <w:divBdr>
                    <w:top w:val="none" w:sz="0" w:space="0" w:color="auto"/>
                    <w:left w:val="none" w:sz="0" w:space="0" w:color="auto"/>
                    <w:bottom w:val="none" w:sz="0" w:space="0" w:color="auto"/>
                    <w:right w:val="none" w:sz="0" w:space="0" w:color="auto"/>
                  </w:divBdr>
                  <w:divsChild>
                    <w:div w:id="1995721229">
                      <w:marLeft w:val="0"/>
                      <w:marRight w:val="0"/>
                      <w:marTop w:val="0"/>
                      <w:marBottom w:val="0"/>
                      <w:divBdr>
                        <w:top w:val="none" w:sz="0" w:space="0" w:color="auto"/>
                        <w:left w:val="none" w:sz="0" w:space="0" w:color="auto"/>
                        <w:bottom w:val="none" w:sz="0" w:space="0" w:color="auto"/>
                        <w:right w:val="none" w:sz="0" w:space="0" w:color="auto"/>
                      </w:divBdr>
                    </w:div>
                  </w:divsChild>
                </w:div>
                <w:div w:id="1759017547">
                  <w:marLeft w:val="0"/>
                  <w:marRight w:val="0"/>
                  <w:marTop w:val="0"/>
                  <w:marBottom w:val="0"/>
                  <w:divBdr>
                    <w:top w:val="none" w:sz="0" w:space="0" w:color="auto"/>
                    <w:left w:val="none" w:sz="0" w:space="0" w:color="auto"/>
                    <w:bottom w:val="none" w:sz="0" w:space="0" w:color="auto"/>
                    <w:right w:val="none" w:sz="0" w:space="0" w:color="auto"/>
                  </w:divBdr>
                  <w:divsChild>
                    <w:div w:id="1931891050">
                      <w:marLeft w:val="0"/>
                      <w:marRight w:val="0"/>
                      <w:marTop w:val="0"/>
                      <w:marBottom w:val="0"/>
                      <w:divBdr>
                        <w:top w:val="none" w:sz="0" w:space="0" w:color="auto"/>
                        <w:left w:val="none" w:sz="0" w:space="0" w:color="auto"/>
                        <w:bottom w:val="none" w:sz="0" w:space="0" w:color="auto"/>
                        <w:right w:val="none" w:sz="0" w:space="0" w:color="auto"/>
                      </w:divBdr>
                    </w:div>
                  </w:divsChild>
                </w:div>
                <w:div w:id="1812596875">
                  <w:marLeft w:val="0"/>
                  <w:marRight w:val="0"/>
                  <w:marTop w:val="0"/>
                  <w:marBottom w:val="0"/>
                  <w:divBdr>
                    <w:top w:val="none" w:sz="0" w:space="0" w:color="auto"/>
                    <w:left w:val="none" w:sz="0" w:space="0" w:color="auto"/>
                    <w:bottom w:val="none" w:sz="0" w:space="0" w:color="auto"/>
                    <w:right w:val="none" w:sz="0" w:space="0" w:color="auto"/>
                  </w:divBdr>
                  <w:divsChild>
                    <w:div w:id="286396450">
                      <w:marLeft w:val="0"/>
                      <w:marRight w:val="0"/>
                      <w:marTop w:val="0"/>
                      <w:marBottom w:val="0"/>
                      <w:divBdr>
                        <w:top w:val="none" w:sz="0" w:space="0" w:color="auto"/>
                        <w:left w:val="none" w:sz="0" w:space="0" w:color="auto"/>
                        <w:bottom w:val="none" w:sz="0" w:space="0" w:color="auto"/>
                        <w:right w:val="none" w:sz="0" w:space="0" w:color="auto"/>
                      </w:divBdr>
                    </w:div>
                  </w:divsChild>
                </w:div>
                <w:div w:id="1816025667">
                  <w:marLeft w:val="0"/>
                  <w:marRight w:val="0"/>
                  <w:marTop w:val="0"/>
                  <w:marBottom w:val="0"/>
                  <w:divBdr>
                    <w:top w:val="none" w:sz="0" w:space="0" w:color="auto"/>
                    <w:left w:val="none" w:sz="0" w:space="0" w:color="auto"/>
                    <w:bottom w:val="none" w:sz="0" w:space="0" w:color="auto"/>
                    <w:right w:val="none" w:sz="0" w:space="0" w:color="auto"/>
                  </w:divBdr>
                  <w:divsChild>
                    <w:div w:id="1534269845">
                      <w:marLeft w:val="0"/>
                      <w:marRight w:val="0"/>
                      <w:marTop w:val="0"/>
                      <w:marBottom w:val="0"/>
                      <w:divBdr>
                        <w:top w:val="none" w:sz="0" w:space="0" w:color="auto"/>
                        <w:left w:val="none" w:sz="0" w:space="0" w:color="auto"/>
                        <w:bottom w:val="none" w:sz="0" w:space="0" w:color="auto"/>
                        <w:right w:val="none" w:sz="0" w:space="0" w:color="auto"/>
                      </w:divBdr>
                    </w:div>
                  </w:divsChild>
                </w:div>
                <w:div w:id="1888104105">
                  <w:marLeft w:val="0"/>
                  <w:marRight w:val="0"/>
                  <w:marTop w:val="0"/>
                  <w:marBottom w:val="0"/>
                  <w:divBdr>
                    <w:top w:val="none" w:sz="0" w:space="0" w:color="auto"/>
                    <w:left w:val="none" w:sz="0" w:space="0" w:color="auto"/>
                    <w:bottom w:val="none" w:sz="0" w:space="0" w:color="auto"/>
                    <w:right w:val="none" w:sz="0" w:space="0" w:color="auto"/>
                  </w:divBdr>
                  <w:divsChild>
                    <w:div w:id="95373800">
                      <w:marLeft w:val="0"/>
                      <w:marRight w:val="0"/>
                      <w:marTop w:val="0"/>
                      <w:marBottom w:val="0"/>
                      <w:divBdr>
                        <w:top w:val="none" w:sz="0" w:space="0" w:color="auto"/>
                        <w:left w:val="none" w:sz="0" w:space="0" w:color="auto"/>
                        <w:bottom w:val="none" w:sz="0" w:space="0" w:color="auto"/>
                        <w:right w:val="none" w:sz="0" w:space="0" w:color="auto"/>
                      </w:divBdr>
                    </w:div>
                  </w:divsChild>
                </w:div>
                <w:div w:id="2097945649">
                  <w:marLeft w:val="0"/>
                  <w:marRight w:val="0"/>
                  <w:marTop w:val="0"/>
                  <w:marBottom w:val="0"/>
                  <w:divBdr>
                    <w:top w:val="none" w:sz="0" w:space="0" w:color="auto"/>
                    <w:left w:val="none" w:sz="0" w:space="0" w:color="auto"/>
                    <w:bottom w:val="none" w:sz="0" w:space="0" w:color="auto"/>
                    <w:right w:val="none" w:sz="0" w:space="0" w:color="auto"/>
                  </w:divBdr>
                  <w:divsChild>
                    <w:div w:id="10752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3732">
          <w:marLeft w:val="0"/>
          <w:marRight w:val="0"/>
          <w:marTop w:val="0"/>
          <w:marBottom w:val="0"/>
          <w:divBdr>
            <w:top w:val="none" w:sz="0" w:space="0" w:color="auto"/>
            <w:left w:val="none" w:sz="0" w:space="0" w:color="auto"/>
            <w:bottom w:val="none" w:sz="0" w:space="0" w:color="auto"/>
            <w:right w:val="none" w:sz="0" w:space="0" w:color="auto"/>
          </w:divBdr>
        </w:div>
        <w:div w:id="245117048">
          <w:marLeft w:val="0"/>
          <w:marRight w:val="0"/>
          <w:marTop w:val="0"/>
          <w:marBottom w:val="0"/>
          <w:divBdr>
            <w:top w:val="none" w:sz="0" w:space="0" w:color="auto"/>
            <w:left w:val="none" w:sz="0" w:space="0" w:color="auto"/>
            <w:bottom w:val="none" w:sz="0" w:space="0" w:color="auto"/>
            <w:right w:val="none" w:sz="0" w:space="0" w:color="auto"/>
          </w:divBdr>
        </w:div>
        <w:div w:id="284698901">
          <w:marLeft w:val="0"/>
          <w:marRight w:val="0"/>
          <w:marTop w:val="0"/>
          <w:marBottom w:val="0"/>
          <w:divBdr>
            <w:top w:val="none" w:sz="0" w:space="0" w:color="auto"/>
            <w:left w:val="none" w:sz="0" w:space="0" w:color="auto"/>
            <w:bottom w:val="none" w:sz="0" w:space="0" w:color="auto"/>
            <w:right w:val="none" w:sz="0" w:space="0" w:color="auto"/>
          </w:divBdr>
        </w:div>
        <w:div w:id="321663382">
          <w:marLeft w:val="0"/>
          <w:marRight w:val="0"/>
          <w:marTop w:val="0"/>
          <w:marBottom w:val="0"/>
          <w:divBdr>
            <w:top w:val="none" w:sz="0" w:space="0" w:color="auto"/>
            <w:left w:val="none" w:sz="0" w:space="0" w:color="auto"/>
            <w:bottom w:val="none" w:sz="0" w:space="0" w:color="auto"/>
            <w:right w:val="none" w:sz="0" w:space="0" w:color="auto"/>
          </w:divBdr>
        </w:div>
        <w:div w:id="375550703">
          <w:marLeft w:val="0"/>
          <w:marRight w:val="0"/>
          <w:marTop w:val="0"/>
          <w:marBottom w:val="0"/>
          <w:divBdr>
            <w:top w:val="none" w:sz="0" w:space="0" w:color="auto"/>
            <w:left w:val="none" w:sz="0" w:space="0" w:color="auto"/>
            <w:bottom w:val="none" w:sz="0" w:space="0" w:color="auto"/>
            <w:right w:val="none" w:sz="0" w:space="0" w:color="auto"/>
          </w:divBdr>
          <w:divsChild>
            <w:div w:id="571306666">
              <w:marLeft w:val="-75"/>
              <w:marRight w:val="0"/>
              <w:marTop w:val="30"/>
              <w:marBottom w:val="30"/>
              <w:divBdr>
                <w:top w:val="none" w:sz="0" w:space="0" w:color="auto"/>
                <w:left w:val="none" w:sz="0" w:space="0" w:color="auto"/>
                <w:bottom w:val="none" w:sz="0" w:space="0" w:color="auto"/>
                <w:right w:val="none" w:sz="0" w:space="0" w:color="auto"/>
              </w:divBdr>
              <w:divsChild>
                <w:div w:id="1130845">
                  <w:marLeft w:val="0"/>
                  <w:marRight w:val="0"/>
                  <w:marTop w:val="0"/>
                  <w:marBottom w:val="0"/>
                  <w:divBdr>
                    <w:top w:val="none" w:sz="0" w:space="0" w:color="auto"/>
                    <w:left w:val="none" w:sz="0" w:space="0" w:color="auto"/>
                    <w:bottom w:val="none" w:sz="0" w:space="0" w:color="auto"/>
                    <w:right w:val="none" w:sz="0" w:space="0" w:color="auto"/>
                  </w:divBdr>
                  <w:divsChild>
                    <w:div w:id="264535626">
                      <w:marLeft w:val="0"/>
                      <w:marRight w:val="0"/>
                      <w:marTop w:val="0"/>
                      <w:marBottom w:val="0"/>
                      <w:divBdr>
                        <w:top w:val="none" w:sz="0" w:space="0" w:color="auto"/>
                        <w:left w:val="none" w:sz="0" w:space="0" w:color="auto"/>
                        <w:bottom w:val="none" w:sz="0" w:space="0" w:color="auto"/>
                        <w:right w:val="none" w:sz="0" w:space="0" w:color="auto"/>
                      </w:divBdr>
                    </w:div>
                  </w:divsChild>
                </w:div>
                <w:div w:id="77143072">
                  <w:marLeft w:val="0"/>
                  <w:marRight w:val="0"/>
                  <w:marTop w:val="0"/>
                  <w:marBottom w:val="0"/>
                  <w:divBdr>
                    <w:top w:val="none" w:sz="0" w:space="0" w:color="auto"/>
                    <w:left w:val="none" w:sz="0" w:space="0" w:color="auto"/>
                    <w:bottom w:val="none" w:sz="0" w:space="0" w:color="auto"/>
                    <w:right w:val="none" w:sz="0" w:space="0" w:color="auto"/>
                  </w:divBdr>
                  <w:divsChild>
                    <w:div w:id="1405568896">
                      <w:marLeft w:val="0"/>
                      <w:marRight w:val="0"/>
                      <w:marTop w:val="0"/>
                      <w:marBottom w:val="0"/>
                      <w:divBdr>
                        <w:top w:val="none" w:sz="0" w:space="0" w:color="auto"/>
                        <w:left w:val="none" w:sz="0" w:space="0" w:color="auto"/>
                        <w:bottom w:val="none" w:sz="0" w:space="0" w:color="auto"/>
                        <w:right w:val="none" w:sz="0" w:space="0" w:color="auto"/>
                      </w:divBdr>
                    </w:div>
                  </w:divsChild>
                </w:div>
                <w:div w:id="77792610">
                  <w:marLeft w:val="0"/>
                  <w:marRight w:val="0"/>
                  <w:marTop w:val="0"/>
                  <w:marBottom w:val="0"/>
                  <w:divBdr>
                    <w:top w:val="none" w:sz="0" w:space="0" w:color="auto"/>
                    <w:left w:val="none" w:sz="0" w:space="0" w:color="auto"/>
                    <w:bottom w:val="none" w:sz="0" w:space="0" w:color="auto"/>
                    <w:right w:val="none" w:sz="0" w:space="0" w:color="auto"/>
                  </w:divBdr>
                  <w:divsChild>
                    <w:div w:id="634217646">
                      <w:marLeft w:val="0"/>
                      <w:marRight w:val="0"/>
                      <w:marTop w:val="0"/>
                      <w:marBottom w:val="0"/>
                      <w:divBdr>
                        <w:top w:val="none" w:sz="0" w:space="0" w:color="auto"/>
                        <w:left w:val="none" w:sz="0" w:space="0" w:color="auto"/>
                        <w:bottom w:val="none" w:sz="0" w:space="0" w:color="auto"/>
                        <w:right w:val="none" w:sz="0" w:space="0" w:color="auto"/>
                      </w:divBdr>
                    </w:div>
                  </w:divsChild>
                </w:div>
                <w:div w:id="226382540">
                  <w:marLeft w:val="0"/>
                  <w:marRight w:val="0"/>
                  <w:marTop w:val="0"/>
                  <w:marBottom w:val="0"/>
                  <w:divBdr>
                    <w:top w:val="none" w:sz="0" w:space="0" w:color="auto"/>
                    <w:left w:val="none" w:sz="0" w:space="0" w:color="auto"/>
                    <w:bottom w:val="none" w:sz="0" w:space="0" w:color="auto"/>
                    <w:right w:val="none" w:sz="0" w:space="0" w:color="auto"/>
                  </w:divBdr>
                  <w:divsChild>
                    <w:div w:id="505486348">
                      <w:marLeft w:val="0"/>
                      <w:marRight w:val="0"/>
                      <w:marTop w:val="0"/>
                      <w:marBottom w:val="0"/>
                      <w:divBdr>
                        <w:top w:val="none" w:sz="0" w:space="0" w:color="auto"/>
                        <w:left w:val="none" w:sz="0" w:space="0" w:color="auto"/>
                        <w:bottom w:val="none" w:sz="0" w:space="0" w:color="auto"/>
                        <w:right w:val="none" w:sz="0" w:space="0" w:color="auto"/>
                      </w:divBdr>
                    </w:div>
                  </w:divsChild>
                </w:div>
                <w:div w:id="248926322">
                  <w:marLeft w:val="0"/>
                  <w:marRight w:val="0"/>
                  <w:marTop w:val="0"/>
                  <w:marBottom w:val="0"/>
                  <w:divBdr>
                    <w:top w:val="none" w:sz="0" w:space="0" w:color="auto"/>
                    <w:left w:val="none" w:sz="0" w:space="0" w:color="auto"/>
                    <w:bottom w:val="none" w:sz="0" w:space="0" w:color="auto"/>
                    <w:right w:val="none" w:sz="0" w:space="0" w:color="auto"/>
                  </w:divBdr>
                  <w:divsChild>
                    <w:div w:id="1947611163">
                      <w:marLeft w:val="0"/>
                      <w:marRight w:val="0"/>
                      <w:marTop w:val="0"/>
                      <w:marBottom w:val="0"/>
                      <w:divBdr>
                        <w:top w:val="none" w:sz="0" w:space="0" w:color="auto"/>
                        <w:left w:val="none" w:sz="0" w:space="0" w:color="auto"/>
                        <w:bottom w:val="none" w:sz="0" w:space="0" w:color="auto"/>
                        <w:right w:val="none" w:sz="0" w:space="0" w:color="auto"/>
                      </w:divBdr>
                    </w:div>
                  </w:divsChild>
                </w:div>
                <w:div w:id="279654362">
                  <w:marLeft w:val="0"/>
                  <w:marRight w:val="0"/>
                  <w:marTop w:val="0"/>
                  <w:marBottom w:val="0"/>
                  <w:divBdr>
                    <w:top w:val="none" w:sz="0" w:space="0" w:color="auto"/>
                    <w:left w:val="none" w:sz="0" w:space="0" w:color="auto"/>
                    <w:bottom w:val="none" w:sz="0" w:space="0" w:color="auto"/>
                    <w:right w:val="none" w:sz="0" w:space="0" w:color="auto"/>
                  </w:divBdr>
                  <w:divsChild>
                    <w:div w:id="2012247742">
                      <w:marLeft w:val="0"/>
                      <w:marRight w:val="0"/>
                      <w:marTop w:val="0"/>
                      <w:marBottom w:val="0"/>
                      <w:divBdr>
                        <w:top w:val="none" w:sz="0" w:space="0" w:color="auto"/>
                        <w:left w:val="none" w:sz="0" w:space="0" w:color="auto"/>
                        <w:bottom w:val="none" w:sz="0" w:space="0" w:color="auto"/>
                        <w:right w:val="none" w:sz="0" w:space="0" w:color="auto"/>
                      </w:divBdr>
                    </w:div>
                  </w:divsChild>
                </w:div>
                <w:div w:id="290206962">
                  <w:marLeft w:val="0"/>
                  <w:marRight w:val="0"/>
                  <w:marTop w:val="0"/>
                  <w:marBottom w:val="0"/>
                  <w:divBdr>
                    <w:top w:val="none" w:sz="0" w:space="0" w:color="auto"/>
                    <w:left w:val="none" w:sz="0" w:space="0" w:color="auto"/>
                    <w:bottom w:val="none" w:sz="0" w:space="0" w:color="auto"/>
                    <w:right w:val="none" w:sz="0" w:space="0" w:color="auto"/>
                  </w:divBdr>
                  <w:divsChild>
                    <w:div w:id="888227338">
                      <w:marLeft w:val="0"/>
                      <w:marRight w:val="0"/>
                      <w:marTop w:val="0"/>
                      <w:marBottom w:val="0"/>
                      <w:divBdr>
                        <w:top w:val="none" w:sz="0" w:space="0" w:color="auto"/>
                        <w:left w:val="none" w:sz="0" w:space="0" w:color="auto"/>
                        <w:bottom w:val="none" w:sz="0" w:space="0" w:color="auto"/>
                        <w:right w:val="none" w:sz="0" w:space="0" w:color="auto"/>
                      </w:divBdr>
                    </w:div>
                  </w:divsChild>
                </w:div>
                <w:div w:id="312225145">
                  <w:marLeft w:val="0"/>
                  <w:marRight w:val="0"/>
                  <w:marTop w:val="0"/>
                  <w:marBottom w:val="0"/>
                  <w:divBdr>
                    <w:top w:val="none" w:sz="0" w:space="0" w:color="auto"/>
                    <w:left w:val="none" w:sz="0" w:space="0" w:color="auto"/>
                    <w:bottom w:val="none" w:sz="0" w:space="0" w:color="auto"/>
                    <w:right w:val="none" w:sz="0" w:space="0" w:color="auto"/>
                  </w:divBdr>
                  <w:divsChild>
                    <w:div w:id="1681077886">
                      <w:marLeft w:val="0"/>
                      <w:marRight w:val="0"/>
                      <w:marTop w:val="0"/>
                      <w:marBottom w:val="0"/>
                      <w:divBdr>
                        <w:top w:val="none" w:sz="0" w:space="0" w:color="auto"/>
                        <w:left w:val="none" w:sz="0" w:space="0" w:color="auto"/>
                        <w:bottom w:val="none" w:sz="0" w:space="0" w:color="auto"/>
                        <w:right w:val="none" w:sz="0" w:space="0" w:color="auto"/>
                      </w:divBdr>
                    </w:div>
                  </w:divsChild>
                </w:div>
                <w:div w:id="383215733">
                  <w:marLeft w:val="0"/>
                  <w:marRight w:val="0"/>
                  <w:marTop w:val="0"/>
                  <w:marBottom w:val="0"/>
                  <w:divBdr>
                    <w:top w:val="none" w:sz="0" w:space="0" w:color="auto"/>
                    <w:left w:val="none" w:sz="0" w:space="0" w:color="auto"/>
                    <w:bottom w:val="none" w:sz="0" w:space="0" w:color="auto"/>
                    <w:right w:val="none" w:sz="0" w:space="0" w:color="auto"/>
                  </w:divBdr>
                  <w:divsChild>
                    <w:div w:id="1139230839">
                      <w:marLeft w:val="0"/>
                      <w:marRight w:val="0"/>
                      <w:marTop w:val="0"/>
                      <w:marBottom w:val="0"/>
                      <w:divBdr>
                        <w:top w:val="none" w:sz="0" w:space="0" w:color="auto"/>
                        <w:left w:val="none" w:sz="0" w:space="0" w:color="auto"/>
                        <w:bottom w:val="none" w:sz="0" w:space="0" w:color="auto"/>
                        <w:right w:val="none" w:sz="0" w:space="0" w:color="auto"/>
                      </w:divBdr>
                    </w:div>
                  </w:divsChild>
                </w:div>
                <w:div w:id="429855415">
                  <w:marLeft w:val="0"/>
                  <w:marRight w:val="0"/>
                  <w:marTop w:val="0"/>
                  <w:marBottom w:val="0"/>
                  <w:divBdr>
                    <w:top w:val="none" w:sz="0" w:space="0" w:color="auto"/>
                    <w:left w:val="none" w:sz="0" w:space="0" w:color="auto"/>
                    <w:bottom w:val="none" w:sz="0" w:space="0" w:color="auto"/>
                    <w:right w:val="none" w:sz="0" w:space="0" w:color="auto"/>
                  </w:divBdr>
                  <w:divsChild>
                    <w:div w:id="1256790639">
                      <w:marLeft w:val="0"/>
                      <w:marRight w:val="0"/>
                      <w:marTop w:val="0"/>
                      <w:marBottom w:val="0"/>
                      <w:divBdr>
                        <w:top w:val="none" w:sz="0" w:space="0" w:color="auto"/>
                        <w:left w:val="none" w:sz="0" w:space="0" w:color="auto"/>
                        <w:bottom w:val="none" w:sz="0" w:space="0" w:color="auto"/>
                        <w:right w:val="none" w:sz="0" w:space="0" w:color="auto"/>
                      </w:divBdr>
                    </w:div>
                  </w:divsChild>
                </w:div>
                <w:div w:id="443694465">
                  <w:marLeft w:val="0"/>
                  <w:marRight w:val="0"/>
                  <w:marTop w:val="0"/>
                  <w:marBottom w:val="0"/>
                  <w:divBdr>
                    <w:top w:val="none" w:sz="0" w:space="0" w:color="auto"/>
                    <w:left w:val="none" w:sz="0" w:space="0" w:color="auto"/>
                    <w:bottom w:val="none" w:sz="0" w:space="0" w:color="auto"/>
                    <w:right w:val="none" w:sz="0" w:space="0" w:color="auto"/>
                  </w:divBdr>
                  <w:divsChild>
                    <w:div w:id="1043291273">
                      <w:marLeft w:val="0"/>
                      <w:marRight w:val="0"/>
                      <w:marTop w:val="0"/>
                      <w:marBottom w:val="0"/>
                      <w:divBdr>
                        <w:top w:val="none" w:sz="0" w:space="0" w:color="auto"/>
                        <w:left w:val="none" w:sz="0" w:space="0" w:color="auto"/>
                        <w:bottom w:val="none" w:sz="0" w:space="0" w:color="auto"/>
                        <w:right w:val="none" w:sz="0" w:space="0" w:color="auto"/>
                      </w:divBdr>
                    </w:div>
                  </w:divsChild>
                </w:div>
                <w:div w:id="444227682">
                  <w:marLeft w:val="0"/>
                  <w:marRight w:val="0"/>
                  <w:marTop w:val="0"/>
                  <w:marBottom w:val="0"/>
                  <w:divBdr>
                    <w:top w:val="none" w:sz="0" w:space="0" w:color="auto"/>
                    <w:left w:val="none" w:sz="0" w:space="0" w:color="auto"/>
                    <w:bottom w:val="none" w:sz="0" w:space="0" w:color="auto"/>
                    <w:right w:val="none" w:sz="0" w:space="0" w:color="auto"/>
                  </w:divBdr>
                  <w:divsChild>
                    <w:div w:id="1977686125">
                      <w:marLeft w:val="0"/>
                      <w:marRight w:val="0"/>
                      <w:marTop w:val="0"/>
                      <w:marBottom w:val="0"/>
                      <w:divBdr>
                        <w:top w:val="none" w:sz="0" w:space="0" w:color="auto"/>
                        <w:left w:val="none" w:sz="0" w:space="0" w:color="auto"/>
                        <w:bottom w:val="none" w:sz="0" w:space="0" w:color="auto"/>
                        <w:right w:val="none" w:sz="0" w:space="0" w:color="auto"/>
                      </w:divBdr>
                    </w:div>
                  </w:divsChild>
                </w:div>
                <w:div w:id="495998010">
                  <w:marLeft w:val="0"/>
                  <w:marRight w:val="0"/>
                  <w:marTop w:val="0"/>
                  <w:marBottom w:val="0"/>
                  <w:divBdr>
                    <w:top w:val="none" w:sz="0" w:space="0" w:color="auto"/>
                    <w:left w:val="none" w:sz="0" w:space="0" w:color="auto"/>
                    <w:bottom w:val="none" w:sz="0" w:space="0" w:color="auto"/>
                    <w:right w:val="none" w:sz="0" w:space="0" w:color="auto"/>
                  </w:divBdr>
                  <w:divsChild>
                    <w:div w:id="1998417461">
                      <w:marLeft w:val="0"/>
                      <w:marRight w:val="0"/>
                      <w:marTop w:val="0"/>
                      <w:marBottom w:val="0"/>
                      <w:divBdr>
                        <w:top w:val="none" w:sz="0" w:space="0" w:color="auto"/>
                        <w:left w:val="none" w:sz="0" w:space="0" w:color="auto"/>
                        <w:bottom w:val="none" w:sz="0" w:space="0" w:color="auto"/>
                        <w:right w:val="none" w:sz="0" w:space="0" w:color="auto"/>
                      </w:divBdr>
                    </w:div>
                  </w:divsChild>
                </w:div>
                <w:div w:id="522482379">
                  <w:marLeft w:val="0"/>
                  <w:marRight w:val="0"/>
                  <w:marTop w:val="0"/>
                  <w:marBottom w:val="0"/>
                  <w:divBdr>
                    <w:top w:val="none" w:sz="0" w:space="0" w:color="auto"/>
                    <w:left w:val="none" w:sz="0" w:space="0" w:color="auto"/>
                    <w:bottom w:val="none" w:sz="0" w:space="0" w:color="auto"/>
                    <w:right w:val="none" w:sz="0" w:space="0" w:color="auto"/>
                  </w:divBdr>
                  <w:divsChild>
                    <w:div w:id="1274246997">
                      <w:marLeft w:val="0"/>
                      <w:marRight w:val="0"/>
                      <w:marTop w:val="0"/>
                      <w:marBottom w:val="0"/>
                      <w:divBdr>
                        <w:top w:val="none" w:sz="0" w:space="0" w:color="auto"/>
                        <w:left w:val="none" w:sz="0" w:space="0" w:color="auto"/>
                        <w:bottom w:val="none" w:sz="0" w:space="0" w:color="auto"/>
                        <w:right w:val="none" w:sz="0" w:space="0" w:color="auto"/>
                      </w:divBdr>
                    </w:div>
                  </w:divsChild>
                </w:div>
                <w:div w:id="840775107">
                  <w:marLeft w:val="0"/>
                  <w:marRight w:val="0"/>
                  <w:marTop w:val="0"/>
                  <w:marBottom w:val="0"/>
                  <w:divBdr>
                    <w:top w:val="none" w:sz="0" w:space="0" w:color="auto"/>
                    <w:left w:val="none" w:sz="0" w:space="0" w:color="auto"/>
                    <w:bottom w:val="none" w:sz="0" w:space="0" w:color="auto"/>
                    <w:right w:val="none" w:sz="0" w:space="0" w:color="auto"/>
                  </w:divBdr>
                  <w:divsChild>
                    <w:div w:id="397900089">
                      <w:marLeft w:val="0"/>
                      <w:marRight w:val="0"/>
                      <w:marTop w:val="0"/>
                      <w:marBottom w:val="0"/>
                      <w:divBdr>
                        <w:top w:val="none" w:sz="0" w:space="0" w:color="auto"/>
                        <w:left w:val="none" w:sz="0" w:space="0" w:color="auto"/>
                        <w:bottom w:val="none" w:sz="0" w:space="0" w:color="auto"/>
                        <w:right w:val="none" w:sz="0" w:space="0" w:color="auto"/>
                      </w:divBdr>
                    </w:div>
                  </w:divsChild>
                </w:div>
                <w:div w:id="860515326">
                  <w:marLeft w:val="0"/>
                  <w:marRight w:val="0"/>
                  <w:marTop w:val="0"/>
                  <w:marBottom w:val="0"/>
                  <w:divBdr>
                    <w:top w:val="none" w:sz="0" w:space="0" w:color="auto"/>
                    <w:left w:val="none" w:sz="0" w:space="0" w:color="auto"/>
                    <w:bottom w:val="none" w:sz="0" w:space="0" w:color="auto"/>
                    <w:right w:val="none" w:sz="0" w:space="0" w:color="auto"/>
                  </w:divBdr>
                  <w:divsChild>
                    <w:div w:id="1857040552">
                      <w:marLeft w:val="0"/>
                      <w:marRight w:val="0"/>
                      <w:marTop w:val="0"/>
                      <w:marBottom w:val="0"/>
                      <w:divBdr>
                        <w:top w:val="none" w:sz="0" w:space="0" w:color="auto"/>
                        <w:left w:val="none" w:sz="0" w:space="0" w:color="auto"/>
                        <w:bottom w:val="none" w:sz="0" w:space="0" w:color="auto"/>
                        <w:right w:val="none" w:sz="0" w:space="0" w:color="auto"/>
                      </w:divBdr>
                    </w:div>
                  </w:divsChild>
                </w:div>
                <w:div w:id="966205012">
                  <w:marLeft w:val="0"/>
                  <w:marRight w:val="0"/>
                  <w:marTop w:val="0"/>
                  <w:marBottom w:val="0"/>
                  <w:divBdr>
                    <w:top w:val="none" w:sz="0" w:space="0" w:color="auto"/>
                    <w:left w:val="none" w:sz="0" w:space="0" w:color="auto"/>
                    <w:bottom w:val="none" w:sz="0" w:space="0" w:color="auto"/>
                    <w:right w:val="none" w:sz="0" w:space="0" w:color="auto"/>
                  </w:divBdr>
                  <w:divsChild>
                    <w:div w:id="769935994">
                      <w:marLeft w:val="0"/>
                      <w:marRight w:val="0"/>
                      <w:marTop w:val="0"/>
                      <w:marBottom w:val="0"/>
                      <w:divBdr>
                        <w:top w:val="none" w:sz="0" w:space="0" w:color="auto"/>
                        <w:left w:val="none" w:sz="0" w:space="0" w:color="auto"/>
                        <w:bottom w:val="none" w:sz="0" w:space="0" w:color="auto"/>
                        <w:right w:val="none" w:sz="0" w:space="0" w:color="auto"/>
                      </w:divBdr>
                    </w:div>
                  </w:divsChild>
                </w:div>
                <w:div w:id="980384943">
                  <w:marLeft w:val="0"/>
                  <w:marRight w:val="0"/>
                  <w:marTop w:val="0"/>
                  <w:marBottom w:val="0"/>
                  <w:divBdr>
                    <w:top w:val="none" w:sz="0" w:space="0" w:color="auto"/>
                    <w:left w:val="none" w:sz="0" w:space="0" w:color="auto"/>
                    <w:bottom w:val="none" w:sz="0" w:space="0" w:color="auto"/>
                    <w:right w:val="none" w:sz="0" w:space="0" w:color="auto"/>
                  </w:divBdr>
                  <w:divsChild>
                    <w:div w:id="107311801">
                      <w:marLeft w:val="0"/>
                      <w:marRight w:val="0"/>
                      <w:marTop w:val="0"/>
                      <w:marBottom w:val="0"/>
                      <w:divBdr>
                        <w:top w:val="none" w:sz="0" w:space="0" w:color="auto"/>
                        <w:left w:val="none" w:sz="0" w:space="0" w:color="auto"/>
                        <w:bottom w:val="none" w:sz="0" w:space="0" w:color="auto"/>
                        <w:right w:val="none" w:sz="0" w:space="0" w:color="auto"/>
                      </w:divBdr>
                    </w:div>
                  </w:divsChild>
                </w:div>
                <w:div w:id="1022239751">
                  <w:marLeft w:val="0"/>
                  <w:marRight w:val="0"/>
                  <w:marTop w:val="0"/>
                  <w:marBottom w:val="0"/>
                  <w:divBdr>
                    <w:top w:val="none" w:sz="0" w:space="0" w:color="auto"/>
                    <w:left w:val="none" w:sz="0" w:space="0" w:color="auto"/>
                    <w:bottom w:val="none" w:sz="0" w:space="0" w:color="auto"/>
                    <w:right w:val="none" w:sz="0" w:space="0" w:color="auto"/>
                  </w:divBdr>
                  <w:divsChild>
                    <w:div w:id="733891174">
                      <w:marLeft w:val="0"/>
                      <w:marRight w:val="0"/>
                      <w:marTop w:val="0"/>
                      <w:marBottom w:val="0"/>
                      <w:divBdr>
                        <w:top w:val="none" w:sz="0" w:space="0" w:color="auto"/>
                        <w:left w:val="none" w:sz="0" w:space="0" w:color="auto"/>
                        <w:bottom w:val="none" w:sz="0" w:space="0" w:color="auto"/>
                        <w:right w:val="none" w:sz="0" w:space="0" w:color="auto"/>
                      </w:divBdr>
                    </w:div>
                  </w:divsChild>
                </w:div>
                <w:div w:id="1035738797">
                  <w:marLeft w:val="0"/>
                  <w:marRight w:val="0"/>
                  <w:marTop w:val="0"/>
                  <w:marBottom w:val="0"/>
                  <w:divBdr>
                    <w:top w:val="none" w:sz="0" w:space="0" w:color="auto"/>
                    <w:left w:val="none" w:sz="0" w:space="0" w:color="auto"/>
                    <w:bottom w:val="none" w:sz="0" w:space="0" w:color="auto"/>
                    <w:right w:val="none" w:sz="0" w:space="0" w:color="auto"/>
                  </w:divBdr>
                  <w:divsChild>
                    <w:div w:id="2038849728">
                      <w:marLeft w:val="0"/>
                      <w:marRight w:val="0"/>
                      <w:marTop w:val="0"/>
                      <w:marBottom w:val="0"/>
                      <w:divBdr>
                        <w:top w:val="none" w:sz="0" w:space="0" w:color="auto"/>
                        <w:left w:val="none" w:sz="0" w:space="0" w:color="auto"/>
                        <w:bottom w:val="none" w:sz="0" w:space="0" w:color="auto"/>
                        <w:right w:val="none" w:sz="0" w:space="0" w:color="auto"/>
                      </w:divBdr>
                    </w:div>
                  </w:divsChild>
                </w:div>
                <w:div w:id="1094204301">
                  <w:marLeft w:val="0"/>
                  <w:marRight w:val="0"/>
                  <w:marTop w:val="0"/>
                  <w:marBottom w:val="0"/>
                  <w:divBdr>
                    <w:top w:val="none" w:sz="0" w:space="0" w:color="auto"/>
                    <w:left w:val="none" w:sz="0" w:space="0" w:color="auto"/>
                    <w:bottom w:val="none" w:sz="0" w:space="0" w:color="auto"/>
                    <w:right w:val="none" w:sz="0" w:space="0" w:color="auto"/>
                  </w:divBdr>
                  <w:divsChild>
                    <w:div w:id="1320158407">
                      <w:marLeft w:val="0"/>
                      <w:marRight w:val="0"/>
                      <w:marTop w:val="0"/>
                      <w:marBottom w:val="0"/>
                      <w:divBdr>
                        <w:top w:val="none" w:sz="0" w:space="0" w:color="auto"/>
                        <w:left w:val="none" w:sz="0" w:space="0" w:color="auto"/>
                        <w:bottom w:val="none" w:sz="0" w:space="0" w:color="auto"/>
                        <w:right w:val="none" w:sz="0" w:space="0" w:color="auto"/>
                      </w:divBdr>
                    </w:div>
                  </w:divsChild>
                </w:div>
                <w:div w:id="1129081562">
                  <w:marLeft w:val="0"/>
                  <w:marRight w:val="0"/>
                  <w:marTop w:val="0"/>
                  <w:marBottom w:val="0"/>
                  <w:divBdr>
                    <w:top w:val="none" w:sz="0" w:space="0" w:color="auto"/>
                    <w:left w:val="none" w:sz="0" w:space="0" w:color="auto"/>
                    <w:bottom w:val="none" w:sz="0" w:space="0" w:color="auto"/>
                    <w:right w:val="none" w:sz="0" w:space="0" w:color="auto"/>
                  </w:divBdr>
                  <w:divsChild>
                    <w:div w:id="1191722934">
                      <w:marLeft w:val="0"/>
                      <w:marRight w:val="0"/>
                      <w:marTop w:val="0"/>
                      <w:marBottom w:val="0"/>
                      <w:divBdr>
                        <w:top w:val="none" w:sz="0" w:space="0" w:color="auto"/>
                        <w:left w:val="none" w:sz="0" w:space="0" w:color="auto"/>
                        <w:bottom w:val="none" w:sz="0" w:space="0" w:color="auto"/>
                        <w:right w:val="none" w:sz="0" w:space="0" w:color="auto"/>
                      </w:divBdr>
                    </w:div>
                  </w:divsChild>
                </w:div>
                <w:div w:id="1155685435">
                  <w:marLeft w:val="0"/>
                  <w:marRight w:val="0"/>
                  <w:marTop w:val="0"/>
                  <w:marBottom w:val="0"/>
                  <w:divBdr>
                    <w:top w:val="none" w:sz="0" w:space="0" w:color="auto"/>
                    <w:left w:val="none" w:sz="0" w:space="0" w:color="auto"/>
                    <w:bottom w:val="none" w:sz="0" w:space="0" w:color="auto"/>
                    <w:right w:val="none" w:sz="0" w:space="0" w:color="auto"/>
                  </w:divBdr>
                  <w:divsChild>
                    <w:div w:id="1637292826">
                      <w:marLeft w:val="0"/>
                      <w:marRight w:val="0"/>
                      <w:marTop w:val="0"/>
                      <w:marBottom w:val="0"/>
                      <w:divBdr>
                        <w:top w:val="none" w:sz="0" w:space="0" w:color="auto"/>
                        <w:left w:val="none" w:sz="0" w:space="0" w:color="auto"/>
                        <w:bottom w:val="none" w:sz="0" w:space="0" w:color="auto"/>
                        <w:right w:val="none" w:sz="0" w:space="0" w:color="auto"/>
                      </w:divBdr>
                    </w:div>
                  </w:divsChild>
                </w:div>
                <w:div w:id="1160463188">
                  <w:marLeft w:val="0"/>
                  <w:marRight w:val="0"/>
                  <w:marTop w:val="0"/>
                  <w:marBottom w:val="0"/>
                  <w:divBdr>
                    <w:top w:val="none" w:sz="0" w:space="0" w:color="auto"/>
                    <w:left w:val="none" w:sz="0" w:space="0" w:color="auto"/>
                    <w:bottom w:val="none" w:sz="0" w:space="0" w:color="auto"/>
                    <w:right w:val="none" w:sz="0" w:space="0" w:color="auto"/>
                  </w:divBdr>
                  <w:divsChild>
                    <w:div w:id="1609386321">
                      <w:marLeft w:val="0"/>
                      <w:marRight w:val="0"/>
                      <w:marTop w:val="0"/>
                      <w:marBottom w:val="0"/>
                      <w:divBdr>
                        <w:top w:val="none" w:sz="0" w:space="0" w:color="auto"/>
                        <w:left w:val="none" w:sz="0" w:space="0" w:color="auto"/>
                        <w:bottom w:val="none" w:sz="0" w:space="0" w:color="auto"/>
                        <w:right w:val="none" w:sz="0" w:space="0" w:color="auto"/>
                      </w:divBdr>
                    </w:div>
                  </w:divsChild>
                </w:div>
                <w:div w:id="1193107828">
                  <w:marLeft w:val="0"/>
                  <w:marRight w:val="0"/>
                  <w:marTop w:val="0"/>
                  <w:marBottom w:val="0"/>
                  <w:divBdr>
                    <w:top w:val="none" w:sz="0" w:space="0" w:color="auto"/>
                    <w:left w:val="none" w:sz="0" w:space="0" w:color="auto"/>
                    <w:bottom w:val="none" w:sz="0" w:space="0" w:color="auto"/>
                    <w:right w:val="none" w:sz="0" w:space="0" w:color="auto"/>
                  </w:divBdr>
                  <w:divsChild>
                    <w:div w:id="694234150">
                      <w:marLeft w:val="0"/>
                      <w:marRight w:val="0"/>
                      <w:marTop w:val="0"/>
                      <w:marBottom w:val="0"/>
                      <w:divBdr>
                        <w:top w:val="none" w:sz="0" w:space="0" w:color="auto"/>
                        <w:left w:val="none" w:sz="0" w:space="0" w:color="auto"/>
                        <w:bottom w:val="none" w:sz="0" w:space="0" w:color="auto"/>
                        <w:right w:val="none" w:sz="0" w:space="0" w:color="auto"/>
                      </w:divBdr>
                    </w:div>
                  </w:divsChild>
                </w:div>
                <w:div w:id="1270745000">
                  <w:marLeft w:val="0"/>
                  <w:marRight w:val="0"/>
                  <w:marTop w:val="0"/>
                  <w:marBottom w:val="0"/>
                  <w:divBdr>
                    <w:top w:val="none" w:sz="0" w:space="0" w:color="auto"/>
                    <w:left w:val="none" w:sz="0" w:space="0" w:color="auto"/>
                    <w:bottom w:val="none" w:sz="0" w:space="0" w:color="auto"/>
                    <w:right w:val="none" w:sz="0" w:space="0" w:color="auto"/>
                  </w:divBdr>
                  <w:divsChild>
                    <w:div w:id="2045981678">
                      <w:marLeft w:val="0"/>
                      <w:marRight w:val="0"/>
                      <w:marTop w:val="0"/>
                      <w:marBottom w:val="0"/>
                      <w:divBdr>
                        <w:top w:val="none" w:sz="0" w:space="0" w:color="auto"/>
                        <w:left w:val="none" w:sz="0" w:space="0" w:color="auto"/>
                        <w:bottom w:val="none" w:sz="0" w:space="0" w:color="auto"/>
                        <w:right w:val="none" w:sz="0" w:space="0" w:color="auto"/>
                      </w:divBdr>
                    </w:div>
                  </w:divsChild>
                </w:div>
                <w:div w:id="1307927801">
                  <w:marLeft w:val="0"/>
                  <w:marRight w:val="0"/>
                  <w:marTop w:val="0"/>
                  <w:marBottom w:val="0"/>
                  <w:divBdr>
                    <w:top w:val="none" w:sz="0" w:space="0" w:color="auto"/>
                    <w:left w:val="none" w:sz="0" w:space="0" w:color="auto"/>
                    <w:bottom w:val="none" w:sz="0" w:space="0" w:color="auto"/>
                    <w:right w:val="none" w:sz="0" w:space="0" w:color="auto"/>
                  </w:divBdr>
                  <w:divsChild>
                    <w:div w:id="883950094">
                      <w:marLeft w:val="0"/>
                      <w:marRight w:val="0"/>
                      <w:marTop w:val="0"/>
                      <w:marBottom w:val="0"/>
                      <w:divBdr>
                        <w:top w:val="none" w:sz="0" w:space="0" w:color="auto"/>
                        <w:left w:val="none" w:sz="0" w:space="0" w:color="auto"/>
                        <w:bottom w:val="none" w:sz="0" w:space="0" w:color="auto"/>
                        <w:right w:val="none" w:sz="0" w:space="0" w:color="auto"/>
                      </w:divBdr>
                    </w:div>
                  </w:divsChild>
                </w:div>
                <w:div w:id="1316031940">
                  <w:marLeft w:val="0"/>
                  <w:marRight w:val="0"/>
                  <w:marTop w:val="0"/>
                  <w:marBottom w:val="0"/>
                  <w:divBdr>
                    <w:top w:val="none" w:sz="0" w:space="0" w:color="auto"/>
                    <w:left w:val="none" w:sz="0" w:space="0" w:color="auto"/>
                    <w:bottom w:val="none" w:sz="0" w:space="0" w:color="auto"/>
                    <w:right w:val="none" w:sz="0" w:space="0" w:color="auto"/>
                  </w:divBdr>
                  <w:divsChild>
                    <w:div w:id="1801803787">
                      <w:marLeft w:val="0"/>
                      <w:marRight w:val="0"/>
                      <w:marTop w:val="0"/>
                      <w:marBottom w:val="0"/>
                      <w:divBdr>
                        <w:top w:val="none" w:sz="0" w:space="0" w:color="auto"/>
                        <w:left w:val="none" w:sz="0" w:space="0" w:color="auto"/>
                        <w:bottom w:val="none" w:sz="0" w:space="0" w:color="auto"/>
                        <w:right w:val="none" w:sz="0" w:space="0" w:color="auto"/>
                      </w:divBdr>
                    </w:div>
                  </w:divsChild>
                </w:div>
                <w:div w:id="1374773243">
                  <w:marLeft w:val="0"/>
                  <w:marRight w:val="0"/>
                  <w:marTop w:val="0"/>
                  <w:marBottom w:val="0"/>
                  <w:divBdr>
                    <w:top w:val="none" w:sz="0" w:space="0" w:color="auto"/>
                    <w:left w:val="none" w:sz="0" w:space="0" w:color="auto"/>
                    <w:bottom w:val="none" w:sz="0" w:space="0" w:color="auto"/>
                    <w:right w:val="none" w:sz="0" w:space="0" w:color="auto"/>
                  </w:divBdr>
                  <w:divsChild>
                    <w:div w:id="781070044">
                      <w:marLeft w:val="0"/>
                      <w:marRight w:val="0"/>
                      <w:marTop w:val="0"/>
                      <w:marBottom w:val="0"/>
                      <w:divBdr>
                        <w:top w:val="none" w:sz="0" w:space="0" w:color="auto"/>
                        <w:left w:val="none" w:sz="0" w:space="0" w:color="auto"/>
                        <w:bottom w:val="none" w:sz="0" w:space="0" w:color="auto"/>
                        <w:right w:val="none" w:sz="0" w:space="0" w:color="auto"/>
                      </w:divBdr>
                    </w:div>
                  </w:divsChild>
                </w:div>
                <w:div w:id="1376125311">
                  <w:marLeft w:val="0"/>
                  <w:marRight w:val="0"/>
                  <w:marTop w:val="0"/>
                  <w:marBottom w:val="0"/>
                  <w:divBdr>
                    <w:top w:val="none" w:sz="0" w:space="0" w:color="auto"/>
                    <w:left w:val="none" w:sz="0" w:space="0" w:color="auto"/>
                    <w:bottom w:val="none" w:sz="0" w:space="0" w:color="auto"/>
                    <w:right w:val="none" w:sz="0" w:space="0" w:color="auto"/>
                  </w:divBdr>
                  <w:divsChild>
                    <w:div w:id="1919363784">
                      <w:marLeft w:val="0"/>
                      <w:marRight w:val="0"/>
                      <w:marTop w:val="0"/>
                      <w:marBottom w:val="0"/>
                      <w:divBdr>
                        <w:top w:val="none" w:sz="0" w:space="0" w:color="auto"/>
                        <w:left w:val="none" w:sz="0" w:space="0" w:color="auto"/>
                        <w:bottom w:val="none" w:sz="0" w:space="0" w:color="auto"/>
                        <w:right w:val="none" w:sz="0" w:space="0" w:color="auto"/>
                      </w:divBdr>
                    </w:div>
                  </w:divsChild>
                </w:div>
                <w:div w:id="1596984389">
                  <w:marLeft w:val="0"/>
                  <w:marRight w:val="0"/>
                  <w:marTop w:val="0"/>
                  <w:marBottom w:val="0"/>
                  <w:divBdr>
                    <w:top w:val="none" w:sz="0" w:space="0" w:color="auto"/>
                    <w:left w:val="none" w:sz="0" w:space="0" w:color="auto"/>
                    <w:bottom w:val="none" w:sz="0" w:space="0" w:color="auto"/>
                    <w:right w:val="none" w:sz="0" w:space="0" w:color="auto"/>
                  </w:divBdr>
                  <w:divsChild>
                    <w:div w:id="90707859">
                      <w:marLeft w:val="0"/>
                      <w:marRight w:val="0"/>
                      <w:marTop w:val="0"/>
                      <w:marBottom w:val="0"/>
                      <w:divBdr>
                        <w:top w:val="none" w:sz="0" w:space="0" w:color="auto"/>
                        <w:left w:val="none" w:sz="0" w:space="0" w:color="auto"/>
                        <w:bottom w:val="none" w:sz="0" w:space="0" w:color="auto"/>
                        <w:right w:val="none" w:sz="0" w:space="0" w:color="auto"/>
                      </w:divBdr>
                    </w:div>
                  </w:divsChild>
                </w:div>
                <w:div w:id="1645960772">
                  <w:marLeft w:val="0"/>
                  <w:marRight w:val="0"/>
                  <w:marTop w:val="0"/>
                  <w:marBottom w:val="0"/>
                  <w:divBdr>
                    <w:top w:val="none" w:sz="0" w:space="0" w:color="auto"/>
                    <w:left w:val="none" w:sz="0" w:space="0" w:color="auto"/>
                    <w:bottom w:val="none" w:sz="0" w:space="0" w:color="auto"/>
                    <w:right w:val="none" w:sz="0" w:space="0" w:color="auto"/>
                  </w:divBdr>
                  <w:divsChild>
                    <w:div w:id="2070759772">
                      <w:marLeft w:val="0"/>
                      <w:marRight w:val="0"/>
                      <w:marTop w:val="0"/>
                      <w:marBottom w:val="0"/>
                      <w:divBdr>
                        <w:top w:val="none" w:sz="0" w:space="0" w:color="auto"/>
                        <w:left w:val="none" w:sz="0" w:space="0" w:color="auto"/>
                        <w:bottom w:val="none" w:sz="0" w:space="0" w:color="auto"/>
                        <w:right w:val="none" w:sz="0" w:space="0" w:color="auto"/>
                      </w:divBdr>
                    </w:div>
                  </w:divsChild>
                </w:div>
                <w:div w:id="1783576093">
                  <w:marLeft w:val="0"/>
                  <w:marRight w:val="0"/>
                  <w:marTop w:val="0"/>
                  <w:marBottom w:val="0"/>
                  <w:divBdr>
                    <w:top w:val="none" w:sz="0" w:space="0" w:color="auto"/>
                    <w:left w:val="none" w:sz="0" w:space="0" w:color="auto"/>
                    <w:bottom w:val="none" w:sz="0" w:space="0" w:color="auto"/>
                    <w:right w:val="none" w:sz="0" w:space="0" w:color="auto"/>
                  </w:divBdr>
                  <w:divsChild>
                    <w:div w:id="866454802">
                      <w:marLeft w:val="0"/>
                      <w:marRight w:val="0"/>
                      <w:marTop w:val="0"/>
                      <w:marBottom w:val="0"/>
                      <w:divBdr>
                        <w:top w:val="none" w:sz="0" w:space="0" w:color="auto"/>
                        <w:left w:val="none" w:sz="0" w:space="0" w:color="auto"/>
                        <w:bottom w:val="none" w:sz="0" w:space="0" w:color="auto"/>
                        <w:right w:val="none" w:sz="0" w:space="0" w:color="auto"/>
                      </w:divBdr>
                    </w:div>
                  </w:divsChild>
                </w:div>
                <w:div w:id="1791242619">
                  <w:marLeft w:val="0"/>
                  <w:marRight w:val="0"/>
                  <w:marTop w:val="0"/>
                  <w:marBottom w:val="0"/>
                  <w:divBdr>
                    <w:top w:val="none" w:sz="0" w:space="0" w:color="auto"/>
                    <w:left w:val="none" w:sz="0" w:space="0" w:color="auto"/>
                    <w:bottom w:val="none" w:sz="0" w:space="0" w:color="auto"/>
                    <w:right w:val="none" w:sz="0" w:space="0" w:color="auto"/>
                  </w:divBdr>
                  <w:divsChild>
                    <w:div w:id="1650551521">
                      <w:marLeft w:val="0"/>
                      <w:marRight w:val="0"/>
                      <w:marTop w:val="0"/>
                      <w:marBottom w:val="0"/>
                      <w:divBdr>
                        <w:top w:val="none" w:sz="0" w:space="0" w:color="auto"/>
                        <w:left w:val="none" w:sz="0" w:space="0" w:color="auto"/>
                        <w:bottom w:val="none" w:sz="0" w:space="0" w:color="auto"/>
                        <w:right w:val="none" w:sz="0" w:space="0" w:color="auto"/>
                      </w:divBdr>
                    </w:div>
                  </w:divsChild>
                </w:div>
                <w:div w:id="1818256949">
                  <w:marLeft w:val="0"/>
                  <w:marRight w:val="0"/>
                  <w:marTop w:val="0"/>
                  <w:marBottom w:val="0"/>
                  <w:divBdr>
                    <w:top w:val="none" w:sz="0" w:space="0" w:color="auto"/>
                    <w:left w:val="none" w:sz="0" w:space="0" w:color="auto"/>
                    <w:bottom w:val="none" w:sz="0" w:space="0" w:color="auto"/>
                    <w:right w:val="none" w:sz="0" w:space="0" w:color="auto"/>
                  </w:divBdr>
                  <w:divsChild>
                    <w:div w:id="1801073320">
                      <w:marLeft w:val="0"/>
                      <w:marRight w:val="0"/>
                      <w:marTop w:val="0"/>
                      <w:marBottom w:val="0"/>
                      <w:divBdr>
                        <w:top w:val="none" w:sz="0" w:space="0" w:color="auto"/>
                        <w:left w:val="none" w:sz="0" w:space="0" w:color="auto"/>
                        <w:bottom w:val="none" w:sz="0" w:space="0" w:color="auto"/>
                        <w:right w:val="none" w:sz="0" w:space="0" w:color="auto"/>
                      </w:divBdr>
                    </w:div>
                  </w:divsChild>
                </w:div>
                <w:div w:id="1884974411">
                  <w:marLeft w:val="0"/>
                  <w:marRight w:val="0"/>
                  <w:marTop w:val="0"/>
                  <w:marBottom w:val="0"/>
                  <w:divBdr>
                    <w:top w:val="none" w:sz="0" w:space="0" w:color="auto"/>
                    <w:left w:val="none" w:sz="0" w:space="0" w:color="auto"/>
                    <w:bottom w:val="none" w:sz="0" w:space="0" w:color="auto"/>
                    <w:right w:val="none" w:sz="0" w:space="0" w:color="auto"/>
                  </w:divBdr>
                  <w:divsChild>
                    <w:div w:id="2081634985">
                      <w:marLeft w:val="0"/>
                      <w:marRight w:val="0"/>
                      <w:marTop w:val="0"/>
                      <w:marBottom w:val="0"/>
                      <w:divBdr>
                        <w:top w:val="none" w:sz="0" w:space="0" w:color="auto"/>
                        <w:left w:val="none" w:sz="0" w:space="0" w:color="auto"/>
                        <w:bottom w:val="none" w:sz="0" w:space="0" w:color="auto"/>
                        <w:right w:val="none" w:sz="0" w:space="0" w:color="auto"/>
                      </w:divBdr>
                    </w:div>
                  </w:divsChild>
                </w:div>
                <w:div w:id="1907916760">
                  <w:marLeft w:val="0"/>
                  <w:marRight w:val="0"/>
                  <w:marTop w:val="0"/>
                  <w:marBottom w:val="0"/>
                  <w:divBdr>
                    <w:top w:val="none" w:sz="0" w:space="0" w:color="auto"/>
                    <w:left w:val="none" w:sz="0" w:space="0" w:color="auto"/>
                    <w:bottom w:val="none" w:sz="0" w:space="0" w:color="auto"/>
                    <w:right w:val="none" w:sz="0" w:space="0" w:color="auto"/>
                  </w:divBdr>
                  <w:divsChild>
                    <w:div w:id="997270316">
                      <w:marLeft w:val="0"/>
                      <w:marRight w:val="0"/>
                      <w:marTop w:val="0"/>
                      <w:marBottom w:val="0"/>
                      <w:divBdr>
                        <w:top w:val="none" w:sz="0" w:space="0" w:color="auto"/>
                        <w:left w:val="none" w:sz="0" w:space="0" w:color="auto"/>
                        <w:bottom w:val="none" w:sz="0" w:space="0" w:color="auto"/>
                        <w:right w:val="none" w:sz="0" w:space="0" w:color="auto"/>
                      </w:divBdr>
                    </w:div>
                  </w:divsChild>
                </w:div>
                <w:div w:id="1972978182">
                  <w:marLeft w:val="0"/>
                  <w:marRight w:val="0"/>
                  <w:marTop w:val="0"/>
                  <w:marBottom w:val="0"/>
                  <w:divBdr>
                    <w:top w:val="none" w:sz="0" w:space="0" w:color="auto"/>
                    <w:left w:val="none" w:sz="0" w:space="0" w:color="auto"/>
                    <w:bottom w:val="none" w:sz="0" w:space="0" w:color="auto"/>
                    <w:right w:val="none" w:sz="0" w:space="0" w:color="auto"/>
                  </w:divBdr>
                  <w:divsChild>
                    <w:div w:id="543178976">
                      <w:marLeft w:val="0"/>
                      <w:marRight w:val="0"/>
                      <w:marTop w:val="0"/>
                      <w:marBottom w:val="0"/>
                      <w:divBdr>
                        <w:top w:val="none" w:sz="0" w:space="0" w:color="auto"/>
                        <w:left w:val="none" w:sz="0" w:space="0" w:color="auto"/>
                        <w:bottom w:val="none" w:sz="0" w:space="0" w:color="auto"/>
                        <w:right w:val="none" w:sz="0" w:space="0" w:color="auto"/>
                      </w:divBdr>
                    </w:div>
                  </w:divsChild>
                </w:div>
                <w:div w:id="2053532912">
                  <w:marLeft w:val="0"/>
                  <w:marRight w:val="0"/>
                  <w:marTop w:val="0"/>
                  <w:marBottom w:val="0"/>
                  <w:divBdr>
                    <w:top w:val="none" w:sz="0" w:space="0" w:color="auto"/>
                    <w:left w:val="none" w:sz="0" w:space="0" w:color="auto"/>
                    <w:bottom w:val="none" w:sz="0" w:space="0" w:color="auto"/>
                    <w:right w:val="none" w:sz="0" w:space="0" w:color="auto"/>
                  </w:divBdr>
                  <w:divsChild>
                    <w:div w:id="245265389">
                      <w:marLeft w:val="0"/>
                      <w:marRight w:val="0"/>
                      <w:marTop w:val="0"/>
                      <w:marBottom w:val="0"/>
                      <w:divBdr>
                        <w:top w:val="none" w:sz="0" w:space="0" w:color="auto"/>
                        <w:left w:val="none" w:sz="0" w:space="0" w:color="auto"/>
                        <w:bottom w:val="none" w:sz="0" w:space="0" w:color="auto"/>
                        <w:right w:val="none" w:sz="0" w:space="0" w:color="auto"/>
                      </w:divBdr>
                    </w:div>
                  </w:divsChild>
                </w:div>
                <w:div w:id="2054427252">
                  <w:marLeft w:val="0"/>
                  <w:marRight w:val="0"/>
                  <w:marTop w:val="0"/>
                  <w:marBottom w:val="0"/>
                  <w:divBdr>
                    <w:top w:val="none" w:sz="0" w:space="0" w:color="auto"/>
                    <w:left w:val="none" w:sz="0" w:space="0" w:color="auto"/>
                    <w:bottom w:val="none" w:sz="0" w:space="0" w:color="auto"/>
                    <w:right w:val="none" w:sz="0" w:space="0" w:color="auto"/>
                  </w:divBdr>
                  <w:divsChild>
                    <w:div w:id="509292043">
                      <w:marLeft w:val="0"/>
                      <w:marRight w:val="0"/>
                      <w:marTop w:val="0"/>
                      <w:marBottom w:val="0"/>
                      <w:divBdr>
                        <w:top w:val="none" w:sz="0" w:space="0" w:color="auto"/>
                        <w:left w:val="none" w:sz="0" w:space="0" w:color="auto"/>
                        <w:bottom w:val="none" w:sz="0" w:space="0" w:color="auto"/>
                        <w:right w:val="none" w:sz="0" w:space="0" w:color="auto"/>
                      </w:divBdr>
                    </w:div>
                  </w:divsChild>
                </w:div>
                <w:div w:id="2082749425">
                  <w:marLeft w:val="0"/>
                  <w:marRight w:val="0"/>
                  <w:marTop w:val="0"/>
                  <w:marBottom w:val="0"/>
                  <w:divBdr>
                    <w:top w:val="none" w:sz="0" w:space="0" w:color="auto"/>
                    <w:left w:val="none" w:sz="0" w:space="0" w:color="auto"/>
                    <w:bottom w:val="none" w:sz="0" w:space="0" w:color="auto"/>
                    <w:right w:val="none" w:sz="0" w:space="0" w:color="auto"/>
                  </w:divBdr>
                  <w:divsChild>
                    <w:div w:id="10652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9856">
          <w:marLeft w:val="0"/>
          <w:marRight w:val="0"/>
          <w:marTop w:val="0"/>
          <w:marBottom w:val="0"/>
          <w:divBdr>
            <w:top w:val="none" w:sz="0" w:space="0" w:color="auto"/>
            <w:left w:val="none" w:sz="0" w:space="0" w:color="auto"/>
            <w:bottom w:val="none" w:sz="0" w:space="0" w:color="auto"/>
            <w:right w:val="none" w:sz="0" w:space="0" w:color="auto"/>
          </w:divBdr>
        </w:div>
        <w:div w:id="404304307">
          <w:marLeft w:val="0"/>
          <w:marRight w:val="0"/>
          <w:marTop w:val="0"/>
          <w:marBottom w:val="0"/>
          <w:divBdr>
            <w:top w:val="none" w:sz="0" w:space="0" w:color="auto"/>
            <w:left w:val="none" w:sz="0" w:space="0" w:color="auto"/>
            <w:bottom w:val="none" w:sz="0" w:space="0" w:color="auto"/>
            <w:right w:val="none" w:sz="0" w:space="0" w:color="auto"/>
          </w:divBdr>
        </w:div>
        <w:div w:id="424613621">
          <w:marLeft w:val="0"/>
          <w:marRight w:val="0"/>
          <w:marTop w:val="0"/>
          <w:marBottom w:val="0"/>
          <w:divBdr>
            <w:top w:val="none" w:sz="0" w:space="0" w:color="auto"/>
            <w:left w:val="none" w:sz="0" w:space="0" w:color="auto"/>
            <w:bottom w:val="none" w:sz="0" w:space="0" w:color="auto"/>
            <w:right w:val="none" w:sz="0" w:space="0" w:color="auto"/>
          </w:divBdr>
        </w:div>
        <w:div w:id="551305332">
          <w:marLeft w:val="0"/>
          <w:marRight w:val="0"/>
          <w:marTop w:val="0"/>
          <w:marBottom w:val="0"/>
          <w:divBdr>
            <w:top w:val="none" w:sz="0" w:space="0" w:color="auto"/>
            <w:left w:val="none" w:sz="0" w:space="0" w:color="auto"/>
            <w:bottom w:val="none" w:sz="0" w:space="0" w:color="auto"/>
            <w:right w:val="none" w:sz="0" w:space="0" w:color="auto"/>
          </w:divBdr>
        </w:div>
        <w:div w:id="587273155">
          <w:marLeft w:val="0"/>
          <w:marRight w:val="0"/>
          <w:marTop w:val="0"/>
          <w:marBottom w:val="0"/>
          <w:divBdr>
            <w:top w:val="none" w:sz="0" w:space="0" w:color="auto"/>
            <w:left w:val="none" w:sz="0" w:space="0" w:color="auto"/>
            <w:bottom w:val="none" w:sz="0" w:space="0" w:color="auto"/>
            <w:right w:val="none" w:sz="0" w:space="0" w:color="auto"/>
          </w:divBdr>
        </w:div>
        <w:div w:id="610405659">
          <w:marLeft w:val="0"/>
          <w:marRight w:val="0"/>
          <w:marTop w:val="0"/>
          <w:marBottom w:val="0"/>
          <w:divBdr>
            <w:top w:val="none" w:sz="0" w:space="0" w:color="auto"/>
            <w:left w:val="none" w:sz="0" w:space="0" w:color="auto"/>
            <w:bottom w:val="none" w:sz="0" w:space="0" w:color="auto"/>
            <w:right w:val="none" w:sz="0" w:space="0" w:color="auto"/>
          </w:divBdr>
        </w:div>
        <w:div w:id="681474236">
          <w:marLeft w:val="0"/>
          <w:marRight w:val="0"/>
          <w:marTop w:val="0"/>
          <w:marBottom w:val="0"/>
          <w:divBdr>
            <w:top w:val="none" w:sz="0" w:space="0" w:color="auto"/>
            <w:left w:val="none" w:sz="0" w:space="0" w:color="auto"/>
            <w:bottom w:val="none" w:sz="0" w:space="0" w:color="auto"/>
            <w:right w:val="none" w:sz="0" w:space="0" w:color="auto"/>
          </w:divBdr>
        </w:div>
        <w:div w:id="715541355">
          <w:marLeft w:val="0"/>
          <w:marRight w:val="0"/>
          <w:marTop w:val="0"/>
          <w:marBottom w:val="0"/>
          <w:divBdr>
            <w:top w:val="none" w:sz="0" w:space="0" w:color="auto"/>
            <w:left w:val="none" w:sz="0" w:space="0" w:color="auto"/>
            <w:bottom w:val="none" w:sz="0" w:space="0" w:color="auto"/>
            <w:right w:val="none" w:sz="0" w:space="0" w:color="auto"/>
          </w:divBdr>
        </w:div>
        <w:div w:id="767120404">
          <w:marLeft w:val="0"/>
          <w:marRight w:val="0"/>
          <w:marTop w:val="0"/>
          <w:marBottom w:val="0"/>
          <w:divBdr>
            <w:top w:val="none" w:sz="0" w:space="0" w:color="auto"/>
            <w:left w:val="none" w:sz="0" w:space="0" w:color="auto"/>
            <w:bottom w:val="none" w:sz="0" w:space="0" w:color="auto"/>
            <w:right w:val="none" w:sz="0" w:space="0" w:color="auto"/>
          </w:divBdr>
        </w:div>
        <w:div w:id="778451820">
          <w:marLeft w:val="0"/>
          <w:marRight w:val="0"/>
          <w:marTop w:val="0"/>
          <w:marBottom w:val="0"/>
          <w:divBdr>
            <w:top w:val="none" w:sz="0" w:space="0" w:color="auto"/>
            <w:left w:val="none" w:sz="0" w:space="0" w:color="auto"/>
            <w:bottom w:val="none" w:sz="0" w:space="0" w:color="auto"/>
            <w:right w:val="none" w:sz="0" w:space="0" w:color="auto"/>
          </w:divBdr>
        </w:div>
        <w:div w:id="928388505">
          <w:marLeft w:val="0"/>
          <w:marRight w:val="0"/>
          <w:marTop w:val="0"/>
          <w:marBottom w:val="0"/>
          <w:divBdr>
            <w:top w:val="none" w:sz="0" w:space="0" w:color="auto"/>
            <w:left w:val="none" w:sz="0" w:space="0" w:color="auto"/>
            <w:bottom w:val="none" w:sz="0" w:space="0" w:color="auto"/>
            <w:right w:val="none" w:sz="0" w:space="0" w:color="auto"/>
          </w:divBdr>
        </w:div>
        <w:div w:id="1014576959">
          <w:marLeft w:val="0"/>
          <w:marRight w:val="0"/>
          <w:marTop w:val="0"/>
          <w:marBottom w:val="0"/>
          <w:divBdr>
            <w:top w:val="none" w:sz="0" w:space="0" w:color="auto"/>
            <w:left w:val="none" w:sz="0" w:space="0" w:color="auto"/>
            <w:bottom w:val="none" w:sz="0" w:space="0" w:color="auto"/>
            <w:right w:val="none" w:sz="0" w:space="0" w:color="auto"/>
          </w:divBdr>
        </w:div>
        <w:div w:id="1034620656">
          <w:marLeft w:val="0"/>
          <w:marRight w:val="0"/>
          <w:marTop w:val="0"/>
          <w:marBottom w:val="0"/>
          <w:divBdr>
            <w:top w:val="none" w:sz="0" w:space="0" w:color="auto"/>
            <w:left w:val="none" w:sz="0" w:space="0" w:color="auto"/>
            <w:bottom w:val="none" w:sz="0" w:space="0" w:color="auto"/>
            <w:right w:val="none" w:sz="0" w:space="0" w:color="auto"/>
          </w:divBdr>
        </w:div>
        <w:div w:id="1108817125">
          <w:marLeft w:val="0"/>
          <w:marRight w:val="0"/>
          <w:marTop w:val="0"/>
          <w:marBottom w:val="0"/>
          <w:divBdr>
            <w:top w:val="none" w:sz="0" w:space="0" w:color="auto"/>
            <w:left w:val="none" w:sz="0" w:space="0" w:color="auto"/>
            <w:bottom w:val="none" w:sz="0" w:space="0" w:color="auto"/>
            <w:right w:val="none" w:sz="0" w:space="0" w:color="auto"/>
          </w:divBdr>
        </w:div>
        <w:div w:id="1256327382">
          <w:marLeft w:val="0"/>
          <w:marRight w:val="0"/>
          <w:marTop w:val="0"/>
          <w:marBottom w:val="0"/>
          <w:divBdr>
            <w:top w:val="none" w:sz="0" w:space="0" w:color="auto"/>
            <w:left w:val="none" w:sz="0" w:space="0" w:color="auto"/>
            <w:bottom w:val="none" w:sz="0" w:space="0" w:color="auto"/>
            <w:right w:val="none" w:sz="0" w:space="0" w:color="auto"/>
          </w:divBdr>
        </w:div>
        <w:div w:id="1473713958">
          <w:marLeft w:val="0"/>
          <w:marRight w:val="0"/>
          <w:marTop w:val="0"/>
          <w:marBottom w:val="0"/>
          <w:divBdr>
            <w:top w:val="none" w:sz="0" w:space="0" w:color="auto"/>
            <w:left w:val="none" w:sz="0" w:space="0" w:color="auto"/>
            <w:bottom w:val="none" w:sz="0" w:space="0" w:color="auto"/>
            <w:right w:val="none" w:sz="0" w:space="0" w:color="auto"/>
          </w:divBdr>
        </w:div>
        <w:div w:id="1491604201">
          <w:marLeft w:val="0"/>
          <w:marRight w:val="0"/>
          <w:marTop w:val="0"/>
          <w:marBottom w:val="0"/>
          <w:divBdr>
            <w:top w:val="none" w:sz="0" w:space="0" w:color="auto"/>
            <w:left w:val="none" w:sz="0" w:space="0" w:color="auto"/>
            <w:bottom w:val="none" w:sz="0" w:space="0" w:color="auto"/>
            <w:right w:val="none" w:sz="0" w:space="0" w:color="auto"/>
          </w:divBdr>
        </w:div>
        <w:div w:id="1522010067">
          <w:marLeft w:val="0"/>
          <w:marRight w:val="0"/>
          <w:marTop w:val="0"/>
          <w:marBottom w:val="0"/>
          <w:divBdr>
            <w:top w:val="none" w:sz="0" w:space="0" w:color="auto"/>
            <w:left w:val="none" w:sz="0" w:space="0" w:color="auto"/>
            <w:bottom w:val="none" w:sz="0" w:space="0" w:color="auto"/>
            <w:right w:val="none" w:sz="0" w:space="0" w:color="auto"/>
          </w:divBdr>
        </w:div>
        <w:div w:id="1587495867">
          <w:marLeft w:val="0"/>
          <w:marRight w:val="0"/>
          <w:marTop w:val="0"/>
          <w:marBottom w:val="0"/>
          <w:divBdr>
            <w:top w:val="none" w:sz="0" w:space="0" w:color="auto"/>
            <w:left w:val="none" w:sz="0" w:space="0" w:color="auto"/>
            <w:bottom w:val="none" w:sz="0" w:space="0" w:color="auto"/>
            <w:right w:val="none" w:sz="0" w:space="0" w:color="auto"/>
          </w:divBdr>
        </w:div>
        <w:div w:id="1827621840">
          <w:marLeft w:val="0"/>
          <w:marRight w:val="0"/>
          <w:marTop w:val="0"/>
          <w:marBottom w:val="0"/>
          <w:divBdr>
            <w:top w:val="none" w:sz="0" w:space="0" w:color="auto"/>
            <w:left w:val="none" w:sz="0" w:space="0" w:color="auto"/>
            <w:bottom w:val="none" w:sz="0" w:space="0" w:color="auto"/>
            <w:right w:val="none" w:sz="0" w:space="0" w:color="auto"/>
          </w:divBdr>
        </w:div>
        <w:div w:id="1891988957">
          <w:marLeft w:val="0"/>
          <w:marRight w:val="0"/>
          <w:marTop w:val="0"/>
          <w:marBottom w:val="0"/>
          <w:divBdr>
            <w:top w:val="none" w:sz="0" w:space="0" w:color="auto"/>
            <w:left w:val="none" w:sz="0" w:space="0" w:color="auto"/>
            <w:bottom w:val="none" w:sz="0" w:space="0" w:color="auto"/>
            <w:right w:val="none" w:sz="0" w:space="0" w:color="auto"/>
          </w:divBdr>
        </w:div>
        <w:div w:id="1939096741">
          <w:marLeft w:val="0"/>
          <w:marRight w:val="0"/>
          <w:marTop w:val="0"/>
          <w:marBottom w:val="0"/>
          <w:divBdr>
            <w:top w:val="none" w:sz="0" w:space="0" w:color="auto"/>
            <w:left w:val="none" w:sz="0" w:space="0" w:color="auto"/>
            <w:bottom w:val="none" w:sz="0" w:space="0" w:color="auto"/>
            <w:right w:val="none" w:sz="0" w:space="0" w:color="auto"/>
          </w:divBdr>
        </w:div>
        <w:div w:id="1945108577">
          <w:marLeft w:val="0"/>
          <w:marRight w:val="0"/>
          <w:marTop w:val="0"/>
          <w:marBottom w:val="0"/>
          <w:divBdr>
            <w:top w:val="none" w:sz="0" w:space="0" w:color="auto"/>
            <w:left w:val="none" w:sz="0" w:space="0" w:color="auto"/>
            <w:bottom w:val="none" w:sz="0" w:space="0" w:color="auto"/>
            <w:right w:val="none" w:sz="0" w:space="0" w:color="auto"/>
          </w:divBdr>
        </w:div>
        <w:div w:id="2047176284">
          <w:marLeft w:val="0"/>
          <w:marRight w:val="0"/>
          <w:marTop w:val="0"/>
          <w:marBottom w:val="0"/>
          <w:divBdr>
            <w:top w:val="none" w:sz="0" w:space="0" w:color="auto"/>
            <w:left w:val="none" w:sz="0" w:space="0" w:color="auto"/>
            <w:bottom w:val="none" w:sz="0" w:space="0" w:color="auto"/>
            <w:right w:val="none" w:sz="0" w:space="0" w:color="auto"/>
          </w:divBdr>
        </w:div>
        <w:div w:id="2057898103">
          <w:marLeft w:val="0"/>
          <w:marRight w:val="0"/>
          <w:marTop w:val="0"/>
          <w:marBottom w:val="0"/>
          <w:divBdr>
            <w:top w:val="none" w:sz="0" w:space="0" w:color="auto"/>
            <w:left w:val="none" w:sz="0" w:space="0" w:color="auto"/>
            <w:bottom w:val="none" w:sz="0" w:space="0" w:color="auto"/>
            <w:right w:val="none" w:sz="0" w:space="0" w:color="auto"/>
          </w:divBdr>
        </w:div>
      </w:divsChild>
    </w:div>
    <w:div w:id="161094403">
      <w:bodyDiv w:val="1"/>
      <w:marLeft w:val="0"/>
      <w:marRight w:val="0"/>
      <w:marTop w:val="0"/>
      <w:marBottom w:val="0"/>
      <w:divBdr>
        <w:top w:val="none" w:sz="0" w:space="0" w:color="auto"/>
        <w:left w:val="none" w:sz="0" w:space="0" w:color="auto"/>
        <w:bottom w:val="none" w:sz="0" w:space="0" w:color="auto"/>
        <w:right w:val="none" w:sz="0" w:space="0" w:color="auto"/>
      </w:divBdr>
    </w:div>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40023054">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60453894">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333607030">
      <w:bodyDiv w:val="1"/>
      <w:marLeft w:val="0"/>
      <w:marRight w:val="0"/>
      <w:marTop w:val="0"/>
      <w:marBottom w:val="0"/>
      <w:divBdr>
        <w:top w:val="none" w:sz="0" w:space="0" w:color="auto"/>
        <w:left w:val="none" w:sz="0" w:space="0" w:color="auto"/>
        <w:bottom w:val="none" w:sz="0" w:space="0" w:color="auto"/>
        <w:right w:val="none" w:sz="0" w:space="0" w:color="auto"/>
      </w:divBdr>
    </w:div>
    <w:div w:id="399137552">
      <w:bodyDiv w:val="1"/>
      <w:marLeft w:val="0"/>
      <w:marRight w:val="0"/>
      <w:marTop w:val="0"/>
      <w:marBottom w:val="0"/>
      <w:divBdr>
        <w:top w:val="none" w:sz="0" w:space="0" w:color="auto"/>
        <w:left w:val="none" w:sz="0" w:space="0" w:color="auto"/>
        <w:bottom w:val="none" w:sz="0" w:space="0" w:color="auto"/>
        <w:right w:val="none" w:sz="0" w:space="0" w:color="auto"/>
      </w:divBdr>
    </w:div>
    <w:div w:id="409425347">
      <w:bodyDiv w:val="1"/>
      <w:marLeft w:val="0"/>
      <w:marRight w:val="0"/>
      <w:marTop w:val="0"/>
      <w:marBottom w:val="0"/>
      <w:divBdr>
        <w:top w:val="none" w:sz="0" w:space="0" w:color="auto"/>
        <w:left w:val="none" w:sz="0" w:space="0" w:color="auto"/>
        <w:bottom w:val="none" w:sz="0" w:space="0" w:color="auto"/>
        <w:right w:val="none" w:sz="0" w:space="0" w:color="auto"/>
      </w:divBdr>
    </w:div>
    <w:div w:id="536434234">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550776384">
      <w:bodyDiv w:val="1"/>
      <w:marLeft w:val="0"/>
      <w:marRight w:val="0"/>
      <w:marTop w:val="0"/>
      <w:marBottom w:val="0"/>
      <w:divBdr>
        <w:top w:val="none" w:sz="0" w:space="0" w:color="auto"/>
        <w:left w:val="none" w:sz="0" w:space="0" w:color="auto"/>
        <w:bottom w:val="none" w:sz="0" w:space="0" w:color="auto"/>
        <w:right w:val="none" w:sz="0" w:space="0" w:color="auto"/>
      </w:divBdr>
      <w:divsChild>
        <w:div w:id="167059091">
          <w:marLeft w:val="0"/>
          <w:marRight w:val="0"/>
          <w:marTop w:val="0"/>
          <w:marBottom w:val="0"/>
          <w:divBdr>
            <w:top w:val="none" w:sz="0" w:space="0" w:color="auto"/>
            <w:left w:val="none" w:sz="0" w:space="0" w:color="auto"/>
            <w:bottom w:val="none" w:sz="0" w:space="0" w:color="auto"/>
            <w:right w:val="none" w:sz="0" w:space="0" w:color="auto"/>
          </w:divBdr>
        </w:div>
        <w:div w:id="190728572">
          <w:marLeft w:val="0"/>
          <w:marRight w:val="0"/>
          <w:marTop w:val="0"/>
          <w:marBottom w:val="0"/>
          <w:divBdr>
            <w:top w:val="none" w:sz="0" w:space="0" w:color="auto"/>
            <w:left w:val="none" w:sz="0" w:space="0" w:color="auto"/>
            <w:bottom w:val="none" w:sz="0" w:space="0" w:color="auto"/>
            <w:right w:val="none" w:sz="0" w:space="0" w:color="auto"/>
          </w:divBdr>
        </w:div>
        <w:div w:id="212814931">
          <w:marLeft w:val="0"/>
          <w:marRight w:val="0"/>
          <w:marTop w:val="0"/>
          <w:marBottom w:val="0"/>
          <w:divBdr>
            <w:top w:val="none" w:sz="0" w:space="0" w:color="auto"/>
            <w:left w:val="none" w:sz="0" w:space="0" w:color="auto"/>
            <w:bottom w:val="none" w:sz="0" w:space="0" w:color="auto"/>
            <w:right w:val="none" w:sz="0" w:space="0" w:color="auto"/>
          </w:divBdr>
        </w:div>
        <w:div w:id="543953471">
          <w:marLeft w:val="0"/>
          <w:marRight w:val="0"/>
          <w:marTop w:val="0"/>
          <w:marBottom w:val="0"/>
          <w:divBdr>
            <w:top w:val="none" w:sz="0" w:space="0" w:color="auto"/>
            <w:left w:val="none" w:sz="0" w:space="0" w:color="auto"/>
            <w:bottom w:val="none" w:sz="0" w:space="0" w:color="auto"/>
            <w:right w:val="none" w:sz="0" w:space="0" w:color="auto"/>
          </w:divBdr>
        </w:div>
        <w:div w:id="611476298">
          <w:marLeft w:val="0"/>
          <w:marRight w:val="0"/>
          <w:marTop w:val="0"/>
          <w:marBottom w:val="0"/>
          <w:divBdr>
            <w:top w:val="none" w:sz="0" w:space="0" w:color="auto"/>
            <w:left w:val="none" w:sz="0" w:space="0" w:color="auto"/>
            <w:bottom w:val="none" w:sz="0" w:space="0" w:color="auto"/>
            <w:right w:val="none" w:sz="0" w:space="0" w:color="auto"/>
          </w:divBdr>
        </w:div>
        <w:div w:id="657421771">
          <w:marLeft w:val="0"/>
          <w:marRight w:val="0"/>
          <w:marTop w:val="0"/>
          <w:marBottom w:val="0"/>
          <w:divBdr>
            <w:top w:val="none" w:sz="0" w:space="0" w:color="auto"/>
            <w:left w:val="none" w:sz="0" w:space="0" w:color="auto"/>
            <w:bottom w:val="none" w:sz="0" w:space="0" w:color="auto"/>
            <w:right w:val="none" w:sz="0" w:space="0" w:color="auto"/>
          </w:divBdr>
        </w:div>
        <w:div w:id="723480915">
          <w:marLeft w:val="0"/>
          <w:marRight w:val="0"/>
          <w:marTop w:val="0"/>
          <w:marBottom w:val="0"/>
          <w:divBdr>
            <w:top w:val="none" w:sz="0" w:space="0" w:color="auto"/>
            <w:left w:val="none" w:sz="0" w:space="0" w:color="auto"/>
            <w:bottom w:val="none" w:sz="0" w:space="0" w:color="auto"/>
            <w:right w:val="none" w:sz="0" w:space="0" w:color="auto"/>
          </w:divBdr>
        </w:div>
        <w:div w:id="727846282">
          <w:marLeft w:val="0"/>
          <w:marRight w:val="0"/>
          <w:marTop w:val="0"/>
          <w:marBottom w:val="0"/>
          <w:divBdr>
            <w:top w:val="none" w:sz="0" w:space="0" w:color="auto"/>
            <w:left w:val="none" w:sz="0" w:space="0" w:color="auto"/>
            <w:bottom w:val="none" w:sz="0" w:space="0" w:color="auto"/>
            <w:right w:val="none" w:sz="0" w:space="0" w:color="auto"/>
          </w:divBdr>
        </w:div>
        <w:div w:id="997535169">
          <w:marLeft w:val="0"/>
          <w:marRight w:val="0"/>
          <w:marTop w:val="0"/>
          <w:marBottom w:val="0"/>
          <w:divBdr>
            <w:top w:val="none" w:sz="0" w:space="0" w:color="auto"/>
            <w:left w:val="none" w:sz="0" w:space="0" w:color="auto"/>
            <w:bottom w:val="none" w:sz="0" w:space="0" w:color="auto"/>
            <w:right w:val="none" w:sz="0" w:space="0" w:color="auto"/>
          </w:divBdr>
        </w:div>
        <w:div w:id="1111585190">
          <w:marLeft w:val="0"/>
          <w:marRight w:val="0"/>
          <w:marTop w:val="0"/>
          <w:marBottom w:val="0"/>
          <w:divBdr>
            <w:top w:val="none" w:sz="0" w:space="0" w:color="auto"/>
            <w:left w:val="none" w:sz="0" w:space="0" w:color="auto"/>
            <w:bottom w:val="none" w:sz="0" w:space="0" w:color="auto"/>
            <w:right w:val="none" w:sz="0" w:space="0" w:color="auto"/>
          </w:divBdr>
        </w:div>
        <w:div w:id="1512796074">
          <w:marLeft w:val="0"/>
          <w:marRight w:val="0"/>
          <w:marTop w:val="0"/>
          <w:marBottom w:val="0"/>
          <w:divBdr>
            <w:top w:val="none" w:sz="0" w:space="0" w:color="auto"/>
            <w:left w:val="none" w:sz="0" w:space="0" w:color="auto"/>
            <w:bottom w:val="none" w:sz="0" w:space="0" w:color="auto"/>
            <w:right w:val="none" w:sz="0" w:space="0" w:color="auto"/>
          </w:divBdr>
        </w:div>
        <w:div w:id="1700666688">
          <w:marLeft w:val="0"/>
          <w:marRight w:val="0"/>
          <w:marTop w:val="0"/>
          <w:marBottom w:val="0"/>
          <w:divBdr>
            <w:top w:val="none" w:sz="0" w:space="0" w:color="auto"/>
            <w:left w:val="none" w:sz="0" w:space="0" w:color="auto"/>
            <w:bottom w:val="none" w:sz="0" w:space="0" w:color="auto"/>
            <w:right w:val="none" w:sz="0" w:space="0" w:color="auto"/>
          </w:divBdr>
        </w:div>
        <w:div w:id="1962026851">
          <w:marLeft w:val="0"/>
          <w:marRight w:val="0"/>
          <w:marTop w:val="0"/>
          <w:marBottom w:val="0"/>
          <w:divBdr>
            <w:top w:val="none" w:sz="0" w:space="0" w:color="auto"/>
            <w:left w:val="none" w:sz="0" w:space="0" w:color="auto"/>
            <w:bottom w:val="none" w:sz="0" w:space="0" w:color="auto"/>
            <w:right w:val="none" w:sz="0" w:space="0" w:color="auto"/>
          </w:divBdr>
        </w:div>
        <w:div w:id="2014339019">
          <w:marLeft w:val="0"/>
          <w:marRight w:val="0"/>
          <w:marTop w:val="0"/>
          <w:marBottom w:val="0"/>
          <w:divBdr>
            <w:top w:val="none" w:sz="0" w:space="0" w:color="auto"/>
            <w:left w:val="none" w:sz="0" w:space="0" w:color="auto"/>
            <w:bottom w:val="none" w:sz="0" w:space="0" w:color="auto"/>
            <w:right w:val="none" w:sz="0" w:space="0" w:color="auto"/>
          </w:divBdr>
        </w:div>
      </w:divsChild>
    </w:div>
    <w:div w:id="625157676">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14039582">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6638382">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01702519">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774746560">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099128928">
      <w:bodyDiv w:val="1"/>
      <w:marLeft w:val="0"/>
      <w:marRight w:val="0"/>
      <w:marTop w:val="0"/>
      <w:marBottom w:val="0"/>
      <w:divBdr>
        <w:top w:val="none" w:sz="0" w:space="0" w:color="auto"/>
        <w:left w:val="none" w:sz="0" w:space="0" w:color="auto"/>
        <w:bottom w:val="none" w:sz="0" w:space="0" w:color="auto"/>
        <w:right w:val="none" w:sz="0" w:space="0" w:color="auto"/>
      </w:divBdr>
    </w:div>
    <w:div w:id="2111462062">
      <w:bodyDiv w:val="1"/>
      <w:marLeft w:val="0"/>
      <w:marRight w:val="0"/>
      <w:marTop w:val="0"/>
      <w:marBottom w:val="0"/>
      <w:divBdr>
        <w:top w:val="none" w:sz="0" w:space="0" w:color="auto"/>
        <w:left w:val="none" w:sz="0" w:space="0" w:color="auto"/>
        <w:bottom w:val="none" w:sz="0" w:space="0" w:color="auto"/>
        <w:right w:val="none" w:sz="0" w:space="0" w:color="auto"/>
      </w:divBdr>
    </w:div>
    <w:div w:id="2111778897">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ntratos.gov.co/consultas/detalleProceso.do?numConstancia=22-13-13093085&amp;g-recaptcha-response=03AIIukzgrQw_yJIgaZqXEav-rvwnUdVe330_IcL5HF-fM0_7yXiSr0YY1fWuHUYu1H4mCajxZAofeScYHFd8aewRdvSWsYuvej-ALeRCh9BIyDnFqf0OSBP6EcwYmbNrI2nvqjgXtBJD9mkZBsUIeJRfTimOjfd25pvm_cJLe-bgg20TjBZfajDqFmNAenibUyHTl7LPHra8OXz2V0tFc7uC2lVr4tJPv8WGGV29QiXcMg3OZ406mmH-dZv2eu6StDRqltTjtcxvN6M4h7tw8ta6wkgedLefKm0ftO4R4S9eR1CLOBe7s7aPb-W7y03CKrsvcQddvKzS6mvm87VQc-3uZ5dLlyNaufRDwp3EVmJ_sg2ZwES3uxVWX2E_82wkrwQKfLqTMR-Ztoud9t-ZKcTDRq7MntpS4l1qxhnCTwpvAiixX1Vr3qUtzcQybaNmydFZoQ5oiBSBnqinQ4fuhPQ1n3kGInDZIipkpH49U9FwdAPAM97B57pTnK82BKDHbC-rQKiyGrZvDXXJx8ZfMfJSgHvhIRvpLag" TargetMode="External"/><Relationship Id="rId2" Type="http://schemas.openxmlformats.org/officeDocument/2006/relationships/hyperlink" Target="https://www.contratos.gov.co/consultas/detalleProceso.do?numConstancia=22-13-13315932&amp;g-recaptcha-response=03AIIukzhU73EAJnkrAuOVk_qnuVFkjGvb5i1DkMXj0c2JtkroGde5oNwQlRiSnagwT-pzfAdmGkmnE7bg9x6FYdA-ztOQ3lVZTrCR-MM1pgZ14-JJm-g4O9Jke6veAVHCZMKRf9hzhCiYgTfeENrRlBYuXDmK1IdyPnQKLoSyZRxfw0q0BDmRydtgKU96lIDQwdlsdBm0hHE4YJjMholzZDAPalHNmzliTu5-zCV2zJZeiLVgXJ2dKxTNr9rQy2k6XDQ4dmrEHHTPlm41rbnExDsYeG4HD_EXMuVRD3BbCZ0U_p1-F-DreoQN8Z0TYf62I8YGgMmYxSzM06xBg14oTuYrGu4fQu-Xs_fRDFD7OriIvW6_MVZspjKNpHD9oV02-vdqlwCmTZToHw9S1ZSp2UqWWdTocvR66_JYgEcJujBSxRtjrNuMlyeusD-CS_xMsnnb-PqrKmM8oZAxUxRvq_2oNQsiCE3pLnCQjiw6gC8lR_DmW4dO7NzVpUhDbLv5nWXo41AQrpHZGDMl-JclpAezKxWN70i7pA" TargetMode="External"/><Relationship Id="rId1" Type="http://schemas.openxmlformats.org/officeDocument/2006/relationships/hyperlink" Target="https://www.contratos.gov.co/consultas/detalleProceso.do?numConstancia=21-13-12601444&amp;g-recaptcha-response=03AIIukzhe3USS0QIfIVC840ZzWuywmn34SIbzVVnU4iapUefrwYRJfFWsKo21PkKybu8N8wkZ09ziUwME38_Yt5AsIk7mIeWA_wVzk3XHaLUe4B0mY4D5Rc2miqGYkfQ7d87roREnaKhn3JkSBlS8pPusp0Kar5Hrkzuk1ekQDkS59zjFx6HH5meETscbxBymqMBauQ_NpbNocxwmo-9D-U-HFWak2sZHndk2rKcF_TqhRuBSa8pTRKUd1O3qGKTjwnd93_0CcFn2c40cGJEaAROUWjPyXY6w7H98uW_81xix8ax2P9z8B5H1FFZGX8gO_lVXLazkMxsLCeJvZVClgTJ74e3vOgIqDWLhnkSPJFMR4UpC0MoUq6AjaF_gD9fHMcma2ZE5cqiWNfxeWmkhoJxfNcEByLP8f1c1DKeDjr7LqcdImOrHZRtkhEh97PzjYfeIscKihzHKhx5RRg8fePoJ_bH28lr7OQHeqt_OubSvuRCFf_VPvFbS5PXOT-mKin1GKQIrGlukFiWLHDIxO-l02RezFgaSV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1" ma:contentTypeDescription="Crear nuevo documento." ma:contentTypeScope="" ma:versionID="95c742ab715e99821918e1f63b0b25f8">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d5835e5f055d4bd16bc0795399cb00c2"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984BC-E873-456D-95F0-B9C3976A0252}"/>
</file>

<file path=customXml/itemProps2.xml><?xml version="1.0" encoding="utf-8"?>
<ds:datastoreItem xmlns:ds="http://schemas.openxmlformats.org/officeDocument/2006/customXml" ds:itemID="{56FCC991-DB66-45E4-8981-46586908F0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58C2DF-34D3-455E-8E84-74FA7B7EB7A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41</Pages>
  <Words>16092</Words>
  <Characters>88509</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104393</CharactersWithSpaces>
  <SharedDoc>false</SharedDoc>
  <HLinks>
    <vt:vector size="12" baseType="variant">
      <vt:variant>
        <vt:i4>7798893</vt:i4>
      </vt:variant>
      <vt:variant>
        <vt:i4>3</vt:i4>
      </vt:variant>
      <vt:variant>
        <vt:i4>0</vt:i4>
      </vt:variant>
      <vt:variant>
        <vt:i4>5</vt:i4>
      </vt:variant>
      <vt:variant>
        <vt:lpwstr>https://bit.ly/3fwJNTR</vt:lpwstr>
      </vt:variant>
      <vt:variant>
        <vt:lpwstr/>
      </vt:variant>
      <vt:variant>
        <vt:i4>7864444</vt:i4>
      </vt:variant>
      <vt:variant>
        <vt:i4>0</vt:i4>
      </vt:variant>
      <vt:variant>
        <vt:i4>0</vt:i4>
      </vt:variant>
      <vt:variant>
        <vt:i4>5</vt:i4>
      </vt:variant>
      <vt:variant>
        <vt:lpwstr>https://bit.ly/3fnE8j2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2015-12-16T18:04:00Z</cp:lastPrinted>
  <dcterms:created xsi:type="dcterms:W3CDTF">2023-12-14T21:58:00Z</dcterms:created>
  <dcterms:modified xsi:type="dcterms:W3CDTF">2023-12-14T21:58:00Z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