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7B2" w:rsidRDefault="008A67B2" w:rsidP="008A67B2">
      <w:pPr>
        <w:jc w:val="center"/>
        <w:rPr>
          <w:rFonts w:ascii="Arial" w:hAnsi="Arial" w:cs="Arial"/>
          <w:b/>
          <w:bCs/>
          <w:sz w:val="22"/>
          <w:szCs w:val="22"/>
        </w:rPr>
      </w:pPr>
      <w:bookmarkStart w:id="0" w:name="_GoBack"/>
      <w:bookmarkEnd w:id="0"/>
    </w:p>
    <w:p w:rsidR="008A67B2" w:rsidRPr="008A67B2" w:rsidRDefault="008A67B2" w:rsidP="008A67B2">
      <w:pPr>
        <w:keepNext/>
        <w:keepLines/>
        <w:jc w:val="center"/>
        <w:rPr>
          <w:rFonts w:ascii="Arial" w:hAnsi="Arial" w:cs="Arial"/>
          <w:b/>
          <w:sz w:val="22"/>
          <w:szCs w:val="22"/>
        </w:rPr>
      </w:pPr>
      <w:r w:rsidRPr="008A67B2">
        <w:rPr>
          <w:rFonts w:ascii="Arial" w:hAnsi="Arial" w:cs="Arial"/>
          <w:b/>
          <w:bCs/>
          <w:sz w:val="22"/>
          <w:szCs w:val="22"/>
        </w:rPr>
        <w:t xml:space="preserve">RESULTADOS DE LA EVALUACIÓN FINAL </w:t>
      </w:r>
      <w:r w:rsidRPr="008A67B2">
        <w:rPr>
          <w:rFonts w:ascii="Arial" w:hAnsi="Arial" w:cs="Arial"/>
          <w:b/>
          <w:sz w:val="22"/>
          <w:szCs w:val="22"/>
          <w:lang w:val="es-ES_tradnl"/>
        </w:rPr>
        <w:t xml:space="preserve">A LA REFORMULACIÓN Y EXTENSIÓN PLAN DE DESEMPEÑO SECTOR SALUD </w:t>
      </w:r>
      <w:r w:rsidRPr="008A67B2">
        <w:rPr>
          <w:rFonts w:ascii="Arial" w:hAnsi="Arial" w:cs="Arial"/>
          <w:b/>
          <w:sz w:val="22"/>
          <w:szCs w:val="22"/>
        </w:rPr>
        <w:fldChar w:fldCharType="begin"/>
      </w:r>
      <w:r w:rsidRPr="008A67B2">
        <w:rPr>
          <w:rFonts w:ascii="Arial" w:hAnsi="Arial" w:cs="Arial"/>
          <w:b/>
          <w:sz w:val="22"/>
          <w:szCs w:val="22"/>
        </w:rPr>
        <w:instrText xml:space="preserve"> LINK Excel.SheetMacroEnabled.12 "\\\\MH-EXMOSSSA01.MHEXT.RED\\EncuestasPSFF_Archivos\\Decreto028\\BD\\Excel\\Matriz_2017_PlanDesempeño_Departamento_Bolívar_Sector_Salud.xlsm" "Principal!F5C7" \a \t  \* MERGEFORMAT </w:instrText>
      </w:r>
      <w:r w:rsidRPr="008A67B2">
        <w:rPr>
          <w:rFonts w:ascii="Arial" w:hAnsi="Arial" w:cs="Arial"/>
          <w:b/>
          <w:sz w:val="22"/>
          <w:szCs w:val="22"/>
        </w:rPr>
        <w:fldChar w:fldCharType="separate"/>
      </w:r>
      <w:r w:rsidRPr="008A67B2">
        <w:rPr>
          <w:rFonts w:ascii="Arial" w:hAnsi="Arial" w:cs="Arial"/>
          <w:b/>
          <w:sz w:val="22"/>
          <w:szCs w:val="22"/>
        </w:rPr>
        <w:t>DISTRITO DE CARTAGENA DE INDIAS - BOLÍVAR</w:t>
      </w:r>
      <w:r w:rsidRPr="008A67B2">
        <w:rPr>
          <w:rFonts w:ascii="Arial" w:hAnsi="Arial" w:cs="Arial"/>
          <w:b/>
          <w:sz w:val="22"/>
          <w:szCs w:val="22"/>
        </w:rPr>
        <w:fldChar w:fldCharType="end"/>
      </w:r>
    </w:p>
    <w:p w:rsidR="008A67B2" w:rsidRPr="008A67B2" w:rsidRDefault="008A67B2" w:rsidP="008A67B2">
      <w:pPr>
        <w:jc w:val="center"/>
        <w:rPr>
          <w:rFonts w:ascii="Arial" w:hAnsi="Arial" w:cs="Arial"/>
          <w:b/>
          <w:sz w:val="22"/>
          <w:szCs w:val="22"/>
        </w:rPr>
      </w:pPr>
    </w:p>
    <w:p w:rsidR="008A67B2" w:rsidRPr="008A67B2" w:rsidRDefault="008A67B2" w:rsidP="008A67B2">
      <w:pPr>
        <w:jc w:val="center"/>
        <w:rPr>
          <w:rFonts w:ascii="Arial" w:hAnsi="Arial" w:cs="Arial"/>
          <w:b/>
          <w:sz w:val="22"/>
          <w:szCs w:val="22"/>
        </w:rPr>
      </w:pPr>
      <w:r w:rsidRPr="008A67B2">
        <w:rPr>
          <w:rFonts w:ascii="Arial" w:hAnsi="Arial" w:cs="Arial"/>
          <w:b/>
          <w:sz w:val="22"/>
          <w:szCs w:val="22"/>
        </w:rPr>
        <w:t xml:space="preserve">Periodo de evaluación: </w:t>
      </w:r>
      <w:bookmarkStart w:id="1" w:name="PERIODO_EVALUACION"/>
      <w:bookmarkEnd w:id="1"/>
      <w:r w:rsidRPr="008A67B2">
        <w:rPr>
          <w:rFonts w:ascii="Arial" w:hAnsi="Arial" w:cs="Arial"/>
          <w:b/>
          <w:sz w:val="22"/>
          <w:szCs w:val="22"/>
        </w:rPr>
        <w:t>01/01/2020</w:t>
      </w:r>
      <w:r w:rsidRPr="008A67B2">
        <w:rPr>
          <w:rFonts w:ascii="Arial" w:hAnsi="Arial" w:cs="Arial"/>
          <w:sz w:val="22"/>
          <w:szCs w:val="22"/>
        </w:rPr>
        <w:t xml:space="preserve"> </w:t>
      </w:r>
      <w:r w:rsidRPr="008A67B2">
        <w:rPr>
          <w:rFonts w:ascii="Arial" w:hAnsi="Arial" w:cs="Arial"/>
          <w:b/>
          <w:sz w:val="22"/>
          <w:szCs w:val="22"/>
        </w:rPr>
        <w:t>– 09/03/2021</w:t>
      </w:r>
    </w:p>
    <w:p w:rsidR="008A67B2" w:rsidRPr="008A67B2" w:rsidRDefault="008A67B2" w:rsidP="008A67B2">
      <w:pPr>
        <w:jc w:val="both"/>
        <w:rPr>
          <w:rFonts w:ascii="Arial" w:hAnsi="Arial" w:cs="Arial"/>
          <w:b/>
          <w:sz w:val="22"/>
          <w:szCs w:val="22"/>
        </w:rPr>
      </w:pPr>
      <w:r w:rsidRPr="008A67B2">
        <w:rPr>
          <w:rFonts w:ascii="Arial" w:hAnsi="Arial" w:cs="Arial"/>
          <w:b/>
          <w:sz w:val="22"/>
          <w:szCs w:val="22"/>
        </w:rPr>
        <w:fldChar w:fldCharType="begin"/>
      </w:r>
      <w:r w:rsidRPr="008A67B2">
        <w:rPr>
          <w:rFonts w:ascii="Arial" w:hAnsi="Arial" w:cs="Arial"/>
          <w:b/>
          <w:sz w:val="22"/>
          <w:szCs w:val="22"/>
        </w:rPr>
        <w:instrText xml:space="preserve"> DOCVARIABLE  sector  \* MERGEFORMAT </w:instrText>
      </w:r>
      <w:r w:rsidRPr="008A67B2">
        <w:rPr>
          <w:rFonts w:ascii="Arial" w:hAnsi="Arial" w:cs="Arial"/>
          <w:b/>
          <w:sz w:val="22"/>
          <w:szCs w:val="22"/>
        </w:rPr>
        <w:fldChar w:fldCharType="end"/>
      </w:r>
      <w:r w:rsidRPr="008A67B2">
        <w:rPr>
          <w:rFonts w:ascii="Arial" w:hAnsi="Arial" w:cs="Arial"/>
          <w:b/>
          <w:sz w:val="22"/>
          <w:szCs w:val="22"/>
        </w:rPr>
        <w:fldChar w:fldCharType="begin"/>
      </w:r>
      <w:r w:rsidRPr="008A67B2">
        <w:rPr>
          <w:rFonts w:ascii="Arial" w:hAnsi="Arial" w:cs="Arial"/>
          <w:b/>
          <w:sz w:val="22"/>
          <w:szCs w:val="22"/>
        </w:rPr>
        <w:instrText xml:space="preserve"> DOCVARIABLE  Sector  \* MERGEFORMAT </w:instrText>
      </w:r>
      <w:r w:rsidRPr="008A67B2">
        <w:rPr>
          <w:rFonts w:ascii="Arial" w:hAnsi="Arial" w:cs="Arial"/>
          <w:b/>
          <w:sz w:val="22"/>
          <w:szCs w:val="22"/>
        </w:rPr>
        <w:fldChar w:fldCharType="end"/>
      </w:r>
    </w:p>
    <w:p w:rsidR="008A67B2" w:rsidRPr="008A67B2" w:rsidRDefault="008A67B2" w:rsidP="008A67B2">
      <w:pPr>
        <w:numPr>
          <w:ilvl w:val="0"/>
          <w:numId w:val="8"/>
        </w:numPr>
        <w:contextualSpacing/>
        <w:jc w:val="both"/>
        <w:rPr>
          <w:rFonts w:ascii="Arial" w:hAnsi="Arial" w:cs="Arial"/>
          <w:b/>
          <w:sz w:val="22"/>
          <w:szCs w:val="22"/>
        </w:rPr>
      </w:pPr>
      <w:r w:rsidRPr="008A67B2">
        <w:rPr>
          <w:rFonts w:ascii="Arial" w:hAnsi="Arial" w:cs="Arial"/>
          <w:b/>
          <w:sz w:val="22"/>
          <w:szCs w:val="22"/>
        </w:rPr>
        <w:t>Diagnóstico Inicial</w:t>
      </w:r>
    </w:p>
    <w:p w:rsidR="008A67B2" w:rsidRPr="008A67B2" w:rsidRDefault="008A67B2" w:rsidP="008A67B2">
      <w:pPr>
        <w:jc w:val="both"/>
        <w:rPr>
          <w:rFonts w:ascii="Arial" w:hAnsi="Arial" w:cs="Arial"/>
          <w:b/>
          <w:sz w:val="22"/>
          <w:szCs w:val="22"/>
        </w:rPr>
      </w:pPr>
    </w:p>
    <w:p w:rsidR="008A67B2" w:rsidRPr="008A67B2" w:rsidRDefault="008A67B2" w:rsidP="008A67B2">
      <w:pPr>
        <w:numPr>
          <w:ilvl w:val="0"/>
          <w:numId w:val="9"/>
        </w:numPr>
        <w:jc w:val="both"/>
        <w:rPr>
          <w:rFonts w:ascii="Arial" w:hAnsi="Arial" w:cs="Arial"/>
          <w:b/>
          <w:sz w:val="22"/>
          <w:szCs w:val="22"/>
        </w:rPr>
      </w:pPr>
      <w:r w:rsidRPr="008A67B2">
        <w:rPr>
          <w:rFonts w:ascii="Arial" w:hAnsi="Arial" w:cs="Arial"/>
          <w:b/>
          <w:sz w:val="22"/>
          <w:szCs w:val="22"/>
        </w:rPr>
        <w:t>Antecedentes</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 xml:space="preserve">Considerando la clasificación efectuada por el Ministerio de Salud y Protección Social a través del Informe de Monitoreo remitido a la Dirección General de Apoyo Fiscal, el Distrito Turístico y Cultural de Cartagena de Indias presentó riesgo alto frente al Componente de Prestación de Servicios por el incumplimiento de la verificación de servicios asociados a la maternidad segura, baja ejecución de recursos SGP respecto al presupuesto de ingresos definitivo y frente a asignación CONPES, deficiencias en el pago de Servicios de Salud por atención a la población pobre en lo no cubierto con subsidios a la demanda a las IPS públicas e incumplimiento en el periodo promedio de cobranza de la cartera adeudada a la ESE de su jurisdicción por atención a la población pobre en lo no cubierto con subsidios a la demanda. De igual forma categorizó en riesgo alto el Componente de Salud Pública en atención al bajo porcentaje de recursos comprometidos y ejecutados.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eastAsia="Times New Roman" w:hAnsi="Arial" w:cs="Arial"/>
          <w:sz w:val="22"/>
          <w:szCs w:val="22"/>
          <w:lang w:val="es-CO"/>
        </w:rPr>
      </w:pPr>
      <w:r w:rsidRPr="008A67B2">
        <w:rPr>
          <w:rFonts w:ascii="Arial" w:hAnsi="Arial" w:cs="Arial"/>
          <w:sz w:val="22"/>
          <w:szCs w:val="22"/>
        </w:rPr>
        <w:t xml:space="preserve">Con fundamento en lo expuesto, la Dirección General de Apoyo Fiscal procedió a realizar el reconocimiento institucional </w:t>
      </w:r>
      <w:bookmarkStart w:id="2" w:name="PLAN_DESEMPEÑO"/>
      <w:r w:rsidRPr="008A67B2">
        <w:rPr>
          <w:rFonts w:ascii="Arial" w:hAnsi="Arial" w:cs="Arial"/>
          <w:sz w:val="22"/>
          <w:szCs w:val="22"/>
        </w:rPr>
        <w:t xml:space="preserve">a lo expuesto y mediante la </w:t>
      </w:r>
      <w:r w:rsidRPr="008A67B2">
        <w:fldChar w:fldCharType="begin"/>
      </w:r>
      <w:r w:rsidRPr="008A67B2">
        <w:rPr>
          <w:rFonts w:ascii="Arial" w:hAnsi="Arial" w:cs="Arial"/>
          <w:sz w:val="22"/>
          <w:szCs w:val="22"/>
        </w:rPr>
        <w:instrText xml:space="preserve"> LINK Excel.SheetMacroEnabled.12 "\\\\MH-EXMOSSSA01.MHEXT.RED\\EncuestasPSFF_Archivos\\Decreto028\\BD\\Excel\\Matriz_2017_PlanDesempeño_Departamento_Bolívar_Sector_Salud.xlsm" "Principal!F10C7" \a \t  \* MERGEFORMAT </w:instrText>
      </w:r>
      <w:r w:rsidRPr="008A67B2">
        <w:fldChar w:fldCharType="separate"/>
      </w:r>
      <w:r w:rsidRPr="008A67B2">
        <w:rPr>
          <w:rFonts w:ascii="Arial" w:hAnsi="Arial" w:cs="Arial"/>
          <w:sz w:val="22"/>
          <w:szCs w:val="22"/>
        </w:rPr>
        <w:t>Resolución DAF No.1239 del 11 de mayo del 201</w:t>
      </w:r>
      <w:r w:rsidRPr="008A67B2">
        <w:fldChar w:fldCharType="end"/>
      </w:r>
      <w:r w:rsidRPr="008A67B2">
        <w:rPr>
          <w:rFonts w:ascii="Arial" w:hAnsi="Arial" w:cs="Arial"/>
          <w:sz w:val="22"/>
          <w:szCs w:val="22"/>
        </w:rPr>
        <w:t xml:space="preserve">7 la DAF ordenó la adopción de la </w:t>
      </w:r>
      <w:r w:rsidRPr="008A67B2">
        <w:fldChar w:fldCharType="begin"/>
      </w:r>
      <w:r w:rsidRPr="008A67B2">
        <w:rPr>
          <w:rFonts w:ascii="Arial" w:hAnsi="Arial" w:cs="Arial"/>
          <w:sz w:val="22"/>
          <w:szCs w:val="22"/>
        </w:rPr>
        <w:instrText xml:space="preserve"> LINK Excel.SheetMacroEnabled.12 "\\\\MH-EXMOSSSA01.MHEXT.RED\\EncuestasPSFF_Archivos\\Decreto028\\BD\\Excel\\Matriz_2017_PlanDesempeño_Departamento_Bolívar_Sector_Salud.xlsm" "Principal!F18C8" \a \t  \* MERGEFORMAT </w:instrText>
      </w:r>
      <w:r w:rsidRPr="008A67B2">
        <w:fldChar w:fldCharType="separate"/>
      </w:r>
      <w:r w:rsidRPr="008A67B2">
        <w:rPr>
          <w:rFonts w:ascii="Arial" w:hAnsi="Arial" w:cs="Arial"/>
          <w:sz w:val="22"/>
          <w:szCs w:val="22"/>
        </w:rPr>
        <w:t>Medida Preventiva de Plan de Desempeño</w:t>
      </w:r>
      <w:r w:rsidRPr="008A67B2">
        <w:fldChar w:fldCharType="end"/>
      </w:r>
      <w:r w:rsidRPr="008A67B2">
        <w:rPr>
          <w:rFonts w:ascii="Arial" w:hAnsi="Arial" w:cs="Arial"/>
          <w:sz w:val="22"/>
          <w:szCs w:val="22"/>
        </w:rPr>
        <w:t xml:space="preserve"> con el propósito de que la Entidad superara los eventos de riesgo mencionados y todas aquellas situaciones identificadas como problemáticas dentro del sector. En virtud de lo ordenado, el Distrito adoptó el </w:t>
      </w:r>
      <w:r w:rsidRPr="008A67B2">
        <w:fldChar w:fldCharType="begin"/>
      </w:r>
      <w:r w:rsidRPr="008A67B2">
        <w:rPr>
          <w:rFonts w:ascii="Arial" w:hAnsi="Arial" w:cs="Arial"/>
          <w:sz w:val="22"/>
          <w:szCs w:val="22"/>
        </w:rPr>
        <w:instrText xml:space="preserve"> LINK Excel.SheetMacroEnabled.12 "\\\\MH-EXMOSSSA01.MHEXT.RED\\EncuestasPSFF_Archivos\\Decreto028\\BD\\Excel\\Matriz_2017_PlanDesempeño_Departamento_Bolívar_Sector_Salud.xlsm" "Principal!F18C9" \a \t  \* MERGEFORMAT </w:instrText>
      </w:r>
      <w:r w:rsidRPr="008A67B2">
        <w:fldChar w:fldCharType="separate"/>
      </w:r>
      <w:r w:rsidRPr="008A67B2">
        <w:rPr>
          <w:rFonts w:ascii="Arial" w:hAnsi="Arial" w:cs="Arial"/>
          <w:sz w:val="22"/>
          <w:szCs w:val="22"/>
        </w:rPr>
        <w:t>Plan de Desempeño</w:t>
      </w:r>
      <w:r w:rsidRPr="008A67B2">
        <w:fldChar w:fldCharType="end"/>
      </w:r>
      <w:r w:rsidRPr="008A67B2">
        <w:rPr>
          <w:rFonts w:ascii="Arial" w:hAnsi="Arial" w:cs="Arial"/>
          <w:sz w:val="22"/>
          <w:szCs w:val="22"/>
        </w:rPr>
        <w:t xml:space="preserve"> recomendado mediante el cual fue aprobado a través de la </w:t>
      </w:r>
      <w:r w:rsidRPr="008A67B2">
        <w:fldChar w:fldCharType="begin"/>
      </w:r>
      <w:r w:rsidRPr="008A67B2">
        <w:rPr>
          <w:rFonts w:ascii="Arial" w:hAnsi="Arial" w:cs="Arial"/>
          <w:sz w:val="22"/>
          <w:szCs w:val="22"/>
        </w:rPr>
        <w:instrText xml:space="preserve"> LINK Excel.SheetMacroEnabled.12 "\\\\MH-EXMOSSSA01.MHEXT.RED\\EncuestasPSFF_Archivos\\Decreto028\\BD\\Excel\\Matriz_2017_PlanDesempeño_Departamento_Bolívar_Sector_Salud.xlsm" "Principal!F12C7" \a \t  \* MERGEFORMAT </w:instrText>
      </w:r>
      <w:r w:rsidRPr="008A67B2">
        <w:fldChar w:fldCharType="separate"/>
      </w:r>
      <w:r w:rsidRPr="008A67B2">
        <w:rPr>
          <w:rFonts w:ascii="Arial" w:hAnsi="Arial" w:cs="Arial"/>
          <w:sz w:val="22"/>
          <w:szCs w:val="22"/>
        </w:rPr>
        <w:t>Resolución DAF No. 2270 del 31 de Julio de 2017</w:t>
      </w:r>
      <w:r w:rsidRPr="008A67B2">
        <w:fldChar w:fldCharType="end"/>
      </w:r>
      <w:r w:rsidRPr="008A67B2">
        <w:rPr>
          <w:rFonts w:ascii="Arial" w:hAnsi="Arial" w:cs="Arial"/>
          <w:sz w:val="22"/>
          <w:szCs w:val="22"/>
        </w:rPr>
        <w:t>, estableciendo</w:t>
      </w:r>
      <w:r w:rsidR="004E77EA">
        <w:rPr>
          <w:rFonts w:ascii="Arial" w:hAnsi="Arial" w:cs="Arial"/>
          <w:sz w:val="22"/>
          <w:szCs w:val="22"/>
        </w:rPr>
        <w:t xml:space="preserve"> </w:t>
      </w:r>
      <w:r w:rsidRPr="008A67B2">
        <w:rPr>
          <w:rFonts w:ascii="Arial" w:hAnsi="Arial" w:cs="Arial"/>
          <w:sz w:val="22"/>
          <w:szCs w:val="22"/>
        </w:rPr>
        <w:t>una duración de quince (</w:t>
      </w:r>
      <w:r w:rsidRPr="008A67B2">
        <w:fldChar w:fldCharType="begin"/>
      </w:r>
      <w:r w:rsidRPr="008A67B2">
        <w:rPr>
          <w:rFonts w:ascii="Arial" w:hAnsi="Arial" w:cs="Arial"/>
          <w:sz w:val="22"/>
          <w:szCs w:val="22"/>
        </w:rPr>
        <w:instrText xml:space="preserve"> LINK Excel.SheetMacroEnabled.12 "\\\\MH-EXMOSSSA01.MHEXT.RED\\EncuestasPSFF_Archivos\\Decreto028\\BD\\Excel\\Matriz_2017_PlanDesempeño_Departamento_Bolívar_Sector_Salud.xlsm" "Principal!F13C7" \a \t  \* MERGEFORMAT </w:instrText>
      </w:r>
      <w:r w:rsidRPr="008A67B2">
        <w:fldChar w:fldCharType="separate"/>
      </w:r>
      <w:r w:rsidRPr="008A67B2">
        <w:rPr>
          <w:rFonts w:ascii="Arial" w:hAnsi="Arial" w:cs="Arial"/>
          <w:sz w:val="22"/>
          <w:szCs w:val="22"/>
        </w:rPr>
        <w:t>1</w:t>
      </w:r>
      <w:r w:rsidRPr="008A67B2">
        <w:fldChar w:fldCharType="end"/>
      </w:r>
      <w:r w:rsidRPr="008A67B2">
        <w:rPr>
          <w:rFonts w:ascii="Arial" w:hAnsi="Arial" w:cs="Arial"/>
          <w:sz w:val="22"/>
          <w:szCs w:val="22"/>
        </w:rPr>
        <w:t>5) meses (12 meses para ejecución y 3 meses para evaluación).</w:t>
      </w:r>
      <w:r w:rsidR="004E77EA">
        <w:rPr>
          <w:rFonts w:ascii="Arial" w:hAnsi="Arial" w:cs="Arial"/>
          <w:sz w:val="22"/>
          <w:szCs w:val="22"/>
        </w:rPr>
        <w:t xml:space="preserve"> </w:t>
      </w:r>
      <w:r w:rsidRPr="008A67B2">
        <w:rPr>
          <w:rFonts w:ascii="Arial" w:hAnsi="Arial" w:cs="Arial"/>
          <w:sz w:val="22"/>
          <w:szCs w:val="22"/>
        </w:rPr>
        <w:t xml:space="preserve">Cumplido este plazo se recomendó la </w:t>
      </w:r>
      <w:r w:rsidRPr="008A67B2">
        <w:rPr>
          <w:rFonts w:ascii="Arial" w:eastAsia="Times New Roman" w:hAnsi="Arial" w:cs="Arial"/>
          <w:sz w:val="22"/>
          <w:szCs w:val="22"/>
          <w:lang w:val="es-CO"/>
        </w:rPr>
        <w:t>extensión y reformulación de la medida, la que fue aprobada mediante Resolución 0819 del 19 de marzo de 2019, cuyo plazo de ejecución iría hasta el 15 de abril de 2020.</w:t>
      </w:r>
      <w:r w:rsidR="004E77EA">
        <w:rPr>
          <w:rFonts w:ascii="Arial" w:eastAsia="Times New Roman" w:hAnsi="Arial" w:cs="Arial"/>
          <w:sz w:val="22"/>
          <w:szCs w:val="22"/>
          <w:lang w:val="es-CO"/>
        </w:rPr>
        <w:t xml:space="preserve"> </w:t>
      </w:r>
    </w:p>
    <w:p w:rsidR="008A67B2" w:rsidRPr="008A67B2" w:rsidRDefault="008A67B2" w:rsidP="008A67B2">
      <w:pPr>
        <w:jc w:val="both"/>
        <w:rPr>
          <w:rFonts w:ascii="Arial" w:eastAsia="Times New Roman" w:hAnsi="Arial" w:cs="Arial"/>
          <w:sz w:val="22"/>
          <w:szCs w:val="22"/>
          <w:lang w:val="es-CO"/>
        </w:rPr>
      </w:pPr>
    </w:p>
    <w:p w:rsidR="008A67B2" w:rsidRPr="008A67B2" w:rsidRDefault="008A67B2" w:rsidP="008A67B2">
      <w:pPr>
        <w:autoSpaceDE w:val="0"/>
        <w:autoSpaceDN w:val="0"/>
        <w:adjustRightInd w:val="0"/>
        <w:jc w:val="both"/>
        <w:rPr>
          <w:rFonts w:ascii="Arial" w:eastAsiaTheme="minorHAnsi" w:hAnsi="Arial" w:cs="Arial"/>
          <w:sz w:val="22"/>
          <w:szCs w:val="22"/>
          <w:lang w:val="es-CO" w:eastAsia="en-US"/>
        </w:rPr>
      </w:pPr>
      <w:r w:rsidRPr="008A67B2">
        <w:rPr>
          <w:rFonts w:ascii="Arial" w:eastAsiaTheme="minorHAnsi" w:hAnsi="Arial" w:cs="Arial"/>
          <w:sz w:val="22"/>
          <w:szCs w:val="22"/>
          <w:lang w:val="es-CO" w:eastAsia="en-US"/>
        </w:rPr>
        <w:t>Sin embargo, producto de declaratoria pandemia COVID-19 y en virtud del artículo 6 del Decreto 491 de 2020, mediante Resolución No. 0967 del 03 de abril de 2020 esta Dirección suspendió el término de la vigencia de los planes de desempeño, período durante el cual no se realizó evaluación y seguimiento a las medidas.</w:t>
      </w:r>
    </w:p>
    <w:p w:rsidR="008A67B2" w:rsidRPr="008A67B2" w:rsidRDefault="008A67B2" w:rsidP="008A67B2">
      <w:pPr>
        <w:autoSpaceDE w:val="0"/>
        <w:autoSpaceDN w:val="0"/>
        <w:adjustRightInd w:val="0"/>
        <w:jc w:val="both"/>
        <w:rPr>
          <w:rFonts w:ascii="Arial" w:eastAsiaTheme="minorHAnsi" w:hAnsi="Arial" w:cs="Arial"/>
          <w:sz w:val="22"/>
          <w:szCs w:val="22"/>
          <w:lang w:val="es-CO" w:eastAsia="en-US"/>
        </w:rPr>
      </w:pPr>
    </w:p>
    <w:p w:rsidR="008A67B2" w:rsidRPr="008A67B2" w:rsidRDefault="008A67B2" w:rsidP="008A67B2">
      <w:pPr>
        <w:autoSpaceDE w:val="0"/>
        <w:autoSpaceDN w:val="0"/>
        <w:adjustRightInd w:val="0"/>
        <w:jc w:val="both"/>
        <w:rPr>
          <w:rFonts w:ascii="Arial" w:eastAsiaTheme="minorHAnsi" w:hAnsi="Arial" w:cs="Arial"/>
          <w:sz w:val="22"/>
          <w:szCs w:val="22"/>
          <w:lang w:val="es-CO" w:eastAsia="en-US"/>
        </w:rPr>
      </w:pPr>
      <w:r w:rsidRPr="008A67B2">
        <w:rPr>
          <w:rFonts w:ascii="Arial" w:eastAsiaTheme="minorHAnsi" w:hAnsi="Arial" w:cs="Arial"/>
          <w:sz w:val="22"/>
          <w:szCs w:val="22"/>
          <w:lang w:val="es-CO" w:eastAsia="en-US"/>
        </w:rPr>
        <w:t>Transcurridos diez (10) meses de la declaratoria de suspensión de los términos, se identificó que a pesar de la continuidad de la afectación del COVID-19, se ha logrado alcanzar una normalidad administrativa y los gobiernos subnacionales han implementado las herramientas tecnológicas suficientes para garantizar la comunicación interinstitucional y con la ciudadanía. En virtud de lo anterior, esta Dirección a través de la Resolución 0301 del 09 de febrero de 2021, derogó la Resolución 0967 del 03 de abril de 2020, reanudando el término de ejecución de los Planes de Desempeño vigentes, el cual comenz</w:t>
      </w:r>
      <w:r w:rsidR="00502D8B">
        <w:rPr>
          <w:rFonts w:ascii="Arial" w:eastAsiaTheme="minorHAnsi" w:hAnsi="Arial" w:cs="Arial"/>
          <w:sz w:val="22"/>
          <w:szCs w:val="22"/>
          <w:lang w:val="es-CO" w:eastAsia="en-US"/>
        </w:rPr>
        <w:t xml:space="preserve">ó </w:t>
      </w:r>
      <w:r w:rsidRPr="008A67B2">
        <w:rPr>
          <w:rFonts w:ascii="Arial" w:eastAsiaTheme="minorHAnsi" w:hAnsi="Arial" w:cs="Arial"/>
          <w:sz w:val="22"/>
          <w:szCs w:val="22"/>
          <w:lang w:val="es-CO" w:eastAsia="en-US"/>
        </w:rPr>
        <w:t xml:space="preserve">a contarse </w:t>
      </w:r>
      <w:r w:rsidRPr="008A67B2">
        <w:rPr>
          <w:rFonts w:ascii="Arial" w:eastAsiaTheme="minorHAnsi" w:hAnsi="Arial" w:cs="Arial"/>
          <w:sz w:val="22"/>
          <w:szCs w:val="22"/>
          <w:lang w:val="es-CO" w:eastAsia="en-US"/>
        </w:rPr>
        <w:lastRenderedPageBreak/>
        <w:t xml:space="preserve">transcurridos 10 días hábiles a partir de la fecha de </w:t>
      </w:r>
      <w:r w:rsidR="00502D8B">
        <w:rPr>
          <w:rFonts w:ascii="Arial" w:eastAsiaTheme="minorHAnsi" w:hAnsi="Arial" w:cs="Arial"/>
          <w:sz w:val="22"/>
          <w:szCs w:val="22"/>
          <w:lang w:val="es-CO" w:eastAsia="en-US"/>
        </w:rPr>
        <w:t>la</w:t>
      </w:r>
      <w:r w:rsidRPr="008A67B2">
        <w:rPr>
          <w:rFonts w:ascii="Arial" w:eastAsiaTheme="minorHAnsi" w:hAnsi="Arial" w:cs="Arial"/>
          <w:sz w:val="22"/>
          <w:szCs w:val="22"/>
          <w:lang w:val="es-CO" w:eastAsia="en-US"/>
        </w:rPr>
        <w:t xml:space="preserve"> publicación de la Resolución en la página Web del Ministerio de Hacienda y Crédito Público, es decir a partir del 23 de febrero de 2021.</w:t>
      </w:r>
    </w:p>
    <w:p w:rsidR="008A67B2" w:rsidRPr="008A67B2" w:rsidRDefault="008A67B2" w:rsidP="008A67B2">
      <w:pPr>
        <w:autoSpaceDE w:val="0"/>
        <w:autoSpaceDN w:val="0"/>
        <w:adjustRightInd w:val="0"/>
        <w:rPr>
          <w:rFonts w:ascii="Arial" w:eastAsiaTheme="minorHAnsi" w:hAnsi="Arial" w:cs="Arial"/>
          <w:sz w:val="22"/>
          <w:szCs w:val="22"/>
          <w:lang w:val="es-CO" w:eastAsia="en-US"/>
        </w:rPr>
      </w:pPr>
    </w:p>
    <w:p w:rsidR="008A67B2" w:rsidRPr="008A67B2" w:rsidRDefault="008A67B2" w:rsidP="008A67B2">
      <w:pPr>
        <w:autoSpaceDE w:val="0"/>
        <w:autoSpaceDN w:val="0"/>
        <w:adjustRightInd w:val="0"/>
        <w:jc w:val="both"/>
        <w:rPr>
          <w:rFonts w:ascii="Arial" w:hAnsi="Arial" w:cs="Arial"/>
          <w:sz w:val="22"/>
          <w:szCs w:val="22"/>
        </w:rPr>
      </w:pPr>
      <w:r w:rsidRPr="008A67B2">
        <w:rPr>
          <w:rFonts w:ascii="Arial" w:eastAsiaTheme="minorHAnsi" w:hAnsi="Arial" w:cs="Arial"/>
          <w:sz w:val="22"/>
          <w:szCs w:val="22"/>
          <w:lang w:val="es-CO" w:eastAsia="en-US"/>
        </w:rPr>
        <w:t>De esta forma, teniendo en cuenta que la Dirección General de Apoyo Fiscal debe llevar a cabo la evaluación de las medidas suscritas por las entidades territoriales a partir de informes de seguimiento a la ejecución de estas, conforme las evaluaciones efectuadas al Plan de Desempeño, remitidas al Distrito con los radicados No. 2-2019-042424 del 30 de octubre de 2019 y 2-2020-035158 del 31 de julio de 2020, se concluyó el cumplimiento de 4 de las 8 actividades establecidas.</w:t>
      </w:r>
      <w:r w:rsidR="004E77EA">
        <w:rPr>
          <w:rFonts w:ascii="Arial" w:eastAsiaTheme="minorHAnsi" w:hAnsi="Arial" w:cs="Arial"/>
          <w:sz w:val="22"/>
          <w:szCs w:val="22"/>
          <w:lang w:val="es-CO" w:eastAsia="en-US"/>
        </w:rPr>
        <w:t xml:space="preserve"> </w:t>
      </w:r>
      <w:r w:rsidRPr="008A67B2">
        <w:rPr>
          <w:rFonts w:ascii="Arial" w:eastAsiaTheme="minorHAnsi" w:hAnsi="Arial" w:cs="Arial"/>
          <w:sz w:val="22"/>
          <w:szCs w:val="22"/>
          <w:lang w:val="es-CO" w:eastAsia="en-US"/>
        </w:rPr>
        <w:t>Se procede a continuación a la evaluación final de la ejecución</w:t>
      </w:r>
      <w:r w:rsidR="004E77EA">
        <w:rPr>
          <w:rFonts w:ascii="Arial" w:eastAsiaTheme="minorHAnsi" w:hAnsi="Arial" w:cs="Arial"/>
          <w:sz w:val="22"/>
          <w:szCs w:val="22"/>
          <w:lang w:val="es-CO" w:eastAsia="en-US"/>
        </w:rPr>
        <w:t xml:space="preserve"> </w:t>
      </w:r>
      <w:r w:rsidRPr="008A67B2">
        <w:rPr>
          <w:rFonts w:ascii="Arial" w:hAnsi="Arial" w:cs="Arial"/>
          <w:sz w:val="22"/>
          <w:szCs w:val="22"/>
        </w:rPr>
        <w:t xml:space="preserve">de las obligaciones y actividades incluidas en la reformulación y extensión del </w:t>
      </w:r>
      <w:r w:rsidRPr="008A67B2">
        <w:fldChar w:fldCharType="begin"/>
      </w:r>
      <w:r w:rsidRPr="008A67B2">
        <w:rPr>
          <w:rFonts w:ascii="Arial" w:hAnsi="Arial" w:cs="Arial"/>
          <w:sz w:val="22"/>
          <w:szCs w:val="22"/>
        </w:rPr>
        <w:instrText xml:space="preserve"> LINK Excel.SheetMacroEnabled.12 "\\\\MH-EXMOSSSA01.MHEXT.RED\\EncuestasPSFF_Archivos\\Decreto028\\BD\\Excel\\Matriz_2017_PlanDesempeño_Departamento_Bolívar_Sector_Salud.xlsm" "Principal!F18C9" \a \t  \* MERGEFORMAT </w:instrText>
      </w:r>
      <w:r w:rsidRPr="008A67B2">
        <w:fldChar w:fldCharType="separate"/>
      </w:r>
      <w:r w:rsidRPr="008A67B2">
        <w:rPr>
          <w:rFonts w:ascii="Arial" w:hAnsi="Arial" w:cs="Arial"/>
          <w:sz w:val="22"/>
          <w:szCs w:val="22"/>
        </w:rPr>
        <w:t>Plan de Desempeño</w:t>
      </w:r>
      <w:r w:rsidRPr="008A67B2">
        <w:fldChar w:fldCharType="end"/>
      </w:r>
      <w:r w:rsidRPr="008A67B2">
        <w:rPr>
          <w:rFonts w:ascii="Arial" w:hAnsi="Arial" w:cs="Arial"/>
          <w:sz w:val="22"/>
          <w:szCs w:val="22"/>
        </w:rPr>
        <w:t xml:space="preserve"> a fin de determinar la procedencia de levantar, reformular, extender las medidas preventivas y/o imponer medidas correctivas por incumplimiento a los planes, de acuerdo a lo establecido en el artículo 2.6.3.4.1.4 del Decreto 1068 de 2015, cuya documentación fue remitida por el Distrito de Cartagena mediante radicado 1-2020-017974 del 11 de abril de 2021</w:t>
      </w:r>
      <w:bookmarkEnd w:id="2"/>
      <w:r w:rsidRPr="008A67B2">
        <w:rPr>
          <w:rFonts w:ascii="Arial" w:hAnsi="Arial" w:cs="Arial"/>
          <w:sz w:val="22"/>
          <w:szCs w:val="22"/>
        </w:rPr>
        <w:t>.</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lang w:val="es-CO"/>
        </w:rPr>
      </w:pPr>
      <w:r w:rsidRPr="008A67B2">
        <w:rPr>
          <w:rFonts w:ascii="Arial" w:hAnsi="Arial" w:cs="Arial"/>
          <w:sz w:val="22"/>
          <w:szCs w:val="22"/>
        </w:rPr>
        <w:t xml:space="preserve">Para esta evaluación final, la </w:t>
      </w:r>
      <w:r w:rsidRPr="008A67B2">
        <w:rPr>
          <w:rFonts w:ascii="Arial" w:eastAsia="Times New Roman" w:hAnsi="Arial" w:cs="Arial"/>
          <w:spacing w:val="-2"/>
          <w:sz w:val="22"/>
          <w:szCs w:val="22"/>
        </w:rPr>
        <w:t xml:space="preserve">Dirección General de Apoyo Fiscal procedió a evaluar y verificar la documentación enviada por el Distrito con el fin de obtener el presente informe, el cual está conformado por cuatro apartados; el primero, aborda la caracterización sectorial, el segundo, la situación financiera, el tercero, la evaluación del cumplimiento de las acciones pendientes incluidas en la medida correctiva, y por último se resaltan las conclusiones y recomendaciones. Para estos efectos se tuvo en cuenta </w:t>
      </w:r>
      <w:r w:rsidRPr="008A67B2">
        <w:rPr>
          <w:rFonts w:ascii="Arial" w:hAnsi="Arial" w:cs="Arial"/>
          <w:sz w:val="22"/>
          <w:szCs w:val="22"/>
          <w:lang w:val="es-CO"/>
        </w:rPr>
        <w:t>la información con corte a diciembre de 2020 y lo pertinente hasta el 9 de marzo de 2021, fecha de finalización del periodo de ejecución de la reformulación y extensión.</w:t>
      </w:r>
      <w:r w:rsidR="004E77EA">
        <w:rPr>
          <w:rFonts w:ascii="Arial" w:hAnsi="Arial" w:cs="Arial"/>
          <w:sz w:val="22"/>
          <w:szCs w:val="22"/>
          <w:lang w:val="es-CO"/>
        </w:rPr>
        <w:t xml:space="preserve"> </w:t>
      </w:r>
    </w:p>
    <w:p w:rsidR="008A67B2" w:rsidRPr="008A67B2" w:rsidRDefault="008A67B2" w:rsidP="008A67B2">
      <w:pPr>
        <w:jc w:val="both"/>
        <w:rPr>
          <w:rFonts w:ascii="Arial" w:hAnsi="Arial" w:cs="Arial"/>
          <w:sz w:val="22"/>
          <w:szCs w:val="22"/>
          <w:lang w:val="es-CO"/>
        </w:rPr>
      </w:pPr>
    </w:p>
    <w:p w:rsidR="008A67B2" w:rsidRPr="008A67B2" w:rsidRDefault="008A67B2" w:rsidP="008A67B2">
      <w:pPr>
        <w:numPr>
          <w:ilvl w:val="0"/>
          <w:numId w:val="9"/>
        </w:numPr>
        <w:jc w:val="both"/>
        <w:rPr>
          <w:rFonts w:ascii="Arial" w:hAnsi="Arial" w:cs="Arial"/>
          <w:b/>
          <w:sz w:val="22"/>
          <w:szCs w:val="22"/>
        </w:rPr>
      </w:pPr>
      <w:r w:rsidRPr="008A67B2">
        <w:rPr>
          <w:rFonts w:ascii="Arial" w:hAnsi="Arial" w:cs="Arial"/>
          <w:b/>
          <w:sz w:val="22"/>
          <w:szCs w:val="22"/>
        </w:rPr>
        <w:t>Caracterización Sectorial</w:t>
      </w:r>
    </w:p>
    <w:p w:rsidR="008A67B2" w:rsidRPr="008A67B2" w:rsidRDefault="008A67B2" w:rsidP="008A67B2">
      <w:pPr>
        <w:jc w:val="both"/>
        <w:rPr>
          <w:rFonts w:ascii="Arial" w:eastAsia="Times New Roman" w:hAnsi="Arial" w:cs="Arial"/>
          <w:b/>
          <w:sz w:val="22"/>
          <w:szCs w:val="22"/>
          <w:lang w:val="es-CO" w:eastAsia="en-US"/>
        </w:rPr>
      </w:pPr>
    </w:p>
    <w:p w:rsidR="008A67B2" w:rsidRPr="008A67B2" w:rsidRDefault="008A67B2" w:rsidP="008A67B2">
      <w:pPr>
        <w:numPr>
          <w:ilvl w:val="0"/>
          <w:numId w:val="10"/>
        </w:numPr>
        <w:contextualSpacing/>
        <w:jc w:val="both"/>
        <w:rPr>
          <w:rFonts w:ascii="Arial" w:eastAsia="Times New Roman" w:hAnsi="Arial" w:cs="Arial"/>
          <w:b/>
          <w:sz w:val="22"/>
          <w:szCs w:val="22"/>
          <w:lang w:val="es-CO" w:eastAsia="en-US"/>
        </w:rPr>
      </w:pPr>
      <w:r w:rsidRPr="008A67B2">
        <w:rPr>
          <w:rFonts w:ascii="Arial" w:eastAsia="Times New Roman" w:hAnsi="Arial" w:cs="Arial"/>
          <w:b/>
          <w:sz w:val="22"/>
          <w:szCs w:val="22"/>
          <w:lang w:val="es-CO" w:eastAsia="en-US"/>
        </w:rPr>
        <w:t>Datos de aseguramiento</w:t>
      </w:r>
    </w:p>
    <w:p w:rsidR="008A67B2" w:rsidRPr="008A67B2" w:rsidRDefault="008A67B2" w:rsidP="008A67B2">
      <w:pPr>
        <w:ind w:left="360"/>
        <w:jc w:val="both"/>
        <w:rPr>
          <w:rFonts w:ascii="Arial" w:eastAsia="Times New Roman" w:hAnsi="Arial" w:cs="Arial"/>
          <w:b/>
          <w:sz w:val="22"/>
          <w:szCs w:val="22"/>
          <w:lang w:val="es-CO" w:eastAsia="en-US"/>
        </w:rPr>
      </w:pPr>
    </w:p>
    <w:p w:rsidR="008A67B2" w:rsidRPr="008A67B2" w:rsidRDefault="008A67B2" w:rsidP="008A67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val="es-CO" w:eastAsia="en-US"/>
        </w:rPr>
      </w:pPr>
      <w:r w:rsidRPr="008A67B2">
        <w:rPr>
          <w:rFonts w:ascii="Arial" w:eastAsia="ヒラギノ角ゴ Pro W3" w:hAnsi="Arial" w:cs="Arial"/>
          <w:color w:val="000000"/>
          <w:sz w:val="22"/>
          <w:szCs w:val="22"/>
          <w:lang w:val="es-CO" w:eastAsia="en-US"/>
        </w:rPr>
        <w:t>El Distrito de Cartagena en el Sector Salud desarrolla competencias en prestación de servicios de salud a la población pobre no cubierta con subsidios a la demanda, acciones de salud pública y aseguramiento del régimen subsidiado a través del Departamento Administrativo de Seguridad Social en Salud (DADIS).</w:t>
      </w:r>
    </w:p>
    <w:p w:rsidR="008A67B2" w:rsidRPr="008A67B2" w:rsidRDefault="008A67B2" w:rsidP="008A67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val="es-CO" w:eastAsia="en-US"/>
        </w:rPr>
      </w:pPr>
    </w:p>
    <w:p w:rsidR="008A67B2" w:rsidRPr="008A67B2" w:rsidRDefault="008A67B2" w:rsidP="008A67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val="es-CO" w:eastAsia="en-US"/>
        </w:rPr>
      </w:pPr>
      <w:r w:rsidRPr="008A67B2">
        <w:rPr>
          <w:rFonts w:ascii="Arial" w:eastAsia="ヒラギノ角ゴ Pro W3" w:hAnsi="Arial" w:cs="Arial"/>
          <w:color w:val="000000"/>
          <w:sz w:val="22"/>
          <w:szCs w:val="22"/>
          <w:lang w:val="es-CO" w:eastAsia="en-US"/>
        </w:rPr>
        <w:t>El comportamiento del aseguramiento en la Entidad está representado en la siguiente tabla con corte al mes de diciembre de 2020:</w:t>
      </w:r>
    </w:p>
    <w:p w:rsidR="008A67B2" w:rsidRPr="008A67B2" w:rsidRDefault="008A67B2" w:rsidP="008A67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val="es-CO" w:eastAsia="en-US"/>
        </w:rPr>
      </w:pPr>
    </w:p>
    <w:tbl>
      <w:tblPr>
        <w:tblW w:w="8838" w:type="dxa"/>
        <w:jc w:val="center"/>
        <w:tblCellMar>
          <w:left w:w="70" w:type="dxa"/>
          <w:right w:w="70" w:type="dxa"/>
        </w:tblCellMar>
        <w:tblLook w:val="04A0" w:firstRow="1" w:lastRow="0" w:firstColumn="1" w:lastColumn="0" w:noHBand="0" w:noVBand="1"/>
      </w:tblPr>
      <w:tblGrid>
        <w:gridCol w:w="651"/>
        <w:gridCol w:w="2302"/>
        <w:gridCol w:w="2107"/>
        <w:gridCol w:w="2087"/>
        <w:gridCol w:w="1127"/>
        <w:gridCol w:w="564"/>
      </w:tblGrid>
      <w:tr w:rsidR="008A67B2" w:rsidRPr="00B936FA" w:rsidTr="008A67B2">
        <w:trPr>
          <w:trHeight w:val="306"/>
          <w:jc w:val="center"/>
        </w:trPr>
        <w:tc>
          <w:tcPr>
            <w:tcW w:w="651" w:type="dxa"/>
            <w:tcBorders>
              <w:top w:val="single" w:sz="4" w:space="0" w:color="808080"/>
              <w:left w:val="nil"/>
              <w:bottom w:val="single" w:sz="4" w:space="0" w:color="000000"/>
              <w:right w:val="nil"/>
            </w:tcBorders>
          </w:tcPr>
          <w:p w:rsidR="008A67B2" w:rsidRPr="00B936FA" w:rsidRDefault="008A67B2">
            <w:pPr>
              <w:jc w:val="center"/>
              <w:rPr>
                <w:rFonts w:ascii="Arial" w:hAnsi="Arial" w:cs="Arial"/>
                <w:b/>
                <w:bCs/>
                <w:color w:val="000000"/>
                <w:sz w:val="18"/>
                <w:szCs w:val="18"/>
                <w:lang w:val="es-CO" w:eastAsia="es-CO"/>
              </w:rPr>
            </w:pPr>
          </w:p>
        </w:tc>
        <w:tc>
          <w:tcPr>
            <w:tcW w:w="7623" w:type="dxa"/>
            <w:gridSpan w:val="4"/>
            <w:vMerge w:val="restart"/>
            <w:tcBorders>
              <w:top w:val="single" w:sz="4" w:space="0" w:color="808080"/>
              <w:left w:val="nil"/>
              <w:bottom w:val="single" w:sz="4" w:space="0" w:color="auto"/>
              <w:right w:val="nil"/>
            </w:tcBorders>
            <w:vAlign w:val="center"/>
            <w:hideMark/>
          </w:tcPr>
          <w:p w:rsidR="008A67B2" w:rsidRPr="00B936FA" w:rsidRDefault="008A67B2">
            <w:pPr>
              <w:jc w:val="center"/>
              <w:rPr>
                <w:rFonts w:ascii="Arial" w:hAnsi="Arial" w:cs="Arial"/>
                <w:b/>
                <w:bCs/>
                <w:color w:val="000000"/>
                <w:sz w:val="18"/>
                <w:szCs w:val="18"/>
                <w:lang w:val="es-CO" w:eastAsia="es-CO"/>
              </w:rPr>
            </w:pPr>
            <w:r w:rsidRPr="00B936FA">
              <w:rPr>
                <w:rFonts w:ascii="Arial" w:hAnsi="Arial" w:cs="Arial"/>
                <w:b/>
                <w:bCs/>
                <w:color w:val="000000"/>
                <w:sz w:val="18"/>
                <w:szCs w:val="18"/>
                <w:lang w:val="es-CO" w:eastAsia="es-CO"/>
              </w:rPr>
              <w:t>ASEGURAMIENTO AL SISTEMA GENERAL DE SEGURIDAD SOCIAL EN SALUD</w:t>
            </w:r>
          </w:p>
        </w:tc>
        <w:tc>
          <w:tcPr>
            <w:tcW w:w="564" w:type="dxa"/>
            <w:tcBorders>
              <w:top w:val="single" w:sz="4" w:space="0" w:color="808080"/>
              <w:left w:val="nil"/>
              <w:bottom w:val="single" w:sz="4" w:space="0" w:color="000000"/>
              <w:right w:val="nil"/>
            </w:tcBorders>
          </w:tcPr>
          <w:p w:rsidR="008A67B2" w:rsidRPr="00B936FA" w:rsidRDefault="008A67B2">
            <w:pPr>
              <w:jc w:val="center"/>
              <w:rPr>
                <w:rFonts w:ascii="Arial" w:hAnsi="Arial" w:cs="Arial"/>
                <w:b/>
                <w:bCs/>
                <w:color w:val="000000"/>
                <w:sz w:val="18"/>
                <w:szCs w:val="18"/>
                <w:lang w:val="es-CO" w:eastAsia="es-CO"/>
              </w:rPr>
            </w:pPr>
          </w:p>
        </w:tc>
      </w:tr>
      <w:tr w:rsidR="008A67B2" w:rsidRPr="00B936FA" w:rsidTr="008A67B2">
        <w:trPr>
          <w:trHeight w:val="306"/>
          <w:jc w:val="center"/>
        </w:trPr>
        <w:tc>
          <w:tcPr>
            <w:tcW w:w="0" w:type="auto"/>
            <w:tcBorders>
              <w:top w:val="single" w:sz="4" w:space="0" w:color="808080"/>
              <w:left w:val="nil"/>
              <w:bottom w:val="single" w:sz="4" w:space="0" w:color="auto"/>
              <w:right w:val="nil"/>
            </w:tcBorders>
          </w:tcPr>
          <w:p w:rsidR="008A67B2" w:rsidRPr="00B936FA" w:rsidRDefault="008A67B2">
            <w:pPr>
              <w:rPr>
                <w:rFonts w:ascii="Arial" w:hAnsi="Arial" w:cs="Arial"/>
                <w:b/>
                <w:bCs/>
                <w:color w:val="000000"/>
                <w:sz w:val="18"/>
                <w:szCs w:val="18"/>
                <w:lang w:val="es-CO" w:eastAsia="es-CO"/>
              </w:rPr>
            </w:pPr>
          </w:p>
        </w:tc>
        <w:tc>
          <w:tcPr>
            <w:tcW w:w="0" w:type="auto"/>
            <w:gridSpan w:val="4"/>
            <w:vMerge/>
            <w:tcBorders>
              <w:top w:val="single" w:sz="4" w:space="0" w:color="808080"/>
              <w:left w:val="nil"/>
              <w:bottom w:val="single" w:sz="4" w:space="0" w:color="auto"/>
              <w:right w:val="nil"/>
            </w:tcBorders>
            <w:vAlign w:val="center"/>
            <w:hideMark/>
          </w:tcPr>
          <w:p w:rsidR="008A67B2" w:rsidRPr="00B936FA" w:rsidRDefault="008A67B2">
            <w:pPr>
              <w:rPr>
                <w:rFonts w:ascii="Arial" w:hAnsi="Arial" w:cs="Arial"/>
                <w:b/>
                <w:bCs/>
                <w:color w:val="000000"/>
                <w:sz w:val="18"/>
                <w:szCs w:val="18"/>
                <w:lang w:val="es-CO" w:eastAsia="es-CO"/>
              </w:rPr>
            </w:pPr>
          </w:p>
        </w:tc>
        <w:tc>
          <w:tcPr>
            <w:tcW w:w="0" w:type="auto"/>
            <w:tcBorders>
              <w:top w:val="single" w:sz="4" w:space="0" w:color="808080"/>
              <w:left w:val="nil"/>
              <w:bottom w:val="single" w:sz="4" w:space="0" w:color="auto"/>
              <w:right w:val="nil"/>
            </w:tcBorders>
          </w:tcPr>
          <w:p w:rsidR="008A67B2" w:rsidRPr="00B936FA" w:rsidRDefault="008A67B2">
            <w:pPr>
              <w:rPr>
                <w:rFonts w:ascii="Arial" w:hAnsi="Arial" w:cs="Arial"/>
                <w:b/>
                <w:bCs/>
                <w:color w:val="000000"/>
                <w:sz w:val="18"/>
                <w:szCs w:val="18"/>
                <w:lang w:val="es-CO" w:eastAsia="es-CO"/>
              </w:rPr>
            </w:pPr>
          </w:p>
        </w:tc>
      </w:tr>
      <w:tr w:rsidR="008A67B2" w:rsidRPr="00B936FA" w:rsidTr="008A67B2">
        <w:trPr>
          <w:trHeight w:val="306"/>
          <w:jc w:val="center"/>
        </w:trPr>
        <w:tc>
          <w:tcPr>
            <w:tcW w:w="2953" w:type="dxa"/>
            <w:gridSpan w:val="2"/>
            <w:tcBorders>
              <w:top w:val="single" w:sz="4" w:space="0" w:color="auto"/>
              <w:left w:val="single" w:sz="4" w:space="0" w:color="auto"/>
              <w:bottom w:val="single" w:sz="4" w:space="0" w:color="auto"/>
              <w:right w:val="single" w:sz="4" w:space="0" w:color="auto"/>
            </w:tcBorders>
            <w:noWrap/>
            <w:vAlign w:val="center"/>
            <w:hideMark/>
          </w:tcPr>
          <w:p w:rsidR="008A67B2" w:rsidRPr="00B936FA" w:rsidRDefault="008A67B2">
            <w:pPr>
              <w:rPr>
                <w:rFonts w:ascii="Arial" w:hAnsi="Arial" w:cs="Arial"/>
                <w:b/>
                <w:bCs/>
                <w:color w:val="000000"/>
                <w:sz w:val="18"/>
                <w:szCs w:val="18"/>
                <w:lang w:val="es-CO" w:eastAsia="es-CO"/>
              </w:rPr>
            </w:pPr>
          </w:p>
        </w:tc>
        <w:tc>
          <w:tcPr>
            <w:tcW w:w="4194" w:type="dxa"/>
            <w:gridSpan w:val="2"/>
            <w:tcBorders>
              <w:top w:val="single" w:sz="4" w:space="0" w:color="auto"/>
              <w:left w:val="single" w:sz="4" w:space="0" w:color="auto"/>
              <w:bottom w:val="single" w:sz="4" w:space="0" w:color="auto"/>
              <w:right w:val="single" w:sz="4" w:space="0" w:color="auto"/>
            </w:tcBorders>
            <w:shd w:val="clear" w:color="auto" w:fill="0F243E"/>
            <w:noWrap/>
            <w:vAlign w:val="center"/>
            <w:hideMark/>
          </w:tcPr>
          <w:p w:rsidR="008A67B2" w:rsidRPr="00B936FA" w:rsidRDefault="008A67B2">
            <w:pPr>
              <w:jc w:val="center"/>
              <w:rPr>
                <w:rFonts w:ascii="Arial" w:hAnsi="Arial" w:cs="Arial"/>
                <w:b/>
                <w:bCs/>
                <w:color w:val="FFFFFF"/>
                <w:sz w:val="18"/>
                <w:szCs w:val="18"/>
                <w:lang w:val="es-CO" w:eastAsia="es-CO"/>
              </w:rPr>
            </w:pPr>
            <w:r w:rsidRPr="00B936FA">
              <w:rPr>
                <w:rFonts w:ascii="Arial" w:hAnsi="Arial" w:cs="Arial"/>
                <w:b/>
                <w:bCs/>
                <w:color w:val="FFFFFF"/>
                <w:sz w:val="18"/>
                <w:szCs w:val="18"/>
                <w:lang w:val="es-CO" w:eastAsia="es-CO"/>
              </w:rPr>
              <w:t>2020 – Diciembre</w:t>
            </w:r>
          </w:p>
        </w:tc>
        <w:tc>
          <w:tcPr>
            <w:tcW w:w="1127" w:type="dxa"/>
            <w:tcBorders>
              <w:top w:val="single" w:sz="4" w:space="0" w:color="auto"/>
              <w:left w:val="single" w:sz="4" w:space="0" w:color="auto"/>
              <w:bottom w:val="single" w:sz="4" w:space="0" w:color="auto"/>
              <w:right w:val="single" w:sz="4" w:space="0" w:color="auto"/>
            </w:tcBorders>
            <w:shd w:val="clear" w:color="auto" w:fill="0F243E"/>
            <w:noWrap/>
            <w:vAlign w:val="center"/>
            <w:hideMark/>
          </w:tcPr>
          <w:p w:rsidR="008A67B2" w:rsidRPr="00B936FA" w:rsidRDefault="008A67B2">
            <w:pPr>
              <w:jc w:val="both"/>
              <w:rPr>
                <w:rFonts w:ascii="Arial" w:hAnsi="Arial" w:cs="Arial"/>
                <w:b/>
                <w:bCs/>
                <w:color w:val="FFFFFF"/>
                <w:sz w:val="18"/>
                <w:szCs w:val="18"/>
                <w:lang w:val="es-CO" w:eastAsia="es-CO"/>
              </w:rPr>
            </w:pPr>
            <w:r w:rsidRPr="00B936FA">
              <w:rPr>
                <w:rFonts w:ascii="Arial" w:hAnsi="Arial" w:cs="Arial"/>
                <w:b/>
                <w:bCs/>
                <w:color w:val="FFFFFF"/>
                <w:sz w:val="18"/>
                <w:szCs w:val="18"/>
                <w:lang w:val="es-CO" w:eastAsia="es-CO"/>
              </w:rPr>
              <w:t>% DISTRITO</w:t>
            </w:r>
          </w:p>
        </w:tc>
        <w:tc>
          <w:tcPr>
            <w:tcW w:w="564" w:type="dxa"/>
            <w:tcBorders>
              <w:top w:val="single" w:sz="4" w:space="0" w:color="auto"/>
              <w:left w:val="single" w:sz="4" w:space="0" w:color="auto"/>
              <w:bottom w:val="single" w:sz="4" w:space="0" w:color="auto"/>
              <w:right w:val="single" w:sz="4" w:space="0" w:color="auto"/>
            </w:tcBorders>
            <w:shd w:val="clear" w:color="auto" w:fill="0F243E"/>
          </w:tcPr>
          <w:p w:rsidR="008A67B2" w:rsidRPr="00B936FA" w:rsidRDefault="008A67B2">
            <w:pPr>
              <w:jc w:val="both"/>
              <w:rPr>
                <w:rFonts w:ascii="Arial" w:hAnsi="Arial" w:cs="Arial"/>
                <w:b/>
                <w:bCs/>
                <w:color w:val="FFFFFF"/>
                <w:sz w:val="18"/>
                <w:szCs w:val="18"/>
                <w:lang w:val="es-CO" w:eastAsia="es-CO"/>
              </w:rPr>
            </w:pPr>
          </w:p>
        </w:tc>
      </w:tr>
      <w:tr w:rsidR="008A67B2" w:rsidRPr="00B936FA" w:rsidTr="008A67B2">
        <w:trPr>
          <w:trHeight w:val="306"/>
          <w:jc w:val="center"/>
        </w:trPr>
        <w:tc>
          <w:tcPr>
            <w:tcW w:w="2953" w:type="dxa"/>
            <w:gridSpan w:val="2"/>
            <w:tcBorders>
              <w:top w:val="single" w:sz="4" w:space="0" w:color="auto"/>
              <w:left w:val="single" w:sz="4" w:space="0" w:color="auto"/>
              <w:bottom w:val="single" w:sz="4" w:space="0" w:color="auto"/>
              <w:right w:val="single" w:sz="4" w:space="0" w:color="auto"/>
            </w:tcBorders>
            <w:noWrap/>
            <w:vAlign w:val="center"/>
          </w:tcPr>
          <w:p w:rsidR="008A67B2" w:rsidRPr="00B936FA" w:rsidRDefault="008A67B2">
            <w:pPr>
              <w:jc w:val="both"/>
              <w:rPr>
                <w:rFonts w:ascii="Arial" w:hAnsi="Arial" w:cs="Arial"/>
                <w:b/>
                <w:bCs/>
                <w:color w:val="000000"/>
                <w:sz w:val="18"/>
                <w:szCs w:val="18"/>
                <w:lang w:val="es-CO" w:eastAsia="es-CO"/>
              </w:rPr>
            </w:pPr>
          </w:p>
        </w:tc>
        <w:tc>
          <w:tcPr>
            <w:tcW w:w="2107" w:type="dxa"/>
            <w:tcBorders>
              <w:top w:val="single" w:sz="4" w:space="0" w:color="auto"/>
              <w:left w:val="single" w:sz="4" w:space="0" w:color="auto"/>
              <w:bottom w:val="single" w:sz="4" w:space="0" w:color="auto"/>
              <w:right w:val="single" w:sz="4" w:space="0" w:color="auto"/>
            </w:tcBorders>
            <w:noWrap/>
            <w:vAlign w:val="center"/>
            <w:hideMark/>
          </w:tcPr>
          <w:p w:rsidR="008A67B2" w:rsidRPr="00B936FA" w:rsidRDefault="008A67B2">
            <w:pPr>
              <w:jc w:val="center"/>
              <w:rPr>
                <w:rFonts w:ascii="Arial" w:hAnsi="Arial" w:cs="Arial"/>
                <w:sz w:val="18"/>
                <w:szCs w:val="18"/>
              </w:rPr>
            </w:pPr>
            <w:r w:rsidRPr="00B936FA">
              <w:rPr>
                <w:rFonts w:ascii="Arial" w:hAnsi="Arial" w:cs="Arial"/>
                <w:sz w:val="18"/>
                <w:szCs w:val="18"/>
              </w:rPr>
              <w:t>BOLIVAR</w:t>
            </w:r>
          </w:p>
        </w:tc>
        <w:tc>
          <w:tcPr>
            <w:tcW w:w="2087" w:type="dxa"/>
            <w:tcBorders>
              <w:top w:val="single" w:sz="4" w:space="0" w:color="auto"/>
              <w:left w:val="single" w:sz="4" w:space="0" w:color="auto"/>
              <w:bottom w:val="single" w:sz="4" w:space="0" w:color="auto"/>
              <w:right w:val="single" w:sz="4" w:space="0" w:color="auto"/>
            </w:tcBorders>
            <w:hideMark/>
          </w:tcPr>
          <w:p w:rsidR="008A67B2" w:rsidRPr="00B936FA" w:rsidRDefault="008A67B2">
            <w:pPr>
              <w:jc w:val="both"/>
              <w:rPr>
                <w:rFonts w:ascii="Arial" w:hAnsi="Arial" w:cs="Arial"/>
                <w:b/>
                <w:bCs/>
                <w:color w:val="000000"/>
                <w:sz w:val="18"/>
                <w:szCs w:val="18"/>
                <w:lang w:val="es-CO" w:eastAsia="es-CO"/>
              </w:rPr>
            </w:pPr>
            <w:r w:rsidRPr="00B936FA">
              <w:rPr>
                <w:rFonts w:ascii="Arial" w:hAnsi="Arial" w:cs="Arial"/>
                <w:b/>
                <w:bCs/>
                <w:color w:val="000000"/>
                <w:sz w:val="18"/>
                <w:szCs w:val="18"/>
                <w:lang w:val="es-CO" w:eastAsia="es-CO"/>
              </w:rPr>
              <w:t>CARTAGENA</w:t>
            </w:r>
          </w:p>
        </w:tc>
        <w:tc>
          <w:tcPr>
            <w:tcW w:w="1127" w:type="dxa"/>
            <w:tcBorders>
              <w:top w:val="single" w:sz="4" w:space="0" w:color="auto"/>
              <w:left w:val="single" w:sz="4" w:space="0" w:color="auto"/>
              <w:bottom w:val="single" w:sz="4" w:space="0" w:color="auto"/>
              <w:right w:val="single" w:sz="4" w:space="0" w:color="auto"/>
            </w:tcBorders>
            <w:noWrap/>
            <w:vAlign w:val="center"/>
          </w:tcPr>
          <w:p w:rsidR="008A67B2" w:rsidRPr="00B936FA" w:rsidRDefault="008A67B2">
            <w:pPr>
              <w:jc w:val="center"/>
              <w:rPr>
                <w:rFonts w:ascii="Arial" w:hAnsi="Arial" w:cs="Arial"/>
                <w:b/>
                <w:bCs/>
                <w:color w:val="000000"/>
                <w:sz w:val="18"/>
                <w:szCs w:val="18"/>
                <w:lang w:val="es-CO" w:eastAsia="es-CO"/>
              </w:rPr>
            </w:pPr>
          </w:p>
        </w:tc>
        <w:tc>
          <w:tcPr>
            <w:tcW w:w="564" w:type="dxa"/>
            <w:tcBorders>
              <w:top w:val="single" w:sz="4" w:space="0" w:color="auto"/>
              <w:left w:val="single" w:sz="4" w:space="0" w:color="auto"/>
              <w:bottom w:val="single" w:sz="4" w:space="0" w:color="auto"/>
              <w:right w:val="single" w:sz="4" w:space="0" w:color="auto"/>
            </w:tcBorders>
          </w:tcPr>
          <w:p w:rsidR="008A67B2" w:rsidRPr="00B936FA" w:rsidRDefault="008A67B2">
            <w:pPr>
              <w:jc w:val="center"/>
              <w:rPr>
                <w:rFonts w:ascii="Arial" w:hAnsi="Arial" w:cs="Arial"/>
                <w:b/>
                <w:bCs/>
                <w:color w:val="000000"/>
                <w:sz w:val="18"/>
                <w:szCs w:val="18"/>
                <w:lang w:val="es-CO" w:eastAsia="es-CO"/>
              </w:rPr>
            </w:pPr>
          </w:p>
        </w:tc>
      </w:tr>
      <w:tr w:rsidR="008A67B2" w:rsidRPr="00B936FA" w:rsidTr="008A67B2">
        <w:trPr>
          <w:trHeight w:val="306"/>
          <w:jc w:val="center"/>
        </w:trPr>
        <w:tc>
          <w:tcPr>
            <w:tcW w:w="2953" w:type="dxa"/>
            <w:gridSpan w:val="2"/>
            <w:tcBorders>
              <w:top w:val="single" w:sz="4" w:space="0" w:color="auto"/>
              <w:left w:val="single" w:sz="4" w:space="0" w:color="auto"/>
              <w:bottom w:val="single" w:sz="4" w:space="0" w:color="auto"/>
              <w:right w:val="single" w:sz="4" w:space="0" w:color="auto"/>
            </w:tcBorders>
            <w:noWrap/>
            <w:vAlign w:val="center"/>
            <w:hideMark/>
          </w:tcPr>
          <w:p w:rsidR="008A67B2" w:rsidRPr="00B936FA" w:rsidRDefault="008A67B2">
            <w:pPr>
              <w:jc w:val="both"/>
              <w:rPr>
                <w:rFonts w:ascii="Arial" w:hAnsi="Arial" w:cs="Arial"/>
                <w:b/>
                <w:bCs/>
                <w:color w:val="000000"/>
                <w:sz w:val="18"/>
                <w:szCs w:val="18"/>
                <w:lang w:val="es-CO" w:eastAsia="es-CO"/>
              </w:rPr>
            </w:pPr>
            <w:r w:rsidRPr="00B936FA">
              <w:rPr>
                <w:rFonts w:ascii="Arial" w:hAnsi="Arial" w:cs="Arial"/>
                <w:b/>
                <w:bCs/>
                <w:color w:val="000000"/>
                <w:sz w:val="18"/>
                <w:szCs w:val="18"/>
                <w:lang w:val="es-CO" w:eastAsia="es-CO"/>
              </w:rPr>
              <w:t>POBLACIÓN TOTAL - DANE</w:t>
            </w:r>
          </w:p>
        </w:tc>
        <w:tc>
          <w:tcPr>
            <w:tcW w:w="2107" w:type="dxa"/>
            <w:tcBorders>
              <w:top w:val="single" w:sz="4" w:space="0" w:color="auto"/>
              <w:left w:val="single" w:sz="4" w:space="0" w:color="auto"/>
              <w:bottom w:val="single" w:sz="4" w:space="0" w:color="auto"/>
              <w:right w:val="single" w:sz="4" w:space="0" w:color="auto"/>
            </w:tcBorders>
            <w:noWrap/>
            <w:vAlign w:val="center"/>
            <w:hideMark/>
          </w:tcPr>
          <w:p w:rsidR="008A67B2" w:rsidRPr="00B936FA" w:rsidRDefault="008A67B2">
            <w:pPr>
              <w:jc w:val="center"/>
              <w:rPr>
                <w:rFonts w:ascii="Arial" w:hAnsi="Arial" w:cs="Arial"/>
                <w:sz w:val="18"/>
                <w:szCs w:val="18"/>
                <w:lang w:val="en-US" w:eastAsia="en-US"/>
              </w:rPr>
            </w:pPr>
            <w:r w:rsidRPr="00B936FA">
              <w:rPr>
                <w:rFonts w:ascii="Arial" w:hAnsi="Arial" w:cs="Arial"/>
                <w:sz w:val="18"/>
                <w:szCs w:val="18"/>
              </w:rPr>
              <w:t xml:space="preserve"> </w:t>
            </w:r>
            <w:r w:rsidRPr="00B936FA">
              <w:rPr>
                <w:rFonts w:ascii="Arial" w:hAnsi="Arial" w:cs="Arial"/>
                <w:color w:val="202124"/>
                <w:sz w:val="18"/>
                <w:szCs w:val="18"/>
                <w:shd w:val="clear" w:color="auto" w:fill="FFFFFF"/>
              </w:rPr>
              <w:t>2.121.956</w:t>
            </w:r>
          </w:p>
        </w:tc>
        <w:tc>
          <w:tcPr>
            <w:tcW w:w="2087" w:type="dxa"/>
            <w:tcBorders>
              <w:top w:val="single" w:sz="4" w:space="0" w:color="auto"/>
              <w:left w:val="single" w:sz="4" w:space="0" w:color="auto"/>
              <w:bottom w:val="single" w:sz="4" w:space="0" w:color="auto"/>
              <w:right w:val="single" w:sz="4" w:space="0" w:color="auto"/>
            </w:tcBorders>
            <w:hideMark/>
          </w:tcPr>
          <w:p w:rsidR="008A67B2" w:rsidRPr="00B936FA" w:rsidRDefault="008A67B2">
            <w:pPr>
              <w:jc w:val="center"/>
              <w:rPr>
                <w:rFonts w:ascii="Arial" w:hAnsi="Arial" w:cs="Arial"/>
                <w:b/>
                <w:bCs/>
                <w:color w:val="000000"/>
                <w:sz w:val="18"/>
                <w:szCs w:val="18"/>
                <w:lang w:val="es-CO" w:eastAsia="es-CO"/>
              </w:rPr>
            </w:pPr>
            <w:r w:rsidRPr="00B936FA">
              <w:rPr>
                <w:rFonts w:ascii="Arial" w:hAnsi="Arial" w:cs="Arial"/>
                <w:color w:val="202124"/>
                <w:sz w:val="18"/>
                <w:szCs w:val="18"/>
                <w:shd w:val="clear" w:color="auto" w:fill="FFFFFF"/>
              </w:rPr>
              <w:t>1'</w:t>
            </w:r>
            <w:r w:rsidRPr="00B936FA">
              <w:rPr>
                <w:rFonts w:ascii="Arial" w:hAnsi="Arial" w:cs="Arial"/>
                <w:b/>
                <w:bCs/>
                <w:color w:val="202124"/>
                <w:sz w:val="18"/>
                <w:szCs w:val="18"/>
                <w:shd w:val="clear" w:color="auto" w:fill="FFFFFF"/>
              </w:rPr>
              <w:t>028.736</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8A67B2" w:rsidRPr="00B936FA" w:rsidRDefault="008A67B2">
            <w:pPr>
              <w:jc w:val="center"/>
              <w:rPr>
                <w:rFonts w:ascii="Arial" w:hAnsi="Arial" w:cs="Arial"/>
                <w:b/>
                <w:bCs/>
                <w:color w:val="000000"/>
                <w:sz w:val="18"/>
                <w:szCs w:val="18"/>
                <w:lang w:val="es-CO" w:eastAsia="es-CO"/>
              </w:rPr>
            </w:pPr>
            <w:r w:rsidRPr="00B936FA">
              <w:rPr>
                <w:rFonts w:ascii="Arial" w:hAnsi="Arial" w:cs="Arial"/>
                <w:color w:val="000000"/>
                <w:sz w:val="18"/>
                <w:szCs w:val="18"/>
              </w:rPr>
              <w:t>48%</w:t>
            </w:r>
          </w:p>
        </w:tc>
        <w:tc>
          <w:tcPr>
            <w:tcW w:w="564" w:type="dxa"/>
            <w:tcBorders>
              <w:top w:val="single" w:sz="4" w:space="0" w:color="auto"/>
              <w:left w:val="single" w:sz="4" w:space="0" w:color="auto"/>
              <w:bottom w:val="single" w:sz="4" w:space="0" w:color="auto"/>
              <w:right w:val="single" w:sz="4" w:space="0" w:color="auto"/>
            </w:tcBorders>
          </w:tcPr>
          <w:p w:rsidR="008A67B2" w:rsidRPr="00B936FA" w:rsidRDefault="008A67B2">
            <w:pPr>
              <w:jc w:val="center"/>
              <w:rPr>
                <w:rFonts w:ascii="Arial" w:hAnsi="Arial" w:cs="Arial"/>
                <w:color w:val="000000"/>
                <w:sz w:val="18"/>
                <w:szCs w:val="18"/>
              </w:rPr>
            </w:pPr>
          </w:p>
        </w:tc>
      </w:tr>
      <w:tr w:rsidR="008A67B2" w:rsidRPr="00B936FA" w:rsidTr="008A67B2">
        <w:trPr>
          <w:trHeight w:val="306"/>
          <w:jc w:val="center"/>
        </w:trPr>
        <w:tc>
          <w:tcPr>
            <w:tcW w:w="2953" w:type="dxa"/>
            <w:gridSpan w:val="2"/>
            <w:tcBorders>
              <w:top w:val="single" w:sz="4" w:space="0" w:color="auto"/>
              <w:left w:val="nil"/>
              <w:bottom w:val="single" w:sz="4" w:space="0" w:color="auto"/>
              <w:right w:val="nil"/>
            </w:tcBorders>
            <w:noWrap/>
            <w:vAlign w:val="center"/>
            <w:hideMark/>
          </w:tcPr>
          <w:p w:rsidR="008A67B2" w:rsidRPr="00B936FA" w:rsidRDefault="008A67B2">
            <w:pPr>
              <w:rPr>
                <w:rFonts w:ascii="Arial" w:hAnsi="Arial" w:cs="Arial"/>
                <w:color w:val="000000"/>
                <w:sz w:val="18"/>
                <w:szCs w:val="18"/>
              </w:rPr>
            </w:pPr>
          </w:p>
        </w:tc>
        <w:tc>
          <w:tcPr>
            <w:tcW w:w="2107" w:type="dxa"/>
            <w:tcBorders>
              <w:top w:val="single" w:sz="4" w:space="0" w:color="auto"/>
              <w:left w:val="nil"/>
              <w:bottom w:val="single" w:sz="4" w:space="0" w:color="auto"/>
              <w:right w:val="nil"/>
            </w:tcBorders>
            <w:noWrap/>
            <w:vAlign w:val="center"/>
            <w:hideMark/>
          </w:tcPr>
          <w:p w:rsidR="008A67B2" w:rsidRPr="00B936FA" w:rsidRDefault="008A67B2">
            <w:pPr>
              <w:rPr>
                <w:rFonts w:asciiTheme="minorHAnsi" w:eastAsiaTheme="minorHAnsi" w:hAnsiTheme="minorHAnsi" w:cstheme="minorBidi"/>
                <w:sz w:val="18"/>
                <w:szCs w:val="18"/>
                <w:lang w:val="es-CO" w:eastAsia="es-CO"/>
              </w:rPr>
            </w:pPr>
          </w:p>
        </w:tc>
        <w:tc>
          <w:tcPr>
            <w:tcW w:w="2087" w:type="dxa"/>
            <w:tcBorders>
              <w:top w:val="single" w:sz="4" w:space="0" w:color="auto"/>
              <w:left w:val="nil"/>
              <w:bottom w:val="single" w:sz="4" w:space="0" w:color="auto"/>
              <w:right w:val="nil"/>
            </w:tcBorders>
          </w:tcPr>
          <w:p w:rsidR="008A67B2" w:rsidRPr="00B936FA" w:rsidRDefault="008A67B2">
            <w:pPr>
              <w:rPr>
                <w:rFonts w:ascii="Arial" w:hAnsi="Arial" w:cs="Arial"/>
                <w:sz w:val="18"/>
                <w:szCs w:val="18"/>
                <w:lang w:val="en-US" w:eastAsia="en-US"/>
              </w:rPr>
            </w:pPr>
          </w:p>
        </w:tc>
        <w:tc>
          <w:tcPr>
            <w:tcW w:w="1127" w:type="dxa"/>
            <w:tcBorders>
              <w:top w:val="single" w:sz="4" w:space="0" w:color="auto"/>
              <w:left w:val="nil"/>
              <w:bottom w:val="single" w:sz="4" w:space="0" w:color="auto"/>
              <w:right w:val="nil"/>
            </w:tcBorders>
            <w:noWrap/>
            <w:vAlign w:val="bottom"/>
            <w:hideMark/>
          </w:tcPr>
          <w:p w:rsidR="008A67B2" w:rsidRPr="00B936FA" w:rsidRDefault="008A67B2">
            <w:pPr>
              <w:rPr>
                <w:rFonts w:ascii="Arial" w:hAnsi="Arial" w:cs="Arial"/>
                <w:sz w:val="18"/>
                <w:szCs w:val="18"/>
                <w:lang w:val="en-US" w:eastAsia="en-US"/>
              </w:rPr>
            </w:pPr>
          </w:p>
        </w:tc>
        <w:tc>
          <w:tcPr>
            <w:tcW w:w="564" w:type="dxa"/>
            <w:tcBorders>
              <w:top w:val="single" w:sz="4" w:space="0" w:color="auto"/>
              <w:left w:val="nil"/>
              <w:bottom w:val="single" w:sz="4" w:space="0" w:color="auto"/>
              <w:right w:val="nil"/>
            </w:tcBorders>
          </w:tcPr>
          <w:p w:rsidR="008A67B2" w:rsidRPr="00B936FA" w:rsidRDefault="008A67B2">
            <w:pPr>
              <w:jc w:val="center"/>
              <w:rPr>
                <w:rFonts w:ascii="Arial" w:hAnsi="Arial" w:cs="Arial"/>
                <w:sz w:val="18"/>
                <w:szCs w:val="18"/>
                <w:lang w:val="en-US" w:eastAsia="en-US"/>
              </w:rPr>
            </w:pPr>
          </w:p>
        </w:tc>
      </w:tr>
      <w:tr w:rsidR="008A67B2" w:rsidRPr="00B936FA" w:rsidTr="008A67B2">
        <w:trPr>
          <w:trHeight w:val="306"/>
          <w:jc w:val="center"/>
        </w:trPr>
        <w:tc>
          <w:tcPr>
            <w:tcW w:w="2953" w:type="dxa"/>
            <w:gridSpan w:val="2"/>
            <w:tcBorders>
              <w:top w:val="single" w:sz="4" w:space="0" w:color="auto"/>
              <w:left w:val="single" w:sz="4" w:space="0" w:color="auto"/>
              <w:bottom w:val="single" w:sz="4" w:space="0" w:color="auto"/>
              <w:right w:val="single" w:sz="4" w:space="0" w:color="auto"/>
            </w:tcBorders>
            <w:noWrap/>
            <w:vAlign w:val="bottom"/>
            <w:hideMark/>
          </w:tcPr>
          <w:p w:rsidR="008A67B2" w:rsidRPr="00B936FA" w:rsidRDefault="008A67B2">
            <w:pPr>
              <w:jc w:val="both"/>
              <w:rPr>
                <w:rFonts w:ascii="Arial" w:hAnsi="Arial" w:cs="Arial"/>
                <w:color w:val="000000"/>
                <w:sz w:val="18"/>
                <w:szCs w:val="18"/>
                <w:lang w:val="es-CO" w:eastAsia="es-CO"/>
              </w:rPr>
            </w:pPr>
            <w:r w:rsidRPr="00B936FA">
              <w:rPr>
                <w:rFonts w:ascii="Arial" w:hAnsi="Arial" w:cs="Arial"/>
                <w:color w:val="000000"/>
                <w:sz w:val="18"/>
                <w:szCs w:val="18"/>
              </w:rPr>
              <w:t>CONTRIBUTIVO</w:t>
            </w:r>
          </w:p>
        </w:tc>
        <w:tc>
          <w:tcPr>
            <w:tcW w:w="2107" w:type="dxa"/>
            <w:tcBorders>
              <w:top w:val="single" w:sz="4" w:space="0" w:color="auto"/>
              <w:left w:val="single" w:sz="4" w:space="0" w:color="auto"/>
              <w:bottom w:val="single" w:sz="4" w:space="0" w:color="auto"/>
              <w:right w:val="single" w:sz="4" w:space="0" w:color="auto"/>
            </w:tcBorders>
            <w:noWrap/>
            <w:vAlign w:val="bottom"/>
            <w:hideMark/>
          </w:tcPr>
          <w:p w:rsidR="008A67B2" w:rsidRPr="00B936FA" w:rsidRDefault="008A67B2">
            <w:pPr>
              <w:jc w:val="center"/>
              <w:rPr>
                <w:rFonts w:ascii="Arial" w:hAnsi="Arial" w:cs="Arial"/>
                <w:color w:val="000000"/>
                <w:sz w:val="18"/>
                <w:szCs w:val="18"/>
                <w:lang w:val="es-CO" w:eastAsia="es-CO"/>
              </w:rPr>
            </w:pPr>
            <w:r w:rsidRPr="00B936FA">
              <w:rPr>
                <w:rFonts w:ascii="Arial" w:hAnsi="Arial" w:cs="Arial"/>
                <w:color w:val="000000"/>
                <w:sz w:val="18"/>
                <w:szCs w:val="18"/>
              </w:rPr>
              <w:t>656.610</w:t>
            </w:r>
          </w:p>
        </w:tc>
        <w:tc>
          <w:tcPr>
            <w:tcW w:w="2087" w:type="dxa"/>
            <w:tcBorders>
              <w:top w:val="single" w:sz="4" w:space="0" w:color="auto"/>
              <w:left w:val="single" w:sz="4" w:space="0" w:color="auto"/>
              <w:bottom w:val="single" w:sz="4" w:space="0" w:color="auto"/>
              <w:right w:val="single" w:sz="4" w:space="0" w:color="auto"/>
            </w:tcBorders>
            <w:vAlign w:val="bottom"/>
            <w:hideMark/>
          </w:tcPr>
          <w:p w:rsidR="008A67B2" w:rsidRPr="00B936FA" w:rsidRDefault="008A67B2">
            <w:pPr>
              <w:jc w:val="center"/>
              <w:rPr>
                <w:rFonts w:ascii="Arial" w:hAnsi="Arial" w:cs="Arial"/>
                <w:color w:val="000000"/>
                <w:sz w:val="18"/>
                <w:szCs w:val="18"/>
                <w:lang w:val="es-CO" w:eastAsia="es-CO"/>
              </w:rPr>
            </w:pPr>
            <w:r w:rsidRPr="00B936FA">
              <w:rPr>
                <w:rFonts w:ascii="Arial" w:hAnsi="Arial" w:cs="Arial"/>
                <w:color w:val="000000"/>
                <w:sz w:val="18"/>
                <w:szCs w:val="18"/>
              </w:rPr>
              <w:t>552.521</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8A67B2" w:rsidRPr="00B936FA" w:rsidRDefault="008A67B2">
            <w:pPr>
              <w:jc w:val="center"/>
              <w:rPr>
                <w:rFonts w:ascii="Arial" w:hAnsi="Arial" w:cs="Arial"/>
                <w:color w:val="000000"/>
                <w:sz w:val="18"/>
                <w:szCs w:val="18"/>
                <w:lang w:val="es-CO" w:eastAsia="es-CO"/>
              </w:rPr>
            </w:pPr>
            <w:r w:rsidRPr="00B936FA">
              <w:rPr>
                <w:rFonts w:ascii="Arial" w:hAnsi="Arial" w:cs="Arial"/>
                <w:color w:val="000000"/>
                <w:sz w:val="18"/>
                <w:szCs w:val="18"/>
              </w:rPr>
              <w:t>89%</w:t>
            </w:r>
          </w:p>
        </w:tc>
        <w:tc>
          <w:tcPr>
            <w:tcW w:w="564" w:type="dxa"/>
            <w:tcBorders>
              <w:top w:val="single" w:sz="4" w:space="0" w:color="auto"/>
              <w:left w:val="single" w:sz="4" w:space="0" w:color="auto"/>
              <w:bottom w:val="single" w:sz="4" w:space="0" w:color="auto"/>
              <w:right w:val="single" w:sz="4" w:space="0" w:color="auto"/>
            </w:tcBorders>
            <w:vAlign w:val="bottom"/>
            <w:hideMark/>
          </w:tcPr>
          <w:p w:rsidR="008A67B2" w:rsidRPr="00B936FA" w:rsidRDefault="008A67B2">
            <w:pPr>
              <w:jc w:val="center"/>
              <w:rPr>
                <w:rFonts w:ascii="Arial" w:hAnsi="Arial" w:cs="Arial"/>
                <w:color w:val="000000"/>
                <w:sz w:val="18"/>
                <w:szCs w:val="18"/>
              </w:rPr>
            </w:pPr>
            <w:r w:rsidRPr="00B936FA">
              <w:rPr>
                <w:rFonts w:ascii="Arial" w:hAnsi="Arial" w:cs="Arial"/>
                <w:color w:val="000000"/>
                <w:sz w:val="18"/>
                <w:szCs w:val="18"/>
              </w:rPr>
              <w:t>49%</w:t>
            </w:r>
          </w:p>
        </w:tc>
      </w:tr>
      <w:tr w:rsidR="008A67B2" w:rsidRPr="00B936FA" w:rsidTr="008A67B2">
        <w:trPr>
          <w:trHeight w:val="306"/>
          <w:jc w:val="center"/>
        </w:trPr>
        <w:tc>
          <w:tcPr>
            <w:tcW w:w="2953" w:type="dxa"/>
            <w:gridSpan w:val="2"/>
            <w:tcBorders>
              <w:top w:val="single" w:sz="4" w:space="0" w:color="auto"/>
              <w:left w:val="single" w:sz="4" w:space="0" w:color="auto"/>
              <w:bottom w:val="single" w:sz="4" w:space="0" w:color="auto"/>
              <w:right w:val="single" w:sz="4" w:space="0" w:color="auto"/>
            </w:tcBorders>
            <w:noWrap/>
            <w:vAlign w:val="bottom"/>
            <w:hideMark/>
          </w:tcPr>
          <w:p w:rsidR="008A67B2" w:rsidRPr="00B936FA" w:rsidRDefault="008A67B2">
            <w:pPr>
              <w:jc w:val="both"/>
              <w:rPr>
                <w:rFonts w:ascii="Arial" w:hAnsi="Arial" w:cs="Arial"/>
                <w:color w:val="000000"/>
                <w:sz w:val="18"/>
                <w:szCs w:val="18"/>
                <w:lang w:val="es-CO" w:eastAsia="es-CO"/>
              </w:rPr>
            </w:pPr>
            <w:r w:rsidRPr="00B936FA">
              <w:rPr>
                <w:rFonts w:ascii="Arial" w:hAnsi="Arial" w:cs="Arial"/>
                <w:color w:val="000000"/>
                <w:sz w:val="18"/>
                <w:szCs w:val="18"/>
              </w:rPr>
              <w:lastRenderedPageBreak/>
              <w:t>SUBSIDIADO</w:t>
            </w:r>
          </w:p>
        </w:tc>
        <w:tc>
          <w:tcPr>
            <w:tcW w:w="2107" w:type="dxa"/>
            <w:tcBorders>
              <w:top w:val="single" w:sz="4" w:space="0" w:color="auto"/>
              <w:left w:val="single" w:sz="4" w:space="0" w:color="auto"/>
              <w:bottom w:val="single" w:sz="4" w:space="0" w:color="auto"/>
              <w:right w:val="single" w:sz="4" w:space="0" w:color="auto"/>
            </w:tcBorders>
            <w:noWrap/>
            <w:vAlign w:val="bottom"/>
            <w:hideMark/>
          </w:tcPr>
          <w:p w:rsidR="008A67B2" w:rsidRPr="00B936FA" w:rsidRDefault="008A67B2">
            <w:pPr>
              <w:jc w:val="center"/>
              <w:rPr>
                <w:rFonts w:ascii="Arial" w:hAnsi="Arial" w:cs="Arial"/>
                <w:color w:val="000000"/>
                <w:sz w:val="18"/>
                <w:szCs w:val="18"/>
                <w:lang w:val="es-CO" w:eastAsia="es-CO"/>
              </w:rPr>
            </w:pPr>
            <w:r w:rsidRPr="00B936FA">
              <w:rPr>
                <w:rFonts w:ascii="Arial" w:hAnsi="Arial" w:cs="Arial"/>
                <w:color w:val="000000"/>
                <w:sz w:val="18"/>
                <w:szCs w:val="18"/>
              </w:rPr>
              <w:t>1.494.666</w:t>
            </w:r>
          </w:p>
        </w:tc>
        <w:tc>
          <w:tcPr>
            <w:tcW w:w="2087" w:type="dxa"/>
            <w:tcBorders>
              <w:top w:val="single" w:sz="4" w:space="0" w:color="auto"/>
              <w:left w:val="single" w:sz="4" w:space="0" w:color="auto"/>
              <w:bottom w:val="single" w:sz="4" w:space="0" w:color="auto"/>
              <w:right w:val="single" w:sz="4" w:space="0" w:color="auto"/>
            </w:tcBorders>
            <w:vAlign w:val="bottom"/>
            <w:hideMark/>
          </w:tcPr>
          <w:p w:rsidR="008A67B2" w:rsidRPr="00B936FA" w:rsidRDefault="008A67B2">
            <w:pPr>
              <w:jc w:val="center"/>
              <w:rPr>
                <w:rFonts w:ascii="Arial" w:hAnsi="Arial" w:cs="Arial"/>
                <w:color w:val="000000"/>
                <w:sz w:val="18"/>
                <w:szCs w:val="18"/>
                <w:lang w:val="es-CO" w:eastAsia="es-CO"/>
              </w:rPr>
            </w:pPr>
            <w:r w:rsidRPr="00B936FA">
              <w:rPr>
                <w:rFonts w:ascii="Arial" w:hAnsi="Arial" w:cs="Arial"/>
                <w:color w:val="000000"/>
                <w:sz w:val="18"/>
                <w:szCs w:val="18"/>
              </w:rPr>
              <w:t>580.165</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8A67B2" w:rsidRPr="00B936FA" w:rsidRDefault="008A67B2">
            <w:pPr>
              <w:jc w:val="center"/>
              <w:rPr>
                <w:rFonts w:ascii="Arial" w:hAnsi="Arial" w:cs="Arial"/>
                <w:color w:val="000000"/>
                <w:sz w:val="18"/>
                <w:szCs w:val="18"/>
                <w:lang w:val="es-CO" w:eastAsia="es-CO"/>
              </w:rPr>
            </w:pPr>
            <w:r w:rsidRPr="00B936FA">
              <w:rPr>
                <w:rFonts w:ascii="Arial" w:hAnsi="Arial" w:cs="Arial"/>
                <w:color w:val="000000"/>
                <w:sz w:val="18"/>
                <w:szCs w:val="18"/>
              </w:rPr>
              <w:t>38%</w:t>
            </w:r>
          </w:p>
        </w:tc>
        <w:tc>
          <w:tcPr>
            <w:tcW w:w="564" w:type="dxa"/>
            <w:tcBorders>
              <w:top w:val="single" w:sz="4" w:space="0" w:color="auto"/>
              <w:left w:val="single" w:sz="4" w:space="0" w:color="auto"/>
              <w:bottom w:val="single" w:sz="4" w:space="0" w:color="auto"/>
              <w:right w:val="single" w:sz="4" w:space="0" w:color="auto"/>
            </w:tcBorders>
            <w:vAlign w:val="bottom"/>
            <w:hideMark/>
          </w:tcPr>
          <w:p w:rsidR="008A67B2" w:rsidRPr="00B936FA" w:rsidRDefault="008A67B2">
            <w:pPr>
              <w:jc w:val="center"/>
              <w:rPr>
                <w:rFonts w:ascii="Arial" w:hAnsi="Arial" w:cs="Arial"/>
                <w:color w:val="000000"/>
                <w:sz w:val="18"/>
                <w:szCs w:val="18"/>
              </w:rPr>
            </w:pPr>
            <w:r w:rsidRPr="00B936FA">
              <w:rPr>
                <w:rFonts w:ascii="Arial" w:hAnsi="Arial" w:cs="Arial"/>
                <w:color w:val="000000"/>
                <w:sz w:val="18"/>
                <w:szCs w:val="18"/>
              </w:rPr>
              <w:t>50%</w:t>
            </w:r>
          </w:p>
        </w:tc>
      </w:tr>
      <w:tr w:rsidR="008A67B2" w:rsidRPr="00B936FA" w:rsidTr="008A67B2">
        <w:trPr>
          <w:trHeight w:val="306"/>
          <w:jc w:val="center"/>
        </w:trPr>
        <w:tc>
          <w:tcPr>
            <w:tcW w:w="2953" w:type="dxa"/>
            <w:gridSpan w:val="2"/>
            <w:tcBorders>
              <w:top w:val="single" w:sz="4" w:space="0" w:color="auto"/>
              <w:left w:val="single" w:sz="4" w:space="0" w:color="auto"/>
              <w:bottom w:val="single" w:sz="4" w:space="0" w:color="auto"/>
              <w:right w:val="single" w:sz="4" w:space="0" w:color="auto"/>
            </w:tcBorders>
            <w:noWrap/>
            <w:vAlign w:val="bottom"/>
            <w:hideMark/>
          </w:tcPr>
          <w:p w:rsidR="008A67B2" w:rsidRPr="00B936FA" w:rsidRDefault="008A67B2">
            <w:pPr>
              <w:jc w:val="both"/>
              <w:rPr>
                <w:rFonts w:ascii="Arial" w:hAnsi="Arial" w:cs="Arial"/>
                <w:color w:val="000000"/>
                <w:sz w:val="18"/>
                <w:szCs w:val="18"/>
                <w:lang w:val="es-CO" w:eastAsia="es-CO"/>
              </w:rPr>
            </w:pPr>
            <w:r w:rsidRPr="00B936FA">
              <w:rPr>
                <w:rFonts w:ascii="Arial" w:hAnsi="Arial" w:cs="Arial"/>
                <w:color w:val="000000"/>
                <w:sz w:val="18"/>
                <w:szCs w:val="18"/>
              </w:rPr>
              <w:t>EXCEPCION</w:t>
            </w:r>
          </w:p>
        </w:tc>
        <w:tc>
          <w:tcPr>
            <w:tcW w:w="2107" w:type="dxa"/>
            <w:tcBorders>
              <w:top w:val="single" w:sz="4" w:space="0" w:color="auto"/>
              <w:left w:val="single" w:sz="4" w:space="0" w:color="auto"/>
              <w:bottom w:val="single" w:sz="4" w:space="0" w:color="auto"/>
              <w:right w:val="single" w:sz="4" w:space="0" w:color="auto"/>
            </w:tcBorders>
            <w:noWrap/>
            <w:vAlign w:val="bottom"/>
            <w:hideMark/>
          </w:tcPr>
          <w:p w:rsidR="008A67B2" w:rsidRPr="00B936FA" w:rsidRDefault="008A67B2">
            <w:pPr>
              <w:jc w:val="center"/>
              <w:rPr>
                <w:rFonts w:ascii="Arial" w:hAnsi="Arial" w:cs="Arial"/>
                <w:color w:val="000000"/>
                <w:sz w:val="18"/>
                <w:szCs w:val="18"/>
                <w:lang w:val="es-CO" w:eastAsia="es-CO"/>
              </w:rPr>
            </w:pPr>
            <w:r w:rsidRPr="00B936FA">
              <w:rPr>
                <w:rFonts w:ascii="Arial" w:hAnsi="Arial" w:cs="Arial"/>
                <w:color w:val="000000"/>
                <w:sz w:val="18"/>
                <w:szCs w:val="18"/>
              </w:rPr>
              <w:t>41.083</w:t>
            </w:r>
          </w:p>
        </w:tc>
        <w:tc>
          <w:tcPr>
            <w:tcW w:w="2087" w:type="dxa"/>
            <w:tcBorders>
              <w:top w:val="single" w:sz="4" w:space="0" w:color="auto"/>
              <w:left w:val="single" w:sz="4" w:space="0" w:color="auto"/>
              <w:bottom w:val="single" w:sz="4" w:space="0" w:color="auto"/>
              <w:right w:val="single" w:sz="4" w:space="0" w:color="auto"/>
            </w:tcBorders>
            <w:vAlign w:val="bottom"/>
            <w:hideMark/>
          </w:tcPr>
          <w:p w:rsidR="008A67B2" w:rsidRPr="00B936FA" w:rsidRDefault="008A67B2">
            <w:pPr>
              <w:jc w:val="center"/>
              <w:rPr>
                <w:rFonts w:ascii="Arial" w:hAnsi="Arial" w:cs="Arial"/>
                <w:color w:val="000000"/>
                <w:sz w:val="18"/>
                <w:szCs w:val="18"/>
                <w:lang w:val="es-CO" w:eastAsia="es-CO"/>
              </w:rPr>
            </w:pPr>
            <w:r w:rsidRPr="00B936FA">
              <w:rPr>
                <w:rFonts w:ascii="Arial" w:hAnsi="Arial" w:cs="Arial"/>
                <w:color w:val="000000"/>
                <w:sz w:val="18"/>
                <w:szCs w:val="18"/>
              </w:rPr>
              <w:t>22.962</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8A67B2" w:rsidRPr="00B936FA" w:rsidRDefault="008A67B2">
            <w:pPr>
              <w:jc w:val="center"/>
              <w:rPr>
                <w:rFonts w:ascii="Arial" w:hAnsi="Arial" w:cs="Arial"/>
                <w:color w:val="000000"/>
                <w:sz w:val="18"/>
                <w:szCs w:val="18"/>
                <w:lang w:val="es-CO" w:eastAsia="es-CO"/>
              </w:rPr>
            </w:pPr>
            <w:r w:rsidRPr="00B936FA">
              <w:rPr>
                <w:rFonts w:ascii="Arial" w:hAnsi="Arial" w:cs="Arial"/>
                <w:color w:val="000000"/>
                <w:sz w:val="18"/>
                <w:szCs w:val="18"/>
              </w:rPr>
              <w:t>57%</w:t>
            </w:r>
          </w:p>
        </w:tc>
        <w:tc>
          <w:tcPr>
            <w:tcW w:w="564" w:type="dxa"/>
            <w:tcBorders>
              <w:top w:val="single" w:sz="4" w:space="0" w:color="auto"/>
              <w:left w:val="single" w:sz="4" w:space="0" w:color="auto"/>
              <w:bottom w:val="single" w:sz="4" w:space="0" w:color="auto"/>
              <w:right w:val="single" w:sz="4" w:space="0" w:color="auto"/>
            </w:tcBorders>
            <w:vAlign w:val="bottom"/>
            <w:hideMark/>
          </w:tcPr>
          <w:p w:rsidR="008A67B2" w:rsidRPr="00B936FA" w:rsidRDefault="008A67B2">
            <w:pPr>
              <w:jc w:val="center"/>
              <w:rPr>
                <w:rFonts w:ascii="Arial" w:hAnsi="Arial" w:cs="Arial"/>
                <w:color w:val="000000"/>
                <w:sz w:val="18"/>
                <w:szCs w:val="18"/>
              </w:rPr>
            </w:pPr>
            <w:r w:rsidRPr="00B936FA">
              <w:rPr>
                <w:rFonts w:ascii="Arial" w:hAnsi="Arial" w:cs="Arial"/>
                <w:color w:val="000000"/>
                <w:sz w:val="18"/>
                <w:szCs w:val="18"/>
              </w:rPr>
              <w:t>1%</w:t>
            </w:r>
          </w:p>
        </w:tc>
      </w:tr>
      <w:tr w:rsidR="008A67B2" w:rsidRPr="00B936FA" w:rsidTr="008A67B2">
        <w:trPr>
          <w:trHeight w:val="306"/>
          <w:jc w:val="center"/>
        </w:trPr>
        <w:tc>
          <w:tcPr>
            <w:tcW w:w="2953" w:type="dxa"/>
            <w:gridSpan w:val="2"/>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8A67B2" w:rsidRPr="00B936FA" w:rsidRDefault="008A67B2">
            <w:pPr>
              <w:jc w:val="both"/>
              <w:rPr>
                <w:rFonts w:ascii="Arial" w:hAnsi="Arial" w:cs="Arial"/>
                <w:b/>
                <w:bCs/>
                <w:color w:val="000000"/>
                <w:sz w:val="18"/>
                <w:szCs w:val="18"/>
                <w:lang w:val="es-CO" w:eastAsia="es-CO"/>
              </w:rPr>
            </w:pPr>
            <w:r w:rsidRPr="00B936FA">
              <w:rPr>
                <w:rFonts w:ascii="Arial" w:hAnsi="Arial" w:cs="Arial"/>
                <w:b/>
                <w:bCs/>
                <w:color w:val="000000"/>
                <w:sz w:val="18"/>
                <w:szCs w:val="18"/>
                <w:lang w:val="es-CO" w:eastAsia="es-CO"/>
              </w:rPr>
              <w:t>TOTAL ASEGURAMIENTO</w:t>
            </w:r>
          </w:p>
        </w:tc>
        <w:tc>
          <w:tcPr>
            <w:tcW w:w="2107"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8A67B2" w:rsidRPr="00B936FA" w:rsidRDefault="008A67B2">
            <w:pPr>
              <w:jc w:val="center"/>
              <w:rPr>
                <w:rFonts w:ascii="Arial" w:hAnsi="Arial" w:cs="Arial"/>
                <w:b/>
                <w:bCs/>
                <w:color w:val="000000"/>
                <w:sz w:val="18"/>
                <w:szCs w:val="18"/>
                <w:lang w:val="es-CO" w:eastAsia="es-CO"/>
              </w:rPr>
            </w:pPr>
            <w:r w:rsidRPr="00B936FA">
              <w:rPr>
                <w:rFonts w:ascii="Arial" w:hAnsi="Arial" w:cs="Arial"/>
                <w:b/>
                <w:bCs/>
                <w:color w:val="000000"/>
                <w:sz w:val="18"/>
                <w:szCs w:val="18"/>
                <w:lang w:val="es-CO" w:eastAsia="es-CO"/>
              </w:rPr>
              <w:t>2.192.359</w:t>
            </w:r>
          </w:p>
        </w:tc>
        <w:tc>
          <w:tcPr>
            <w:tcW w:w="2087" w:type="dxa"/>
            <w:tcBorders>
              <w:top w:val="single" w:sz="4" w:space="0" w:color="auto"/>
              <w:left w:val="single" w:sz="4" w:space="0" w:color="auto"/>
              <w:bottom w:val="single" w:sz="4" w:space="0" w:color="auto"/>
              <w:right w:val="single" w:sz="4" w:space="0" w:color="auto"/>
            </w:tcBorders>
            <w:shd w:val="clear" w:color="auto" w:fill="EEECE1"/>
            <w:vAlign w:val="bottom"/>
            <w:hideMark/>
          </w:tcPr>
          <w:p w:rsidR="008A67B2" w:rsidRPr="00B936FA" w:rsidRDefault="008A67B2">
            <w:pPr>
              <w:jc w:val="center"/>
              <w:rPr>
                <w:rFonts w:ascii="Arial" w:hAnsi="Arial" w:cs="Arial"/>
                <w:b/>
                <w:bCs/>
                <w:color w:val="000000"/>
                <w:sz w:val="18"/>
                <w:szCs w:val="18"/>
                <w:lang w:val="es-CO" w:eastAsia="es-CO"/>
              </w:rPr>
            </w:pPr>
            <w:r w:rsidRPr="00B936FA">
              <w:rPr>
                <w:rFonts w:ascii="Arial" w:hAnsi="Arial" w:cs="Arial"/>
                <w:b/>
                <w:bCs/>
                <w:color w:val="FFFFFF"/>
                <w:sz w:val="18"/>
                <w:szCs w:val="18"/>
              </w:rPr>
              <w:t>1.155.648</w:t>
            </w:r>
          </w:p>
        </w:tc>
        <w:tc>
          <w:tcPr>
            <w:tcW w:w="1127"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8A67B2" w:rsidRPr="00B936FA" w:rsidRDefault="008A67B2">
            <w:pPr>
              <w:jc w:val="center"/>
              <w:rPr>
                <w:rFonts w:ascii="Arial" w:hAnsi="Arial" w:cs="Arial"/>
                <w:b/>
                <w:bCs/>
                <w:color w:val="000000"/>
                <w:sz w:val="18"/>
                <w:szCs w:val="18"/>
                <w:lang w:val="es-CO" w:eastAsia="es-CO"/>
              </w:rPr>
            </w:pPr>
            <w:r w:rsidRPr="00B936FA">
              <w:rPr>
                <w:rFonts w:ascii="Arial" w:hAnsi="Arial" w:cs="Arial"/>
                <w:color w:val="000000"/>
                <w:sz w:val="18"/>
                <w:szCs w:val="18"/>
              </w:rPr>
              <w:t>54%</w:t>
            </w:r>
          </w:p>
        </w:tc>
        <w:tc>
          <w:tcPr>
            <w:tcW w:w="564" w:type="dxa"/>
            <w:tcBorders>
              <w:top w:val="single" w:sz="4" w:space="0" w:color="auto"/>
              <w:left w:val="single" w:sz="4" w:space="0" w:color="auto"/>
              <w:bottom w:val="single" w:sz="4" w:space="0" w:color="auto"/>
              <w:right w:val="single" w:sz="4" w:space="0" w:color="auto"/>
            </w:tcBorders>
            <w:shd w:val="clear" w:color="auto" w:fill="EEECE1"/>
          </w:tcPr>
          <w:p w:rsidR="008A67B2" w:rsidRPr="00B936FA" w:rsidRDefault="008A67B2">
            <w:pPr>
              <w:jc w:val="center"/>
              <w:rPr>
                <w:rFonts w:ascii="Arial" w:hAnsi="Arial" w:cs="Arial"/>
                <w:color w:val="000000"/>
                <w:sz w:val="18"/>
                <w:szCs w:val="18"/>
              </w:rPr>
            </w:pPr>
          </w:p>
        </w:tc>
      </w:tr>
      <w:tr w:rsidR="008A67B2" w:rsidRPr="00B936FA" w:rsidTr="008A67B2">
        <w:trPr>
          <w:trHeight w:val="306"/>
          <w:jc w:val="center"/>
        </w:trPr>
        <w:tc>
          <w:tcPr>
            <w:tcW w:w="2953" w:type="dxa"/>
            <w:gridSpan w:val="2"/>
            <w:tcBorders>
              <w:top w:val="single" w:sz="4" w:space="0" w:color="auto"/>
              <w:left w:val="single" w:sz="4" w:space="0" w:color="auto"/>
              <w:bottom w:val="single" w:sz="4" w:space="0" w:color="auto"/>
              <w:right w:val="single" w:sz="4" w:space="0" w:color="auto"/>
            </w:tcBorders>
            <w:noWrap/>
            <w:vAlign w:val="center"/>
            <w:hideMark/>
          </w:tcPr>
          <w:p w:rsidR="008A67B2" w:rsidRPr="00B936FA" w:rsidRDefault="008A67B2">
            <w:pPr>
              <w:jc w:val="both"/>
              <w:rPr>
                <w:rFonts w:ascii="Arial" w:hAnsi="Arial" w:cs="Arial"/>
                <w:color w:val="000000"/>
                <w:sz w:val="18"/>
                <w:szCs w:val="18"/>
                <w:lang w:val="es-CO" w:eastAsia="es-CO"/>
              </w:rPr>
            </w:pPr>
            <w:r w:rsidRPr="00B936FA">
              <w:rPr>
                <w:rFonts w:ascii="Arial" w:hAnsi="Arial" w:cs="Arial"/>
                <w:color w:val="000000"/>
                <w:sz w:val="18"/>
                <w:szCs w:val="18"/>
                <w:lang w:val="es-CO" w:eastAsia="es-CO"/>
              </w:rPr>
              <w:t>ASEGURAMIENTO / DANE</w:t>
            </w:r>
          </w:p>
        </w:tc>
        <w:tc>
          <w:tcPr>
            <w:tcW w:w="2107" w:type="dxa"/>
            <w:tcBorders>
              <w:top w:val="single" w:sz="4" w:space="0" w:color="auto"/>
              <w:left w:val="single" w:sz="4" w:space="0" w:color="auto"/>
              <w:bottom w:val="single" w:sz="4" w:space="0" w:color="auto"/>
              <w:right w:val="single" w:sz="4" w:space="0" w:color="auto"/>
            </w:tcBorders>
            <w:noWrap/>
            <w:vAlign w:val="center"/>
            <w:hideMark/>
          </w:tcPr>
          <w:p w:rsidR="008A67B2" w:rsidRPr="00B936FA" w:rsidRDefault="008A67B2">
            <w:pPr>
              <w:jc w:val="center"/>
              <w:rPr>
                <w:rFonts w:ascii="Arial" w:hAnsi="Arial" w:cs="Arial"/>
                <w:b/>
                <w:bCs/>
                <w:color w:val="000000"/>
                <w:sz w:val="18"/>
                <w:szCs w:val="18"/>
                <w:lang w:val="es-CO" w:eastAsia="es-CO"/>
              </w:rPr>
            </w:pPr>
            <w:r w:rsidRPr="00B936FA">
              <w:rPr>
                <w:rFonts w:ascii="Arial" w:hAnsi="Arial" w:cs="Arial"/>
                <w:b/>
                <w:bCs/>
                <w:color w:val="000000"/>
                <w:sz w:val="18"/>
                <w:szCs w:val="18"/>
                <w:lang w:val="es-CO" w:eastAsia="es-CO"/>
              </w:rPr>
              <w:t>100%</w:t>
            </w:r>
          </w:p>
        </w:tc>
        <w:tc>
          <w:tcPr>
            <w:tcW w:w="2087" w:type="dxa"/>
            <w:tcBorders>
              <w:top w:val="single" w:sz="4" w:space="0" w:color="auto"/>
              <w:left w:val="single" w:sz="4" w:space="0" w:color="auto"/>
              <w:bottom w:val="single" w:sz="4" w:space="0" w:color="auto"/>
              <w:right w:val="single" w:sz="4" w:space="0" w:color="auto"/>
            </w:tcBorders>
            <w:hideMark/>
          </w:tcPr>
          <w:p w:rsidR="008A67B2" w:rsidRPr="00B936FA" w:rsidRDefault="008A67B2">
            <w:pPr>
              <w:jc w:val="center"/>
              <w:rPr>
                <w:rFonts w:ascii="Arial" w:hAnsi="Arial" w:cs="Arial"/>
                <w:b/>
                <w:bCs/>
                <w:color w:val="000000"/>
                <w:sz w:val="18"/>
                <w:szCs w:val="18"/>
                <w:lang w:val="es-CO" w:eastAsia="es-CO"/>
              </w:rPr>
            </w:pPr>
            <w:r w:rsidRPr="00B936FA">
              <w:rPr>
                <w:rFonts w:ascii="Arial" w:hAnsi="Arial" w:cs="Arial"/>
                <w:b/>
                <w:bCs/>
                <w:color w:val="000000"/>
                <w:sz w:val="18"/>
                <w:szCs w:val="18"/>
                <w:lang w:val="es-CO" w:eastAsia="es-CO"/>
              </w:rPr>
              <w:t>100%</w:t>
            </w:r>
          </w:p>
        </w:tc>
        <w:tc>
          <w:tcPr>
            <w:tcW w:w="1127" w:type="dxa"/>
            <w:tcBorders>
              <w:top w:val="single" w:sz="4" w:space="0" w:color="auto"/>
              <w:left w:val="single" w:sz="4" w:space="0" w:color="auto"/>
              <w:bottom w:val="single" w:sz="4" w:space="0" w:color="auto"/>
              <w:right w:val="single" w:sz="4" w:space="0" w:color="auto"/>
            </w:tcBorders>
            <w:noWrap/>
            <w:vAlign w:val="bottom"/>
            <w:hideMark/>
          </w:tcPr>
          <w:p w:rsidR="008A67B2" w:rsidRPr="00B936FA" w:rsidRDefault="008A67B2">
            <w:pPr>
              <w:jc w:val="center"/>
              <w:rPr>
                <w:rFonts w:ascii="Arial" w:hAnsi="Arial" w:cs="Arial"/>
                <w:b/>
                <w:bCs/>
                <w:color w:val="000000"/>
                <w:sz w:val="18"/>
                <w:szCs w:val="18"/>
                <w:lang w:val="es-CO" w:eastAsia="es-CO"/>
              </w:rPr>
            </w:pPr>
            <w:r w:rsidRPr="00B936FA">
              <w:rPr>
                <w:rFonts w:ascii="Arial" w:hAnsi="Arial" w:cs="Arial"/>
                <w:color w:val="000000"/>
                <w:sz w:val="18"/>
                <w:szCs w:val="18"/>
              </w:rPr>
              <w:t>100%</w:t>
            </w:r>
          </w:p>
        </w:tc>
        <w:tc>
          <w:tcPr>
            <w:tcW w:w="564" w:type="dxa"/>
            <w:tcBorders>
              <w:top w:val="single" w:sz="4" w:space="0" w:color="auto"/>
              <w:left w:val="single" w:sz="4" w:space="0" w:color="auto"/>
              <w:bottom w:val="single" w:sz="4" w:space="0" w:color="auto"/>
              <w:right w:val="single" w:sz="4" w:space="0" w:color="auto"/>
            </w:tcBorders>
          </w:tcPr>
          <w:p w:rsidR="008A67B2" w:rsidRPr="00B936FA" w:rsidRDefault="008A67B2">
            <w:pPr>
              <w:jc w:val="center"/>
              <w:rPr>
                <w:rFonts w:ascii="Arial" w:hAnsi="Arial" w:cs="Arial"/>
                <w:color w:val="000000"/>
                <w:sz w:val="18"/>
                <w:szCs w:val="18"/>
              </w:rPr>
            </w:pPr>
          </w:p>
        </w:tc>
      </w:tr>
    </w:tbl>
    <w:p w:rsidR="008A67B2" w:rsidRPr="00785AE1" w:rsidRDefault="008A67B2" w:rsidP="00B936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color w:val="000000"/>
          <w:sz w:val="18"/>
          <w:szCs w:val="18"/>
          <w:lang w:val="es-CO" w:eastAsia="en-US"/>
        </w:rPr>
      </w:pPr>
      <w:r w:rsidRPr="00785AE1">
        <w:rPr>
          <w:rFonts w:ascii="Arial" w:eastAsia="ヒラギノ角ゴ Pro W3" w:hAnsi="Arial" w:cs="Arial"/>
          <w:color w:val="000000"/>
          <w:sz w:val="18"/>
          <w:szCs w:val="18"/>
          <w:lang w:val="es-CO" w:eastAsia="en-US"/>
        </w:rPr>
        <w:t>Fuente: SISPRO- Aseguramiento- Afiliaciones en Salud</w:t>
      </w:r>
    </w:p>
    <w:p w:rsidR="008A67B2" w:rsidRPr="00785AE1" w:rsidRDefault="008A67B2" w:rsidP="008A67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18"/>
          <w:szCs w:val="18"/>
          <w:lang w:val="es-CO" w:eastAsia="en-US"/>
        </w:rPr>
      </w:pPr>
    </w:p>
    <w:p w:rsidR="008A67B2" w:rsidRPr="008A67B2" w:rsidRDefault="008A67B2" w:rsidP="008A67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val="es-CO" w:eastAsia="en-US"/>
        </w:rPr>
      </w:pPr>
      <w:r w:rsidRPr="008A67B2">
        <w:rPr>
          <w:rFonts w:ascii="Arial" w:eastAsia="ヒラギノ角ゴ Pro W3" w:hAnsi="Arial" w:cs="Arial"/>
          <w:color w:val="000000"/>
          <w:sz w:val="22"/>
          <w:szCs w:val="22"/>
          <w:lang w:val="es-CO" w:eastAsia="en-US"/>
        </w:rPr>
        <w:t>Según la información del DANE el Departamento de Bolívar tiene para la vigencia 2020, 2.155.648 habitantes.</w:t>
      </w:r>
      <w:r w:rsidR="004E77EA">
        <w:rPr>
          <w:rFonts w:ascii="Arial" w:eastAsia="ヒラギノ角ゴ Pro W3" w:hAnsi="Arial" w:cs="Arial"/>
          <w:color w:val="000000"/>
          <w:sz w:val="22"/>
          <w:szCs w:val="22"/>
          <w:lang w:val="es-CO" w:eastAsia="en-US"/>
        </w:rPr>
        <w:t xml:space="preserve"> </w:t>
      </w:r>
      <w:r w:rsidRPr="008A67B2">
        <w:rPr>
          <w:rFonts w:ascii="Arial" w:eastAsia="ヒラギノ角ゴ Pro W3" w:hAnsi="Arial" w:cs="Arial"/>
          <w:color w:val="000000"/>
          <w:sz w:val="22"/>
          <w:szCs w:val="22"/>
          <w:lang w:val="es-CO" w:eastAsia="en-US"/>
        </w:rPr>
        <w:t xml:space="preserve">De éstos, el 48% habitan en Cartagena de Indias, distribuidos en </w:t>
      </w:r>
      <w:r w:rsidRPr="008A67B2">
        <w:rPr>
          <w:rFonts w:ascii="Arial" w:hAnsi="Arial" w:cs="Arial"/>
          <w:sz w:val="22"/>
          <w:szCs w:val="22"/>
          <w:lang w:val="es-MX"/>
        </w:rPr>
        <w:t>tres localidades: Localidad Histórica y del Caribe Norte, la más poblada; de la Virgen y Turística, y la Industrial de la Bahía.</w:t>
      </w:r>
      <w:r w:rsidR="004E77EA">
        <w:rPr>
          <w:rFonts w:ascii="Arial" w:hAnsi="Arial" w:cs="Arial"/>
          <w:sz w:val="22"/>
          <w:szCs w:val="22"/>
          <w:lang w:val="es-MX"/>
        </w:rPr>
        <w:t xml:space="preserve"> </w:t>
      </w:r>
    </w:p>
    <w:p w:rsidR="008A67B2" w:rsidRPr="008A67B2" w:rsidRDefault="008A67B2" w:rsidP="008A67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val="es-CO" w:eastAsia="en-US"/>
        </w:rPr>
      </w:pPr>
    </w:p>
    <w:p w:rsidR="008A67B2" w:rsidRPr="008A67B2" w:rsidRDefault="008A67B2" w:rsidP="008A67B2">
      <w:pPr>
        <w:jc w:val="both"/>
        <w:rPr>
          <w:rFonts w:ascii="Arial" w:hAnsi="Arial" w:cs="Arial"/>
          <w:sz w:val="22"/>
          <w:szCs w:val="22"/>
        </w:rPr>
      </w:pPr>
      <w:r w:rsidRPr="008A67B2">
        <w:rPr>
          <w:rFonts w:ascii="Arial" w:eastAsia="ヒラギノ角ゴ Pro W3" w:hAnsi="Arial" w:cs="Arial"/>
          <w:color w:val="000000"/>
          <w:sz w:val="22"/>
          <w:szCs w:val="22"/>
          <w:lang w:val="es-CO" w:eastAsia="en-US"/>
        </w:rPr>
        <w:t>Respecto al total de la población afiliada a diciembre de 2020 en el Distrito de Cartagena, el 50% corresponde a población asegurada en el régimen subsidiado, 49% a población con capacidad de pago asegurada en el régimen contributivo, el 1% a población asegurada en el régimen de excepción.</w:t>
      </w:r>
      <w:r w:rsidR="004E77EA">
        <w:rPr>
          <w:rFonts w:ascii="Arial" w:eastAsia="ヒラギノ角ゴ Pro W3" w:hAnsi="Arial" w:cs="Arial"/>
          <w:color w:val="000000"/>
          <w:sz w:val="22"/>
          <w:szCs w:val="22"/>
          <w:lang w:val="es-CO" w:eastAsia="en-US"/>
        </w:rPr>
        <w:t xml:space="preserve"> </w:t>
      </w:r>
      <w:r w:rsidRPr="008A67B2">
        <w:rPr>
          <w:rFonts w:ascii="Arial" w:eastAsia="ヒラギノ角ゴ Pro W3" w:hAnsi="Arial" w:cs="Arial"/>
          <w:color w:val="000000"/>
          <w:sz w:val="22"/>
          <w:szCs w:val="22"/>
          <w:lang w:val="es-CO" w:eastAsia="en-US"/>
        </w:rPr>
        <w:t xml:space="preserve">Frente al año anterior, se observa un incremento del 5% en la afiliación al régimen subsidiado </w:t>
      </w:r>
      <w:r w:rsidRPr="008A67B2">
        <w:rPr>
          <w:rFonts w:ascii="Arial" w:hAnsi="Arial" w:cs="Arial"/>
          <w:sz w:val="22"/>
          <w:szCs w:val="22"/>
        </w:rPr>
        <w:t>(más de 28.000 nuevos afiliados)</w:t>
      </w:r>
    </w:p>
    <w:p w:rsidR="00785AE1" w:rsidRDefault="00785AE1" w:rsidP="008A67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2"/>
          <w:szCs w:val="22"/>
        </w:rPr>
      </w:pPr>
    </w:p>
    <w:p w:rsidR="008A67B2" w:rsidRPr="008A67B2" w:rsidRDefault="008A67B2" w:rsidP="008A67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val="es-CO" w:eastAsia="en-US"/>
        </w:rPr>
      </w:pPr>
      <w:r w:rsidRPr="008A67B2">
        <w:rPr>
          <w:rFonts w:ascii="Arial" w:hAnsi="Arial" w:cs="Arial"/>
          <w:sz w:val="22"/>
          <w:szCs w:val="22"/>
          <w:lang w:val="es-CO"/>
        </w:rPr>
        <w:t>Cartagena es un Distrito y por tanto gestiona servicios de salud dirigidos a la población pobre no cubierta con subsidios a la demanda en todos los niveles de atención y financia las acciones no incluidas en el Plan de Beneficios por servicios prestados hasta el año 2019, luego de las reformas en las competencias en salud definidas en la Ley 1955 de 2019, mediante la cual se expidió el Plan Nacional de Desarrollo 2018 – 2022, Pacto por Colombia Pacto por la Equidad.</w:t>
      </w:r>
    </w:p>
    <w:p w:rsidR="008A67B2" w:rsidRPr="008A67B2" w:rsidRDefault="008A67B2" w:rsidP="008A67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val="es-CO" w:eastAsia="en-US"/>
        </w:rPr>
      </w:pPr>
    </w:p>
    <w:p w:rsidR="008A67B2" w:rsidRPr="008A67B2" w:rsidRDefault="00785AE1" w:rsidP="008A67B2">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contextualSpacing/>
        <w:jc w:val="both"/>
        <w:rPr>
          <w:rFonts w:ascii="Arial" w:eastAsia="ヒラギノ角ゴ Pro W3" w:hAnsi="Arial" w:cs="Arial"/>
          <w:color w:val="000000"/>
          <w:sz w:val="22"/>
          <w:szCs w:val="22"/>
          <w:lang w:val="es-CO" w:eastAsia="en-US"/>
        </w:rPr>
      </w:pPr>
      <w:r>
        <w:rPr>
          <w:rFonts w:ascii="Arial" w:eastAsia="Times New Roman" w:hAnsi="Arial" w:cs="Arial"/>
          <w:b/>
          <w:sz w:val="22"/>
          <w:szCs w:val="22"/>
          <w:lang w:val="es-CO" w:eastAsia="en-US"/>
        </w:rPr>
        <w:t>Red Pública de Prestadores</w:t>
      </w:r>
    </w:p>
    <w:p w:rsidR="008A67B2" w:rsidRPr="008A67B2" w:rsidRDefault="008A67B2" w:rsidP="008A67B2">
      <w:pPr>
        <w:jc w:val="both"/>
        <w:rPr>
          <w:rFonts w:ascii="Arial" w:eastAsia="Times New Roman" w:hAnsi="Arial" w:cs="Arial"/>
          <w:sz w:val="22"/>
          <w:szCs w:val="22"/>
          <w:lang w:val="es-CO" w:eastAsia="en-US"/>
        </w:rPr>
      </w:pPr>
    </w:p>
    <w:p w:rsidR="008A67B2" w:rsidRPr="008A67B2" w:rsidRDefault="008A67B2" w:rsidP="008A67B2">
      <w:pPr>
        <w:jc w:val="both"/>
        <w:rPr>
          <w:rFonts w:ascii="Arial" w:hAnsi="Arial" w:cs="Arial"/>
          <w:sz w:val="22"/>
          <w:szCs w:val="22"/>
        </w:rPr>
      </w:pPr>
      <w:r w:rsidRPr="008A67B2">
        <w:rPr>
          <w:rFonts w:ascii="Arial" w:eastAsia="Times New Roman" w:hAnsi="Arial" w:cs="Arial"/>
          <w:sz w:val="22"/>
          <w:szCs w:val="22"/>
          <w:lang w:val="es-CO" w:eastAsia="en-US"/>
        </w:rPr>
        <w:t>La red de prestadores se encuentra constituida por 1 entidad descentralizada y prestadora de servicios de salud denominada ESE Hospital Local Cartagena de Indias.</w:t>
      </w:r>
      <w:r w:rsidR="004E77EA">
        <w:rPr>
          <w:rFonts w:ascii="Arial" w:eastAsia="Times New Roman" w:hAnsi="Arial" w:cs="Arial"/>
          <w:sz w:val="22"/>
          <w:szCs w:val="22"/>
          <w:lang w:val="es-CO" w:eastAsia="en-US"/>
        </w:rPr>
        <w:t xml:space="preserve"> </w:t>
      </w:r>
      <w:r w:rsidRPr="008A67B2">
        <w:rPr>
          <w:rFonts w:ascii="Arial" w:eastAsia="Times New Roman" w:hAnsi="Arial" w:cs="Arial"/>
          <w:sz w:val="22"/>
          <w:szCs w:val="22"/>
        </w:rPr>
        <w:t xml:space="preserve">El último documento de reorganización, rediseño y modernización de la red pública de prestadores del servicio de salud del </w:t>
      </w:r>
      <w:r w:rsidR="008356D8">
        <w:rPr>
          <w:rFonts w:ascii="Arial" w:eastAsia="Times New Roman" w:hAnsi="Arial" w:cs="Arial"/>
          <w:sz w:val="22"/>
          <w:szCs w:val="22"/>
        </w:rPr>
        <w:t>D</w:t>
      </w:r>
      <w:r w:rsidR="008356D8" w:rsidRPr="008A67B2">
        <w:rPr>
          <w:rFonts w:ascii="Arial" w:eastAsia="Times New Roman" w:hAnsi="Arial" w:cs="Arial"/>
          <w:sz w:val="22"/>
          <w:szCs w:val="22"/>
        </w:rPr>
        <w:t>istrito</w:t>
      </w:r>
      <w:r w:rsidR="008356D8">
        <w:rPr>
          <w:rFonts w:ascii="Arial" w:eastAsia="Times New Roman" w:hAnsi="Arial" w:cs="Arial"/>
          <w:sz w:val="22"/>
          <w:szCs w:val="22"/>
        </w:rPr>
        <w:t>,</w:t>
      </w:r>
      <w:r w:rsidRPr="008A67B2">
        <w:rPr>
          <w:rFonts w:ascii="Arial" w:eastAsia="Times New Roman" w:hAnsi="Arial" w:cs="Arial"/>
          <w:sz w:val="22"/>
          <w:szCs w:val="22"/>
        </w:rPr>
        <w:t xml:space="preserve"> fue viabilizado y </w:t>
      </w:r>
      <w:r w:rsidRPr="008A67B2">
        <w:rPr>
          <w:rFonts w:ascii="Arial" w:hAnsi="Arial" w:cs="Arial"/>
          <w:sz w:val="22"/>
          <w:szCs w:val="22"/>
        </w:rPr>
        <w:t>aprobado por el Ministerio de Salud y Protección Social según comunicación Radicado No. 201423100931011 del 27 de junio de 2014.</w:t>
      </w:r>
    </w:p>
    <w:p w:rsidR="008A67B2" w:rsidRPr="008A67B2" w:rsidRDefault="008A67B2" w:rsidP="008A67B2">
      <w:pPr>
        <w:jc w:val="both"/>
        <w:rPr>
          <w:rFonts w:ascii="Arial" w:eastAsia="Times New Roman" w:hAnsi="Arial" w:cs="Arial"/>
          <w:sz w:val="22"/>
          <w:szCs w:val="22"/>
          <w:lang w:eastAsia="en-US"/>
        </w:rPr>
      </w:pPr>
    </w:p>
    <w:p w:rsidR="008A67B2" w:rsidRPr="008A67B2" w:rsidRDefault="008A67B2" w:rsidP="008A67B2">
      <w:pPr>
        <w:jc w:val="both"/>
        <w:rPr>
          <w:rFonts w:ascii="Arial" w:eastAsia="Calibri" w:hAnsi="Arial" w:cs="Arial"/>
          <w:sz w:val="22"/>
          <w:szCs w:val="22"/>
          <w:lang w:val="es-CO" w:eastAsia="en-US"/>
        </w:rPr>
      </w:pPr>
      <w:r w:rsidRPr="008A67B2">
        <w:rPr>
          <w:rFonts w:ascii="Arial" w:eastAsia="Times New Roman" w:hAnsi="Arial" w:cs="Arial"/>
          <w:sz w:val="22"/>
          <w:szCs w:val="22"/>
          <w:lang w:val="es-CO" w:eastAsia="en-US"/>
        </w:rPr>
        <w:t>La ESE Hospital Local Cartagena de Indias, fue reportada en riesgo alto o medio por el MSPS, según Resolución 1755 de 2017, razón por la cual presentó durante 2017 su Programa de Saneamiento Fiscal y Financiero para análisis de viabilidad por parte de la Dirección de Apoyo Fiscal del Ministerio de Hacienda y Crédito Público.</w:t>
      </w:r>
      <w:r w:rsidRPr="008A67B2">
        <w:rPr>
          <w:rFonts w:ascii="Arial" w:eastAsia="Calibri" w:hAnsi="Arial" w:cs="Arial"/>
          <w:sz w:val="22"/>
          <w:szCs w:val="22"/>
          <w:lang w:val="es-CO" w:eastAsia="en-US"/>
        </w:rPr>
        <w:t xml:space="preserve"> Este programa fue viabilizado y se encuentra actualmente en ejecución.</w:t>
      </w:r>
    </w:p>
    <w:p w:rsidR="008A67B2" w:rsidRPr="008A67B2" w:rsidRDefault="008A67B2" w:rsidP="008A67B2">
      <w:pPr>
        <w:jc w:val="both"/>
        <w:rPr>
          <w:rFonts w:ascii="Arial" w:eastAsia="Times New Roman" w:hAnsi="Arial" w:cs="Arial"/>
          <w:sz w:val="22"/>
          <w:szCs w:val="22"/>
          <w:lang w:val="es-CO" w:eastAsia="en-US"/>
        </w:rPr>
      </w:pPr>
    </w:p>
    <w:p w:rsidR="008A67B2" w:rsidRPr="008A67B2" w:rsidRDefault="008A67B2" w:rsidP="008A67B2">
      <w:pPr>
        <w:jc w:val="both"/>
        <w:rPr>
          <w:rFonts w:ascii="Arial" w:hAnsi="Arial" w:cs="Arial"/>
          <w:sz w:val="22"/>
          <w:szCs w:val="22"/>
          <w:lang w:val="es-CO"/>
        </w:rPr>
      </w:pPr>
      <w:r w:rsidRPr="008A67B2">
        <w:rPr>
          <w:rFonts w:ascii="Arial" w:hAnsi="Arial" w:cs="Arial"/>
          <w:sz w:val="22"/>
          <w:szCs w:val="22"/>
          <w:lang w:val="es-CO"/>
        </w:rPr>
        <w:t>A continuación, se presentan los resultados financieros arrojados al cierre de las vigencias 2019 y 2020 por la red pública prestadora de servicios de salud:</w:t>
      </w:r>
      <w:r w:rsidR="004E77EA">
        <w:rPr>
          <w:rFonts w:ascii="Arial" w:hAnsi="Arial" w:cs="Arial"/>
          <w:sz w:val="22"/>
          <w:szCs w:val="22"/>
          <w:lang w:val="es-CO"/>
        </w:rPr>
        <w:t xml:space="preserve"> </w:t>
      </w:r>
    </w:p>
    <w:p w:rsidR="008A67B2" w:rsidRPr="008A67B2" w:rsidRDefault="008A67B2" w:rsidP="008A67B2">
      <w:pPr>
        <w:jc w:val="both"/>
        <w:rPr>
          <w:rFonts w:ascii="Arial" w:hAnsi="Arial" w:cs="Arial"/>
          <w:sz w:val="22"/>
          <w:szCs w:val="22"/>
          <w:lang w:val="es-CO"/>
        </w:rPr>
      </w:pPr>
    </w:p>
    <w:p w:rsidR="008A67B2" w:rsidRPr="008A67B2" w:rsidRDefault="008A67B2" w:rsidP="008A67B2">
      <w:pPr>
        <w:jc w:val="center"/>
        <w:rPr>
          <w:rFonts w:ascii="Arial" w:hAnsi="Arial" w:cs="Arial"/>
          <w:sz w:val="22"/>
          <w:szCs w:val="22"/>
          <w:lang w:val="es-CO"/>
        </w:rPr>
      </w:pPr>
      <w:r w:rsidRPr="008A67B2">
        <w:rPr>
          <w:rFonts w:ascii="Arial" w:hAnsi="Arial" w:cs="Arial"/>
          <w:sz w:val="22"/>
          <w:szCs w:val="22"/>
          <w:lang w:val="es-CO"/>
        </w:rPr>
        <w:t>Tabla Nro. 1</w:t>
      </w:r>
    </w:p>
    <w:tbl>
      <w:tblPr>
        <w:tblW w:w="9530" w:type="dxa"/>
        <w:jc w:val="center"/>
        <w:tblCellMar>
          <w:left w:w="70" w:type="dxa"/>
          <w:right w:w="70" w:type="dxa"/>
        </w:tblCellMar>
        <w:tblLook w:val="04A0" w:firstRow="1" w:lastRow="0" w:firstColumn="1" w:lastColumn="0" w:noHBand="0" w:noVBand="1"/>
      </w:tblPr>
      <w:tblGrid>
        <w:gridCol w:w="1010"/>
        <w:gridCol w:w="1297"/>
        <w:gridCol w:w="1903"/>
        <w:gridCol w:w="1474"/>
        <w:gridCol w:w="1549"/>
        <w:gridCol w:w="1006"/>
        <w:gridCol w:w="1291"/>
      </w:tblGrid>
      <w:tr w:rsidR="008A67B2" w:rsidRPr="008356D8" w:rsidTr="00785AE1">
        <w:trPr>
          <w:trHeight w:val="258"/>
          <w:jc w:val="center"/>
        </w:trPr>
        <w:tc>
          <w:tcPr>
            <w:tcW w:w="9530" w:type="dxa"/>
            <w:gridSpan w:val="7"/>
            <w:tcBorders>
              <w:top w:val="single" w:sz="4" w:space="0" w:color="auto"/>
              <w:left w:val="nil"/>
              <w:bottom w:val="single" w:sz="4" w:space="0" w:color="auto"/>
              <w:right w:val="nil"/>
            </w:tcBorders>
            <w:noWrap/>
            <w:vAlign w:val="center"/>
            <w:hideMark/>
          </w:tcPr>
          <w:p w:rsidR="008A67B2" w:rsidRPr="008356D8" w:rsidRDefault="008A67B2">
            <w:pPr>
              <w:jc w:val="center"/>
              <w:rPr>
                <w:rFonts w:ascii="Arial" w:hAnsi="Arial" w:cs="Arial"/>
                <w:b/>
                <w:bCs/>
                <w:color w:val="000000"/>
                <w:sz w:val="18"/>
                <w:szCs w:val="18"/>
                <w:lang w:val="es-CO" w:eastAsia="es-CO"/>
              </w:rPr>
            </w:pPr>
            <w:r w:rsidRPr="008356D8">
              <w:rPr>
                <w:rFonts w:ascii="Arial" w:hAnsi="Arial" w:cs="Arial"/>
                <w:b/>
                <w:bCs/>
                <w:color w:val="000000"/>
                <w:sz w:val="18"/>
                <w:szCs w:val="18"/>
                <w:lang w:val="es-CO" w:eastAsia="es-CO"/>
              </w:rPr>
              <w:t>SITUACIÓN FINANCIERA RED PÚBLICA DE PRESTADORES</w:t>
            </w:r>
          </w:p>
        </w:tc>
      </w:tr>
      <w:tr w:rsidR="008A67B2" w:rsidRPr="008356D8" w:rsidTr="00785AE1">
        <w:trPr>
          <w:trHeight w:val="141"/>
          <w:jc w:val="center"/>
        </w:trPr>
        <w:tc>
          <w:tcPr>
            <w:tcW w:w="1010" w:type="dxa"/>
            <w:noWrap/>
            <w:vAlign w:val="center"/>
            <w:hideMark/>
          </w:tcPr>
          <w:p w:rsidR="008A67B2" w:rsidRPr="008356D8" w:rsidRDefault="008A67B2">
            <w:pPr>
              <w:rPr>
                <w:rFonts w:ascii="Arial" w:hAnsi="Arial" w:cs="Arial"/>
                <w:b/>
                <w:bCs/>
                <w:color w:val="000000"/>
                <w:sz w:val="18"/>
                <w:szCs w:val="18"/>
                <w:lang w:val="es-CO" w:eastAsia="es-CO"/>
              </w:rPr>
            </w:pPr>
          </w:p>
        </w:tc>
        <w:tc>
          <w:tcPr>
            <w:tcW w:w="1297" w:type="dxa"/>
            <w:noWrap/>
            <w:vAlign w:val="center"/>
            <w:hideMark/>
          </w:tcPr>
          <w:p w:rsidR="008A67B2" w:rsidRPr="008356D8" w:rsidRDefault="008A67B2">
            <w:pPr>
              <w:rPr>
                <w:rFonts w:asciiTheme="minorHAnsi" w:eastAsiaTheme="minorHAnsi" w:hAnsiTheme="minorHAnsi" w:cstheme="minorBidi"/>
                <w:sz w:val="18"/>
                <w:szCs w:val="18"/>
                <w:lang w:val="es-CO" w:eastAsia="es-CO"/>
              </w:rPr>
            </w:pPr>
          </w:p>
        </w:tc>
        <w:tc>
          <w:tcPr>
            <w:tcW w:w="1903" w:type="dxa"/>
            <w:noWrap/>
            <w:vAlign w:val="center"/>
            <w:hideMark/>
          </w:tcPr>
          <w:p w:rsidR="008A67B2" w:rsidRPr="008356D8" w:rsidRDefault="008A67B2">
            <w:pPr>
              <w:rPr>
                <w:rFonts w:asciiTheme="minorHAnsi" w:eastAsiaTheme="minorHAnsi" w:hAnsiTheme="minorHAnsi" w:cstheme="minorBidi"/>
                <w:sz w:val="18"/>
                <w:szCs w:val="18"/>
                <w:lang w:val="es-CO" w:eastAsia="es-CO"/>
              </w:rPr>
            </w:pPr>
          </w:p>
        </w:tc>
        <w:tc>
          <w:tcPr>
            <w:tcW w:w="1474" w:type="dxa"/>
            <w:noWrap/>
            <w:vAlign w:val="center"/>
            <w:hideMark/>
          </w:tcPr>
          <w:p w:rsidR="008A67B2" w:rsidRPr="008356D8" w:rsidRDefault="008A67B2">
            <w:pPr>
              <w:rPr>
                <w:rFonts w:asciiTheme="minorHAnsi" w:eastAsiaTheme="minorHAnsi" w:hAnsiTheme="minorHAnsi" w:cstheme="minorBidi"/>
                <w:sz w:val="18"/>
                <w:szCs w:val="18"/>
                <w:lang w:val="es-CO" w:eastAsia="es-CO"/>
              </w:rPr>
            </w:pPr>
          </w:p>
        </w:tc>
        <w:tc>
          <w:tcPr>
            <w:tcW w:w="1549" w:type="dxa"/>
            <w:noWrap/>
            <w:vAlign w:val="center"/>
            <w:hideMark/>
          </w:tcPr>
          <w:p w:rsidR="008A67B2" w:rsidRPr="008356D8" w:rsidRDefault="008A67B2">
            <w:pPr>
              <w:rPr>
                <w:rFonts w:asciiTheme="minorHAnsi" w:eastAsiaTheme="minorHAnsi" w:hAnsiTheme="minorHAnsi" w:cstheme="minorBidi"/>
                <w:sz w:val="18"/>
                <w:szCs w:val="18"/>
                <w:lang w:val="es-CO" w:eastAsia="es-CO"/>
              </w:rPr>
            </w:pPr>
          </w:p>
        </w:tc>
        <w:tc>
          <w:tcPr>
            <w:tcW w:w="1006" w:type="dxa"/>
            <w:noWrap/>
            <w:vAlign w:val="center"/>
            <w:hideMark/>
          </w:tcPr>
          <w:p w:rsidR="008A67B2" w:rsidRPr="008356D8" w:rsidRDefault="008A67B2">
            <w:pPr>
              <w:rPr>
                <w:rFonts w:asciiTheme="minorHAnsi" w:eastAsiaTheme="minorHAnsi" w:hAnsiTheme="minorHAnsi" w:cstheme="minorBidi"/>
                <w:sz w:val="18"/>
                <w:szCs w:val="18"/>
                <w:lang w:val="es-CO" w:eastAsia="es-CO"/>
              </w:rPr>
            </w:pPr>
          </w:p>
        </w:tc>
        <w:tc>
          <w:tcPr>
            <w:tcW w:w="1287" w:type="dxa"/>
            <w:noWrap/>
            <w:vAlign w:val="center"/>
            <w:hideMark/>
          </w:tcPr>
          <w:p w:rsidR="008A67B2" w:rsidRPr="008356D8" w:rsidRDefault="008A67B2">
            <w:pPr>
              <w:rPr>
                <w:rFonts w:asciiTheme="minorHAnsi" w:eastAsiaTheme="minorHAnsi" w:hAnsiTheme="minorHAnsi" w:cstheme="minorBidi"/>
                <w:sz w:val="18"/>
                <w:szCs w:val="18"/>
                <w:lang w:val="es-CO" w:eastAsia="es-CO"/>
              </w:rPr>
            </w:pPr>
          </w:p>
        </w:tc>
      </w:tr>
      <w:tr w:rsidR="008A67B2" w:rsidRPr="008356D8" w:rsidTr="00785AE1">
        <w:trPr>
          <w:trHeight w:val="414"/>
          <w:jc w:val="center"/>
        </w:trPr>
        <w:tc>
          <w:tcPr>
            <w:tcW w:w="1010" w:type="dxa"/>
            <w:tcBorders>
              <w:top w:val="single" w:sz="4" w:space="0" w:color="auto"/>
              <w:left w:val="single" w:sz="4" w:space="0" w:color="auto"/>
              <w:bottom w:val="single" w:sz="4" w:space="0" w:color="auto"/>
              <w:right w:val="single" w:sz="4" w:space="0" w:color="auto"/>
            </w:tcBorders>
            <w:shd w:val="clear" w:color="auto" w:fill="494529"/>
            <w:vAlign w:val="center"/>
            <w:hideMark/>
          </w:tcPr>
          <w:p w:rsidR="008A67B2" w:rsidRPr="008356D8" w:rsidRDefault="008A67B2">
            <w:pPr>
              <w:jc w:val="center"/>
              <w:rPr>
                <w:rFonts w:ascii="Arial" w:hAnsi="Arial" w:cs="Arial"/>
                <w:b/>
                <w:bCs/>
                <w:color w:val="FFFFFF"/>
                <w:sz w:val="18"/>
                <w:szCs w:val="18"/>
                <w:lang w:val="es-CO" w:eastAsia="es-CO"/>
              </w:rPr>
            </w:pPr>
            <w:r w:rsidRPr="008356D8">
              <w:rPr>
                <w:rFonts w:ascii="Arial" w:hAnsi="Arial" w:cs="Arial"/>
                <w:b/>
                <w:bCs/>
                <w:color w:val="FFFFFF"/>
                <w:sz w:val="18"/>
                <w:szCs w:val="18"/>
                <w:lang w:val="es-CO" w:eastAsia="es-CO"/>
              </w:rPr>
              <w:t>NIVEL</w:t>
            </w:r>
          </w:p>
        </w:tc>
        <w:tc>
          <w:tcPr>
            <w:tcW w:w="1297" w:type="dxa"/>
            <w:tcBorders>
              <w:top w:val="single" w:sz="4" w:space="0" w:color="auto"/>
              <w:left w:val="nil"/>
              <w:bottom w:val="single" w:sz="4" w:space="0" w:color="auto"/>
              <w:right w:val="single" w:sz="4" w:space="0" w:color="auto"/>
            </w:tcBorders>
            <w:shd w:val="clear" w:color="auto" w:fill="494529"/>
            <w:vAlign w:val="center"/>
            <w:hideMark/>
          </w:tcPr>
          <w:p w:rsidR="008A67B2" w:rsidRPr="008356D8" w:rsidRDefault="008A67B2">
            <w:pPr>
              <w:jc w:val="center"/>
              <w:rPr>
                <w:rFonts w:ascii="Arial" w:hAnsi="Arial" w:cs="Arial"/>
                <w:b/>
                <w:bCs/>
                <w:color w:val="FFFFFF"/>
                <w:sz w:val="18"/>
                <w:szCs w:val="18"/>
                <w:lang w:val="es-CO" w:eastAsia="es-CO"/>
              </w:rPr>
            </w:pPr>
            <w:r w:rsidRPr="008356D8">
              <w:rPr>
                <w:rFonts w:ascii="Arial" w:hAnsi="Arial" w:cs="Arial"/>
                <w:b/>
                <w:bCs/>
                <w:color w:val="FFFFFF"/>
                <w:sz w:val="18"/>
                <w:szCs w:val="18"/>
                <w:lang w:val="es-CO" w:eastAsia="es-CO"/>
              </w:rPr>
              <w:t>RECAUDO</w:t>
            </w:r>
          </w:p>
        </w:tc>
        <w:tc>
          <w:tcPr>
            <w:tcW w:w="1903" w:type="dxa"/>
            <w:tcBorders>
              <w:top w:val="single" w:sz="4" w:space="0" w:color="auto"/>
              <w:left w:val="nil"/>
              <w:bottom w:val="single" w:sz="4" w:space="0" w:color="auto"/>
              <w:right w:val="single" w:sz="4" w:space="0" w:color="auto"/>
            </w:tcBorders>
            <w:shd w:val="clear" w:color="auto" w:fill="494529"/>
            <w:vAlign w:val="center"/>
            <w:hideMark/>
          </w:tcPr>
          <w:p w:rsidR="008A67B2" w:rsidRPr="008356D8" w:rsidRDefault="008A67B2">
            <w:pPr>
              <w:jc w:val="center"/>
              <w:rPr>
                <w:rFonts w:ascii="Arial" w:hAnsi="Arial" w:cs="Arial"/>
                <w:b/>
                <w:bCs/>
                <w:color w:val="FFFFFF"/>
                <w:sz w:val="18"/>
                <w:szCs w:val="18"/>
                <w:lang w:val="es-CO" w:eastAsia="es-CO"/>
              </w:rPr>
            </w:pPr>
            <w:r w:rsidRPr="008356D8">
              <w:rPr>
                <w:rFonts w:ascii="Arial" w:hAnsi="Arial" w:cs="Arial"/>
                <w:b/>
                <w:bCs/>
                <w:color w:val="FFFFFF"/>
                <w:sz w:val="18"/>
                <w:szCs w:val="18"/>
                <w:lang w:val="es-CO" w:eastAsia="es-CO"/>
              </w:rPr>
              <w:t>COMPROMISOS</w:t>
            </w:r>
          </w:p>
        </w:tc>
        <w:tc>
          <w:tcPr>
            <w:tcW w:w="1474" w:type="dxa"/>
            <w:tcBorders>
              <w:top w:val="single" w:sz="4" w:space="0" w:color="auto"/>
              <w:left w:val="nil"/>
              <w:bottom w:val="single" w:sz="4" w:space="0" w:color="auto"/>
              <w:right w:val="single" w:sz="4" w:space="0" w:color="auto"/>
            </w:tcBorders>
            <w:shd w:val="clear" w:color="auto" w:fill="494529"/>
            <w:vAlign w:val="center"/>
            <w:hideMark/>
          </w:tcPr>
          <w:p w:rsidR="008A67B2" w:rsidRPr="008356D8" w:rsidRDefault="008A67B2">
            <w:pPr>
              <w:jc w:val="center"/>
              <w:rPr>
                <w:rFonts w:ascii="Arial" w:hAnsi="Arial" w:cs="Arial"/>
                <w:b/>
                <w:bCs/>
                <w:color w:val="FFFFFF"/>
                <w:sz w:val="18"/>
                <w:szCs w:val="18"/>
                <w:lang w:val="es-CO" w:eastAsia="es-CO"/>
              </w:rPr>
            </w:pPr>
            <w:r w:rsidRPr="008356D8">
              <w:rPr>
                <w:rFonts w:ascii="Arial" w:hAnsi="Arial" w:cs="Arial"/>
                <w:b/>
                <w:bCs/>
                <w:color w:val="FFFFFF"/>
                <w:sz w:val="18"/>
                <w:szCs w:val="18"/>
                <w:lang w:val="es-CO" w:eastAsia="es-CO"/>
              </w:rPr>
              <w:t>% EJECUCIÒN</w:t>
            </w:r>
          </w:p>
        </w:tc>
        <w:tc>
          <w:tcPr>
            <w:tcW w:w="1549" w:type="dxa"/>
            <w:tcBorders>
              <w:top w:val="single" w:sz="4" w:space="0" w:color="auto"/>
              <w:left w:val="nil"/>
              <w:bottom w:val="single" w:sz="4" w:space="0" w:color="auto"/>
              <w:right w:val="single" w:sz="4" w:space="0" w:color="auto"/>
            </w:tcBorders>
            <w:shd w:val="clear" w:color="auto" w:fill="494529"/>
            <w:vAlign w:val="center"/>
            <w:hideMark/>
          </w:tcPr>
          <w:p w:rsidR="008A67B2" w:rsidRPr="008356D8" w:rsidRDefault="008A67B2">
            <w:pPr>
              <w:jc w:val="center"/>
              <w:rPr>
                <w:rFonts w:ascii="Arial" w:hAnsi="Arial" w:cs="Arial"/>
                <w:b/>
                <w:bCs/>
                <w:color w:val="FFFFFF"/>
                <w:sz w:val="18"/>
                <w:szCs w:val="18"/>
                <w:lang w:val="es-CO" w:eastAsia="es-CO"/>
              </w:rPr>
            </w:pPr>
            <w:r w:rsidRPr="008356D8">
              <w:rPr>
                <w:rFonts w:ascii="Arial" w:hAnsi="Arial" w:cs="Arial"/>
                <w:b/>
                <w:bCs/>
                <w:color w:val="FFFFFF"/>
                <w:sz w:val="18"/>
                <w:szCs w:val="18"/>
                <w:lang w:val="es-CO" w:eastAsia="es-CO"/>
              </w:rPr>
              <w:t>DÈFICIT/ SUPERÀVIT</w:t>
            </w:r>
          </w:p>
        </w:tc>
        <w:tc>
          <w:tcPr>
            <w:tcW w:w="1006" w:type="dxa"/>
            <w:tcBorders>
              <w:top w:val="single" w:sz="4" w:space="0" w:color="auto"/>
              <w:left w:val="nil"/>
              <w:bottom w:val="single" w:sz="4" w:space="0" w:color="auto"/>
              <w:right w:val="single" w:sz="4" w:space="0" w:color="auto"/>
            </w:tcBorders>
            <w:shd w:val="clear" w:color="auto" w:fill="494529"/>
            <w:vAlign w:val="center"/>
            <w:hideMark/>
          </w:tcPr>
          <w:p w:rsidR="008A67B2" w:rsidRPr="008356D8" w:rsidRDefault="008A67B2">
            <w:pPr>
              <w:jc w:val="center"/>
              <w:rPr>
                <w:rFonts w:ascii="Arial" w:hAnsi="Arial" w:cs="Arial"/>
                <w:b/>
                <w:bCs/>
                <w:color w:val="FFFFFF"/>
                <w:sz w:val="18"/>
                <w:szCs w:val="18"/>
                <w:lang w:val="es-CO" w:eastAsia="es-CO"/>
              </w:rPr>
            </w:pPr>
            <w:r w:rsidRPr="008356D8">
              <w:rPr>
                <w:rFonts w:ascii="Arial" w:hAnsi="Arial" w:cs="Arial"/>
                <w:b/>
                <w:bCs/>
                <w:color w:val="FFFFFF"/>
                <w:sz w:val="18"/>
                <w:szCs w:val="18"/>
                <w:lang w:val="es-CO" w:eastAsia="es-CO"/>
              </w:rPr>
              <w:t>PASIVO</w:t>
            </w:r>
          </w:p>
        </w:tc>
        <w:tc>
          <w:tcPr>
            <w:tcW w:w="1287" w:type="dxa"/>
            <w:tcBorders>
              <w:top w:val="single" w:sz="4" w:space="0" w:color="auto"/>
              <w:left w:val="nil"/>
              <w:bottom w:val="single" w:sz="4" w:space="0" w:color="auto"/>
              <w:right w:val="single" w:sz="4" w:space="0" w:color="auto"/>
            </w:tcBorders>
            <w:shd w:val="clear" w:color="auto" w:fill="494529"/>
            <w:vAlign w:val="center"/>
            <w:hideMark/>
          </w:tcPr>
          <w:p w:rsidR="008A67B2" w:rsidRPr="008356D8" w:rsidRDefault="008A67B2">
            <w:pPr>
              <w:jc w:val="center"/>
              <w:rPr>
                <w:rFonts w:ascii="Arial" w:hAnsi="Arial" w:cs="Arial"/>
                <w:b/>
                <w:bCs/>
                <w:color w:val="FFFFFF"/>
                <w:sz w:val="18"/>
                <w:szCs w:val="18"/>
                <w:lang w:val="es-CO" w:eastAsia="es-CO"/>
              </w:rPr>
            </w:pPr>
            <w:r w:rsidRPr="008356D8">
              <w:rPr>
                <w:rFonts w:ascii="Arial" w:hAnsi="Arial" w:cs="Arial"/>
                <w:b/>
                <w:bCs/>
                <w:color w:val="FFFFFF"/>
                <w:sz w:val="18"/>
                <w:szCs w:val="18"/>
                <w:lang w:val="es-CO" w:eastAsia="es-CO"/>
              </w:rPr>
              <w:t>CARTERA</w:t>
            </w:r>
          </w:p>
        </w:tc>
      </w:tr>
      <w:tr w:rsidR="008A67B2" w:rsidRPr="008356D8" w:rsidTr="00785AE1">
        <w:trPr>
          <w:trHeight w:val="258"/>
          <w:jc w:val="center"/>
        </w:trPr>
        <w:tc>
          <w:tcPr>
            <w:tcW w:w="1010" w:type="dxa"/>
            <w:tcBorders>
              <w:top w:val="nil"/>
              <w:left w:val="single" w:sz="4" w:space="0" w:color="auto"/>
              <w:bottom w:val="nil"/>
              <w:right w:val="single" w:sz="4" w:space="0" w:color="auto"/>
            </w:tcBorders>
            <w:noWrap/>
            <w:vAlign w:val="center"/>
            <w:hideMark/>
          </w:tcPr>
          <w:p w:rsidR="008A67B2" w:rsidRPr="008356D8" w:rsidRDefault="008A67B2">
            <w:pPr>
              <w:jc w:val="both"/>
              <w:rPr>
                <w:rFonts w:ascii="Arial" w:hAnsi="Arial" w:cs="Arial"/>
                <w:color w:val="000000"/>
                <w:sz w:val="18"/>
                <w:szCs w:val="18"/>
                <w:lang w:val="es-CO" w:eastAsia="es-CO"/>
              </w:rPr>
            </w:pPr>
            <w:r w:rsidRPr="008356D8">
              <w:rPr>
                <w:rFonts w:ascii="Arial" w:hAnsi="Arial" w:cs="Arial"/>
                <w:color w:val="000000"/>
                <w:sz w:val="18"/>
                <w:szCs w:val="18"/>
                <w:lang w:val="es-CO" w:eastAsia="es-CO"/>
              </w:rPr>
              <w:lastRenderedPageBreak/>
              <w:t>Nivel 1</w:t>
            </w:r>
          </w:p>
        </w:tc>
        <w:tc>
          <w:tcPr>
            <w:tcW w:w="1297"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85.063</w:t>
            </w:r>
          </w:p>
        </w:tc>
        <w:tc>
          <w:tcPr>
            <w:tcW w:w="1903"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84.209</w:t>
            </w:r>
          </w:p>
        </w:tc>
        <w:tc>
          <w:tcPr>
            <w:tcW w:w="1474"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99%</w:t>
            </w:r>
          </w:p>
        </w:tc>
        <w:tc>
          <w:tcPr>
            <w:tcW w:w="1549"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854</w:t>
            </w:r>
          </w:p>
        </w:tc>
        <w:tc>
          <w:tcPr>
            <w:tcW w:w="1006"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14.606</w:t>
            </w:r>
          </w:p>
        </w:tc>
        <w:tc>
          <w:tcPr>
            <w:tcW w:w="1287"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48.121</w:t>
            </w:r>
          </w:p>
        </w:tc>
      </w:tr>
      <w:tr w:rsidR="008A67B2" w:rsidRPr="008356D8" w:rsidTr="00785AE1">
        <w:trPr>
          <w:trHeight w:val="258"/>
          <w:jc w:val="center"/>
        </w:trPr>
        <w:tc>
          <w:tcPr>
            <w:tcW w:w="1010" w:type="dxa"/>
            <w:tcBorders>
              <w:top w:val="nil"/>
              <w:left w:val="single" w:sz="4" w:space="0" w:color="auto"/>
              <w:bottom w:val="nil"/>
              <w:right w:val="single" w:sz="4" w:space="0" w:color="auto"/>
            </w:tcBorders>
            <w:noWrap/>
            <w:vAlign w:val="center"/>
            <w:hideMark/>
          </w:tcPr>
          <w:p w:rsidR="008A67B2" w:rsidRPr="008356D8" w:rsidRDefault="008A67B2">
            <w:pPr>
              <w:jc w:val="both"/>
              <w:rPr>
                <w:rFonts w:ascii="Arial" w:hAnsi="Arial" w:cs="Arial"/>
                <w:color w:val="000000"/>
                <w:sz w:val="18"/>
                <w:szCs w:val="18"/>
                <w:lang w:val="es-CO" w:eastAsia="es-CO"/>
              </w:rPr>
            </w:pPr>
            <w:r w:rsidRPr="008356D8">
              <w:rPr>
                <w:rFonts w:ascii="Arial" w:hAnsi="Arial" w:cs="Arial"/>
                <w:color w:val="000000"/>
                <w:sz w:val="18"/>
                <w:szCs w:val="18"/>
                <w:lang w:val="es-CO" w:eastAsia="es-CO"/>
              </w:rPr>
              <w:t>Nivel I</w:t>
            </w:r>
          </w:p>
        </w:tc>
        <w:tc>
          <w:tcPr>
            <w:tcW w:w="1297"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90.156</w:t>
            </w:r>
          </w:p>
        </w:tc>
        <w:tc>
          <w:tcPr>
            <w:tcW w:w="1903"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73.903</w:t>
            </w:r>
          </w:p>
        </w:tc>
        <w:tc>
          <w:tcPr>
            <w:tcW w:w="1474"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81%</w:t>
            </w:r>
          </w:p>
        </w:tc>
        <w:tc>
          <w:tcPr>
            <w:tcW w:w="1549"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16.253</w:t>
            </w:r>
          </w:p>
        </w:tc>
        <w:tc>
          <w:tcPr>
            <w:tcW w:w="1006"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20.861</w:t>
            </w:r>
          </w:p>
        </w:tc>
        <w:tc>
          <w:tcPr>
            <w:tcW w:w="1287" w:type="dxa"/>
            <w:tcBorders>
              <w:top w:val="nil"/>
              <w:left w:val="nil"/>
              <w:bottom w:val="nil"/>
              <w:right w:val="single" w:sz="4" w:space="0" w:color="auto"/>
            </w:tcBorders>
            <w:noWrap/>
            <w:vAlign w:val="center"/>
            <w:hideMark/>
          </w:tcPr>
          <w:p w:rsidR="008A67B2" w:rsidRPr="008356D8" w:rsidRDefault="008A67B2">
            <w:pPr>
              <w:jc w:val="center"/>
              <w:rPr>
                <w:rFonts w:ascii="Arial" w:hAnsi="Arial" w:cs="Arial"/>
                <w:color w:val="000000"/>
                <w:sz w:val="18"/>
                <w:szCs w:val="18"/>
                <w:lang w:val="es-CO" w:eastAsia="es-CO"/>
              </w:rPr>
            </w:pPr>
            <w:r w:rsidRPr="008356D8">
              <w:rPr>
                <w:rFonts w:ascii="Arial" w:hAnsi="Arial" w:cs="Arial"/>
                <w:color w:val="000000"/>
                <w:sz w:val="18"/>
                <w:szCs w:val="18"/>
                <w:lang w:val="es-CO" w:eastAsia="es-CO"/>
              </w:rPr>
              <w:t>38.241</w:t>
            </w:r>
          </w:p>
        </w:tc>
      </w:tr>
    </w:tbl>
    <w:p w:rsidR="008A67B2" w:rsidRPr="00785AE1" w:rsidRDefault="008A67B2" w:rsidP="008356D8">
      <w:pPr>
        <w:jc w:val="center"/>
        <w:rPr>
          <w:rFonts w:ascii="Arial" w:hAnsi="Arial" w:cs="Arial"/>
          <w:sz w:val="18"/>
          <w:szCs w:val="18"/>
          <w:lang w:val="es-CO"/>
        </w:rPr>
      </w:pPr>
      <w:r w:rsidRPr="00785AE1">
        <w:rPr>
          <w:rFonts w:ascii="Arial" w:hAnsi="Arial" w:cs="Arial"/>
          <w:sz w:val="18"/>
          <w:szCs w:val="18"/>
          <w:lang w:val="es-CO"/>
        </w:rPr>
        <w:t>Fuente: Cuadro elaborado por la DAF. Información tomada del Sistema de Hospitales SIHO</w:t>
      </w:r>
    </w:p>
    <w:p w:rsidR="008A67B2" w:rsidRPr="008A67B2" w:rsidRDefault="008A67B2" w:rsidP="008A67B2">
      <w:pPr>
        <w:jc w:val="both"/>
        <w:rPr>
          <w:rFonts w:ascii="Arial" w:hAnsi="Arial" w:cs="Arial"/>
          <w:sz w:val="22"/>
          <w:szCs w:val="22"/>
          <w:lang w:val="es-CO"/>
        </w:rPr>
      </w:pPr>
    </w:p>
    <w:p w:rsidR="008A67B2" w:rsidRPr="008A67B2" w:rsidRDefault="008A67B2" w:rsidP="008A67B2">
      <w:pPr>
        <w:jc w:val="both"/>
        <w:rPr>
          <w:rFonts w:ascii="Arial" w:eastAsia="Times New Roman" w:hAnsi="Arial" w:cs="Arial"/>
          <w:sz w:val="22"/>
          <w:szCs w:val="22"/>
          <w:lang w:val="es-CO" w:eastAsia="en-US"/>
        </w:rPr>
      </w:pPr>
      <w:r w:rsidRPr="008A67B2">
        <w:rPr>
          <w:rFonts w:ascii="Arial" w:eastAsia="Times New Roman" w:hAnsi="Arial" w:cs="Arial"/>
          <w:sz w:val="22"/>
          <w:szCs w:val="22"/>
          <w:lang w:val="es-CO" w:eastAsia="en-US"/>
        </w:rPr>
        <w:t>La información consolidada de la ESE al cierre 2020 mostró que los ingresos efectivamente recaudados sumaron $90.156 millones (5% mayores al año anterior), mientras los compromisos fueron $73.903 millones (13% menores), por la cual se presentó un superávit de $16.253 millones, lo que representó un incremento importante frente a la vigencia anterior.</w:t>
      </w:r>
      <w:r w:rsidR="004E77EA">
        <w:rPr>
          <w:rFonts w:ascii="Arial" w:eastAsia="Times New Roman" w:hAnsi="Arial" w:cs="Arial"/>
          <w:sz w:val="22"/>
          <w:szCs w:val="22"/>
          <w:lang w:val="es-CO" w:eastAsia="en-US"/>
        </w:rPr>
        <w:t xml:space="preserve"> </w:t>
      </w:r>
      <w:r w:rsidRPr="008A67B2">
        <w:rPr>
          <w:rFonts w:ascii="Arial" w:eastAsia="Times New Roman" w:hAnsi="Arial" w:cs="Arial"/>
          <w:sz w:val="22"/>
          <w:szCs w:val="22"/>
          <w:lang w:val="es-CO" w:eastAsia="en-US"/>
        </w:rPr>
        <w:t>Considerando que el pago de pasivos en el marco del programa de saneamiento fiscal y financiero se dio en 2019, podría observarse que el resultado en 2020 es favorable.</w:t>
      </w:r>
      <w:r w:rsidR="004E77EA">
        <w:rPr>
          <w:rFonts w:ascii="Arial" w:eastAsia="Times New Roman" w:hAnsi="Arial" w:cs="Arial"/>
          <w:sz w:val="22"/>
          <w:szCs w:val="22"/>
          <w:lang w:val="es-CO" w:eastAsia="en-US"/>
        </w:rPr>
        <w:t xml:space="preserve"> </w:t>
      </w:r>
    </w:p>
    <w:p w:rsidR="008A67B2" w:rsidRPr="008A67B2" w:rsidRDefault="008A67B2" w:rsidP="008A67B2">
      <w:pPr>
        <w:jc w:val="both"/>
        <w:rPr>
          <w:rFonts w:ascii="Arial" w:eastAsia="Times New Roman" w:hAnsi="Arial" w:cs="Arial"/>
          <w:sz w:val="22"/>
          <w:szCs w:val="22"/>
          <w:lang w:val="es-CO" w:eastAsia="en-US"/>
        </w:rPr>
      </w:pPr>
    </w:p>
    <w:p w:rsidR="008A67B2" w:rsidRPr="008A67B2" w:rsidRDefault="008A67B2" w:rsidP="008A67B2">
      <w:pPr>
        <w:jc w:val="both"/>
        <w:rPr>
          <w:rFonts w:ascii="Arial" w:eastAsia="Times New Roman" w:hAnsi="Arial" w:cs="Arial"/>
          <w:sz w:val="22"/>
          <w:szCs w:val="22"/>
        </w:rPr>
      </w:pPr>
      <w:r w:rsidRPr="008A67B2">
        <w:rPr>
          <w:rFonts w:ascii="Arial" w:eastAsia="Times New Roman" w:hAnsi="Arial" w:cs="Arial"/>
          <w:sz w:val="22"/>
          <w:szCs w:val="22"/>
        </w:rPr>
        <w:t>L</w:t>
      </w:r>
      <w:r w:rsidR="00785AE1">
        <w:rPr>
          <w:rFonts w:ascii="Arial" w:eastAsia="Times New Roman" w:hAnsi="Arial" w:cs="Arial"/>
          <w:sz w:val="22"/>
          <w:szCs w:val="22"/>
        </w:rPr>
        <w:t xml:space="preserve">a ESE Distrital (red pública), </w:t>
      </w:r>
      <w:r w:rsidRPr="008A67B2">
        <w:rPr>
          <w:rFonts w:ascii="Arial" w:eastAsia="Times New Roman" w:hAnsi="Arial" w:cs="Arial"/>
          <w:sz w:val="22"/>
          <w:szCs w:val="22"/>
        </w:rPr>
        <w:t>mostró un total de pasivos acumulados de $20.861 millones para la vigencia 2020, aumentando su valor respecto a la vigencia 2019 en cerca de $6.000 millones, sin embargo estaría apalancado en buena parte en el excedente de caja mencionado anteriormente.</w:t>
      </w:r>
      <w:r w:rsidR="004E77EA">
        <w:rPr>
          <w:rFonts w:ascii="Arial" w:eastAsia="Times New Roman" w:hAnsi="Arial" w:cs="Arial"/>
          <w:sz w:val="22"/>
          <w:szCs w:val="22"/>
        </w:rPr>
        <w:t xml:space="preserve"> </w:t>
      </w:r>
      <w:r w:rsidRPr="008A67B2">
        <w:rPr>
          <w:rFonts w:ascii="Arial" w:eastAsia="Times New Roman" w:hAnsi="Arial" w:cs="Arial"/>
          <w:sz w:val="22"/>
          <w:szCs w:val="22"/>
        </w:rPr>
        <w:t xml:space="preserve"> Asimismo, la información consolidada de cartera por venta de servicios de salud para la red hospitalaria alcanzó un total de $38.241 millones presentando un descenso importante frente al 2019.</w:t>
      </w:r>
    </w:p>
    <w:p w:rsidR="008A67B2" w:rsidRPr="008A67B2" w:rsidRDefault="008A67B2" w:rsidP="008A67B2">
      <w:pPr>
        <w:jc w:val="both"/>
        <w:rPr>
          <w:rFonts w:ascii="Arial" w:eastAsia="Times New Roman" w:hAnsi="Arial" w:cs="Arial"/>
          <w:sz w:val="22"/>
          <w:szCs w:val="22"/>
        </w:rPr>
      </w:pPr>
    </w:p>
    <w:p w:rsidR="008A67B2" w:rsidRPr="008A67B2" w:rsidRDefault="008A67B2" w:rsidP="008A67B2">
      <w:pPr>
        <w:jc w:val="both"/>
        <w:rPr>
          <w:rFonts w:ascii="Arial" w:eastAsia="Times New Roman" w:hAnsi="Arial" w:cs="Arial"/>
          <w:sz w:val="22"/>
          <w:szCs w:val="22"/>
        </w:rPr>
      </w:pPr>
      <w:r w:rsidRPr="008A67B2">
        <w:rPr>
          <w:rFonts w:ascii="Arial" w:eastAsia="Times New Roman" w:hAnsi="Arial" w:cs="Arial"/>
          <w:sz w:val="22"/>
          <w:szCs w:val="22"/>
        </w:rPr>
        <w:t>En el marco del Programa de Saneamiento Fiscal y Financiero de la ESE Hospital Local Cartagena de Indias, que ejecuta la ESE, es preciso mencionar que finalizando la vigencia 2018 el Distrito recibió los recursos del FONPET (Lotto en línea) por valor de $17.251 millones para el pago de pasivos de la ESE.</w:t>
      </w:r>
      <w:r w:rsidR="004E77EA">
        <w:rPr>
          <w:rFonts w:ascii="Arial" w:eastAsia="Times New Roman" w:hAnsi="Arial" w:cs="Arial"/>
          <w:sz w:val="22"/>
          <w:szCs w:val="22"/>
        </w:rPr>
        <w:t xml:space="preserve"> </w:t>
      </w:r>
      <w:r w:rsidRPr="008A67B2">
        <w:rPr>
          <w:rFonts w:ascii="Arial" w:eastAsia="Times New Roman" w:hAnsi="Arial" w:cs="Arial"/>
          <w:sz w:val="22"/>
          <w:szCs w:val="22"/>
        </w:rPr>
        <w:t>Estos fueron incorporados y ejecutados en 2019, tanto por parte del Distrito como por parte de la ESE.</w:t>
      </w:r>
    </w:p>
    <w:p w:rsidR="008A67B2" w:rsidRPr="008A67B2" w:rsidRDefault="008A67B2" w:rsidP="008A67B2">
      <w:pPr>
        <w:jc w:val="both"/>
        <w:rPr>
          <w:rFonts w:ascii="Arial" w:eastAsia="Times New Roman"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Efectuada la evaluación a la ejecución del Programa viabilizado a la ESE, teniendo en cuenta sus resultados en la ejecución de las medidas, el escenario financiero, el recaudo de fuentes de financiación, el pago del pasivo y la producción, es posible concluir que al cierre de 2020 se presentó alerta baja de incumplimiento.</w:t>
      </w:r>
      <w:r w:rsidR="004E77EA">
        <w:rPr>
          <w:rFonts w:ascii="Arial" w:hAnsi="Arial" w:cs="Arial"/>
          <w:sz w:val="22"/>
          <w:szCs w:val="22"/>
        </w:rPr>
        <w:t xml:space="preserve"> </w:t>
      </w:r>
      <w:r w:rsidRPr="008A67B2">
        <w:rPr>
          <w:rFonts w:ascii="Arial" w:hAnsi="Arial" w:cs="Arial"/>
          <w:sz w:val="22"/>
          <w:szCs w:val="22"/>
        </w:rPr>
        <w:t>El plazo de ejecución de e</w:t>
      </w:r>
      <w:r w:rsidR="00785AE1">
        <w:rPr>
          <w:rFonts w:ascii="Arial" w:hAnsi="Arial" w:cs="Arial"/>
          <w:sz w:val="22"/>
          <w:szCs w:val="22"/>
        </w:rPr>
        <w:t xml:space="preserve">ste programa finaliza en 2021. </w:t>
      </w:r>
    </w:p>
    <w:p w:rsidR="008A67B2" w:rsidRPr="008A67B2" w:rsidRDefault="008A67B2" w:rsidP="008A67B2">
      <w:pPr>
        <w:shd w:val="clear" w:color="auto" w:fill="FFFFFF"/>
        <w:rPr>
          <w:rFonts w:ascii="Arial" w:hAnsi="Arial" w:cs="Arial"/>
          <w:sz w:val="22"/>
          <w:szCs w:val="22"/>
          <w:lang w:val="es-CO"/>
        </w:rPr>
      </w:pPr>
    </w:p>
    <w:p w:rsidR="008A67B2" w:rsidRPr="008A67B2" w:rsidRDefault="008A67B2" w:rsidP="008A67B2">
      <w:pPr>
        <w:numPr>
          <w:ilvl w:val="0"/>
          <w:numId w:val="8"/>
        </w:numPr>
        <w:contextualSpacing/>
        <w:jc w:val="both"/>
        <w:rPr>
          <w:rFonts w:ascii="Arial" w:hAnsi="Arial" w:cs="Arial"/>
          <w:b/>
          <w:sz w:val="22"/>
          <w:szCs w:val="22"/>
        </w:rPr>
      </w:pPr>
      <w:r w:rsidRPr="008A67B2">
        <w:rPr>
          <w:rFonts w:ascii="Arial" w:hAnsi="Arial" w:cs="Arial"/>
          <w:b/>
          <w:sz w:val="22"/>
          <w:szCs w:val="22"/>
        </w:rPr>
        <w:t>Evaluación Financiera</w:t>
      </w:r>
    </w:p>
    <w:p w:rsidR="008A67B2" w:rsidRPr="008A67B2" w:rsidRDefault="008A67B2" w:rsidP="008A67B2">
      <w:pPr>
        <w:jc w:val="both"/>
        <w:rPr>
          <w:rFonts w:ascii="Arial" w:hAnsi="Arial" w:cs="Arial"/>
          <w:b/>
          <w:sz w:val="22"/>
          <w:szCs w:val="22"/>
        </w:rPr>
      </w:pPr>
    </w:p>
    <w:p w:rsidR="008A67B2" w:rsidRPr="008A67B2" w:rsidRDefault="008A67B2" w:rsidP="008A67B2">
      <w:pPr>
        <w:jc w:val="both"/>
        <w:rPr>
          <w:rFonts w:ascii="Arial" w:hAnsi="Arial" w:cs="Arial"/>
          <w:b/>
          <w:sz w:val="22"/>
          <w:szCs w:val="22"/>
        </w:rPr>
      </w:pPr>
      <w:r w:rsidRPr="008A67B2">
        <w:rPr>
          <w:rFonts w:ascii="Arial" w:hAnsi="Arial" w:cs="Arial"/>
          <w:b/>
          <w:sz w:val="22"/>
          <w:szCs w:val="22"/>
        </w:rPr>
        <w:t>Vigencia 2020:</w:t>
      </w:r>
      <w:r w:rsidR="004E77EA">
        <w:rPr>
          <w:rFonts w:ascii="Arial" w:hAnsi="Arial" w:cs="Arial"/>
          <w:b/>
          <w:sz w:val="22"/>
          <w:szCs w:val="22"/>
        </w:rPr>
        <w:t xml:space="preserve"> </w:t>
      </w:r>
    </w:p>
    <w:p w:rsidR="008A67B2" w:rsidRPr="008A67B2" w:rsidRDefault="008A67B2" w:rsidP="008A67B2">
      <w:pPr>
        <w:jc w:val="both"/>
        <w:rPr>
          <w:rFonts w:ascii="Arial" w:hAnsi="Arial" w:cs="Arial"/>
          <w:b/>
          <w:sz w:val="22"/>
          <w:szCs w:val="22"/>
        </w:rPr>
      </w:pPr>
    </w:p>
    <w:p w:rsidR="008A67B2" w:rsidRPr="008A67B2" w:rsidRDefault="008A67B2" w:rsidP="008A67B2">
      <w:pPr>
        <w:jc w:val="both"/>
        <w:rPr>
          <w:rFonts w:ascii="Arial" w:hAnsi="Arial" w:cs="Arial"/>
          <w:sz w:val="22"/>
          <w:szCs w:val="22"/>
        </w:rPr>
      </w:pPr>
      <w:r w:rsidRPr="008A67B2">
        <w:rPr>
          <w:rFonts w:ascii="Arial" w:hAnsi="Arial" w:cs="Arial"/>
          <w:b/>
          <w:sz w:val="22"/>
          <w:szCs w:val="22"/>
          <w:u w:val="single"/>
        </w:rPr>
        <w:t>INGRESOS</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Cs/>
          <w:sz w:val="22"/>
          <w:szCs w:val="22"/>
          <w:lang w:val="es-ES_tradnl"/>
        </w:rPr>
      </w:pPr>
      <w:r w:rsidRPr="008A67B2">
        <w:rPr>
          <w:rFonts w:ascii="Arial" w:hAnsi="Arial" w:cs="Arial"/>
          <w:bCs/>
          <w:sz w:val="22"/>
          <w:szCs w:val="22"/>
          <w:lang w:val="es-ES_tradnl"/>
        </w:rPr>
        <w:t xml:space="preserve">El Fondo Distrital de </w:t>
      </w:r>
      <w:r w:rsidRPr="005364A0">
        <w:rPr>
          <w:rFonts w:ascii="Arial" w:hAnsi="Arial" w:cs="Arial"/>
          <w:bCs/>
          <w:sz w:val="22"/>
          <w:szCs w:val="22"/>
          <w:lang w:val="es-ES_tradnl"/>
        </w:rPr>
        <w:t>Salud de Cartagena (DADIS) en la vigencia 2020 presupuestó ingresos por $696.596 millones, de los cuales ejecutó $719.895 millones, evidenciando una ejecución del 99%</w:t>
      </w:r>
      <w:r w:rsidR="00785AE1" w:rsidRPr="005364A0">
        <w:rPr>
          <w:rFonts w:ascii="Arial" w:hAnsi="Arial" w:cs="Arial"/>
          <w:bCs/>
          <w:sz w:val="22"/>
          <w:szCs w:val="22"/>
          <w:lang w:val="es-ES_tradnl"/>
        </w:rPr>
        <w:t>,</w:t>
      </w:r>
      <w:r w:rsidRPr="005364A0">
        <w:rPr>
          <w:rFonts w:ascii="Arial" w:hAnsi="Arial" w:cs="Arial"/>
          <w:bCs/>
          <w:sz w:val="22"/>
          <w:szCs w:val="22"/>
          <w:lang w:val="es-ES_tradnl"/>
        </w:rPr>
        <w:t xml:space="preserve"> </w:t>
      </w:r>
      <w:r w:rsidR="00785AE1" w:rsidRPr="005364A0">
        <w:rPr>
          <w:rFonts w:ascii="Arial" w:hAnsi="Arial" w:cs="Arial"/>
          <w:bCs/>
          <w:sz w:val="22"/>
          <w:szCs w:val="22"/>
          <w:lang w:val="es-ES_tradnl"/>
        </w:rPr>
        <w:t>e</w:t>
      </w:r>
      <w:r w:rsidRPr="005364A0">
        <w:rPr>
          <w:rFonts w:ascii="Arial" w:hAnsi="Arial" w:cs="Arial"/>
          <w:bCs/>
          <w:sz w:val="22"/>
          <w:szCs w:val="22"/>
          <w:lang w:val="es-ES_tradnl"/>
        </w:rPr>
        <w:t>stos fueron mayores en</w:t>
      </w:r>
      <w:r w:rsidRPr="008A67B2">
        <w:rPr>
          <w:rFonts w:ascii="Arial" w:hAnsi="Arial" w:cs="Arial"/>
          <w:bCs/>
          <w:sz w:val="22"/>
          <w:szCs w:val="22"/>
          <w:lang w:val="es-ES_tradnl"/>
        </w:rPr>
        <w:t xml:space="preserve"> el 12% frente al año anterior.</w:t>
      </w:r>
      <w:r w:rsidR="004E77EA">
        <w:rPr>
          <w:rFonts w:ascii="Arial" w:hAnsi="Arial" w:cs="Arial"/>
          <w:bCs/>
          <w:sz w:val="22"/>
          <w:szCs w:val="22"/>
          <w:lang w:val="es-ES_tradnl"/>
        </w:rPr>
        <w:t xml:space="preserve"> </w:t>
      </w:r>
      <w:r w:rsidRPr="008A67B2">
        <w:rPr>
          <w:rFonts w:ascii="Arial" w:hAnsi="Arial" w:cs="Arial"/>
          <w:bCs/>
          <w:sz w:val="22"/>
          <w:szCs w:val="22"/>
          <w:lang w:val="es-ES_tradnl"/>
        </w:rPr>
        <w:t>El recaudo por concepto de ingresos corrientes ascendió a $636.632 millones, mayores en el 14% y equivalentes al 103% de lo proyectado.</w:t>
      </w:r>
      <w:r w:rsidR="004E77EA">
        <w:rPr>
          <w:rFonts w:ascii="Arial" w:hAnsi="Arial" w:cs="Arial"/>
          <w:bCs/>
          <w:sz w:val="22"/>
          <w:szCs w:val="22"/>
          <w:lang w:val="es-ES_tradnl"/>
        </w:rPr>
        <w:t xml:space="preserve"> </w:t>
      </w:r>
      <w:r w:rsidRPr="008A67B2">
        <w:rPr>
          <w:rFonts w:ascii="Arial" w:hAnsi="Arial" w:cs="Arial"/>
          <w:bCs/>
          <w:sz w:val="22"/>
          <w:szCs w:val="22"/>
          <w:lang w:val="es-ES_tradnl"/>
        </w:rPr>
        <w:t>Entre tanto, los de capital</w:t>
      </w:r>
      <w:r w:rsidRPr="008A67B2">
        <w:rPr>
          <w:rFonts w:ascii="Arial" w:hAnsi="Arial" w:cs="Arial"/>
          <w:bCs/>
          <w:sz w:val="22"/>
          <w:szCs w:val="22"/>
          <w:vertAlign w:val="superscript"/>
          <w:lang w:val="es-ES_tradnl"/>
        </w:rPr>
        <w:footnoteReference w:id="1"/>
      </w:r>
      <w:r w:rsidRPr="008A67B2">
        <w:rPr>
          <w:rFonts w:ascii="Arial" w:hAnsi="Arial" w:cs="Arial"/>
          <w:bCs/>
          <w:sz w:val="22"/>
          <w:szCs w:val="22"/>
          <w:lang w:val="es-ES_tradnl"/>
        </w:rPr>
        <w:t xml:space="preserve"> se ejecutaron en $83.263 millones,</w:t>
      </w:r>
      <w:r w:rsidR="004E77EA">
        <w:rPr>
          <w:rFonts w:ascii="Arial" w:hAnsi="Arial" w:cs="Arial"/>
          <w:bCs/>
          <w:sz w:val="22"/>
          <w:szCs w:val="22"/>
          <w:lang w:val="es-ES_tradnl"/>
        </w:rPr>
        <w:t xml:space="preserve"> </w:t>
      </w:r>
      <w:r w:rsidRPr="008A67B2">
        <w:rPr>
          <w:rFonts w:ascii="Arial" w:hAnsi="Arial" w:cs="Arial"/>
          <w:bCs/>
          <w:sz w:val="22"/>
          <w:szCs w:val="22"/>
          <w:lang w:val="es-ES_tradnl"/>
        </w:rPr>
        <w:t>por encima de los de 2019 en el 29%.</w:t>
      </w:r>
      <w:r w:rsidR="004E77EA">
        <w:rPr>
          <w:rFonts w:ascii="Arial" w:hAnsi="Arial" w:cs="Arial"/>
          <w:bCs/>
          <w:sz w:val="22"/>
          <w:szCs w:val="22"/>
          <w:lang w:val="es-ES_tradnl"/>
        </w:rPr>
        <w:t xml:space="preserve"> </w:t>
      </w:r>
      <w:r w:rsidRPr="008A67B2">
        <w:rPr>
          <w:rFonts w:ascii="Arial" w:hAnsi="Arial" w:cs="Arial"/>
          <w:bCs/>
          <w:sz w:val="22"/>
          <w:szCs w:val="22"/>
          <w:lang w:val="es-ES_tradnl"/>
        </w:rPr>
        <w:t>De conformidad con lo anterior los ingresos de capital tuvieron mejor comportamiento al integrar recursos extraordinarios como fue el resultado de la sentencia judicial (laudo arbitral) en favor del Distrito y que fueron orientados al pago de parte de las deudas por prestación de servicios.</w:t>
      </w:r>
      <w:r w:rsidR="004E77EA">
        <w:rPr>
          <w:rFonts w:ascii="Arial" w:hAnsi="Arial" w:cs="Arial"/>
          <w:bCs/>
          <w:sz w:val="22"/>
          <w:szCs w:val="22"/>
          <w:lang w:val="es-ES_tradnl"/>
        </w:rPr>
        <w:t xml:space="preserve"> </w:t>
      </w:r>
    </w:p>
    <w:p w:rsidR="008A67B2" w:rsidRPr="008A67B2" w:rsidRDefault="008A67B2" w:rsidP="008A67B2">
      <w:pPr>
        <w:jc w:val="center"/>
        <w:rPr>
          <w:rFonts w:ascii="Arial" w:hAnsi="Arial" w:cs="Arial"/>
          <w:sz w:val="22"/>
          <w:szCs w:val="22"/>
        </w:rPr>
      </w:pPr>
      <w:r w:rsidRPr="008A67B2">
        <w:rPr>
          <w:rFonts w:ascii="Arial" w:hAnsi="Arial" w:cs="Arial"/>
          <w:sz w:val="22"/>
          <w:szCs w:val="22"/>
        </w:rPr>
        <w:lastRenderedPageBreak/>
        <w:t>Tabla N°2</w:t>
      </w:r>
    </w:p>
    <w:p w:rsidR="008A67B2" w:rsidRPr="008A67B2" w:rsidRDefault="008A67B2" w:rsidP="008A67B2">
      <w:pPr>
        <w:jc w:val="center"/>
        <w:rPr>
          <w:rFonts w:ascii="Arial" w:hAnsi="Arial" w:cs="Arial"/>
          <w:bCs/>
          <w:sz w:val="22"/>
          <w:szCs w:val="22"/>
          <w:lang w:val="es-ES_tradnl"/>
        </w:rPr>
      </w:pPr>
      <w:r w:rsidRPr="008A67B2">
        <w:rPr>
          <w:rFonts w:ascii="Arial" w:hAnsi="Arial" w:cs="Arial"/>
          <w:noProof/>
          <w:sz w:val="22"/>
          <w:szCs w:val="22"/>
          <w:lang w:val="es-CO" w:eastAsia="es-CO"/>
        </w:rPr>
        <w:drawing>
          <wp:inline distT="0" distB="0" distL="0" distR="0">
            <wp:extent cx="4712335" cy="48387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2335" cy="4838700"/>
                    </a:xfrm>
                    <a:prstGeom prst="rect">
                      <a:avLst/>
                    </a:prstGeom>
                    <a:noFill/>
                    <a:ln>
                      <a:noFill/>
                    </a:ln>
                  </pic:spPr>
                </pic:pic>
              </a:graphicData>
            </a:graphic>
          </wp:inline>
        </w:drawing>
      </w:r>
      <w:r w:rsidRPr="008A67B2">
        <w:rPr>
          <w:rFonts w:ascii="Arial" w:hAnsi="Arial" w:cs="Arial"/>
          <w:sz w:val="22"/>
          <w:szCs w:val="22"/>
        </w:rPr>
        <w:t xml:space="preserve"> </w:t>
      </w:r>
    </w:p>
    <w:p w:rsidR="00785AE1" w:rsidRPr="00785AE1" w:rsidRDefault="00785AE1" w:rsidP="00785AE1">
      <w:pPr>
        <w:ind w:left="708" w:firstLine="708"/>
        <w:jc w:val="both"/>
        <w:rPr>
          <w:rFonts w:ascii="Arial" w:hAnsi="Arial" w:cs="Arial"/>
          <w:bCs/>
          <w:sz w:val="18"/>
          <w:szCs w:val="18"/>
          <w:lang w:val="es-ES_tradnl"/>
        </w:rPr>
      </w:pPr>
      <w:r w:rsidRPr="00785AE1">
        <w:rPr>
          <w:rFonts w:ascii="Arial" w:hAnsi="Arial" w:cs="Arial"/>
          <w:bCs/>
          <w:sz w:val="18"/>
          <w:szCs w:val="18"/>
          <w:lang w:val="es-ES_tradnl"/>
        </w:rPr>
        <w:t>Fuente: Ejecución Presupuestal Ingresos 2020- Distrito de Cartagena</w:t>
      </w:r>
    </w:p>
    <w:p w:rsidR="00785AE1" w:rsidRDefault="00785AE1"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Cs/>
          <w:sz w:val="22"/>
          <w:szCs w:val="22"/>
          <w:lang w:val="es-ES_tradnl"/>
        </w:rPr>
      </w:pPr>
      <w:r w:rsidRPr="008A67B2">
        <w:rPr>
          <w:rFonts w:ascii="Arial" w:hAnsi="Arial" w:cs="Arial"/>
          <w:bCs/>
          <w:sz w:val="22"/>
          <w:szCs w:val="22"/>
          <w:lang w:val="es-ES_tradnl"/>
        </w:rPr>
        <w:t>Lo ingresos corrientes estuvieron conformados en un 3% por los ingresos tributarios (aumentaron el 8%), y el 97% por los ingresos no tributarios, los que en su mayoría correspondieron a transferencias. De éstas, el 37% corresponde a asignaciones del Sistema General de Participaciones, de las cuales el 95% es para aseguramiento</w:t>
      </w:r>
      <w:r w:rsidR="00785AE1">
        <w:rPr>
          <w:rFonts w:ascii="Arial" w:hAnsi="Arial" w:cs="Arial"/>
          <w:bCs/>
          <w:sz w:val="22"/>
          <w:szCs w:val="22"/>
          <w:lang w:val="es-ES_tradnl"/>
        </w:rPr>
        <w:t xml:space="preserve"> </w:t>
      </w:r>
      <w:r w:rsidRPr="008A67B2">
        <w:rPr>
          <w:rFonts w:ascii="Arial" w:hAnsi="Arial" w:cs="Arial"/>
          <w:bCs/>
          <w:sz w:val="22"/>
          <w:szCs w:val="22"/>
          <w:lang w:val="es-ES_tradnl"/>
        </w:rPr>
        <w:t>3% a salud pública y 4% a prestación de servicios.</w:t>
      </w:r>
      <w:r w:rsidR="004E77EA">
        <w:rPr>
          <w:rFonts w:ascii="Arial" w:hAnsi="Arial" w:cs="Arial"/>
          <w:bCs/>
          <w:sz w:val="22"/>
          <w:szCs w:val="22"/>
          <w:lang w:val="es-ES_tradnl"/>
        </w:rPr>
        <w:t xml:space="preserve">  </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Cs/>
          <w:sz w:val="22"/>
          <w:szCs w:val="22"/>
          <w:lang w:val="es-ES_tradnl"/>
        </w:rPr>
      </w:pPr>
      <w:r w:rsidRPr="008A67B2">
        <w:rPr>
          <w:rFonts w:ascii="Arial" w:hAnsi="Arial" w:cs="Arial"/>
          <w:bCs/>
          <w:sz w:val="22"/>
          <w:szCs w:val="22"/>
          <w:lang w:val="es-ES_tradnl"/>
        </w:rPr>
        <w:t>En 2020 se encontró que lo programado y ejecutado correspondió al 100% frente al asignado por la Nación.</w:t>
      </w:r>
      <w:r w:rsidR="004E77EA">
        <w:rPr>
          <w:rFonts w:ascii="Arial" w:hAnsi="Arial" w:cs="Arial"/>
          <w:bCs/>
          <w:sz w:val="22"/>
          <w:szCs w:val="22"/>
          <w:lang w:val="es-ES_tradnl"/>
        </w:rPr>
        <w:t xml:space="preserve"> </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
          <w:bCs/>
          <w:sz w:val="22"/>
          <w:szCs w:val="22"/>
          <w:u w:val="single"/>
          <w:lang w:val="es-ES_tradnl"/>
        </w:rPr>
      </w:pPr>
      <w:r w:rsidRPr="008A67B2">
        <w:rPr>
          <w:rFonts w:ascii="Arial" w:hAnsi="Arial" w:cs="Arial"/>
          <w:b/>
          <w:bCs/>
          <w:sz w:val="22"/>
          <w:szCs w:val="22"/>
          <w:u w:val="single"/>
          <w:lang w:val="es-ES_tradnl"/>
        </w:rPr>
        <w:t>GASTOS</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Cs/>
          <w:sz w:val="22"/>
          <w:szCs w:val="22"/>
          <w:lang w:val="es-ES_tradnl"/>
        </w:rPr>
      </w:pPr>
      <w:r w:rsidRPr="008A67B2">
        <w:rPr>
          <w:rFonts w:ascii="Arial" w:hAnsi="Arial" w:cs="Arial"/>
          <w:bCs/>
          <w:sz w:val="22"/>
          <w:szCs w:val="22"/>
          <w:lang w:val="es-ES_tradnl"/>
        </w:rPr>
        <w:t>Frente al comportamiento del gasto, la Entidad efectuó compromisos por $619.037 millones, correspondiente al 89% de la apropiación definitiva ($696.596 millones).</w:t>
      </w:r>
      <w:r w:rsidR="004E77EA">
        <w:rPr>
          <w:rFonts w:ascii="Arial" w:hAnsi="Arial" w:cs="Arial"/>
          <w:bCs/>
          <w:sz w:val="22"/>
          <w:szCs w:val="22"/>
          <w:lang w:val="es-ES_tradnl"/>
        </w:rPr>
        <w:t xml:space="preserve"> </w:t>
      </w:r>
      <w:r w:rsidRPr="008A67B2">
        <w:rPr>
          <w:rFonts w:ascii="Arial" w:hAnsi="Arial" w:cs="Arial"/>
          <w:bCs/>
          <w:sz w:val="22"/>
          <w:szCs w:val="22"/>
          <w:lang w:val="es-ES_tradnl"/>
        </w:rPr>
        <w:t>Así mismo generó obligaciones por $617.215 millones, y realizó pagos por $610.329 millones.</w:t>
      </w:r>
      <w:r w:rsidR="004E77EA">
        <w:rPr>
          <w:rFonts w:ascii="Arial" w:hAnsi="Arial" w:cs="Arial"/>
          <w:bCs/>
          <w:sz w:val="22"/>
          <w:szCs w:val="22"/>
          <w:lang w:val="es-ES_tradnl"/>
        </w:rPr>
        <w:t xml:space="preserve"> </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Cs/>
          <w:sz w:val="22"/>
          <w:szCs w:val="22"/>
          <w:lang w:val="es-ES_tradnl"/>
        </w:rPr>
      </w:pPr>
      <w:r w:rsidRPr="008A67B2">
        <w:rPr>
          <w:rFonts w:ascii="Arial" w:hAnsi="Arial" w:cs="Arial"/>
          <w:bCs/>
          <w:sz w:val="22"/>
          <w:szCs w:val="22"/>
          <w:lang w:val="es-ES_tradnl"/>
        </w:rPr>
        <w:t>De los gastos totales, el gasto para funcionamiento alcanzó el 2% ($12.712 millones) y el de inversión el 98% ($606.325 millones). Respecto al gasto por inversión, el 93% ($565.394 millones) correspondió al régimen subsidiado, el 1% ($7.910 millones) correspondió al componente de Salud Pública, el 5% ($29.377 millones) al componente de Prestación de Servicios y el 1% ($3.457 millones) a otros gastos de inversión en salud.</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center"/>
        <w:rPr>
          <w:rFonts w:ascii="Arial" w:hAnsi="Arial" w:cs="Arial"/>
          <w:bCs/>
          <w:sz w:val="22"/>
          <w:szCs w:val="22"/>
          <w:lang w:val="es-ES_tradnl"/>
        </w:rPr>
      </w:pPr>
      <w:r w:rsidRPr="008A67B2">
        <w:rPr>
          <w:rFonts w:ascii="Arial" w:hAnsi="Arial" w:cs="Arial"/>
          <w:bCs/>
          <w:sz w:val="22"/>
          <w:szCs w:val="22"/>
          <w:lang w:val="es-ES_tradnl"/>
        </w:rPr>
        <w:t>Tabla N°3</w:t>
      </w:r>
    </w:p>
    <w:p w:rsidR="008A67B2" w:rsidRPr="008A67B2" w:rsidRDefault="008A67B2" w:rsidP="00BB45A4">
      <w:pPr>
        <w:jc w:val="center"/>
        <w:rPr>
          <w:rFonts w:ascii="Arial" w:hAnsi="Arial" w:cs="Arial"/>
          <w:bCs/>
          <w:sz w:val="22"/>
          <w:szCs w:val="22"/>
        </w:rPr>
      </w:pPr>
      <w:r w:rsidRPr="008A67B2">
        <w:rPr>
          <w:rFonts w:ascii="Arial" w:hAnsi="Arial" w:cs="Arial"/>
          <w:noProof/>
          <w:sz w:val="22"/>
          <w:szCs w:val="22"/>
          <w:lang w:val="es-CO" w:eastAsia="es-CO"/>
        </w:rPr>
        <w:drawing>
          <wp:inline distT="0" distB="0" distL="0" distR="0">
            <wp:extent cx="5609590" cy="2378710"/>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9590" cy="2378710"/>
                    </a:xfrm>
                    <a:prstGeom prst="rect">
                      <a:avLst/>
                    </a:prstGeom>
                    <a:noFill/>
                    <a:ln>
                      <a:noFill/>
                    </a:ln>
                  </pic:spPr>
                </pic:pic>
              </a:graphicData>
            </a:graphic>
          </wp:inline>
        </w:drawing>
      </w:r>
    </w:p>
    <w:p w:rsidR="00785AE1" w:rsidRPr="00785AE1" w:rsidRDefault="00785AE1" w:rsidP="00785AE1">
      <w:pPr>
        <w:ind w:left="708" w:firstLine="708"/>
        <w:jc w:val="both"/>
        <w:rPr>
          <w:rFonts w:ascii="Arial" w:hAnsi="Arial" w:cs="Arial"/>
          <w:bCs/>
          <w:sz w:val="18"/>
          <w:szCs w:val="18"/>
          <w:lang w:val="es-ES_tradnl"/>
        </w:rPr>
      </w:pPr>
      <w:r w:rsidRPr="00785AE1">
        <w:rPr>
          <w:rFonts w:ascii="Arial" w:hAnsi="Arial" w:cs="Arial"/>
          <w:bCs/>
          <w:sz w:val="18"/>
          <w:szCs w:val="18"/>
          <w:lang w:val="es-ES_tradnl"/>
        </w:rPr>
        <w:t xml:space="preserve">Fuente: Ejecución Presupuestal </w:t>
      </w:r>
      <w:r>
        <w:rPr>
          <w:rFonts w:ascii="Arial" w:hAnsi="Arial" w:cs="Arial"/>
          <w:bCs/>
          <w:sz w:val="18"/>
          <w:szCs w:val="18"/>
          <w:lang w:val="es-ES_tradnl"/>
        </w:rPr>
        <w:t>Gastos</w:t>
      </w:r>
      <w:r w:rsidRPr="00785AE1">
        <w:rPr>
          <w:rFonts w:ascii="Arial" w:hAnsi="Arial" w:cs="Arial"/>
          <w:bCs/>
          <w:sz w:val="18"/>
          <w:szCs w:val="18"/>
          <w:lang w:val="es-ES_tradnl"/>
        </w:rPr>
        <w:t xml:space="preserve"> 2020- Distrito de Cartagena</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Cs/>
          <w:sz w:val="22"/>
          <w:szCs w:val="22"/>
          <w:lang w:val="es-ES_tradnl"/>
        </w:rPr>
      </w:pPr>
      <w:r w:rsidRPr="008A67B2">
        <w:rPr>
          <w:rFonts w:ascii="Arial" w:hAnsi="Arial" w:cs="Arial"/>
          <w:bCs/>
          <w:sz w:val="22"/>
          <w:szCs w:val="22"/>
          <w:lang w:val="es-ES_tradnl"/>
        </w:rPr>
        <w:t>Frente al año anterior los gastos de funcionamiento se redujeron en el 20%.</w:t>
      </w:r>
      <w:r w:rsidR="004E77EA">
        <w:rPr>
          <w:rFonts w:ascii="Arial" w:hAnsi="Arial" w:cs="Arial"/>
          <w:bCs/>
          <w:sz w:val="22"/>
          <w:szCs w:val="22"/>
          <w:lang w:val="es-ES_tradnl"/>
        </w:rPr>
        <w:t xml:space="preserve"> </w:t>
      </w:r>
      <w:r w:rsidRPr="008A67B2">
        <w:rPr>
          <w:rFonts w:ascii="Arial" w:hAnsi="Arial" w:cs="Arial"/>
          <w:bCs/>
          <w:sz w:val="22"/>
          <w:szCs w:val="22"/>
          <w:lang w:val="es-ES_tradnl"/>
        </w:rPr>
        <w:t>Sin embargo, los compromisos por gastos generales no parecen ser ajustados a la realidad del Fondo de Salud.</w:t>
      </w:r>
      <w:r w:rsidR="004E77EA">
        <w:rPr>
          <w:rFonts w:ascii="Arial" w:hAnsi="Arial" w:cs="Arial"/>
          <w:bCs/>
          <w:sz w:val="22"/>
          <w:szCs w:val="22"/>
          <w:lang w:val="es-ES_tradnl"/>
        </w:rPr>
        <w:t xml:space="preserve"> </w:t>
      </w:r>
      <w:r w:rsidRPr="008A67B2">
        <w:rPr>
          <w:rFonts w:ascii="Arial" w:hAnsi="Arial" w:cs="Arial"/>
          <w:bCs/>
          <w:sz w:val="22"/>
          <w:szCs w:val="22"/>
          <w:lang w:val="es-ES_tradnl"/>
        </w:rPr>
        <w:t>El distrito venía reflejando de manera más real este tipo de gastos por parte del Departamento Administrativo de Seguridad Social en Salud (DADIS), derivados de los ajustes en el sistema financiero y presupuestal de la entidad territorial en desarrollo del plan de desempeño.</w:t>
      </w:r>
      <w:r w:rsidR="004E77EA">
        <w:rPr>
          <w:rFonts w:ascii="Arial" w:hAnsi="Arial" w:cs="Arial"/>
          <w:bCs/>
          <w:sz w:val="22"/>
          <w:szCs w:val="22"/>
          <w:lang w:val="es-ES_tradnl"/>
        </w:rPr>
        <w:t xml:space="preserve"> </w:t>
      </w:r>
      <w:r w:rsidRPr="008A67B2">
        <w:rPr>
          <w:rFonts w:ascii="Arial" w:hAnsi="Arial" w:cs="Arial"/>
          <w:bCs/>
          <w:sz w:val="22"/>
          <w:szCs w:val="22"/>
          <w:lang w:val="es-ES_tradnl"/>
        </w:rPr>
        <w:t>Entre tanto, los de inversión aumentaron en su conjunto el 8%. El gasto en aseguramiento y el de prestación de servicios en salud se incrementaron, explicado en el aumento en el nivel de aseguramiento que se ve reflejado en la liquidación mensual de afiliados y por el pago de pasivos por prestación de servicios no incluidos en el plan de beneficios del régimen subsidiado con el fin de apalancar las deudas y cumplir con los niveles de esfuerzo fiscal necesario en el marco del desarrollo del Acuerdo de Punto Final.</w:t>
      </w:r>
      <w:r w:rsidR="004E77EA">
        <w:rPr>
          <w:rFonts w:ascii="Arial" w:hAnsi="Arial" w:cs="Arial"/>
          <w:bCs/>
          <w:sz w:val="22"/>
          <w:szCs w:val="22"/>
          <w:lang w:val="es-ES_tradnl"/>
        </w:rPr>
        <w:t xml:space="preserve"> </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Cs/>
          <w:sz w:val="22"/>
          <w:szCs w:val="22"/>
          <w:lang w:val="es-ES_tradnl"/>
        </w:rPr>
      </w:pPr>
      <w:r w:rsidRPr="008A67B2">
        <w:rPr>
          <w:rFonts w:ascii="Arial" w:hAnsi="Arial" w:cs="Arial"/>
          <w:bCs/>
          <w:sz w:val="22"/>
          <w:szCs w:val="22"/>
          <w:lang w:val="es-ES_tradnl"/>
        </w:rPr>
        <w:t>Se observaron menores erogaciones orientadas a Salud Pública y en la cuenta de otros gastos en salud</w:t>
      </w:r>
      <w:r w:rsidRPr="008A67B2">
        <w:rPr>
          <w:rStyle w:val="Refdenotaalpie"/>
          <w:rFonts w:ascii="Arial" w:hAnsi="Arial" w:cs="Arial"/>
          <w:bCs/>
          <w:sz w:val="22"/>
          <w:szCs w:val="22"/>
          <w:lang w:val="es-ES_tradnl"/>
        </w:rPr>
        <w:footnoteReference w:id="2"/>
      </w:r>
      <w:r w:rsidRPr="008A67B2">
        <w:rPr>
          <w:rFonts w:ascii="Arial" w:hAnsi="Arial" w:cs="Arial"/>
          <w:bCs/>
          <w:sz w:val="22"/>
          <w:szCs w:val="22"/>
          <w:lang w:val="es-ES_tradnl"/>
        </w:rPr>
        <w:t xml:space="preserve">. </w:t>
      </w:r>
    </w:p>
    <w:p w:rsidR="008A67B2" w:rsidRPr="008A67B2" w:rsidRDefault="008A67B2" w:rsidP="008A67B2">
      <w:pPr>
        <w:jc w:val="both"/>
        <w:rPr>
          <w:rFonts w:ascii="Arial" w:hAnsi="Arial" w:cs="Arial"/>
          <w:b/>
          <w:bCs/>
          <w:sz w:val="22"/>
          <w:szCs w:val="22"/>
          <w:lang w:val="es-ES_tradnl"/>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En general se denotan bajas ejecuciones especialmente en las cuentas de salud pública y de prestación de servicios de salud (del 55% y 72%, respectivamente).</w:t>
      </w:r>
      <w:r w:rsidR="004E77EA">
        <w:rPr>
          <w:rFonts w:ascii="Arial" w:hAnsi="Arial" w:cs="Arial"/>
          <w:sz w:val="22"/>
          <w:szCs w:val="22"/>
        </w:rPr>
        <w:t xml:space="preserve"> </w:t>
      </w:r>
      <w:r w:rsidRPr="008A67B2">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 xml:space="preserve">Se avanzó en la identificación clara en la ejecución de los compromisos en ejecución y las obligaciones por pagar, lo que constituye la base de la constitución de las reservas </w:t>
      </w:r>
      <w:r w:rsidRPr="008A67B2">
        <w:rPr>
          <w:rFonts w:ascii="Arial" w:hAnsi="Arial" w:cs="Arial"/>
          <w:sz w:val="22"/>
          <w:szCs w:val="22"/>
        </w:rPr>
        <w:lastRenderedPageBreak/>
        <w:t>presupuestales y las cuentas por pagar, situación que se evaluará en el análisis del cierre fiscal del Fondo.</w:t>
      </w:r>
      <w:r w:rsidR="004E77EA">
        <w:rPr>
          <w:rFonts w:ascii="Arial" w:hAnsi="Arial" w:cs="Arial"/>
          <w:sz w:val="22"/>
          <w:szCs w:val="22"/>
        </w:rPr>
        <w:t xml:space="preserve"> </w:t>
      </w:r>
    </w:p>
    <w:p w:rsidR="008A67B2" w:rsidRPr="008A67B2" w:rsidRDefault="008A67B2" w:rsidP="008A67B2">
      <w:pPr>
        <w:jc w:val="both"/>
        <w:rPr>
          <w:rFonts w:ascii="Arial" w:hAnsi="Arial" w:cs="Arial"/>
          <w:b/>
          <w:bCs/>
          <w:sz w:val="22"/>
          <w:szCs w:val="22"/>
          <w:lang w:val="es-ES_tradnl"/>
        </w:rPr>
      </w:pPr>
    </w:p>
    <w:p w:rsidR="008A67B2" w:rsidRPr="008A67B2" w:rsidRDefault="008A67B2" w:rsidP="008A67B2">
      <w:pPr>
        <w:jc w:val="both"/>
        <w:rPr>
          <w:rFonts w:ascii="Arial" w:hAnsi="Arial" w:cs="Arial"/>
          <w:b/>
          <w:bCs/>
          <w:sz w:val="22"/>
          <w:szCs w:val="22"/>
          <w:lang w:val="es-ES_tradnl"/>
        </w:rPr>
      </w:pPr>
      <w:r w:rsidRPr="008A67B2">
        <w:rPr>
          <w:rFonts w:ascii="Arial" w:hAnsi="Arial" w:cs="Arial"/>
          <w:b/>
          <w:bCs/>
          <w:sz w:val="22"/>
          <w:szCs w:val="22"/>
          <w:lang w:val="es-ES_tradnl"/>
        </w:rPr>
        <w:t>CIERRE PRESUPUESTAL Y DE TESORERIA 2020</w:t>
      </w:r>
    </w:p>
    <w:p w:rsidR="008A67B2" w:rsidRPr="008A67B2" w:rsidRDefault="008A67B2" w:rsidP="008A67B2">
      <w:pPr>
        <w:jc w:val="both"/>
        <w:rPr>
          <w:rFonts w:ascii="Arial" w:hAnsi="Arial" w:cs="Arial"/>
          <w:b/>
          <w:bCs/>
          <w:sz w:val="22"/>
          <w:szCs w:val="22"/>
          <w:lang w:val="es-ES_tradnl"/>
        </w:rPr>
      </w:pPr>
    </w:p>
    <w:p w:rsidR="008A67B2" w:rsidRPr="008A67B2" w:rsidRDefault="008A67B2" w:rsidP="008A67B2">
      <w:pPr>
        <w:jc w:val="both"/>
        <w:rPr>
          <w:rFonts w:ascii="Arial" w:hAnsi="Arial" w:cs="Arial"/>
          <w:b/>
          <w:bCs/>
          <w:sz w:val="22"/>
          <w:szCs w:val="22"/>
          <w:lang w:val="es-ES_tradnl"/>
        </w:rPr>
      </w:pPr>
      <w:r w:rsidRPr="008A67B2">
        <w:rPr>
          <w:rFonts w:ascii="Arial" w:hAnsi="Arial" w:cs="Arial"/>
          <w:b/>
          <w:bCs/>
          <w:sz w:val="22"/>
          <w:szCs w:val="22"/>
          <w:lang w:val="es-ES_tradnl"/>
        </w:rPr>
        <w:t>Cierre Presupuestal</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Cs/>
          <w:sz w:val="22"/>
          <w:szCs w:val="22"/>
          <w:lang w:val="es-ES_tradnl"/>
        </w:rPr>
      </w:pPr>
      <w:r w:rsidRPr="008A67B2">
        <w:rPr>
          <w:rFonts w:ascii="Arial" w:hAnsi="Arial" w:cs="Arial"/>
          <w:bCs/>
          <w:sz w:val="22"/>
          <w:szCs w:val="22"/>
          <w:lang w:val="es-ES_tradnl"/>
        </w:rPr>
        <w:t>En el cierre de la vigencia 2020, de acuerdo con la ejecución presupuestal de ingresos y gastos del Fondo Distrital de Salud, se encontró superávit presupuestal de $100.859 millones.</w:t>
      </w:r>
      <w:r w:rsidR="004E77EA">
        <w:rPr>
          <w:rFonts w:ascii="Arial" w:hAnsi="Arial" w:cs="Arial"/>
          <w:bCs/>
          <w:sz w:val="22"/>
          <w:szCs w:val="22"/>
          <w:lang w:val="es-ES_tradnl"/>
        </w:rPr>
        <w:t xml:space="preserve"> </w:t>
      </w:r>
      <w:r w:rsidRPr="008A67B2">
        <w:rPr>
          <w:rFonts w:ascii="Arial" w:hAnsi="Arial" w:cs="Arial"/>
          <w:bCs/>
          <w:sz w:val="22"/>
          <w:szCs w:val="22"/>
          <w:lang w:val="es-ES_tradnl"/>
        </w:rPr>
        <w:t xml:space="preserve">De acuerdo </w:t>
      </w:r>
      <w:r w:rsidR="00E851BA">
        <w:rPr>
          <w:rFonts w:ascii="Arial" w:hAnsi="Arial" w:cs="Arial"/>
          <w:bCs/>
          <w:sz w:val="22"/>
          <w:szCs w:val="22"/>
          <w:lang w:val="es-ES_tradnl"/>
        </w:rPr>
        <w:t>con el</w:t>
      </w:r>
      <w:r w:rsidRPr="008A67B2">
        <w:rPr>
          <w:rFonts w:ascii="Arial" w:hAnsi="Arial" w:cs="Arial"/>
          <w:bCs/>
          <w:sz w:val="22"/>
          <w:szCs w:val="22"/>
          <w:lang w:val="es-ES_tradnl"/>
        </w:rPr>
        <w:t xml:space="preserve"> total de compromisos y obligaciones, se debieron haber constituido reservas presupuestales por $1.810 millones y al tener en cuenta los pagos, las cuentas por pagar debieron estar por el orden de $6.898 millones.</w:t>
      </w:r>
      <w:r w:rsidR="004E77EA">
        <w:rPr>
          <w:rFonts w:ascii="Arial" w:hAnsi="Arial" w:cs="Arial"/>
          <w:bCs/>
          <w:sz w:val="22"/>
          <w:szCs w:val="22"/>
          <w:lang w:val="es-ES_tradnl"/>
        </w:rPr>
        <w:t xml:space="preserve"> </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Cs/>
          <w:sz w:val="22"/>
          <w:szCs w:val="22"/>
          <w:lang w:val="es-ES_tradnl"/>
        </w:rPr>
      </w:pPr>
      <w:r w:rsidRPr="008A67B2">
        <w:rPr>
          <w:rFonts w:ascii="Arial" w:hAnsi="Arial" w:cs="Arial"/>
          <w:bCs/>
          <w:sz w:val="22"/>
          <w:szCs w:val="22"/>
          <w:lang w:val="es-ES_tradnl"/>
        </w:rPr>
        <w:t>Al evaluar los actos administrativos que se expidieron con el cierre fiscal de 2020, se tiene que se constituyeron reservas presupuestales</w:t>
      </w:r>
      <w:r w:rsidRPr="008A67B2">
        <w:rPr>
          <w:rFonts w:ascii="Arial" w:hAnsi="Arial" w:cs="Arial"/>
          <w:bCs/>
          <w:sz w:val="22"/>
          <w:szCs w:val="22"/>
          <w:vertAlign w:val="superscript"/>
          <w:lang w:val="es-ES_tradnl"/>
        </w:rPr>
        <w:footnoteReference w:id="3"/>
      </w:r>
      <w:r w:rsidRPr="008A67B2">
        <w:rPr>
          <w:rFonts w:ascii="Arial" w:hAnsi="Arial" w:cs="Arial"/>
          <w:bCs/>
          <w:sz w:val="22"/>
          <w:szCs w:val="22"/>
          <w:lang w:val="es-ES_tradnl"/>
        </w:rPr>
        <w:t xml:space="preserve"> por $1.559 millones en el sector salud (DADIS), y cuentas por pagar por valor cercano a $5.682 millones de los cuales el 64% correspondió a obligaciones con cargo a los recursos del Sistema General de participaciones.</w:t>
      </w:r>
      <w:r w:rsidR="004E77EA">
        <w:rPr>
          <w:rFonts w:ascii="Arial" w:hAnsi="Arial" w:cs="Arial"/>
          <w:bCs/>
          <w:sz w:val="22"/>
          <w:szCs w:val="22"/>
          <w:lang w:val="es-ES_tradnl"/>
        </w:rPr>
        <w:t xml:space="preserve">    </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center"/>
        <w:rPr>
          <w:rFonts w:ascii="Arial" w:hAnsi="Arial" w:cs="Arial"/>
          <w:bCs/>
          <w:sz w:val="22"/>
          <w:szCs w:val="22"/>
          <w:lang w:val="es-ES_tradnl"/>
        </w:rPr>
      </w:pPr>
      <w:r w:rsidRPr="008A67B2">
        <w:rPr>
          <w:rFonts w:ascii="Arial" w:hAnsi="Arial" w:cs="Arial"/>
          <w:bCs/>
          <w:sz w:val="22"/>
          <w:szCs w:val="22"/>
          <w:lang w:val="es-ES_tradnl"/>
        </w:rPr>
        <w:t>Tabla N°4</w:t>
      </w:r>
    </w:p>
    <w:p w:rsidR="008A67B2" w:rsidRPr="008A67B2" w:rsidRDefault="008A67B2" w:rsidP="008A67B2">
      <w:pPr>
        <w:jc w:val="center"/>
        <w:rPr>
          <w:rFonts w:ascii="Arial" w:hAnsi="Arial" w:cs="Arial"/>
          <w:bCs/>
          <w:sz w:val="22"/>
          <w:szCs w:val="22"/>
          <w:lang w:val="es-ES_tradnl"/>
        </w:rPr>
      </w:pPr>
      <w:r w:rsidRPr="008A67B2">
        <w:rPr>
          <w:rFonts w:ascii="Arial" w:hAnsi="Arial" w:cs="Arial"/>
          <w:bCs/>
          <w:sz w:val="22"/>
          <w:szCs w:val="22"/>
          <w:lang w:val="es-ES_tradnl"/>
        </w:rPr>
        <w:t xml:space="preserve"> </w:t>
      </w:r>
      <w:r w:rsidRPr="008A67B2">
        <w:rPr>
          <w:rFonts w:ascii="Arial" w:hAnsi="Arial" w:cs="Arial"/>
          <w:noProof/>
          <w:sz w:val="22"/>
          <w:szCs w:val="22"/>
          <w:lang w:val="es-CO" w:eastAsia="es-CO"/>
        </w:rPr>
        <w:drawing>
          <wp:inline distT="0" distB="0" distL="0" distR="0">
            <wp:extent cx="4190338" cy="2194590"/>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952" cy="2195435"/>
                    </a:xfrm>
                    <a:prstGeom prst="rect">
                      <a:avLst/>
                    </a:prstGeom>
                    <a:noFill/>
                    <a:ln>
                      <a:noFill/>
                    </a:ln>
                  </pic:spPr>
                </pic:pic>
              </a:graphicData>
            </a:graphic>
          </wp:inline>
        </w:drawing>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Cs/>
          <w:sz w:val="22"/>
          <w:szCs w:val="22"/>
          <w:lang w:val="es-ES_tradnl"/>
        </w:rPr>
      </w:pPr>
      <w:r w:rsidRPr="008A67B2">
        <w:rPr>
          <w:rFonts w:ascii="Arial" w:hAnsi="Arial" w:cs="Arial"/>
          <w:bCs/>
          <w:sz w:val="22"/>
          <w:szCs w:val="22"/>
          <w:lang w:val="es-ES_tradnl"/>
        </w:rPr>
        <w:t>De acuerdo con el cierre de tesorería aportado por el Departamento Administrativo de salud se calculó un superávit de tesorería por $22.498 millones, es decir es significativamente diferente del resultado presupuestal (Ver Tabla N°5).</w:t>
      </w:r>
      <w:r w:rsidR="004E77EA">
        <w:rPr>
          <w:rFonts w:ascii="Arial" w:hAnsi="Arial" w:cs="Arial"/>
          <w:bCs/>
          <w:sz w:val="22"/>
          <w:szCs w:val="22"/>
          <w:lang w:val="es-ES_tradnl"/>
        </w:rPr>
        <w:t xml:space="preserve"> </w:t>
      </w:r>
      <w:r w:rsidRPr="008A67B2">
        <w:rPr>
          <w:rFonts w:ascii="Arial" w:hAnsi="Arial" w:cs="Arial"/>
          <w:bCs/>
          <w:sz w:val="22"/>
          <w:szCs w:val="22"/>
          <w:lang w:val="es-ES_tradnl"/>
        </w:rPr>
        <w:t xml:space="preserve"> Al analizar las causas de la diferencia fue posible identificar que la mayoría corresponde a desequilibrios en la ejecución de los recursos sin situación de fondos y particularmente en los ingresos y gastos de la subcuenta maestra de aseguramiento.</w:t>
      </w:r>
      <w:r w:rsidR="004E77EA">
        <w:rPr>
          <w:rFonts w:ascii="Arial" w:hAnsi="Arial" w:cs="Arial"/>
          <w:bCs/>
          <w:sz w:val="22"/>
          <w:szCs w:val="22"/>
          <w:lang w:val="es-ES_tradnl"/>
        </w:rPr>
        <w:t xml:space="preserve"> </w:t>
      </w:r>
    </w:p>
    <w:p w:rsidR="008A67B2" w:rsidRDefault="008A67B2" w:rsidP="008A67B2">
      <w:pPr>
        <w:jc w:val="both"/>
        <w:rPr>
          <w:rFonts w:ascii="Arial" w:hAnsi="Arial" w:cs="Arial"/>
          <w:bCs/>
          <w:sz w:val="22"/>
          <w:szCs w:val="22"/>
          <w:lang w:val="es-ES_tradnl"/>
        </w:rPr>
      </w:pPr>
    </w:p>
    <w:p w:rsidR="006C1E01" w:rsidRDefault="006C1E01" w:rsidP="008A67B2">
      <w:pPr>
        <w:jc w:val="both"/>
        <w:rPr>
          <w:rFonts w:ascii="Arial" w:hAnsi="Arial" w:cs="Arial"/>
          <w:bCs/>
          <w:sz w:val="22"/>
          <w:szCs w:val="22"/>
          <w:lang w:val="es-ES_tradnl"/>
        </w:rPr>
      </w:pPr>
    </w:p>
    <w:p w:rsidR="006C1E01" w:rsidRDefault="006C1E01" w:rsidP="008A67B2">
      <w:pPr>
        <w:jc w:val="both"/>
        <w:rPr>
          <w:rFonts w:ascii="Arial" w:hAnsi="Arial" w:cs="Arial"/>
          <w:bCs/>
          <w:sz w:val="22"/>
          <w:szCs w:val="22"/>
          <w:lang w:val="es-ES_tradnl"/>
        </w:rPr>
      </w:pPr>
    </w:p>
    <w:p w:rsidR="006C1E01" w:rsidRDefault="006C1E01" w:rsidP="008A67B2">
      <w:pPr>
        <w:jc w:val="both"/>
        <w:rPr>
          <w:rFonts w:ascii="Arial" w:hAnsi="Arial" w:cs="Arial"/>
          <w:bCs/>
          <w:sz w:val="22"/>
          <w:szCs w:val="22"/>
          <w:lang w:val="es-ES_tradnl"/>
        </w:rPr>
      </w:pPr>
    </w:p>
    <w:p w:rsidR="008A67B2" w:rsidRPr="008A67B2" w:rsidRDefault="008A67B2" w:rsidP="008A67B2">
      <w:pPr>
        <w:jc w:val="center"/>
        <w:rPr>
          <w:rFonts w:ascii="Arial" w:hAnsi="Arial" w:cs="Arial"/>
          <w:bCs/>
          <w:sz w:val="22"/>
          <w:szCs w:val="22"/>
          <w:lang w:val="es-ES_tradnl"/>
        </w:rPr>
      </w:pPr>
      <w:r w:rsidRPr="008A67B2">
        <w:rPr>
          <w:rFonts w:ascii="Arial" w:hAnsi="Arial" w:cs="Arial"/>
          <w:bCs/>
          <w:sz w:val="22"/>
          <w:szCs w:val="22"/>
          <w:lang w:val="es-ES_tradnl"/>
        </w:rPr>
        <w:lastRenderedPageBreak/>
        <w:t>Tabla N°5</w:t>
      </w:r>
    </w:p>
    <w:p w:rsidR="008A67B2" w:rsidRPr="008A67B2" w:rsidRDefault="008A67B2" w:rsidP="008A67B2">
      <w:pPr>
        <w:jc w:val="center"/>
        <w:rPr>
          <w:rFonts w:ascii="Arial" w:hAnsi="Arial" w:cs="Arial"/>
          <w:bCs/>
          <w:sz w:val="22"/>
          <w:szCs w:val="22"/>
          <w:lang w:val="es-ES_tradnl"/>
        </w:rPr>
      </w:pPr>
      <w:r w:rsidRPr="008A67B2">
        <w:rPr>
          <w:rFonts w:ascii="Arial" w:hAnsi="Arial" w:cs="Arial"/>
          <w:bCs/>
          <w:sz w:val="22"/>
          <w:szCs w:val="22"/>
          <w:lang w:val="es-ES_tradnl"/>
        </w:rPr>
        <w:t>Cálculo del resultado presupuestal ajustado</w:t>
      </w:r>
    </w:p>
    <w:p w:rsidR="008A67B2" w:rsidRPr="008A67B2" w:rsidRDefault="008A67B2" w:rsidP="008A67B2">
      <w:pPr>
        <w:jc w:val="center"/>
        <w:rPr>
          <w:rFonts w:ascii="Arial" w:hAnsi="Arial" w:cs="Arial"/>
          <w:bCs/>
          <w:sz w:val="22"/>
          <w:szCs w:val="22"/>
          <w:lang w:val="es-ES_tradnl"/>
        </w:rPr>
      </w:pPr>
      <w:r w:rsidRPr="008A67B2">
        <w:rPr>
          <w:rFonts w:ascii="Arial" w:hAnsi="Arial" w:cs="Arial"/>
          <w:noProof/>
          <w:sz w:val="22"/>
          <w:szCs w:val="22"/>
          <w:lang w:val="es-CO" w:eastAsia="es-CO"/>
        </w:rPr>
        <w:drawing>
          <wp:inline distT="0" distB="0" distL="0" distR="0">
            <wp:extent cx="4342130" cy="981710"/>
            <wp:effectExtent l="0" t="0" r="127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2130" cy="981710"/>
                    </a:xfrm>
                    <a:prstGeom prst="rect">
                      <a:avLst/>
                    </a:prstGeom>
                    <a:noFill/>
                    <a:ln>
                      <a:noFill/>
                    </a:ln>
                  </pic:spPr>
                </pic:pic>
              </a:graphicData>
            </a:graphic>
          </wp:inline>
        </w:drawing>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Cs/>
          <w:sz w:val="22"/>
          <w:szCs w:val="22"/>
          <w:lang w:val="es-ES_tradnl"/>
        </w:rPr>
      </w:pPr>
      <w:r w:rsidRPr="008A67B2">
        <w:rPr>
          <w:rFonts w:ascii="Arial" w:hAnsi="Arial" w:cs="Arial"/>
          <w:bCs/>
          <w:sz w:val="22"/>
          <w:szCs w:val="22"/>
          <w:lang w:val="es-ES_tradnl"/>
        </w:rPr>
        <w:t>De acuerdo con lo anterior, es posible concluir que el resultado presupuestal del Fondo de Salud correspondió a $42.235 millones, y un saldo mínimo en las cuentas de $50.943 millones (Ver tabla No. 4)</w:t>
      </w:r>
    </w:p>
    <w:p w:rsidR="008A67B2" w:rsidRPr="008A67B2" w:rsidRDefault="008A67B2" w:rsidP="008A67B2">
      <w:pPr>
        <w:jc w:val="both"/>
        <w:rPr>
          <w:rFonts w:ascii="Arial" w:hAnsi="Arial" w:cs="Arial"/>
          <w:bCs/>
          <w:sz w:val="22"/>
          <w:szCs w:val="22"/>
          <w:lang w:val="es-ES_tradnl"/>
        </w:rPr>
      </w:pPr>
    </w:p>
    <w:p w:rsidR="008A67B2" w:rsidRPr="008A67B2" w:rsidRDefault="008A67B2" w:rsidP="008A67B2">
      <w:pPr>
        <w:jc w:val="both"/>
        <w:rPr>
          <w:rFonts w:ascii="Arial" w:hAnsi="Arial" w:cs="Arial"/>
          <w:b/>
          <w:sz w:val="22"/>
          <w:szCs w:val="22"/>
        </w:rPr>
      </w:pPr>
      <w:r w:rsidRPr="008A67B2">
        <w:rPr>
          <w:rFonts w:ascii="Arial" w:hAnsi="Arial" w:cs="Arial"/>
          <w:b/>
          <w:sz w:val="22"/>
          <w:szCs w:val="22"/>
        </w:rPr>
        <w:t>Cierre de Tesorería</w:t>
      </w:r>
    </w:p>
    <w:p w:rsidR="008A67B2" w:rsidRPr="008A67B2" w:rsidRDefault="008A67B2" w:rsidP="008A67B2">
      <w:pPr>
        <w:ind w:left="720"/>
        <w:contextualSpacing/>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Según el informe de tesorería del Fondo de salud del Distrito de Cartagena, con corte 31 de diciembre de 2020 el saldo en las diferentes cuentas (3 maestras y 1 de otros gastos en salud) que conforman el fondo de salud fue de $31.617 millones, indicando que, de fuente del Sistema General de Participaciones, se disponían $7.344 millones de prestación de servicios de salud y $10.461 millones de salud pública. Después de cubrir las exigibilidades</w:t>
      </w:r>
      <w:r w:rsidRPr="008A67B2">
        <w:rPr>
          <w:rFonts w:ascii="Arial" w:hAnsi="Arial" w:cs="Arial"/>
          <w:sz w:val="22"/>
          <w:szCs w:val="22"/>
          <w:vertAlign w:val="superscript"/>
        </w:rPr>
        <w:footnoteReference w:id="4"/>
      </w:r>
      <w:r w:rsidRPr="008A67B2">
        <w:rPr>
          <w:rFonts w:ascii="Arial" w:hAnsi="Arial" w:cs="Arial"/>
          <w:sz w:val="22"/>
          <w:szCs w:val="22"/>
        </w:rPr>
        <w:t xml:space="preserve"> y reservas presupuestales, el disponible al cierre del año 2020 fue de $22.498 millones en la totalidad del fondo.</w:t>
      </w:r>
      <w:r w:rsidR="004E77EA">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785AE1" w:rsidRDefault="008A67B2" w:rsidP="008A67B2">
      <w:pPr>
        <w:jc w:val="center"/>
        <w:rPr>
          <w:rFonts w:ascii="Arial" w:hAnsi="Arial" w:cs="Arial"/>
          <w:sz w:val="22"/>
          <w:szCs w:val="22"/>
        </w:rPr>
      </w:pPr>
      <w:r w:rsidRPr="00785AE1">
        <w:rPr>
          <w:rFonts w:ascii="Arial" w:hAnsi="Arial" w:cs="Arial"/>
          <w:sz w:val="22"/>
          <w:szCs w:val="22"/>
        </w:rPr>
        <w:t>Tabla No. 6</w:t>
      </w:r>
    </w:p>
    <w:p w:rsidR="008A67B2" w:rsidRPr="008A67B2" w:rsidRDefault="008A67B2" w:rsidP="006C1E01">
      <w:pPr>
        <w:jc w:val="center"/>
        <w:rPr>
          <w:rFonts w:ascii="Arial" w:hAnsi="Arial" w:cs="Arial"/>
          <w:sz w:val="22"/>
          <w:szCs w:val="22"/>
        </w:rPr>
      </w:pPr>
      <w:r w:rsidRPr="008A67B2">
        <w:rPr>
          <w:rFonts w:ascii="Arial" w:hAnsi="Arial" w:cs="Arial"/>
          <w:sz w:val="22"/>
          <w:szCs w:val="22"/>
        </w:rPr>
        <w:t>Comparación cierre de tesorería DADIS / Reporte FUT</w:t>
      </w:r>
    </w:p>
    <w:p w:rsidR="008A67B2" w:rsidRPr="008A67B2" w:rsidRDefault="008A67B2" w:rsidP="008A67B2">
      <w:pPr>
        <w:jc w:val="both"/>
        <w:rPr>
          <w:rFonts w:ascii="Arial" w:hAnsi="Arial" w:cs="Arial"/>
          <w:sz w:val="22"/>
          <w:szCs w:val="22"/>
        </w:rPr>
      </w:pPr>
      <w:r w:rsidRPr="008A67B2">
        <w:rPr>
          <w:rFonts w:ascii="Arial" w:hAnsi="Arial" w:cs="Arial"/>
          <w:noProof/>
          <w:sz w:val="22"/>
          <w:szCs w:val="22"/>
          <w:lang w:val="es-CO" w:eastAsia="es-CO"/>
        </w:rPr>
        <w:drawing>
          <wp:inline distT="0" distB="0" distL="0" distR="0">
            <wp:extent cx="6210300" cy="11334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300" cy="1133475"/>
                    </a:xfrm>
                    <a:prstGeom prst="rect">
                      <a:avLst/>
                    </a:prstGeom>
                    <a:noFill/>
                    <a:ln>
                      <a:noFill/>
                    </a:ln>
                  </pic:spPr>
                </pic:pic>
              </a:graphicData>
            </a:graphic>
          </wp:inline>
        </w:drawing>
      </w:r>
    </w:p>
    <w:p w:rsidR="008A67B2" w:rsidRPr="006C1E01" w:rsidRDefault="008A67B2" w:rsidP="008A67B2">
      <w:pPr>
        <w:jc w:val="center"/>
        <w:rPr>
          <w:rFonts w:ascii="Arial" w:hAnsi="Arial" w:cs="Arial"/>
          <w:sz w:val="18"/>
          <w:szCs w:val="18"/>
        </w:rPr>
      </w:pPr>
      <w:r w:rsidRPr="006C1E01">
        <w:rPr>
          <w:rFonts w:ascii="Arial" w:hAnsi="Arial" w:cs="Arial"/>
          <w:sz w:val="18"/>
          <w:szCs w:val="18"/>
        </w:rPr>
        <w:t>Fuente: Informe de tesorería, Reporte FUT Cierre Fiscal - Fuentes Salud</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Al comparar con el reporte de cierre fiscal se presenta especialmente diferencias en las exigibilidades, lo que refleja un excedente superior.</w:t>
      </w:r>
      <w:r w:rsidR="004E77EA">
        <w:rPr>
          <w:rFonts w:ascii="Arial" w:hAnsi="Arial" w:cs="Arial"/>
          <w:sz w:val="22"/>
          <w:szCs w:val="22"/>
        </w:rPr>
        <w:t xml:space="preserve"> </w:t>
      </w:r>
    </w:p>
    <w:p w:rsidR="008A67B2" w:rsidRPr="008A67B2" w:rsidRDefault="008A67B2" w:rsidP="008A67B2">
      <w:pPr>
        <w:jc w:val="both"/>
        <w:rPr>
          <w:rFonts w:ascii="Arial" w:hAnsi="Arial" w:cs="Arial"/>
          <w:sz w:val="22"/>
          <w:szCs w:val="22"/>
        </w:rPr>
      </w:pPr>
      <w:r w:rsidRPr="008A67B2">
        <w:rPr>
          <w:rFonts w:ascii="Arial" w:hAnsi="Arial" w:cs="Arial"/>
          <w:sz w:val="22"/>
          <w:szCs w:val="22"/>
        </w:rPr>
        <w:t xml:space="preserve"> </w:t>
      </w:r>
    </w:p>
    <w:p w:rsidR="008A67B2" w:rsidRPr="008A67B2" w:rsidRDefault="008A67B2" w:rsidP="008A67B2">
      <w:pPr>
        <w:jc w:val="both"/>
        <w:rPr>
          <w:rFonts w:ascii="Arial" w:hAnsi="Arial" w:cs="Arial"/>
          <w:sz w:val="22"/>
          <w:szCs w:val="22"/>
        </w:rPr>
      </w:pPr>
      <w:r w:rsidRPr="008A67B2">
        <w:rPr>
          <w:rFonts w:ascii="Arial" w:hAnsi="Arial" w:cs="Arial"/>
          <w:sz w:val="22"/>
          <w:szCs w:val="22"/>
        </w:rPr>
        <w:t xml:space="preserve">Es preciso mencionar </w:t>
      </w:r>
      <w:r w:rsidR="006C1E01" w:rsidRPr="008A67B2">
        <w:rPr>
          <w:rFonts w:ascii="Arial" w:hAnsi="Arial" w:cs="Arial"/>
          <w:sz w:val="22"/>
          <w:szCs w:val="22"/>
        </w:rPr>
        <w:t>que,</w:t>
      </w:r>
      <w:r w:rsidRPr="008A67B2">
        <w:rPr>
          <w:rFonts w:ascii="Arial" w:hAnsi="Arial" w:cs="Arial"/>
          <w:sz w:val="22"/>
          <w:szCs w:val="22"/>
        </w:rPr>
        <w:t xml:space="preserve"> a las cuentas maestras del fondo,</w:t>
      </w:r>
      <w:r w:rsidR="004E77EA">
        <w:rPr>
          <w:rFonts w:ascii="Arial" w:hAnsi="Arial" w:cs="Arial"/>
          <w:sz w:val="22"/>
          <w:szCs w:val="22"/>
        </w:rPr>
        <w:t xml:space="preserve"> </w:t>
      </w:r>
      <w:r w:rsidRPr="008A67B2">
        <w:rPr>
          <w:rFonts w:ascii="Arial" w:hAnsi="Arial" w:cs="Arial"/>
          <w:sz w:val="22"/>
          <w:szCs w:val="22"/>
        </w:rPr>
        <w:t>quedaron pendiente de ingresar recursos de fuente ICLD y del crédito por valor superior a los $23.808</w:t>
      </w:r>
      <w:r w:rsidRPr="008A67B2">
        <w:rPr>
          <w:rStyle w:val="Refdenotaalpie"/>
          <w:rFonts w:ascii="Arial" w:hAnsi="Arial" w:cs="Arial"/>
          <w:sz w:val="22"/>
          <w:szCs w:val="22"/>
        </w:rPr>
        <w:footnoteReference w:id="5"/>
      </w:r>
      <w:r w:rsidRPr="008A67B2">
        <w:rPr>
          <w:rFonts w:ascii="Arial" w:hAnsi="Arial" w:cs="Arial"/>
          <w:sz w:val="22"/>
          <w:szCs w:val="22"/>
        </w:rPr>
        <w:t xml:space="preserve"> millones, que quedaron sin ejecutar o que respaldan cuentas por pagar y reservas presupuestales.</w:t>
      </w:r>
      <w:r w:rsidR="004E77EA">
        <w:rPr>
          <w:rFonts w:ascii="Arial" w:hAnsi="Arial" w:cs="Arial"/>
          <w:sz w:val="22"/>
          <w:szCs w:val="22"/>
        </w:rPr>
        <w:t xml:space="preserve"> </w:t>
      </w:r>
      <w:r w:rsidRPr="008A67B2">
        <w:rPr>
          <w:rFonts w:ascii="Arial" w:hAnsi="Arial" w:cs="Arial"/>
          <w:sz w:val="22"/>
          <w:szCs w:val="22"/>
        </w:rPr>
        <w:t>Considerando estos recursos y los compromisos amparados con los mismos, el superávit del fondo de salud se calcula en $46.306 millones.</w:t>
      </w:r>
      <w:r w:rsidR="004E77EA">
        <w:rPr>
          <w:rFonts w:ascii="Arial" w:hAnsi="Arial" w:cs="Arial"/>
          <w:sz w:val="22"/>
          <w:szCs w:val="22"/>
        </w:rPr>
        <w:t xml:space="preserve"> </w:t>
      </w:r>
      <w:r w:rsidRPr="008A67B2">
        <w:rPr>
          <w:rFonts w:ascii="Arial" w:hAnsi="Arial" w:cs="Arial"/>
          <w:sz w:val="22"/>
          <w:szCs w:val="22"/>
        </w:rPr>
        <w:t xml:space="preserve">Al respecto, es preciso mencionar nuevamente que es necesario unificar el PAC de Hacienda con el fondo de salud, de tal </w:t>
      </w:r>
      <w:r w:rsidRPr="008A67B2">
        <w:rPr>
          <w:rFonts w:ascii="Arial" w:hAnsi="Arial" w:cs="Arial"/>
          <w:sz w:val="22"/>
          <w:szCs w:val="22"/>
        </w:rPr>
        <w:lastRenderedPageBreak/>
        <w:t>manera que no se presenten estos faltantes para la financiación de las obligaciones al final de cada vigencia.</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Respecto a los recursos del SGP, al final del año se calculó un superávit de $12.659 millones lo que señala la existencia de valores sin ejecutar que representan el 289% de la asignación del SGP para prestación de servicios y el 94% de salud pública, lo que sigue siendo significativo y que podría evidenciar dificultades en la ejecución de los recursos.</w:t>
      </w:r>
    </w:p>
    <w:p w:rsidR="00785AE1" w:rsidRDefault="00785AE1" w:rsidP="008A67B2">
      <w:pPr>
        <w:jc w:val="center"/>
        <w:rPr>
          <w:rFonts w:ascii="Arial" w:hAnsi="Arial" w:cs="Arial"/>
          <w:b/>
          <w:sz w:val="22"/>
          <w:szCs w:val="22"/>
        </w:rPr>
      </w:pPr>
    </w:p>
    <w:p w:rsidR="008A67B2" w:rsidRPr="00785AE1" w:rsidRDefault="008A67B2" w:rsidP="008A67B2">
      <w:pPr>
        <w:jc w:val="center"/>
        <w:rPr>
          <w:rFonts w:ascii="Arial" w:hAnsi="Arial" w:cs="Arial"/>
          <w:sz w:val="22"/>
          <w:szCs w:val="22"/>
        </w:rPr>
      </w:pPr>
      <w:r w:rsidRPr="00785AE1">
        <w:rPr>
          <w:rFonts w:ascii="Arial" w:hAnsi="Arial" w:cs="Arial"/>
          <w:sz w:val="22"/>
          <w:szCs w:val="22"/>
        </w:rPr>
        <w:t>Tabla No. 7</w:t>
      </w:r>
    </w:p>
    <w:p w:rsidR="008A67B2" w:rsidRPr="008A67B2" w:rsidRDefault="008A67B2" w:rsidP="008A67B2">
      <w:pPr>
        <w:jc w:val="center"/>
        <w:rPr>
          <w:rFonts w:ascii="Arial" w:hAnsi="Arial" w:cs="Arial"/>
          <w:sz w:val="22"/>
          <w:szCs w:val="22"/>
        </w:rPr>
      </w:pPr>
      <w:r w:rsidRPr="008A67B2">
        <w:rPr>
          <w:rFonts w:ascii="Arial" w:hAnsi="Arial" w:cs="Arial"/>
          <w:sz w:val="22"/>
          <w:szCs w:val="22"/>
        </w:rPr>
        <w:t>Comparación cierre de tesorería DADIS / Reporte FUT</w:t>
      </w:r>
    </w:p>
    <w:p w:rsidR="008A67B2" w:rsidRPr="008A67B2" w:rsidRDefault="008A67B2" w:rsidP="008A67B2">
      <w:pPr>
        <w:jc w:val="center"/>
        <w:rPr>
          <w:rFonts w:ascii="Arial" w:hAnsi="Arial" w:cs="Arial"/>
          <w:sz w:val="22"/>
          <w:szCs w:val="22"/>
        </w:rPr>
      </w:pPr>
      <w:r w:rsidRPr="008A67B2">
        <w:rPr>
          <w:rFonts w:ascii="Arial" w:hAnsi="Arial" w:cs="Arial"/>
          <w:noProof/>
          <w:sz w:val="22"/>
          <w:szCs w:val="22"/>
          <w:lang w:val="es-CO" w:eastAsia="es-CO"/>
        </w:rPr>
        <w:drawing>
          <wp:inline distT="0" distB="0" distL="0" distR="0">
            <wp:extent cx="3926840" cy="128460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6840" cy="1284605"/>
                    </a:xfrm>
                    <a:prstGeom prst="rect">
                      <a:avLst/>
                    </a:prstGeom>
                    <a:noFill/>
                    <a:ln>
                      <a:noFill/>
                    </a:ln>
                  </pic:spPr>
                </pic:pic>
              </a:graphicData>
            </a:graphic>
          </wp:inline>
        </w:drawing>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Se observa que, en suma, el resultado de tesorería reportado guarda cierta consistencia con el informe de cierre fiscal reportado por el área de salud en el FUT (salvo en el monto de las exigibilidades).</w:t>
      </w:r>
      <w:r w:rsidR="004E77EA">
        <w:rPr>
          <w:rFonts w:ascii="Arial" w:hAnsi="Arial" w:cs="Arial"/>
          <w:sz w:val="22"/>
          <w:szCs w:val="22"/>
        </w:rPr>
        <w:t xml:space="preserve"> </w:t>
      </w:r>
      <w:r w:rsidRPr="008A67B2">
        <w:rPr>
          <w:rFonts w:ascii="Arial" w:hAnsi="Arial" w:cs="Arial"/>
          <w:sz w:val="22"/>
          <w:szCs w:val="22"/>
        </w:rPr>
        <w:t>Las diferencias radican en que el reporte del DADIS parte de los saldos de las cuentas maestras que consolidan fuentes adicionales distintas al SGP, mientras en el reporte FUT parte de la identificación de la fuente, separando las del SGP:</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Respecto a los actos administrativos de constitución de reservas presupuestales y cuentas por pagar expedidos por el Distrito de Cartagena</w:t>
      </w:r>
      <w:r w:rsidR="00B51D68">
        <w:rPr>
          <w:rFonts w:ascii="Arial" w:hAnsi="Arial" w:cs="Arial"/>
          <w:sz w:val="22"/>
          <w:szCs w:val="22"/>
        </w:rPr>
        <w:t xml:space="preserve"> de</w:t>
      </w:r>
      <w:r w:rsidRPr="008A67B2">
        <w:rPr>
          <w:rFonts w:ascii="Arial" w:hAnsi="Arial" w:cs="Arial"/>
          <w:sz w:val="22"/>
          <w:szCs w:val="22"/>
        </w:rPr>
        <w:t>l sector salud</w:t>
      </w:r>
      <w:r w:rsidR="00B51D68">
        <w:rPr>
          <w:rFonts w:ascii="Arial" w:hAnsi="Arial" w:cs="Arial"/>
          <w:sz w:val="22"/>
          <w:szCs w:val="22"/>
        </w:rPr>
        <w:t xml:space="preserve">, </w:t>
      </w:r>
      <w:r w:rsidRPr="008A67B2">
        <w:rPr>
          <w:rFonts w:ascii="Arial" w:hAnsi="Arial" w:cs="Arial"/>
          <w:sz w:val="22"/>
          <w:szCs w:val="22"/>
        </w:rPr>
        <w:t>muestran valores similares a los calculados mediante las diferencias de compromisos y obligaciones y obligaciones y pagos, lo que significa un avance en el manejo presupuestal del Distrito.</w:t>
      </w:r>
      <w:r w:rsidR="004E77EA">
        <w:rPr>
          <w:rFonts w:ascii="Arial" w:hAnsi="Arial" w:cs="Arial"/>
          <w:sz w:val="22"/>
          <w:szCs w:val="22"/>
        </w:rPr>
        <w:t xml:space="preserve">  </w:t>
      </w:r>
      <w:r w:rsidRPr="008A67B2">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8A67B2" w:rsidRDefault="008A67B2" w:rsidP="008A67B2">
      <w:pPr>
        <w:numPr>
          <w:ilvl w:val="0"/>
          <w:numId w:val="11"/>
        </w:numPr>
        <w:contextualSpacing/>
        <w:jc w:val="both"/>
        <w:rPr>
          <w:rFonts w:ascii="Arial" w:hAnsi="Arial" w:cs="Arial"/>
          <w:b/>
          <w:sz w:val="22"/>
          <w:szCs w:val="22"/>
        </w:rPr>
      </w:pPr>
      <w:bookmarkStart w:id="3" w:name="INCUMPLIMIENTO"/>
      <w:bookmarkStart w:id="4" w:name="AVANCES"/>
      <w:bookmarkEnd w:id="3"/>
      <w:bookmarkEnd w:id="4"/>
      <w:r w:rsidRPr="008A67B2">
        <w:rPr>
          <w:rFonts w:ascii="Arial" w:hAnsi="Arial" w:cs="Arial"/>
          <w:b/>
          <w:sz w:val="22"/>
          <w:szCs w:val="22"/>
        </w:rPr>
        <w:t>Resultados de la evaluación a la medida adoptada</w:t>
      </w:r>
    </w:p>
    <w:p w:rsidR="008A67B2" w:rsidRPr="008A67B2" w:rsidRDefault="008A67B2" w:rsidP="008A67B2">
      <w:pPr>
        <w:rPr>
          <w:rFonts w:ascii="Arial" w:hAnsi="Arial" w:cs="Arial"/>
          <w:sz w:val="22"/>
          <w:szCs w:val="22"/>
        </w:rPr>
      </w:pPr>
    </w:p>
    <w:p w:rsidR="008A67B2" w:rsidRDefault="008A67B2" w:rsidP="00F914D2">
      <w:pPr>
        <w:numPr>
          <w:ilvl w:val="0"/>
          <w:numId w:val="12"/>
        </w:numPr>
        <w:jc w:val="both"/>
        <w:rPr>
          <w:rFonts w:ascii="Arial" w:hAnsi="Arial" w:cs="Arial"/>
          <w:b/>
          <w:sz w:val="22"/>
          <w:szCs w:val="22"/>
        </w:rPr>
      </w:pPr>
      <w:r w:rsidRPr="00785AE1">
        <w:rPr>
          <w:rFonts w:ascii="Arial" w:hAnsi="Arial" w:cs="Arial"/>
          <w:b/>
          <w:sz w:val="22"/>
          <w:szCs w:val="22"/>
        </w:rPr>
        <w:t xml:space="preserve">Cumplimientos </w:t>
      </w:r>
    </w:p>
    <w:p w:rsidR="008A67B2" w:rsidRPr="008A67B2" w:rsidRDefault="008A67B2" w:rsidP="008A67B2">
      <w:pPr>
        <w:rPr>
          <w:rFonts w:ascii="Arial" w:hAnsi="Arial" w:cs="Arial"/>
          <w:b/>
          <w:sz w:val="22"/>
          <w:szCs w:val="22"/>
        </w:rPr>
      </w:pPr>
    </w:p>
    <w:p w:rsidR="008A67B2" w:rsidRPr="008A67B2" w:rsidRDefault="008A67B2" w:rsidP="008A67B2">
      <w:pPr>
        <w:jc w:val="both"/>
        <w:rPr>
          <w:rFonts w:ascii="Arial" w:hAnsi="Arial" w:cs="Arial"/>
          <w:b/>
          <w:sz w:val="22"/>
          <w:szCs w:val="22"/>
        </w:rPr>
      </w:pPr>
      <w:r w:rsidRPr="008A67B2">
        <w:rPr>
          <w:rFonts w:ascii="Arial" w:hAnsi="Arial" w:cs="Arial"/>
          <w:b/>
          <w:sz w:val="22"/>
          <w:szCs w:val="22"/>
        </w:rPr>
        <w:t>Actividad 1. Realizar los ajustes requeridos en la estructura presupuestal de Ingresos y Gastos del Fondo de Salud Distrital, atendiendo las disposiciones señaladas en la normatividad vigente, de manera que permita identificar cada una de las fuentes y las subcuentas del Sector Salud y facilite el seguimiento a la planeación y ejecución de los recursos asignados.</w:t>
      </w:r>
    </w:p>
    <w:p w:rsidR="008A67B2" w:rsidRPr="008A67B2" w:rsidRDefault="008A67B2" w:rsidP="008A67B2">
      <w:pPr>
        <w:jc w:val="both"/>
        <w:rPr>
          <w:rFonts w:ascii="Arial" w:hAnsi="Arial" w:cs="Arial"/>
          <w:b/>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Las evidencias se encuentran consignadas en el sistema SIED con el número de Expediente</w:t>
      </w:r>
      <w:r w:rsidR="00785AE1">
        <w:rPr>
          <w:rFonts w:ascii="Arial" w:hAnsi="Arial" w:cs="Arial"/>
          <w:sz w:val="22"/>
          <w:szCs w:val="22"/>
        </w:rPr>
        <w:t xml:space="preserve"> 120/2018/D028-PREDI / </w:t>
      </w:r>
      <w:r w:rsidRPr="008A67B2">
        <w:rPr>
          <w:rFonts w:ascii="Arial" w:hAnsi="Arial" w:cs="Arial"/>
          <w:sz w:val="22"/>
          <w:szCs w:val="22"/>
        </w:rPr>
        <w:t xml:space="preserve">Dichas evidencias se relacionan a continuación: </w:t>
      </w:r>
    </w:p>
    <w:p w:rsidR="008A67B2" w:rsidRPr="008A67B2" w:rsidRDefault="008A67B2" w:rsidP="008A67B2">
      <w:pPr>
        <w:jc w:val="both"/>
        <w:rPr>
          <w:rFonts w:ascii="Arial" w:hAnsi="Arial" w:cs="Arial"/>
          <w:b/>
          <w:sz w:val="22"/>
          <w:szCs w:val="22"/>
        </w:rPr>
      </w:pPr>
    </w:p>
    <w:p w:rsidR="008A67B2" w:rsidRPr="008A67B2" w:rsidRDefault="008A67B2" w:rsidP="008A67B2">
      <w:pPr>
        <w:pStyle w:val="Prrafodelista"/>
        <w:widowControl w:val="0"/>
        <w:numPr>
          <w:ilvl w:val="1"/>
          <w:numId w:val="13"/>
        </w:numPr>
        <w:tabs>
          <w:tab w:val="left" w:pos="726"/>
        </w:tabs>
        <w:autoSpaceDE w:val="0"/>
        <w:autoSpaceDN w:val="0"/>
        <w:ind w:hanging="361"/>
        <w:rPr>
          <w:rFonts w:ascii="Arial" w:hAnsi="Arial" w:cs="Arial"/>
          <w:sz w:val="22"/>
          <w:szCs w:val="22"/>
        </w:rPr>
      </w:pPr>
      <w:r w:rsidRPr="008A67B2">
        <w:rPr>
          <w:rFonts w:ascii="Arial" w:hAnsi="Arial" w:cs="Arial"/>
          <w:sz w:val="22"/>
          <w:szCs w:val="22"/>
        </w:rPr>
        <w:t>Excel Ejecución de Ingresos DADIS a</w:t>
      </w:r>
      <w:r w:rsidRPr="008A67B2">
        <w:rPr>
          <w:rFonts w:ascii="Arial" w:hAnsi="Arial" w:cs="Arial"/>
          <w:spacing w:val="-3"/>
          <w:sz w:val="22"/>
          <w:szCs w:val="22"/>
        </w:rPr>
        <w:t xml:space="preserve"> </w:t>
      </w:r>
      <w:r w:rsidRPr="008A67B2">
        <w:rPr>
          <w:rFonts w:ascii="Arial" w:hAnsi="Arial" w:cs="Arial"/>
          <w:sz w:val="22"/>
          <w:szCs w:val="22"/>
        </w:rPr>
        <w:t>31/12/2020</w:t>
      </w:r>
    </w:p>
    <w:p w:rsidR="008A67B2" w:rsidRPr="008A67B2" w:rsidRDefault="008A67B2" w:rsidP="008A67B2">
      <w:pPr>
        <w:pStyle w:val="Prrafodelista"/>
        <w:widowControl w:val="0"/>
        <w:numPr>
          <w:ilvl w:val="1"/>
          <w:numId w:val="13"/>
        </w:numPr>
        <w:tabs>
          <w:tab w:val="left" w:pos="726"/>
        </w:tabs>
        <w:autoSpaceDE w:val="0"/>
        <w:autoSpaceDN w:val="0"/>
        <w:ind w:hanging="361"/>
        <w:rPr>
          <w:rFonts w:ascii="Arial" w:hAnsi="Arial" w:cs="Arial"/>
          <w:sz w:val="22"/>
          <w:szCs w:val="22"/>
        </w:rPr>
      </w:pPr>
      <w:r w:rsidRPr="008A67B2">
        <w:rPr>
          <w:rFonts w:ascii="Arial" w:hAnsi="Arial" w:cs="Arial"/>
          <w:sz w:val="22"/>
          <w:szCs w:val="22"/>
        </w:rPr>
        <w:t>Excel Ejecución de Gastos DADIS a</w:t>
      </w:r>
      <w:r w:rsidRPr="008A67B2">
        <w:rPr>
          <w:rFonts w:ascii="Arial" w:hAnsi="Arial" w:cs="Arial"/>
          <w:spacing w:val="-3"/>
          <w:sz w:val="22"/>
          <w:szCs w:val="22"/>
        </w:rPr>
        <w:t xml:space="preserve"> </w:t>
      </w:r>
      <w:r w:rsidRPr="008A67B2">
        <w:rPr>
          <w:rFonts w:ascii="Arial" w:hAnsi="Arial" w:cs="Arial"/>
          <w:sz w:val="22"/>
          <w:szCs w:val="22"/>
        </w:rPr>
        <w:t>31/12/2020</w:t>
      </w:r>
    </w:p>
    <w:p w:rsidR="008A67B2" w:rsidRPr="008A67B2" w:rsidRDefault="008A67B2" w:rsidP="008A67B2">
      <w:pPr>
        <w:pStyle w:val="Prrafodelista"/>
        <w:widowControl w:val="0"/>
        <w:numPr>
          <w:ilvl w:val="1"/>
          <w:numId w:val="13"/>
        </w:numPr>
        <w:tabs>
          <w:tab w:val="left" w:pos="726"/>
        </w:tabs>
        <w:autoSpaceDE w:val="0"/>
        <w:autoSpaceDN w:val="0"/>
        <w:ind w:hanging="361"/>
        <w:rPr>
          <w:rFonts w:ascii="Arial" w:hAnsi="Arial" w:cs="Arial"/>
          <w:sz w:val="22"/>
          <w:szCs w:val="22"/>
        </w:rPr>
      </w:pPr>
      <w:r w:rsidRPr="008A67B2">
        <w:rPr>
          <w:rFonts w:ascii="Arial" w:hAnsi="Arial" w:cs="Arial"/>
          <w:sz w:val="22"/>
          <w:szCs w:val="22"/>
        </w:rPr>
        <w:t>Oficio No. AMC-OFI-0017719-2020 solicitud de evidencia cambios en</w:t>
      </w:r>
      <w:r w:rsidRPr="008A67B2">
        <w:rPr>
          <w:rFonts w:ascii="Arial" w:hAnsi="Arial" w:cs="Arial"/>
          <w:spacing w:val="-10"/>
          <w:sz w:val="22"/>
          <w:szCs w:val="22"/>
        </w:rPr>
        <w:t xml:space="preserve"> </w:t>
      </w:r>
      <w:r w:rsidRPr="008A67B2">
        <w:rPr>
          <w:rFonts w:ascii="Arial" w:hAnsi="Arial" w:cs="Arial"/>
          <w:sz w:val="22"/>
          <w:szCs w:val="22"/>
        </w:rPr>
        <w:t>PREDIS</w:t>
      </w:r>
    </w:p>
    <w:p w:rsidR="008A67B2" w:rsidRPr="008A67B2" w:rsidRDefault="008A67B2" w:rsidP="008A67B2">
      <w:pPr>
        <w:pStyle w:val="Prrafodelista"/>
        <w:widowControl w:val="0"/>
        <w:numPr>
          <w:ilvl w:val="1"/>
          <w:numId w:val="13"/>
        </w:numPr>
        <w:tabs>
          <w:tab w:val="left" w:pos="726"/>
        </w:tabs>
        <w:autoSpaceDE w:val="0"/>
        <w:autoSpaceDN w:val="0"/>
        <w:ind w:hanging="361"/>
        <w:rPr>
          <w:rFonts w:ascii="Arial" w:hAnsi="Arial" w:cs="Arial"/>
          <w:sz w:val="22"/>
          <w:szCs w:val="22"/>
        </w:rPr>
      </w:pPr>
      <w:r w:rsidRPr="008A67B2">
        <w:rPr>
          <w:rFonts w:ascii="Arial" w:hAnsi="Arial" w:cs="Arial"/>
          <w:sz w:val="22"/>
          <w:szCs w:val="22"/>
        </w:rPr>
        <w:t>Oficio No. AMC-OFI-0019053-2020. AJUSTES</w:t>
      </w:r>
      <w:r w:rsidRPr="008A67B2">
        <w:rPr>
          <w:rFonts w:ascii="Arial" w:hAnsi="Arial" w:cs="Arial"/>
          <w:spacing w:val="-3"/>
          <w:sz w:val="22"/>
          <w:szCs w:val="22"/>
        </w:rPr>
        <w:t xml:space="preserve"> </w:t>
      </w:r>
      <w:r w:rsidRPr="008A67B2">
        <w:rPr>
          <w:rFonts w:ascii="Arial" w:hAnsi="Arial" w:cs="Arial"/>
          <w:sz w:val="22"/>
          <w:szCs w:val="22"/>
        </w:rPr>
        <w:t>PREDIS.</w:t>
      </w:r>
    </w:p>
    <w:p w:rsidR="008A67B2" w:rsidRPr="008A67B2" w:rsidRDefault="008A67B2" w:rsidP="008A67B2">
      <w:pPr>
        <w:pStyle w:val="Prrafodelista"/>
        <w:widowControl w:val="0"/>
        <w:numPr>
          <w:ilvl w:val="1"/>
          <w:numId w:val="13"/>
        </w:numPr>
        <w:tabs>
          <w:tab w:val="left" w:pos="798"/>
        </w:tabs>
        <w:autoSpaceDE w:val="0"/>
        <w:autoSpaceDN w:val="0"/>
        <w:ind w:left="365" w:right="49" w:firstLine="0"/>
        <w:jc w:val="both"/>
        <w:rPr>
          <w:rFonts w:ascii="Arial" w:hAnsi="Arial" w:cs="Arial"/>
          <w:sz w:val="22"/>
          <w:szCs w:val="22"/>
        </w:rPr>
      </w:pPr>
      <w:r w:rsidRPr="008A67B2">
        <w:rPr>
          <w:rFonts w:ascii="Arial" w:hAnsi="Arial" w:cs="Arial"/>
          <w:sz w:val="22"/>
          <w:szCs w:val="22"/>
        </w:rPr>
        <w:lastRenderedPageBreak/>
        <w:t>Pantallazos de PREDIS que evidencian un sistema de información armonizado permitiendo claridad, oportunidad y coherencia de la información financiera (Distrito- Fondo de</w:t>
      </w:r>
      <w:r w:rsidRPr="008A67B2">
        <w:rPr>
          <w:rFonts w:ascii="Arial" w:hAnsi="Arial" w:cs="Arial"/>
          <w:spacing w:val="-2"/>
          <w:sz w:val="22"/>
          <w:szCs w:val="22"/>
        </w:rPr>
        <w:t xml:space="preserve"> </w:t>
      </w:r>
      <w:r w:rsidRPr="008A67B2">
        <w:rPr>
          <w:rFonts w:ascii="Arial" w:hAnsi="Arial" w:cs="Arial"/>
          <w:sz w:val="22"/>
          <w:szCs w:val="22"/>
        </w:rPr>
        <w:t>Salud).</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Considerando la necesidad de realizar ajustes en la estructura presupuestal del Fondo Distrital de Salud (DADIS) a los preceptos establecidos en la Resolución 3042 de 2007, y ajustes en el sistema de información que permita consolidar de forma clara la ejecución del Fondo de Salud, se remitieron los pantallazos del sistema de información PREDIS, en los que es posible identificar la ejecución del Fondo de Salud.</w:t>
      </w:r>
      <w:r w:rsidR="004E77EA">
        <w:rPr>
          <w:rFonts w:ascii="Arial" w:hAnsi="Arial" w:cs="Arial"/>
          <w:sz w:val="22"/>
          <w:szCs w:val="22"/>
        </w:rPr>
        <w:t xml:space="preserve"> </w:t>
      </w:r>
    </w:p>
    <w:p w:rsidR="008A67B2" w:rsidRPr="008A67B2" w:rsidRDefault="008A67B2" w:rsidP="008A67B2">
      <w:pPr>
        <w:rPr>
          <w:rFonts w:ascii="Arial" w:hAnsi="Arial" w:cs="Arial"/>
          <w:sz w:val="22"/>
          <w:szCs w:val="22"/>
        </w:rPr>
      </w:pPr>
    </w:p>
    <w:p w:rsidR="008A67B2" w:rsidRPr="00785AE1" w:rsidRDefault="008A67B2" w:rsidP="008A67B2">
      <w:pPr>
        <w:jc w:val="center"/>
        <w:rPr>
          <w:rFonts w:ascii="Arial" w:hAnsi="Arial" w:cs="Arial"/>
          <w:sz w:val="22"/>
          <w:szCs w:val="22"/>
        </w:rPr>
      </w:pPr>
      <w:r w:rsidRPr="00785AE1">
        <w:rPr>
          <w:rFonts w:ascii="Arial" w:hAnsi="Arial" w:cs="Arial"/>
          <w:sz w:val="22"/>
          <w:szCs w:val="22"/>
        </w:rPr>
        <w:t>Tabla No. 8</w:t>
      </w:r>
    </w:p>
    <w:p w:rsidR="008A67B2" w:rsidRPr="008A67B2" w:rsidRDefault="008A67B2" w:rsidP="008A67B2">
      <w:pPr>
        <w:jc w:val="center"/>
        <w:rPr>
          <w:rFonts w:ascii="Arial" w:hAnsi="Arial" w:cs="Arial"/>
          <w:sz w:val="22"/>
          <w:szCs w:val="22"/>
        </w:rPr>
      </w:pPr>
      <w:r w:rsidRPr="008A67B2">
        <w:rPr>
          <w:rFonts w:ascii="Arial" w:hAnsi="Arial" w:cs="Arial"/>
          <w:sz w:val="22"/>
          <w:szCs w:val="22"/>
        </w:rPr>
        <w:t xml:space="preserve">Imágenes Sistema de información PREDIS – Ingresos y Gastos Presupuesto Fondo de Salud Cartagena </w:t>
      </w:r>
    </w:p>
    <w:p w:rsidR="008A67B2" w:rsidRPr="008A67B2" w:rsidRDefault="008A67B2" w:rsidP="008A67B2">
      <w:pPr>
        <w:jc w:val="center"/>
        <w:rPr>
          <w:rFonts w:ascii="Arial" w:hAnsi="Arial" w:cs="Arial"/>
          <w:sz w:val="22"/>
          <w:szCs w:val="22"/>
        </w:rPr>
      </w:pPr>
      <w:r w:rsidRPr="008A67B2">
        <w:rPr>
          <w:rFonts w:ascii="Arial" w:hAnsi="Arial" w:cs="Arial"/>
          <w:noProof/>
          <w:sz w:val="22"/>
          <w:szCs w:val="22"/>
          <w:lang w:val="es-CO" w:eastAsia="es-CO"/>
        </w:rPr>
        <w:drawing>
          <wp:inline distT="0" distB="0" distL="0" distR="0">
            <wp:extent cx="5363210" cy="1952625"/>
            <wp:effectExtent l="0" t="0" r="889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t="-2" r="32462" b="66982"/>
                    <a:stretch>
                      <a:fillRect/>
                    </a:stretch>
                  </pic:blipFill>
                  <pic:spPr bwMode="auto">
                    <a:xfrm>
                      <a:off x="0" y="0"/>
                      <a:ext cx="5363210" cy="1952625"/>
                    </a:xfrm>
                    <a:prstGeom prst="rect">
                      <a:avLst/>
                    </a:prstGeom>
                    <a:noFill/>
                    <a:ln>
                      <a:noFill/>
                    </a:ln>
                  </pic:spPr>
                </pic:pic>
              </a:graphicData>
            </a:graphic>
          </wp:inline>
        </w:drawing>
      </w:r>
    </w:p>
    <w:p w:rsidR="008A67B2" w:rsidRPr="008A67B2" w:rsidRDefault="008A67B2" w:rsidP="008A67B2">
      <w:pPr>
        <w:jc w:val="both"/>
        <w:rPr>
          <w:rFonts w:ascii="Arial" w:hAnsi="Arial" w:cs="Arial"/>
          <w:sz w:val="22"/>
          <w:szCs w:val="22"/>
        </w:rPr>
      </w:pPr>
    </w:p>
    <w:p w:rsidR="008A67B2" w:rsidRPr="008A67B2" w:rsidRDefault="008A67B2" w:rsidP="008A67B2">
      <w:pPr>
        <w:jc w:val="center"/>
        <w:rPr>
          <w:rFonts w:ascii="Arial" w:eastAsia="Times New Roman" w:hAnsi="Arial" w:cs="Arial"/>
          <w:sz w:val="22"/>
          <w:szCs w:val="22"/>
          <w:lang w:val="es-CO" w:eastAsia="es-CO"/>
        </w:rPr>
      </w:pPr>
      <w:r w:rsidRPr="008A67B2">
        <w:rPr>
          <w:rFonts w:ascii="Arial" w:eastAsia="Times New Roman" w:hAnsi="Arial" w:cs="Arial"/>
          <w:noProof/>
          <w:color w:val="000000"/>
          <w:sz w:val="22"/>
          <w:szCs w:val="22"/>
          <w:lang w:val="es-CO" w:eastAsia="es-CO"/>
        </w:rPr>
        <w:drawing>
          <wp:inline distT="0" distB="0" distL="0" distR="0">
            <wp:extent cx="5361862" cy="179699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9">
                      <a:extLst>
                        <a:ext uri="{28A0092B-C50C-407E-A947-70E740481C1C}">
                          <a14:useLocalDpi xmlns:a14="http://schemas.microsoft.com/office/drawing/2010/main" val="0"/>
                        </a:ext>
                      </a:extLst>
                    </a:blip>
                    <a:srcRect t="2" r="40244" b="62204"/>
                    <a:stretch>
                      <a:fillRect/>
                    </a:stretch>
                  </pic:blipFill>
                  <pic:spPr bwMode="auto">
                    <a:xfrm>
                      <a:off x="0" y="0"/>
                      <a:ext cx="5383698" cy="1804313"/>
                    </a:xfrm>
                    <a:prstGeom prst="rect">
                      <a:avLst/>
                    </a:prstGeom>
                    <a:noFill/>
                    <a:ln>
                      <a:noFill/>
                    </a:ln>
                  </pic:spPr>
                </pic:pic>
              </a:graphicData>
            </a:graphic>
          </wp:inline>
        </w:drawing>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 xml:space="preserve">Esto corresponde a los avances coordinados con la Oficina Asesora Informática del Distrito, área que ha apoyado la parametrización en la estructura presupuestal en el sistema de presupuesto distrital – PREDIS, permitiendo la consulta y la generación de la ejecución de ingresos del Fondo de Salud.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Adicionalmente, sobre la estructura presupuestal adoptada tanto en ingresos como en gastos, es posible concluir:</w:t>
      </w:r>
      <w:r w:rsidR="004E77EA">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8A67B2" w:rsidRDefault="008A67B2" w:rsidP="008A67B2">
      <w:pPr>
        <w:pStyle w:val="Prrafodelista"/>
        <w:ind w:left="0"/>
        <w:jc w:val="both"/>
        <w:rPr>
          <w:rFonts w:ascii="Arial" w:hAnsi="Arial" w:cs="Arial"/>
          <w:sz w:val="22"/>
          <w:szCs w:val="22"/>
        </w:rPr>
      </w:pPr>
      <w:r w:rsidRPr="008A67B2">
        <w:rPr>
          <w:rFonts w:ascii="Arial" w:hAnsi="Arial" w:cs="Arial"/>
          <w:sz w:val="22"/>
          <w:szCs w:val="22"/>
        </w:rPr>
        <w:lastRenderedPageBreak/>
        <w:t>La ejecución de ingresos refleja los recursos tributarios asignados al sector salud y la totalidad de los demás ingresos corrientes y los de capital.</w:t>
      </w:r>
      <w:r w:rsidR="004E77EA">
        <w:rPr>
          <w:rFonts w:ascii="Arial" w:hAnsi="Arial" w:cs="Arial"/>
          <w:sz w:val="22"/>
          <w:szCs w:val="22"/>
        </w:rPr>
        <w:t xml:space="preserve"> </w:t>
      </w:r>
      <w:r w:rsidRPr="008A67B2">
        <w:rPr>
          <w:rFonts w:ascii="Arial" w:hAnsi="Arial" w:cs="Arial"/>
          <w:sz w:val="22"/>
          <w:szCs w:val="22"/>
        </w:rPr>
        <w:t xml:space="preserve">Sin embargo, aún es necesario reordenar la consulta agregando en un solo grupo los ingresos corrientes. </w:t>
      </w:r>
    </w:p>
    <w:p w:rsidR="00785AE1" w:rsidRDefault="00785AE1" w:rsidP="008A67B2">
      <w:pPr>
        <w:pStyle w:val="Prrafodelista"/>
        <w:ind w:left="0"/>
        <w:jc w:val="both"/>
        <w:rPr>
          <w:rFonts w:ascii="Arial" w:hAnsi="Arial" w:cs="Arial"/>
          <w:sz w:val="22"/>
          <w:szCs w:val="22"/>
        </w:rPr>
      </w:pPr>
    </w:p>
    <w:p w:rsidR="008A67B2" w:rsidRPr="00785AE1" w:rsidRDefault="008A67B2" w:rsidP="008A67B2">
      <w:pPr>
        <w:jc w:val="center"/>
        <w:rPr>
          <w:rFonts w:ascii="Arial" w:hAnsi="Arial" w:cs="Arial"/>
          <w:sz w:val="22"/>
          <w:szCs w:val="22"/>
        </w:rPr>
      </w:pPr>
      <w:r w:rsidRPr="00785AE1">
        <w:rPr>
          <w:rFonts w:ascii="Arial" w:hAnsi="Arial" w:cs="Arial"/>
          <w:sz w:val="22"/>
          <w:szCs w:val="22"/>
        </w:rPr>
        <w:t>Tabla No. 9</w:t>
      </w:r>
    </w:p>
    <w:p w:rsidR="008A67B2" w:rsidRPr="008A67B2" w:rsidRDefault="008A67B2" w:rsidP="008A67B2">
      <w:pPr>
        <w:jc w:val="center"/>
        <w:rPr>
          <w:rFonts w:ascii="Arial" w:hAnsi="Arial" w:cs="Arial"/>
          <w:sz w:val="22"/>
          <w:szCs w:val="22"/>
        </w:rPr>
      </w:pPr>
      <w:r w:rsidRPr="008A67B2">
        <w:rPr>
          <w:rFonts w:ascii="Arial" w:hAnsi="Arial" w:cs="Arial"/>
          <w:sz w:val="22"/>
          <w:szCs w:val="22"/>
        </w:rPr>
        <w:t xml:space="preserve">Esquema adoptado en la ejecución de Ingresos Presupuesto Fondo de Salud Cartagena </w:t>
      </w:r>
    </w:p>
    <w:p w:rsidR="008A67B2" w:rsidRPr="008A67B2" w:rsidRDefault="008A67B2" w:rsidP="008A67B2">
      <w:pPr>
        <w:jc w:val="center"/>
        <w:rPr>
          <w:rFonts w:ascii="Arial" w:hAnsi="Arial" w:cs="Arial"/>
          <w:sz w:val="22"/>
          <w:szCs w:val="22"/>
        </w:rPr>
      </w:pPr>
      <w:r w:rsidRPr="008A67B2">
        <w:rPr>
          <w:rFonts w:ascii="Arial" w:hAnsi="Arial" w:cs="Arial"/>
          <w:noProof/>
          <w:sz w:val="22"/>
          <w:szCs w:val="22"/>
          <w:lang w:val="es-CO" w:eastAsia="es-CO"/>
        </w:rPr>
        <w:drawing>
          <wp:inline distT="0" distB="0" distL="0" distR="0">
            <wp:extent cx="4964430" cy="3209925"/>
            <wp:effectExtent l="0" t="0" r="762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4430" cy="3209925"/>
                    </a:xfrm>
                    <a:prstGeom prst="rect">
                      <a:avLst/>
                    </a:prstGeom>
                    <a:noFill/>
                    <a:ln>
                      <a:noFill/>
                    </a:ln>
                  </pic:spPr>
                </pic:pic>
              </a:graphicData>
            </a:graphic>
          </wp:inline>
        </w:drawing>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 xml:space="preserve">En relación </w:t>
      </w:r>
      <w:r w:rsidR="0062793E">
        <w:rPr>
          <w:rFonts w:ascii="Arial" w:hAnsi="Arial" w:cs="Arial"/>
          <w:sz w:val="22"/>
          <w:szCs w:val="22"/>
        </w:rPr>
        <w:t>con</w:t>
      </w:r>
      <w:r w:rsidRPr="008A67B2">
        <w:rPr>
          <w:rFonts w:ascii="Arial" w:hAnsi="Arial" w:cs="Arial"/>
          <w:sz w:val="22"/>
          <w:szCs w:val="22"/>
        </w:rPr>
        <w:t xml:space="preserve"> los gastos, se evidencian grandes avances, como la priorización de la subcuenta del fondo de salud como primer criterio y el uso adecuado de las variables de compromisos, obligaciones y pagos.</w:t>
      </w:r>
      <w:r w:rsidR="004E77EA">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785AE1" w:rsidRDefault="008A67B2" w:rsidP="008A67B2">
      <w:pPr>
        <w:jc w:val="center"/>
        <w:rPr>
          <w:rFonts w:ascii="Arial" w:hAnsi="Arial" w:cs="Arial"/>
          <w:sz w:val="22"/>
          <w:szCs w:val="22"/>
        </w:rPr>
      </w:pPr>
      <w:r w:rsidRPr="00785AE1">
        <w:rPr>
          <w:rFonts w:ascii="Arial" w:hAnsi="Arial" w:cs="Arial"/>
          <w:sz w:val="22"/>
          <w:szCs w:val="22"/>
        </w:rPr>
        <w:t>Tabla No. 10</w:t>
      </w:r>
    </w:p>
    <w:p w:rsidR="008A67B2" w:rsidRPr="008A67B2" w:rsidRDefault="008A67B2" w:rsidP="008A67B2">
      <w:pPr>
        <w:jc w:val="center"/>
        <w:rPr>
          <w:rFonts w:ascii="Arial" w:hAnsi="Arial" w:cs="Arial"/>
          <w:sz w:val="22"/>
          <w:szCs w:val="22"/>
        </w:rPr>
      </w:pPr>
      <w:r w:rsidRPr="008A67B2">
        <w:rPr>
          <w:rFonts w:ascii="Arial" w:hAnsi="Arial" w:cs="Arial"/>
          <w:sz w:val="22"/>
          <w:szCs w:val="22"/>
        </w:rPr>
        <w:t xml:space="preserve">Esquema adoptado en la ejecución de Gastos Presupuesto Fondo de Salud Cartagena </w:t>
      </w:r>
    </w:p>
    <w:p w:rsidR="008A67B2" w:rsidRPr="008A67B2" w:rsidRDefault="008A67B2" w:rsidP="008A67B2">
      <w:pPr>
        <w:jc w:val="center"/>
        <w:rPr>
          <w:rFonts w:ascii="Arial" w:hAnsi="Arial" w:cs="Arial"/>
          <w:sz w:val="22"/>
          <w:szCs w:val="22"/>
        </w:rPr>
      </w:pPr>
      <w:r w:rsidRPr="008A67B2">
        <w:rPr>
          <w:rFonts w:ascii="Arial" w:hAnsi="Arial" w:cs="Arial"/>
          <w:noProof/>
          <w:sz w:val="22"/>
          <w:szCs w:val="22"/>
          <w:lang w:val="es-CO" w:eastAsia="es-CO"/>
        </w:rPr>
        <w:drawing>
          <wp:inline distT="0" distB="0" distL="0" distR="0">
            <wp:extent cx="5161280" cy="829945"/>
            <wp:effectExtent l="0" t="0" r="127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1280" cy="829945"/>
                    </a:xfrm>
                    <a:prstGeom prst="rect">
                      <a:avLst/>
                    </a:prstGeom>
                    <a:noFill/>
                    <a:ln>
                      <a:noFill/>
                    </a:ln>
                  </pic:spPr>
                </pic:pic>
              </a:graphicData>
            </a:graphic>
          </wp:inline>
        </w:drawing>
      </w:r>
    </w:p>
    <w:p w:rsidR="008A67B2" w:rsidRPr="008A67B2" w:rsidRDefault="008A67B2" w:rsidP="008A67B2">
      <w:pPr>
        <w:rPr>
          <w:rFonts w:ascii="Arial" w:hAnsi="Arial" w:cs="Arial"/>
          <w:sz w:val="22"/>
          <w:szCs w:val="22"/>
        </w:rPr>
      </w:pPr>
    </w:p>
    <w:p w:rsidR="008A67B2" w:rsidRPr="008A67B2" w:rsidRDefault="00F914D2" w:rsidP="008A67B2">
      <w:pPr>
        <w:jc w:val="both"/>
        <w:rPr>
          <w:rFonts w:ascii="Arial" w:hAnsi="Arial" w:cs="Arial"/>
          <w:sz w:val="22"/>
          <w:szCs w:val="22"/>
        </w:rPr>
      </w:pPr>
      <w:r>
        <w:rPr>
          <w:rFonts w:ascii="Arial" w:hAnsi="Arial" w:cs="Arial"/>
          <w:sz w:val="22"/>
          <w:szCs w:val="22"/>
        </w:rPr>
        <w:t>No obstante los avances referidos que permiten dar cumplimiento a la actividad, s</w:t>
      </w:r>
      <w:r w:rsidR="008A67B2" w:rsidRPr="008A67B2">
        <w:rPr>
          <w:rFonts w:ascii="Arial" w:hAnsi="Arial" w:cs="Arial"/>
          <w:sz w:val="22"/>
          <w:szCs w:val="22"/>
        </w:rPr>
        <w:t>e recomienda adoptar los correctivos y mecanismos de control para garantizar el equilibrio en la ejecución presupuestal de los ingresos y gastos sin situación de fondos, aspecto que llevó a presentar un resultado presupuestal superior al real y que puede afectar el análisis que sobre la ejecución del sector salud se hiciere.</w:t>
      </w:r>
      <w:r w:rsidR="004E77EA">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b/>
          <w:sz w:val="22"/>
          <w:szCs w:val="22"/>
        </w:rPr>
      </w:pPr>
      <w:r w:rsidRPr="008A67B2">
        <w:rPr>
          <w:rFonts w:ascii="Arial" w:hAnsi="Arial" w:cs="Arial"/>
          <w:b/>
          <w:sz w:val="22"/>
          <w:szCs w:val="22"/>
        </w:rPr>
        <w:t>Actividad</w:t>
      </w:r>
      <w:r w:rsidR="004E77EA">
        <w:rPr>
          <w:rFonts w:ascii="Arial" w:hAnsi="Arial" w:cs="Arial"/>
          <w:b/>
          <w:sz w:val="22"/>
          <w:szCs w:val="22"/>
        </w:rPr>
        <w:t xml:space="preserve"> </w:t>
      </w:r>
      <w:r w:rsidRPr="008A67B2">
        <w:rPr>
          <w:rFonts w:ascii="Arial" w:hAnsi="Arial" w:cs="Arial"/>
          <w:b/>
          <w:sz w:val="22"/>
          <w:szCs w:val="22"/>
        </w:rPr>
        <w:t>2.</w:t>
      </w:r>
      <w:r w:rsidR="004E77EA">
        <w:rPr>
          <w:rFonts w:ascii="Arial" w:hAnsi="Arial" w:cs="Arial"/>
          <w:b/>
          <w:sz w:val="22"/>
          <w:szCs w:val="22"/>
        </w:rPr>
        <w:t xml:space="preserve"> </w:t>
      </w:r>
      <w:r w:rsidRPr="008A67B2">
        <w:rPr>
          <w:rFonts w:ascii="Arial" w:hAnsi="Arial" w:cs="Arial"/>
          <w:b/>
          <w:sz w:val="22"/>
          <w:szCs w:val="22"/>
        </w:rPr>
        <w:t xml:space="preserve">Normalizar en adelante el flujo continuo de los reportes de información financiera del Formulario Único Territorial - FUT, en las categorías de Fondo de Salud, </w:t>
      </w:r>
      <w:r w:rsidRPr="008A67B2">
        <w:rPr>
          <w:rFonts w:ascii="Arial" w:hAnsi="Arial" w:cs="Arial"/>
          <w:b/>
          <w:sz w:val="22"/>
          <w:szCs w:val="22"/>
        </w:rPr>
        <w:lastRenderedPageBreak/>
        <w:t>Ingresos, Gastos de Inversión, Cierre Fiscal y de tesorería, así como toda la información contable requerida bajo parámetros de oportunidad y calidad, además de verificar su consistencia con la información financiera emitida por la entidad territorial.</w:t>
      </w:r>
    </w:p>
    <w:p w:rsidR="008A67B2" w:rsidRPr="008A67B2" w:rsidRDefault="008A67B2" w:rsidP="008A67B2">
      <w:pPr>
        <w:jc w:val="both"/>
        <w:rPr>
          <w:rFonts w:ascii="Arial" w:hAnsi="Arial" w:cs="Arial"/>
          <w:b/>
          <w:sz w:val="22"/>
          <w:szCs w:val="22"/>
        </w:rPr>
      </w:pPr>
    </w:p>
    <w:p w:rsidR="008A67B2" w:rsidRDefault="008A67B2" w:rsidP="008A67B2">
      <w:pPr>
        <w:jc w:val="both"/>
        <w:rPr>
          <w:rFonts w:ascii="Arial" w:hAnsi="Arial" w:cs="Arial"/>
          <w:sz w:val="22"/>
          <w:szCs w:val="22"/>
        </w:rPr>
      </w:pPr>
      <w:r w:rsidRPr="008A67B2">
        <w:rPr>
          <w:rFonts w:ascii="Arial" w:hAnsi="Arial" w:cs="Arial"/>
          <w:sz w:val="22"/>
          <w:szCs w:val="22"/>
        </w:rPr>
        <w:t xml:space="preserve">Las evidencias se encuentran consignadas en el sistema SIED con el número de Expediente 120/2018/D028-PREDI / Dichas evidencias se relacionan a continuación: </w:t>
      </w:r>
    </w:p>
    <w:p w:rsidR="008A67B2" w:rsidRPr="008A67B2" w:rsidRDefault="008A67B2" w:rsidP="008A67B2">
      <w:pPr>
        <w:jc w:val="both"/>
        <w:rPr>
          <w:rFonts w:ascii="Arial" w:hAnsi="Arial" w:cs="Arial"/>
          <w:sz w:val="22"/>
          <w:szCs w:val="22"/>
        </w:rPr>
      </w:pPr>
    </w:p>
    <w:p w:rsidR="008A67B2" w:rsidRPr="008A67B2" w:rsidRDefault="008A67B2" w:rsidP="008A67B2">
      <w:pPr>
        <w:pStyle w:val="Prrafodelista"/>
        <w:widowControl w:val="0"/>
        <w:numPr>
          <w:ilvl w:val="1"/>
          <w:numId w:val="14"/>
        </w:numPr>
        <w:tabs>
          <w:tab w:val="left" w:pos="622"/>
        </w:tabs>
        <w:autoSpaceDE w:val="0"/>
        <w:autoSpaceDN w:val="0"/>
        <w:rPr>
          <w:rFonts w:ascii="Arial" w:hAnsi="Arial" w:cs="Arial"/>
          <w:sz w:val="22"/>
          <w:szCs w:val="22"/>
        </w:rPr>
      </w:pPr>
      <w:r w:rsidRPr="008A67B2">
        <w:rPr>
          <w:rFonts w:ascii="Arial" w:hAnsi="Arial" w:cs="Arial"/>
          <w:sz w:val="22"/>
          <w:szCs w:val="22"/>
        </w:rPr>
        <w:t>FUT ejecución presupuestal 4 trimestre − diciembre</w:t>
      </w:r>
      <w:r w:rsidRPr="008A67B2">
        <w:rPr>
          <w:rFonts w:ascii="Arial" w:hAnsi="Arial" w:cs="Arial"/>
          <w:spacing w:val="-33"/>
          <w:sz w:val="22"/>
          <w:szCs w:val="22"/>
        </w:rPr>
        <w:t xml:space="preserve"> </w:t>
      </w:r>
      <w:r w:rsidRPr="008A67B2">
        <w:rPr>
          <w:rFonts w:ascii="Arial" w:hAnsi="Arial" w:cs="Arial"/>
          <w:sz w:val="22"/>
          <w:szCs w:val="22"/>
        </w:rPr>
        <w:t>2020.</w:t>
      </w:r>
    </w:p>
    <w:p w:rsidR="008A67B2" w:rsidRPr="008A67B2" w:rsidRDefault="008A67B2" w:rsidP="008A67B2">
      <w:pPr>
        <w:pStyle w:val="Prrafodelista"/>
        <w:widowControl w:val="0"/>
        <w:numPr>
          <w:ilvl w:val="1"/>
          <w:numId w:val="14"/>
        </w:numPr>
        <w:tabs>
          <w:tab w:val="left" w:pos="622"/>
        </w:tabs>
        <w:autoSpaceDE w:val="0"/>
        <w:autoSpaceDN w:val="0"/>
        <w:spacing w:before="43"/>
        <w:rPr>
          <w:rFonts w:ascii="Arial" w:hAnsi="Arial" w:cs="Arial"/>
          <w:sz w:val="22"/>
          <w:szCs w:val="22"/>
        </w:rPr>
      </w:pPr>
      <w:r w:rsidRPr="008A67B2">
        <w:rPr>
          <w:rFonts w:ascii="Arial" w:hAnsi="Arial" w:cs="Arial"/>
          <w:sz w:val="22"/>
          <w:szCs w:val="22"/>
        </w:rPr>
        <w:t>FUT Tesorería Fondo Salud 4 Trimestre - diciembre</w:t>
      </w:r>
      <w:r w:rsidRPr="008A67B2">
        <w:rPr>
          <w:rFonts w:ascii="Arial" w:hAnsi="Arial" w:cs="Arial"/>
          <w:spacing w:val="-7"/>
          <w:sz w:val="22"/>
          <w:szCs w:val="22"/>
        </w:rPr>
        <w:t xml:space="preserve"> </w:t>
      </w:r>
      <w:r w:rsidRPr="008A67B2">
        <w:rPr>
          <w:rFonts w:ascii="Arial" w:hAnsi="Arial" w:cs="Arial"/>
          <w:sz w:val="22"/>
          <w:szCs w:val="22"/>
        </w:rPr>
        <w:t>2020.</w:t>
      </w:r>
    </w:p>
    <w:p w:rsidR="008A67B2" w:rsidRPr="008A67B2" w:rsidRDefault="008A67B2" w:rsidP="008A67B2">
      <w:pPr>
        <w:pStyle w:val="Prrafodelista"/>
        <w:widowControl w:val="0"/>
        <w:numPr>
          <w:ilvl w:val="1"/>
          <w:numId w:val="14"/>
        </w:numPr>
        <w:tabs>
          <w:tab w:val="left" w:pos="622"/>
        </w:tabs>
        <w:autoSpaceDE w:val="0"/>
        <w:autoSpaceDN w:val="0"/>
        <w:spacing w:before="45"/>
        <w:rPr>
          <w:rFonts w:ascii="Arial" w:hAnsi="Arial" w:cs="Arial"/>
          <w:sz w:val="22"/>
          <w:szCs w:val="22"/>
        </w:rPr>
      </w:pPr>
      <w:r w:rsidRPr="008A67B2">
        <w:rPr>
          <w:rFonts w:ascii="Arial" w:hAnsi="Arial" w:cs="Arial"/>
          <w:sz w:val="22"/>
          <w:szCs w:val="22"/>
        </w:rPr>
        <w:t>Hoja de trabajo</w:t>
      </w:r>
      <w:r w:rsidRPr="008A67B2">
        <w:rPr>
          <w:rFonts w:ascii="Arial" w:hAnsi="Arial" w:cs="Arial"/>
          <w:spacing w:val="-3"/>
          <w:sz w:val="22"/>
          <w:szCs w:val="22"/>
        </w:rPr>
        <w:t xml:space="preserve"> </w:t>
      </w:r>
      <w:r w:rsidRPr="008A67B2">
        <w:rPr>
          <w:rFonts w:ascii="Arial" w:hAnsi="Arial" w:cs="Arial"/>
          <w:sz w:val="22"/>
          <w:szCs w:val="22"/>
        </w:rPr>
        <w:t>FUT</w:t>
      </w:r>
    </w:p>
    <w:p w:rsidR="008A67B2" w:rsidRPr="008A67B2" w:rsidRDefault="008A67B2" w:rsidP="008A67B2">
      <w:pPr>
        <w:pStyle w:val="Prrafodelista"/>
        <w:widowControl w:val="0"/>
        <w:numPr>
          <w:ilvl w:val="1"/>
          <w:numId w:val="14"/>
        </w:numPr>
        <w:tabs>
          <w:tab w:val="left" w:pos="622"/>
        </w:tabs>
        <w:autoSpaceDE w:val="0"/>
        <w:autoSpaceDN w:val="0"/>
        <w:spacing w:before="43"/>
        <w:rPr>
          <w:rFonts w:ascii="Arial" w:hAnsi="Arial" w:cs="Arial"/>
          <w:sz w:val="22"/>
          <w:szCs w:val="22"/>
        </w:rPr>
      </w:pPr>
      <w:r w:rsidRPr="008A67B2">
        <w:rPr>
          <w:rFonts w:ascii="Arial" w:hAnsi="Arial" w:cs="Arial"/>
          <w:sz w:val="22"/>
          <w:szCs w:val="22"/>
        </w:rPr>
        <w:t>Ejecución ingresos DADIS</w:t>
      </w:r>
      <w:r w:rsidRPr="008A67B2">
        <w:rPr>
          <w:rFonts w:ascii="Arial" w:hAnsi="Arial" w:cs="Arial"/>
          <w:spacing w:val="-2"/>
          <w:sz w:val="22"/>
          <w:szCs w:val="22"/>
        </w:rPr>
        <w:t xml:space="preserve"> </w:t>
      </w:r>
      <w:r w:rsidRPr="008A67B2">
        <w:rPr>
          <w:rFonts w:ascii="Arial" w:hAnsi="Arial" w:cs="Arial"/>
          <w:sz w:val="22"/>
          <w:szCs w:val="22"/>
        </w:rPr>
        <w:t>2020</w:t>
      </w:r>
    </w:p>
    <w:p w:rsidR="008A67B2" w:rsidRPr="008A67B2" w:rsidRDefault="008A67B2" w:rsidP="008A67B2">
      <w:pPr>
        <w:pStyle w:val="Prrafodelista"/>
        <w:widowControl w:val="0"/>
        <w:numPr>
          <w:ilvl w:val="1"/>
          <w:numId w:val="14"/>
        </w:numPr>
        <w:tabs>
          <w:tab w:val="left" w:pos="622"/>
        </w:tabs>
        <w:autoSpaceDE w:val="0"/>
        <w:autoSpaceDN w:val="0"/>
        <w:spacing w:before="43"/>
        <w:rPr>
          <w:rFonts w:ascii="Arial" w:hAnsi="Arial" w:cs="Arial"/>
          <w:sz w:val="22"/>
          <w:szCs w:val="22"/>
        </w:rPr>
      </w:pPr>
      <w:r w:rsidRPr="008A67B2">
        <w:rPr>
          <w:rFonts w:ascii="Arial" w:hAnsi="Arial" w:cs="Arial"/>
          <w:sz w:val="22"/>
          <w:szCs w:val="22"/>
        </w:rPr>
        <w:t>Ejecución gastos DADIS</w:t>
      </w:r>
      <w:r w:rsidRPr="008A67B2">
        <w:rPr>
          <w:rFonts w:ascii="Arial" w:hAnsi="Arial" w:cs="Arial"/>
          <w:spacing w:val="-2"/>
          <w:sz w:val="22"/>
          <w:szCs w:val="22"/>
        </w:rPr>
        <w:t xml:space="preserve"> </w:t>
      </w:r>
      <w:r w:rsidRPr="008A67B2">
        <w:rPr>
          <w:rFonts w:ascii="Arial" w:hAnsi="Arial" w:cs="Arial"/>
          <w:sz w:val="22"/>
          <w:szCs w:val="22"/>
        </w:rPr>
        <w:t>2020</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Si bien se han dado avances en la consolidación de la ejecución del fondo de salud, especialmente en el registro de los ingresos diferentes a los de destinación específica al sector articulando mucho más lo presupuestal con los movimientos de tesorería, y la consolidación de la ejecución de gastos a nivel de subcuentas y fuentes, persisten algunas diferencias frente al reporte del FUT del Fondo Local de Salud, en especial en ingresos.</w:t>
      </w:r>
      <w:r w:rsidR="004E77EA">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Estas deficiencias se corrigen en lo posible mediante la parametrización estándar del reporte a fin de no incurrir en errores al final del año.</w:t>
      </w:r>
      <w:r w:rsidR="004E77EA">
        <w:rPr>
          <w:rFonts w:ascii="Arial" w:hAnsi="Arial" w:cs="Arial"/>
          <w:sz w:val="22"/>
          <w:szCs w:val="22"/>
        </w:rPr>
        <w:t xml:space="preserve"> </w:t>
      </w:r>
      <w:r w:rsidRPr="008A67B2">
        <w:rPr>
          <w:rFonts w:ascii="Arial" w:hAnsi="Arial" w:cs="Arial"/>
          <w:sz w:val="22"/>
          <w:szCs w:val="22"/>
        </w:rPr>
        <w:t>Este podría partir del esquema dispuesto en el sistema de información presupuestal del Distrito.</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 xml:space="preserve">De igual forma frente al cierre fiscal, </w:t>
      </w:r>
      <w:r w:rsidR="00F914D2">
        <w:rPr>
          <w:rFonts w:ascii="Arial" w:hAnsi="Arial" w:cs="Arial"/>
          <w:sz w:val="22"/>
          <w:szCs w:val="22"/>
        </w:rPr>
        <w:t xml:space="preserve">se identificaron </w:t>
      </w:r>
      <w:r w:rsidRPr="008A67B2">
        <w:rPr>
          <w:rFonts w:ascii="Arial" w:hAnsi="Arial" w:cs="Arial"/>
          <w:sz w:val="22"/>
          <w:szCs w:val="22"/>
        </w:rPr>
        <w:t>avances y mayor consistencia entre los valores reportados</w:t>
      </w:r>
      <w:r w:rsidR="00F914D2">
        <w:rPr>
          <w:rFonts w:ascii="Arial" w:hAnsi="Arial" w:cs="Arial"/>
          <w:sz w:val="22"/>
          <w:szCs w:val="22"/>
        </w:rPr>
        <w:t xml:space="preserve">, sin </w:t>
      </w:r>
      <w:r w:rsidR="000B5E9E">
        <w:rPr>
          <w:rFonts w:ascii="Arial" w:hAnsi="Arial" w:cs="Arial"/>
          <w:sz w:val="22"/>
          <w:szCs w:val="22"/>
        </w:rPr>
        <w:t>embargo,</w:t>
      </w:r>
      <w:r w:rsidR="00F914D2">
        <w:rPr>
          <w:rFonts w:ascii="Arial" w:hAnsi="Arial" w:cs="Arial"/>
          <w:sz w:val="22"/>
          <w:szCs w:val="22"/>
        </w:rPr>
        <w:t xml:space="preserve"> es pertinente sugerir</w:t>
      </w:r>
      <w:r w:rsidR="004E77EA">
        <w:rPr>
          <w:rFonts w:ascii="Arial" w:hAnsi="Arial" w:cs="Arial"/>
          <w:sz w:val="22"/>
          <w:szCs w:val="22"/>
        </w:rPr>
        <w:t xml:space="preserve"> </w:t>
      </w:r>
      <w:r w:rsidR="00F914D2">
        <w:rPr>
          <w:rFonts w:ascii="Arial" w:hAnsi="Arial" w:cs="Arial"/>
          <w:sz w:val="22"/>
          <w:szCs w:val="22"/>
        </w:rPr>
        <w:t xml:space="preserve">que </w:t>
      </w:r>
      <w:r w:rsidRPr="008A67B2">
        <w:rPr>
          <w:rFonts w:ascii="Arial" w:hAnsi="Arial" w:cs="Arial"/>
          <w:sz w:val="22"/>
          <w:szCs w:val="22"/>
        </w:rPr>
        <w:t xml:space="preserve">deben adelantarse los procedimientos de análisis previos a los reportes que permitan la consistencia de la información entre el presupuesto y tesorería que permita identificar y corregir en el periodo de cierre de la vigencia cualquier aspecto u omisión.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b/>
          <w:sz w:val="22"/>
          <w:szCs w:val="22"/>
        </w:rPr>
      </w:pPr>
      <w:r w:rsidRPr="008A67B2">
        <w:rPr>
          <w:rFonts w:ascii="Arial" w:hAnsi="Arial" w:cs="Arial"/>
          <w:b/>
          <w:sz w:val="22"/>
          <w:szCs w:val="22"/>
        </w:rPr>
        <w:t xml:space="preserve">Actividad 3. Adoptar procesos y procedimientos que permitan la estandarización de las asistencias técnicas financieras realizadas a la red de prestadores distritales de manera continua y sistemática </w:t>
      </w:r>
    </w:p>
    <w:p w:rsidR="008A67B2" w:rsidRPr="008A67B2" w:rsidRDefault="008A67B2" w:rsidP="008A67B2">
      <w:pPr>
        <w:jc w:val="both"/>
        <w:rPr>
          <w:rFonts w:ascii="Arial" w:hAnsi="Arial" w:cs="Arial"/>
          <w:b/>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 xml:space="preserve">Las evidencias se encuentran consignadas en el sistema SIED con el número de Expediente </w:t>
      </w:r>
      <w:r w:rsidRPr="008A67B2">
        <w:rPr>
          <w:rFonts w:ascii="Arial" w:hAnsi="Arial" w:cs="Arial"/>
          <w:sz w:val="22"/>
          <w:szCs w:val="22"/>
          <w:lang w:val="es-CO" w:eastAsia="en-US"/>
        </w:rPr>
        <w:t>120/2018/D028-PREDI</w:t>
      </w:r>
      <w:r w:rsidRPr="008A67B2">
        <w:rPr>
          <w:rFonts w:ascii="Arial" w:hAnsi="Arial" w:cs="Arial"/>
          <w:sz w:val="22"/>
          <w:szCs w:val="22"/>
        </w:rPr>
        <w:t>.</w:t>
      </w:r>
      <w:r w:rsidR="004E77EA">
        <w:rPr>
          <w:rFonts w:ascii="Arial" w:hAnsi="Arial" w:cs="Arial"/>
          <w:sz w:val="22"/>
          <w:szCs w:val="22"/>
        </w:rPr>
        <w:t xml:space="preserve"> </w:t>
      </w:r>
      <w:r w:rsidRPr="008A67B2">
        <w:rPr>
          <w:rFonts w:ascii="Arial" w:hAnsi="Arial" w:cs="Arial"/>
          <w:sz w:val="22"/>
          <w:szCs w:val="22"/>
        </w:rPr>
        <w:t xml:space="preserve">Dichas evidencias se relacionan a continuación: </w:t>
      </w:r>
    </w:p>
    <w:p w:rsidR="008A67B2" w:rsidRPr="008A67B2" w:rsidRDefault="008A67B2" w:rsidP="008A67B2">
      <w:pPr>
        <w:jc w:val="both"/>
        <w:rPr>
          <w:rFonts w:ascii="Arial" w:hAnsi="Arial" w:cs="Arial"/>
          <w:sz w:val="22"/>
          <w:szCs w:val="22"/>
        </w:rPr>
      </w:pPr>
    </w:p>
    <w:p w:rsidR="008A67B2" w:rsidRPr="008A67B2" w:rsidRDefault="008A67B2" w:rsidP="008A67B2">
      <w:pPr>
        <w:ind w:left="262"/>
        <w:rPr>
          <w:rFonts w:ascii="Arial" w:hAnsi="Arial" w:cs="Arial"/>
          <w:b/>
          <w:sz w:val="22"/>
          <w:szCs w:val="22"/>
        </w:rPr>
      </w:pPr>
      <w:r w:rsidRPr="008A67B2">
        <w:rPr>
          <w:rFonts w:ascii="Arial" w:hAnsi="Arial" w:cs="Arial"/>
          <w:b/>
          <w:sz w:val="22"/>
          <w:szCs w:val="22"/>
        </w:rPr>
        <w:t>Anexos: (CARPETA – ACTIVIDAD 3)</w:t>
      </w:r>
    </w:p>
    <w:p w:rsidR="008A67B2" w:rsidRPr="008A67B2" w:rsidRDefault="008A67B2" w:rsidP="008A67B2">
      <w:pPr>
        <w:pStyle w:val="Prrafodelista"/>
        <w:widowControl w:val="0"/>
        <w:numPr>
          <w:ilvl w:val="0"/>
          <w:numId w:val="15"/>
        </w:numPr>
        <w:tabs>
          <w:tab w:val="left" w:pos="982"/>
        </w:tabs>
        <w:autoSpaceDE w:val="0"/>
        <w:autoSpaceDN w:val="0"/>
        <w:ind w:hanging="361"/>
        <w:rPr>
          <w:rFonts w:ascii="Arial" w:hAnsi="Arial" w:cs="Arial"/>
          <w:sz w:val="22"/>
          <w:szCs w:val="22"/>
        </w:rPr>
      </w:pPr>
      <w:r w:rsidRPr="008A67B2">
        <w:rPr>
          <w:rFonts w:ascii="Arial" w:hAnsi="Arial" w:cs="Arial"/>
          <w:sz w:val="22"/>
          <w:szCs w:val="22"/>
        </w:rPr>
        <w:t>3.1 Acta mesa de trabajo DADIS −MHCP-ESE</w:t>
      </w:r>
      <w:r w:rsidRPr="008A67B2">
        <w:rPr>
          <w:rFonts w:ascii="Arial" w:hAnsi="Arial" w:cs="Arial"/>
          <w:spacing w:val="-6"/>
          <w:sz w:val="22"/>
          <w:szCs w:val="22"/>
        </w:rPr>
        <w:t xml:space="preserve"> </w:t>
      </w:r>
      <w:r w:rsidRPr="008A67B2">
        <w:rPr>
          <w:rFonts w:ascii="Arial" w:hAnsi="Arial" w:cs="Arial"/>
          <w:sz w:val="22"/>
          <w:szCs w:val="22"/>
        </w:rPr>
        <w:t>HLCDI</w:t>
      </w:r>
    </w:p>
    <w:p w:rsidR="008A67B2" w:rsidRPr="008A67B2" w:rsidRDefault="008A67B2" w:rsidP="008A67B2">
      <w:pPr>
        <w:pStyle w:val="Prrafodelista"/>
        <w:widowControl w:val="0"/>
        <w:numPr>
          <w:ilvl w:val="0"/>
          <w:numId w:val="15"/>
        </w:numPr>
        <w:tabs>
          <w:tab w:val="left" w:pos="982"/>
        </w:tabs>
        <w:autoSpaceDE w:val="0"/>
        <w:autoSpaceDN w:val="0"/>
        <w:spacing w:before="43"/>
        <w:ind w:hanging="361"/>
        <w:rPr>
          <w:rFonts w:ascii="Arial" w:hAnsi="Arial" w:cs="Arial"/>
          <w:sz w:val="22"/>
          <w:szCs w:val="22"/>
        </w:rPr>
      </w:pPr>
      <w:r w:rsidRPr="008A67B2">
        <w:rPr>
          <w:rFonts w:ascii="Arial" w:hAnsi="Arial" w:cs="Arial"/>
          <w:sz w:val="22"/>
          <w:szCs w:val="22"/>
        </w:rPr>
        <w:t>3.2 Acta reunión seguimiento Decreto 2193 trimestre de</w:t>
      </w:r>
      <w:r w:rsidRPr="008A67B2">
        <w:rPr>
          <w:rFonts w:ascii="Arial" w:hAnsi="Arial" w:cs="Arial"/>
          <w:spacing w:val="-9"/>
          <w:sz w:val="22"/>
          <w:szCs w:val="22"/>
        </w:rPr>
        <w:t xml:space="preserve"> </w:t>
      </w:r>
      <w:r w:rsidRPr="008A67B2">
        <w:rPr>
          <w:rFonts w:ascii="Arial" w:hAnsi="Arial" w:cs="Arial"/>
          <w:sz w:val="22"/>
          <w:szCs w:val="22"/>
        </w:rPr>
        <w:t>2020</w:t>
      </w:r>
    </w:p>
    <w:p w:rsidR="008A67B2" w:rsidRPr="008A67B2" w:rsidRDefault="008A67B2" w:rsidP="008A67B2">
      <w:pPr>
        <w:pStyle w:val="Prrafodelista"/>
        <w:widowControl w:val="0"/>
        <w:numPr>
          <w:ilvl w:val="0"/>
          <w:numId w:val="15"/>
        </w:numPr>
        <w:tabs>
          <w:tab w:val="left" w:pos="982"/>
        </w:tabs>
        <w:autoSpaceDE w:val="0"/>
        <w:autoSpaceDN w:val="0"/>
        <w:spacing w:before="43"/>
        <w:ind w:hanging="361"/>
        <w:rPr>
          <w:rFonts w:ascii="Arial" w:hAnsi="Arial" w:cs="Arial"/>
          <w:sz w:val="22"/>
          <w:szCs w:val="22"/>
        </w:rPr>
      </w:pPr>
      <w:r w:rsidRPr="008A67B2">
        <w:rPr>
          <w:rFonts w:ascii="Arial" w:hAnsi="Arial" w:cs="Arial"/>
          <w:sz w:val="22"/>
          <w:szCs w:val="22"/>
        </w:rPr>
        <w:t>3.3 Informe de asignación y ejecución Resoluciones 753 y 2017 de</w:t>
      </w:r>
      <w:r w:rsidRPr="008A67B2">
        <w:rPr>
          <w:rFonts w:ascii="Arial" w:hAnsi="Arial" w:cs="Arial"/>
          <w:spacing w:val="-5"/>
          <w:sz w:val="22"/>
          <w:szCs w:val="22"/>
        </w:rPr>
        <w:t xml:space="preserve"> </w:t>
      </w:r>
      <w:r w:rsidRPr="008A67B2">
        <w:rPr>
          <w:rFonts w:ascii="Arial" w:hAnsi="Arial" w:cs="Arial"/>
          <w:sz w:val="22"/>
          <w:szCs w:val="22"/>
        </w:rPr>
        <w:t>2020</w:t>
      </w:r>
    </w:p>
    <w:p w:rsidR="008A67B2" w:rsidRPr="008A67B2" w:rsidRDefault="008A67B2" w:rsidP="008A67B2">
      <w:pPr>
        <w:pStyle w:val="Prrafodelista"/>
        <w:widowControl w:val="0"/>
        <w:numPr>
          <w:ilvl w:val="0"/>
          <w:numId w:val="15"/>
        </w:numPr>
        <w:tabs>
          <w:tab w:val="left" w:pos="982"/>
        </w:tabs>
        <w:autoSpaceDE w:val="0"/>
        <w:autoSpaceDN w:val="0"/>
        <w:spacing w:before="36"/>
        <w:ind w:hanging="361"/>
        <w:rPr>
          <w:rFonts w:ascii="Arial" w:hAnsi="Arial" w:cs="Arial"/>
          <w:sz w:val="22"/>
          <w:szCs w:val="22"/>
        </w:rPr>
      </w:pPr>
      <w:r w:rsidRPr="008A67B2">
        <w:rPr>
          <w:rFonts w:ascii="Arial" w:hAnsi="Arial" w:cs="Arial"/>
          <w:sz w:val="22"/>
          <w:szCs w:val="22"/>
        </w:rPr>
        <w:t>3.4 Informe ejecutivo ejecución recursos Resolución 753 de mayo de</w:t>
      </w:r>
      <w:r w:rsidRPr="008A67B2">
        <w:rPr>
          <w:rFonts w:ascii="Arial" w:hAnsi="Arial" w:cs="Arial"/>
          <w:spacing w:val="-9"/>
          <w:sz w:val="22"/>
          <w:szCs w:val="22"/>
        </w:rPr>
        <w:t xml:space="preserve"> </w:t>
      </w:r>
      <w:r w:rsidRPr="008A67B2">
        <w:rPr>
          <w:rFonts w:ascii="Arial" w:hAnsi="Arial" w:cs="Arial"/>
          <w:sz w:val="22"/>
          <w:szCs w:val="22"/>
        </w:rPr>
        <w:t>2020.</w:t>
      </w:r>
    </w:p>
    <w:p w:rsidR="008A67B2" w:rsidRPr="008A67B2" w:rsidRDefault="008A67B2" w:rsidP="008A67B2">
      <w:pPr>
        <w:pStyle w:val="Prrafodelista"/>
        <w:widowControl w:val="0"/>
        <w:numPr>
          <w:ilvl w:val="0"/>
          <w:numId w:val="15"/>
        </w:numPr>
        <w:tabs>
          <w:tab w:val="left" w:pos="982"/>
        </w:tabs>
        <w:autoSpaceDE w:val="0"/>
        <w:autoSpaceDN w:val="0"/>
        <w:spacing w:before="45"/>
        <w:ind w:hanging="361"/>
        <w:rPr>
          <w:rFonts w:ascii="Arial" w:hAnsi="Arial" w:cs="Arial"/>
          <w:sz w:val="22"/>
          <w:szCs w:val="22"/>
        </w:rPr>
      </w:pPr>
      <w:r w:rsidRPr="008A67B2">
        <w:rPr>
          <w:rFonts w:ascii="Arial" w:hAnsi="Arial" w:cs="Arial"/>
          <w:sz w:val="22"/>
          <w:szCs w:val="22"/>
        </w:rPr>
        <w:t>3.5 Listado de Asistencia reunión</w:t>
      </w:r>
      <w:r w:rsidRPr="008A67B2">
        <w:rPr>
          <w:rFonts w:ascii="Arial" w:hAnsi="Arial" w:cs="Arial"/>
          <w:spacing w:val="-4"/>
          <w:sz w:val="22"/>
          <w:szCs w:val="22"/>
        </w:rPr>
        <w:t xml:space="preserve"> </w:t>
      </w:r>
      <w:r w:rsidRPr="008A67B2">
        <w:rPr>
          <w:rFonts w:ascii="Arial" w:hAnsi="Arial" w:cs="Arial"/>
          <w:sz w:val="22"/>
          <w:szCs w:val="22"/>
        </w:rPr>
        <w:t>2</w:t>
      </w:r>
    </w:p>
    <w:p w:rsidR="008A67B2" w:rsidRPr="008A67B2" w:rsidRDefault="008A67B2" w:rsidP="008A67B2">
      <w:pPr>
        <w:pStyle w:val="Prrafodelista"/>
        <w:widowControl w:val="0"/>
        <w:numPr>
          <w:ilvl w:val="0"/>
          <w:numId w:val="15"/>
        </w:numPr>
        <w:tabs>
          <w:tab w:val="left" w:pos="982"/>
        </w:tabs>
        <w:autoSpaceDE w:val="0"/>
        <w:autoSpaceDN w:val="0"/>
        <w:spacing w:before="43"/>
        <w:ind w:hanging="361"/>
        <w:rPr>
          <w:rFonts w:ascii="Arial" w:hAnsi="Arial" w:cs="Arial"/>
          <w:sz w:val="22"/>
          <w:szCs w:val="22"/>
        </w:rPr>
      </w:pPr>
      <w:r w:rsidRPr="008A67B2">
        <w:rPr>
          <w:rFonts w:ascii="Arial" w:hAnsi="Arial" w:cs="Arial"/>
          <w:sz w:val="22"/>
          <w:szCs w:val="22"/>
        </w:rPr>
        <w:t>3.6 Listado de Asistencia reunión 3 y</w:t>
      </w:r>
      <w:r w:rsidRPr="008A67B2">
        <w:rPr>
          <w:rFonts w:ascii="Arial" w:hAnsi="Arial" w:cs="Arial"/>
          <w:spacing w:val="-5"/>
          <w:sz w:val="22"/>
          <w:szCs w:val="22"/>
        </w:rPr>
        <w:t xml:space="preserve"> </w:t>
      </w:r>
      <w:r w:rsidRPr="008A67B2">
        <w:rPr>
          <w:rFonts w:ascii="Arial" w:hAnsi="Arial" w:cs="Arial"/>
          <w:sz w:val="22"/>
          <w:szCs w:val="22"/>
        </w:rPr>
        <w:t>4</w:t>
      </w:r>
    </w:p>
    <w:p w:rsidR="008A67B2" w:rsidRPr="008A67B2" w:rsidRDefault="008A67B2" w:rsidP="008A67B2">
      <w:pPr>
        <w:pStyle w:val="Prrafodelista"/>
        <w:widowControl w:val="0"/>
        <w:numPr>
          <w:ilvl w:val="0"/>
          <w:numId w:val="15"/>
        </w:numPr>
        <w:tabs>
          <w:tab w:val="left" w:pos="982"/>
        </w:tabs>
        <w:autoSpaceDE w:val="0"/>
        <w:autoSpaceDN w:val="0"/>
        <w:spacing w:before="45"/>
        <w:ind w:hanging="361"/>
        <w:rPr>
          <w:rFonts w:ascii="Arial" w:hAnsi="Arial" w:cs="Arial"/>
          <w:sz w:val="22"/>
          <w:szCs w:val="22"/>
        </w:rPr>
      </w:pPr>
      <w:r w:rsidRPr="008A67B2">
        <w:rPr>
          <w:rFonts w:ascii="Arial" w:hAnsi="Arial" w:cs="Arial"/>
          <w:sz w:val="22"/>
          <w:szCs w:val="22"/>
        </w:rPr>
        <w:t>3.7 Listado de Asistencia reunión</w:t>
      </w:r>
      <w:r w:rsidRPr="008A67B2">
        <w:rPr>
          <w:rFonts w:ascii="Arial" w:hAnsi="Arial" w:cs="Arial"/>
          <w:spacing w:val="-16"/>
          <w:sz w:val="22"/>
          <w:szCs w:val="22"/>
        </w:rPr>
        <w:t xml:space="preserve"> </w:t>
      </w:r>
      <w:r w:rsidRPr="008A67B2">
        <w:rPr>
          <w:rFonts w:ascii="Arial" w:hAnsi="Arial" w:cs="Arial"/>
          <w:sz w:val="22"/>
          <w:szCs w:val="22"/>
        </w:rPr>
        <w:t>5</w:t>
      </w:r>
    </w:p>
    <w:p w:rsidR="008A67B2" w:rsidRPr="008A67B2" w:rsidRDefault="008A67B2" w:rsidP="008A67B2">
      <w:pPr>
        <w:pStyle w:val="Prrafodelista"/>
        <w:widowControl w:val="0"/>
        <w:numPr>
          <w:ilvl w:val="0"/>
          <w:numId w:val="15"/>
        </w:numPr>
        <w:tabs>
          <w:tab w:val="left" w:pos="982"/>
        </w:tabs>
        <w:autoSpaceDE w:val="0"/>
        <w:autoSpaceDN w:val="0"/>
        <w:spacing w:before="44"/>
        <w:ind w:hanging="361"/>
        <w:rPr>
          <w:rFonts w:ascii="Arial" w:hAnsi="Arial" w:cs="Arial"/>
          <w:sz w:val="22"/>
          <w:szCs w:val="22"/>
        </w:rPr>
      </w:pPr>
      <w:r w:rsidRPr="008A67B2">
        <w:rPr>
          <w:rFonts w:ascii="Arial" w:hAnsi="Arial" w:cs="Arial"/>
          <w:sz w:val="22"/>
          <w:szCs w:val="22"/>
        </w:rPr>
        <w:t>3.8 Listado de Asistencia reunión</w:t>
      </w:r>
      <w:r w:rsidRPr="008A67B2">
        <w:rPr>
          <w:rFonts w:ascii="Arial" w:hAnsi="Arial" w:cs="Arial"/>
          <w:spacing w:val="-16"/>
          <w:sz w:val="22"/>
          <w:szCs w:val="22"/>
        </w:rPr>
        <w:t xml:space="preserve"> </w:t>
      </w:r>
      <w:r w:rsidRPr="008A67B2">
        <w:rPr>
          <w:rFonts w:ascii="Arial" w:hAnsi="Arial" w:cs="Arial"/>
          <w:sz w:val="22"/>
          <w:szCs w:val="22"/>
        </w:rPr>
        <w:t>6</w:t>
      </w:r>
    </w:p>
    <w:p w:rsidR="008A67B2" w:rsidRPr="008A67B2" w:rsidRDefault="008A67B2" w:rsidP="008A67B2">
      <w:pPr>
        <w:pStyle w:val="Prrafodelista"/>
        <w:widowControl w:val="0"/>
        <w:numPr>
          <w:ilvl w:val="0"/>
          <w:numId w:val="15"/>
        </w:numPr>
        <w:tabs>
          <w:tab w:val="left" w:pos="982"/>
        </w:tabs>
        <w:autoSpaceDE w:val="0"/>
        <w:autoSpaceDN w:val="0"/>
        <w:spacing w:before="43"/>
        <w:ind w:hanging="361"/>
        <w:rPr>
          <w:rFonts w:ascii="Arial" w:hAnsi="Arial" w:cs="Arial"/>
          <w:sz w:val="22"/>
          <w:szCs w:val="22"/>
        </w:rPr>
      </w:pPr>
      <w:r w:rsidRPr="008A67B2">
        <w:rPr>
          <w:rFonts w:ascii="Arial" w:hAnsi="Arial" w:cs="Arial"/>
          <w:sz w:val="22"/>
          <w:szCs w:val="22"/>
        </w:rPr>
        <w:lastRenderedPageBreak/>
        <w:t>3.9 Listado de Asistencia reunión</w:t>
      </w:r>
      <w:r w:rsidRPr="008A67B2">
        <w:rPr>
          <w:rFonts w:ascii="Arial" w:hAnsi="Arial" w:cs="Arial"/>
          <w:spacing w:val="-16"/>
          <w:sz w:val="22"/>
          <w:szCs w:val="22"/>
        </w:rPr>
        <w:t xml:space="preserve"> </w:t>
      </w:r>
      <w:r w:rsidRPr="008A67B2">
        <w:rPr>
          <w:rFonts w:ascii="Arial" w:hAnsi="Arial" w:cs="Arial"/>
          <w:sz w:val="22"/>
          <w:szCs w:val="22"/>
        </w:rPr>
        <w:t>7</w:t>
      </w:r>
    </w:p>
    <w:p w:rsidR="008A67B2" w:rsidRPr="008A67B2" w:rsidRDefault="008A67B2" w:rsidP="008A67B2">
      <w:pPr>
        <w:pStyle w:val="Prrafodelista"/>
        <w:widowControl w:val="0"/>
        <w:numPr>
          <w:ilvl w:val="0"/>
          <w:numId w:val="15"/>
        </w:numPr>
        <w:tabs>
          <w:tab w:val="left" w:pos="982"/>
        </w:tabs>
        <w:autoSpaceDE w:val="0"/>
        <w:autoSpaceDN w:val="0"/>
        <w:spacing w:before="45"/>
        <w:ind w:hanging="361"/>
        <w:rPr>
          <w:rFonts w:ascii="Arial" w:hAnsi="Arial" w:cs="Arial"/>
          <w:sz w:val="22"/>
          <w:szCs w:val="22"/>
        </w:rPr>
      </w:pPr>
      <w:r w:rsidRPr="008A67B2">
        <w:rPr>
          <w:rFonts w:ascii="Arial" w:hAnsi="Arial" w:cs="Arial"/>
          <w:sz w:val="22"/>
          <w:szCs w:val="22"/>
        </w:rPr>
        <w:t>3.10 Oficio no cargue periodo anual</w:t>
      </w:r>
      <w:r w:rsidRPr="008A67B2">
        <w:rPr>
          <w:rFonts w:ascii="Arial" w:hAnsi="Arial" w:cs="Arial"/>
          <w:spacing w:val="-3"/>
          <w:sz w:val="22"/>
          <w:szCs w:val="22"/>
        </w:rPr>
        <w:t xml:space="preserve"> </w:t>
      </w:r>
      <w:r w:rsidRPr="008A67B2">
        <w:rPr>
          <w:rFonts w:ascii="Arial" w:hAnsi="Arial" w:cs="Arial"/>
          <w:sz w:val="22"/>
          <w:szCs w:val="22"/>
        </w:rPr>
        <w:t>2019</w:t>
      </w:r>
    </w:p>
    <w:p w:rsidR="008A67B2" w:rsidRPr="008A67B2" w:rsidRDefault="008A67B2" w:rsidP="008A67B2">
      <w:pPr>
        <w:pStyle w:val="Prrafodelista"/>
        <w:widowControl w:val="0"/>
        <w:numPr>
          <w:ilvl w:val="0"/>
          <w:numId w:val="15"/>
        </w:numPr>
        <w:tabs>
          <w:tab w:val="left" w:pos="982"/>
        </w:tabs>
        <w:autoSpaceDE w:val="0"/>
        <w:autoSpaceDN w:val="0"/>
        <w:spacing w:before="43"/>
        <w:ind w:hanging="361"/>
        <w:rPr>
          <w:rFonts w:ascii="Arial" w:hAnsi="Arial" w:cs="Arial"/>
          <w:sz w:val="22"/>
          <w:szCs w:val="22"/>
        </w:rPr>
      </w:pPr>
      <w:r w:rsidRPr="008A67B2">
        <w:rPr>
          <w:rFonts w:ascii="Arial" w:hAnsi="Arial" w:cs="Arial"/>
          <w:sz w:val="22"/>
          <w:szCs w:val="22"/>
        </w:rPr>
        <w:t>3.11 Oficio solicitud devolución formulario</w:t>
      </w:r>
      <w:r w:rsidRPr="008A67B2">
        <w:rPr>
          <w:rFonts w:ascii="Arial" w:hAnsi="Arial" w:cs="Arial"/>
          <w:spacing w:val="-4"/>
          <w:sz w:val="22"/>
          <w:szCs w:val="22"/>
        </w:rPr>
        <w:t xml:space="preserve"> </w:t>
      </w:r>
      <w:r w:rsidRPr="008A67B2">
        <w:rPr>
          <w:rFonts w:ascii="Arial" w:hAnsi="Arial" w:cs="Arial"/>
          <w:sz w:val="22"/>
          <w:szCs w:val="22"/>
        </w:rPr>
        <w:t>contratación</w:t>
      </w:r>
    </w:p>
    <w:p w:rsidR="008A67B2" w:rsidRPr="008A67B2" w:rsidRDefault="008A67B2" w:rsidP="008A67B2">
      <w:pPr>
        <w:pStyle w:val="Prrafodelista"/>
        <w:widowControl w:val="0"/>
        <w:numPr>
          <w:ilvl w:val="0"/>
          <w:numId w:val="15"/>
        </w:numPr>
        <w:tabs>
          <w:tab w:val="left" w:pos="982"/>
        </w:tabs>
        <w:autoSpaceDE w:val="0"/>
        <w:autoSpaceDN w:val="0"/>
        <w:spacing w:before="43"/>
        <w:ind w:hanging="361"/>
        <w:rPr>
          <w:rFonts w:ascii="Arial" w:hAnsi="Arial" w:cs="Arial"/>
          <w:sz w:val="22"/>
          <w:szCs w:val="22"/>
        </w:rPr>
      </w:pPr>
      <w:r w:rsidRPr="008A67B2">
        <w:rPr>
          <w:rFonts w:ascii="Arial" w:hAnsi="Arial" w:cs="Arial"/>
          <w:sz w:val="22"/>
          <w:szCs w:val="22"/>
        </w:rPr>
        <w:t>3.12 Procedimiento asistencia técnica financiera</w:t>
      </w:r>
      <w:r w:rsidRPr="008A67B2">
        <w:rPr>
          <w:rFonts w:ascii="Arial" w:hAnsi="Arial" w:cs="Arial"/>
          <w:spacing w:val="-4"/>
          <w:sz w:val="22"/>
          <w:szCs w:val="22"/>
        </w:rPr>
        <w:t xml:space="preserve"> </w:t>
      </w:r>
      <w:r w:rsidRPr="008A67B2">
        <w:rPr>
          <w:rFonts w:ascii="Arial" w:hAnsi="Arial" w:cs="Arial"/>
          <w:sz w:val="22"/>
          <w:szCs w:val="22"/>
        </w:rPr>
        <w:t>2021</w:t>
      </w:r>
    </w:p>
    <w:p w:rsidR="008A67B2" w:rsidRPr="008A67B2" w:rsidRDefault="008A67B2" w:rsidP="008A67B2">
      <w:pPr>
        <w:pStyle w:val="Prrafodelista"/>
        <w:widowControl w:val="0"/>
        <w:numPr>
          <w:ilvl w:val="0"/>
          <w:numId w:val="15"/>
        </w:numPr>
        <w:tabs>
          <w:tab w:val="left" w:pos="982"/>
        </w:tabs>
        <w:autoSpaceDE w:val="0"/>
        <w:autoSpaceDN w:val="0"/>
        <w:spacing w:before="45"/>
        <w:ind w:hanging="361"/>
        <w:rPr>
          <w:rFonts w:ascii="Arial" w:hAnsi="Arial" w:cs="Arial"/>
          <w:sz w:val="22"/>
          <w:szCs w:val="22"/>
        </w:rPr>
      </w:pPr>
      <w:r w:rsidRPr="008A67B2">
        <w:rPr>
          <w:rFonts w:ascii="Arial" w:hAnsi="Arial" w:cs="Arial"/>
          <w:sz w:val="22"/>
          <w:szCs w:val="22"/>
        </w:rPr>
        <w:t>3.13 Radicado tercer informe 2020 −</w:t>
      </w:r>
      <w:r w:rsidRPr="008A67B2">
        <w:rPr>
          <w:rFonts w:ascii="Arial" w:hAnsi="Arial" w:cs="Arial"/>
          <w:spacing w:val="-14"/>
          <w:sz w:val="22"/>
          <w:szCs w:val="22"/>
        </w:rPr>
        <w:t xml:space="preserve"> </w:t>
      </w:r>
      <w:r w:rsidRPr="008A67B2">
        <w:rPr>
          <w:rFonts w:ascii="Arial" w:hAnsi="Arial" w:cs="Arial"/>
          <w:sz w:val="22"/>
          <w:szCs w:val="22"/>
        </w:rPr>
        <w:t>PSFF-ESE-DADIS</w:t>
      </w:r>
    </w:p>
    <w:p w:rsidR="008A67B2" w:rsidRPr="008A67B2" w:rsidRDefault="008A67B2" w:rsidP="008A67B2">
      <w:pPr>
        <w:pStyle w:val="Prrafodelista"/>
        <w:widowControl w:val="0"/>
        <w:numPr>
          <w:ilvl w:val="0"/>
          <w:numId w:val="15"/>
        </w:numPr>
        <w:tabs>
          <w:tab w:val="left" w:pos="982"/>
        </w:tabs>
        <w:autoSpaceDE w:val="0"/>
        <w:autoSpaceDN w:val="0"/>
        <w:spacing w:before="44"/>
        <w:ind w:hanging="361"/>
        <w:rPr>
          <w:rFonts w:ascii="Arial" w:hAnsi="Arial" w:cs="Arial"/>
          <w:sz w:val="22"/>
          <w:szCs w:val="22"/>
        </w:rPr>
      </w:pPr>
      <w:r w:rsidRPr="008A67B2">
        <w:rPr>
          <w:rFonts w:ascii="Arial" w:hAnsi="Arial" w:cs="Arial"/>
          <w:sz w:val="22"/>
          <w:szCs w:val="22"/>
        </w:rPr>
        <w:t>3.14 Radicado primer trimestre2020</w:t>
      </w:r>
      <w:r w:rsidRPr="008A67B2">
        <w:rPr>
          <w:rFonts w:ascii="Arial" w:hAnsi="Arial" w:cs="Arial"/>
          <w:spacing w:val="-3"/>
          <w:sz w:val="22"/>
          <w:szCs w:val="22"/>
        </w:rPr>
        <w:t xml:space="preserve"> </w:t>
      </w:r>
      <w:r w:rsidRPr="008A67B2">
        <w:rPr>
          <w:rFonts w:ascii="Arial" w:hAnsi="Arial" w:cs="Arial"/>
          <w:sz w:val="22"/>
          <w:szCs w:val="22"/>
        </w:rPr>
        <w:t>PSFF</w:t>
      </w:r>
    </w:p>
    <w:p w:rsidR="008A67B2" w:rsidRPr="008A67B2" w:rsidRDefault="008A67B2" w:rsidP="008A67B2">
      <w:pPr>
        <w:pStyle w:val="Prrafodelista"/>
        <w:widowControl w:val="0"/>
        <w:numPr>
          <w:ilvl w:val="0"/>
          <w:numId w:val="15"/>
        </w:numPr>
        <w:tabs>
          <w:tab w:val="left" w:pos="982"/>
        </w:tabs>
        <w:autoSpaceDE w:val="0"/>
        <w:autoSpaceDN w:val="0"/>
        <w:spacing w:before="46"/>
        <w:ind w:hanging="361"/>
        <w:rPr>
          <w:rFonts w:ascii="Arial" w:hAnsi="Arial" w:cs="Arial"/>
          <w:sz w:val="22"/>
          <w:szCs w:val="22"/>
        </w:rPr>
      </w:pPr>
      <w:r w:rsidRPr="008A67B2">
        <w:rPr>
          <w:rFonts w:ascii="Arial" w:hAnsi="Arial" w:cs="Arial"/>
          <w:sz w:val="22"/>
          <w:szCs w:val="22"/>
        </w:rPr>
        <w:t>3.15 Radicado segundo trimestre 2020</w:t>
      </w:r>
      <w:r w:rsidRPr="008A67B2">
        <w:rPr>
          <w:rFonts w:ascii="Arial" w:hAnsi="Arial" w:cs="Arial"/>
          <w:spacing w:val="-2"/>
          <w:sz w:val="22"/>
          <w:szCs w:val="22"/>
        </w:rPr>
        <w:t xml:space="preserve"> </w:t>
      </w:r>
      <w:r w:rsidRPr="008A67B2">
        <w:rPr>
          <w:rFonts w:ascii="Arial" w:hAnsi="Arial" w:cs="Arial"/>
          <w:sz w:val="22"/>
          <w:szCs w:val="22"/>
        </w:rPr>
        <w:t>PSFF</w:t>
      </w:r>
    </w:p>
    <w:p w:rsidR="008A67B2" w:rsidRPr="008A67B2" w:rsidRDefault="008A67B2" w:rsidP="008A67B2">
      <w:pPr>
        <w:pStyle w:val="Prrafodelista"/>
        <w:widowControl w:val="0"/>
        <w:numPr>
          <w:ilvl w:val="0"/>
          <w:numId w:val="15"/>
        </w:numPr>
        <w:tabs>
          <w:tab w:val="left" w:pos="982"/>
        </w:tabs>
        <w:autoSpaceDE w:val="0"/>
        <w:autoSpaceDN w:val="0"/>
        <w:spacing w:before="43"/>
        <w:ind w:hanging="361"/>
        <w:rPr>
          <w:rFonts w:ascii="Arial" w:hAnsi="Arial" w:cs="Arial"/>
          <w:sz w:val="22"/>
          <w:szCs w:val="22"/>
        </w:rPr>
      </w:pPr>
      <w:r w:rsidRPr="008A67B2">
        <w:rPr>
          <w:rFonts w:ascii="Arial" w:hAnsi="Arial" w:cs="Arial"/>
          <w:sz w:val="22"/>
          <w:szCs w:val="22"/>
        </w:rPr>
        <w:t>3.16 Recorderis plazo Res.3520 de mayo 03 de</w:t>
      </w:r>
      <w:r w:rsidRPr="008A67B2">
        <w:rPr>
          <w:rFonts w:ascii="Arial" w:hAnsi="Arial" w:cs="Arial"/>
          <w:spacing w:val="-1"/>
          <w:sz w:val="22"/>
          <w:szCs w:val="22"/>
        </w:rPr>
        <w:t xml:space="preserve"> </w:t>
      </w:r>
      <w:r w:rsidRPr="008A67B2">
        <w:rPr>
          <w:rFonts w:ascii="Arial" w:hAnsi="Arial" w:cs="Arial"/>
          <w:sz w:val="22"/>
          <w:szCs w:val="22"/>
        </w:rPr>
        <w:t>2017</w:t>
      </w:r>
    </w:p>
    <w:p w:rsidR="008A67B2" w:rsidRPr="008A67B2" w:rsidRDefault="008A67B2" w:rsidP="008A67B2">
      <w:pPr>
        <w:pStyle w:val="Prrafodelista"/>
        <w:widowControl w:val="0"/>
        <w:numPr>
          <w:ilvl w:val="0"/>
          <w:numId w:val="15"/>
        </w:numPr>
        <w:tabs>
          <w:tab w:val="left" w:pos="982"/>
        </w:tabs>
        <w:autoSpaceDE w:val="0"/>
        <w:autoSpaceDN w:val="0"/>
        <w:spacing w:before="43"/>
        <w:ind w:hanging="361"/>
        <w:rPr>
          <w:rFonts w:ascii="Arial" w:hAnsi="Arial" w:cs="Arial"/>
          <w:sz w:val="22"/>
          <w:szCs w:val="22"/>
        </w:rPr>
      </w:pPr>
      <w:r w:rsidRPr="008A67B2">
        <w:rPr>
          <w:rFonts w:ascii="Arial" w:hAnsi="Arial" w:cs="Arial"/>
          <w:sz w:val="22"/>
          <w:szCs w:val="22"/>
        </w:rPr>
        <w:t>3.17 Seguimiento ejecución Res.</w:t>
      </w:r>
      <w:r w:rsidRPr="008A67B2">
        <w:rPr>
          <w:rFonts w:ascii="Arial" w:hAnsi="Arial" w:cs="Arial"/>
          <w:spacing w:val="-1"/>
          <w:sz w:val="22"/>
          <w:szCs w:val="22"/>
        </w:rPr>
        <w:t xml:space="preserve"> </w:t>
      </w:r>
      <w:r w:rsidRPr="008A67B2">
        <w:rPr>
          <w:rFonts w:ascii="Arial" w:hAnsi="Arial" w:cs="Arial"/>
          <w:sz w:val="22"/>
          <w:szCs w:val="22"/>
        </w:rPr>
        <w:t>2017</w:t>
      </w:r>
    </w:p>
    <w:p w:rsidR="008A67B2" w:rsidRPr="008A67B2" w:rsidRDefault="008A67B2" w:rsidP="008A67B2">
      <w:pPr>
        <w:pStyle w:val="Prrafodelista"/>
        <w:widowControl w:val="0"/>
        <w:numPr>
          <w:ilvl w:val="0"/>
          <w:numId w:val="15"/>
        </w:numPr>
        <w:tabs>
          <w:tab w:val="left" w:pos="982"/>
        </w:tabs>
        <w:autoSpaceDE w:val="0"/>
        <w:autoSpaceDN w:val="0"/>
        <w:spacing w:before="45" w:line="276" w:lineRule="auto"/>
        <w:ind w:left="981" w:right="681"/>
        <w:rPr>
          <w:rFonts w:ascii="Arial" w:hAnsi="Arial" w:cs="Arial"/>
          <w:sz w:val="22"/>
          <w:szCs w:val="22"/>
        </w:rPr>
      </w:pPr>
      <w:r w:rsidRPr="008A67B2">
        <w:rPr>
          <w:rFonts w:ascii="Arial" w:hAnsi="Arial" w:cs="Arial"/>
          <w:sz w:val="22"/>
          <w:szCs w:val="22"/>
        </w:rPr>
        <w:t>3.18 Solicitud certificado de la atención a la población de migrantes venezolanos vigencia</w:t>
      </w:r>
      <w:r w:rsidRPr="008A67B2">
        <w:rPr>
          <w:rFonts w:ascii="Arial" w:hAnsi="Arial" w:cs="Arial"/>
          <w:spacing w:val="-1"/>
          <w:sz w:val="22"/>
          <w:szCs w:val="22"/>
        </w:rPr>
        <w:t xml:space="preserve"> </w:t>
      </w:r>
      <w:r w:rsidRPr="008A67B2">
        <w:rPr>
          <w:rFonts w:ascii="Arial" w:hAnsi="Arial" w:cs="Arial"/>
          <w:sz w:val="22"/>
          <w:szCs w:val="22"/>
        </w:rPr>
        <w:t>2020</w:t>
      </w:r>
    </w:p>
    <w:p w:rsidR="008A67B2" w:rsidRPr="008A67B2" w:rsidRDefault="008A67B2" w:rsidP="008A67B2">
      <w:pPr>
        <w:pStyle w:val="Prrafodelista"/>
        <w:widowControl w:val="0"/>
        <w:numPr>
          <w:ilvl w:val="0"/>
          <w:numId w:val="15"/>
        </w:numPr>
        <w:tabs>
          <w:tab w:val="left" w:pos="982"/>
        </w:tabs>
        <w:autoSpaceDE w:val="0"/>
        <w:autoSpaceDN w:val="0"/>
        <w:spacing w:before="1"/>
        <w:ind w:hanging="361"/>
        <w:rPr>
          <w:rFonts w:ascii="Arial" w:hAnsi="Arial" w:cs="Arial"/>
          <w:sz w:val="22"/>
          <w:szCs w:val="22"/>
        </w:rPr>
      </w:pPr>
      <w:r w:rsidRPr="008A67B2">
        <w:rPr>
          <w:rFonts w:ascii="Arial" w:hAnsi="Arial" w:cs="Arial"/>
          <w:sz w:val="22"/>
          <w:szCs w:val="22"/>
        </w:rPr>
        <w:t>3.19 Solicitud cronograma pagos ESE HLCDI</w:t>
      </w:r>
    </w:p>
    <w:p w:rsidR="008A67B2" w:rsidRPr="008A67B2" w:rsidRDefault="008A67B2" w:rsidP="008A67B2">
      <w:pPr>
        <w:pStyle w:val="Prrafodelista"/>
        <w:widowControl w:val="0"/>
        <w:numPr>
          <w:ilvl w:val="0"/>
          <w:numId w:val="15"/>
        </w:numPr>
        <w:tabs>
          <w:tab w:val="left" w:pos="982"/>
        </w:tabs>
        <w:autoSpaceDE w:val="0"/>
        <w:autoSpaceDN w:val="0"/>
        <w:spacing w:before="43"/>
        <w:ind w:hanging="361"/>
        <w:rPr>
          <w:rFonts w:ascii="Arial" w:hAnsi="Arial" w:cs="Arial"/>
          <w:sz w:val="22"/>
          <w:szCs w:val="22"/>
        </w:rPr>
      </w:pPr>
      <w:r w:rsidRPr="008A67B2">
        <w:rPr>
          <w:rFonts w:ascii="Arial" w:hAnsi="Arial" w:cs="Arial"/>
          <w:sz w:val="22"/>
          <w:szCs w:val="22"/>
        </w:rPr>
        <w:t>3.20 Solicitud devolución calidad 1</w:t>
      </w:r>
      <w:r w:rsidRPr="008A67B2">
        <w:rPr>
          <w:rFonts w:ascii="Arial" w:hAnsi="Arial" w:cs="Arial"/>
          <w:spacing w:val="-4"/>
          <w:sz w:val="22"/>
          <w:szCs w:val="22"/>
        </w:rPr>
        <w:t xml:space="preserve"> </w:t>
      </w:r>
      <w:r w:rsidRPr="008A67B2">
        <w:rPr>
          <w:rFonts w:ascii="Arial" w:hAnsi="Arial" w:cs="Arial"/>
          <w:sz w:val="22"/>
          <w:szCs w:val="22"/>
        </w:rPr>
        <w:t>2019</w:t>
      </w:r>
    </w:p>
    <w:p w:rsidR="008A67B2" w:rsidRPr="008A67B2" w:rsidRDefault="008A67B2" w:rsidP="008A67B2">
      <w:pPr>
        <w:pStyle w:val="Prrafodelista"/>
        <w:widowControl w:val="0"/>
        <w:numPr>
          <w:ilvl w:val="0"/>
          <w:numId w:val="15"/>
        </w:numPr>
        <w:tabs>
          <w:tab w:val="left" w:pos="982"/>
        </w:tabs>
        <w:autoSpaceDE w:val="0"/>
        <w:autoSpaceDN w:val="0"/>
        <w:spacing w:before="43"/>
        <w:ind w:hanging="361"/>
        <w:rPr>
          <w:rFonts w:ascii="Arial" w:hAnsi="Arial" w:cs="Arial"/>
          <w:sz w:val="22"/>
          <w:szCs w:val="22"/>
        </w:rPr>
      </w:pPr>
      <w:r w:rsidRPr="008A67B2">
        <w:rPr>
          <w:rFonts w:ascii="Arial" w:hAnsi="Arial" w:cs="Arial"/>
          <w:sz w:val="22"/>
          <w:szCs w:val="22"/>
        </w:rPr>
        <w:t>3.21 Cronograma de asistencia técnica 2020 por</w:t>
      </w:r>
      <w:r w:rsidRPr="008A67B2">
        <w:rPr>
          <w:rFonts w:ascii="Arial" w:hAnsi="Arial" w:cs="Arial"/>
          <w:spacing w:val="-9"/>
          <w:sz w:val="22"/>
          <w:szCs w:val="22"/>
        </w:rPr>
        <w:t xml:space="preserve"> </w:t>
      </w:r>
      <w:r w:rsidRPr="008A67B2">
        <w:rPr>
          <w:rFonts w:ascii="Arial" w:hAnsi="Arial" w:cs="Arial"/>
          <w:sz w:val="22"/>
          <w:szCs w:val="22"/>
        </w:rPr>
        <w:t>componente</w:t>
      </w:r>
    </w:p>
    <w:p w:rsidR="008A67B2" w:rsidRPr="008A67B2" w:rsidRDefault="008A67B2" w:rsidP="008A67B2">
      <w:pPr>
        <w:pStyle w:val="Prrafodelista"/>
        <w:widowControl w:val="0"/>
        <w:numPr>
          <w:ilvl w:val="0"/>
          <w:numId w:val="15"/>
        </w:numPr>
        <w:tabs>
          <w:tab w:val="left" w:pos="982"/>
        </w:tabs>
        <w:autoSpaceDE w:val="0"/>
        <w:autoSpaceDN w:val="0"/>
        <w:spacing w:before="45"/>
        <w:ind w:hanging="361"/>
        <w:rPr>
          <w:rFonts w:ascii="Arial" w:hAnsi="Arial" w:cs="Arial"/>
          <w:sz w:val="22"/>
          <w:szCs w:val="22"/>
        </w:rPr>
      </w:pPr>
      <w:r w:rsidRPr="008A67B2">
        <w:rPr>
          <w:rFonts w:ascii="Arial" w:hAnsi="Arial" w:cs="Arial"/>
          <w:sz w:val="22"/>
          <w:szCs w:val="22"/>
        </w:rPr>
        <w:t>3.22 Documento procesos y procedimientos estandarizado para asistencia</w:t>
      </w:r>
      <w:r w:rsidRPr="008A67B2">
        <w:rPr>
          <w:rFonts w:ascii="Arial" w:hAnsi="Arial" w:cs="Arial"/>
          <w:spacing w:val="-10"/>
          <w:sz w:val="22"/>
          <w:szCs w:val="22"/>
        </w:rPr>
        <w:t xml:space="preserve"> </w:t>
      </w:r>
      <w:r w:rsidRPr="008A67B2">
        <w:rPr>
          <w:rFonts w:ascii="Arial" w:hAnsi="Arial" w:cs="Arial"/>
          <w:sz w:val="22"/>
          <w:szCs w:val="22"/>
        </w:rPr>
        <w:t>técnica</w:t>
      </w:r>
    </w:p>
    <w:p w:rsidR="00224654" w:rsidRDefault="00224654" w:rsidP="008A67B2">
      <w:pPr>
        <w:jc w:val="both"/>
        <w:rPr>
          <w:rFonts w:ascii="Arial" w:hAnsi="Arial" w:cs="Arial"/>
          <w:sz w:val="22"/>
          <w:szCs w:val="22"/>
          <w:lang w:val="es-CO"/>
        </w:rPr>
      </w:pPr>
    </w:p>
    <w:p w:rsidR="008A67B2" w:rsidRPr="008A67B2" w:rsidRDefault="008A67B2" w:rsidP="008A67B2">
      <w:pPr>
        <w:jc w:val="both"/>
        <w:rPr>
          <w:rFonts w:ascii="Arial" w:eastAsia="Times New Roman" w:hAnsi="Arial" w:cs="Arial"/>
          <w:spacing w:val="-1"/>
          <w:sz w:val="22"/>
          <w:szCs w:val="22"/>
          <w:lang w:val="es-CO"/>
        </w:rPr>
      </w:pPr>
      <w:r w:rsidRPr="008A67B2">
        <w:rPr>
          <w:rFonts w:ascii="Arial" w:hAnsi="Arial" w:cs="Arial"/>
          <w:sz w:val="22"/>
          <w:szCs w:val="22"/>
          <w:lang w:val="es-CO"/>
        </w:rPr>
        <w:t>Se suministra el formato con el código GESDAFP001 estandarizado que contiene el procedimiento de asistencia técnica para la Red de Prestadores de Servicios de Salud Distrital – ESE Hospital Local Cartagena de Indias;</w:t>
      </w:r>
      <w:r w:rsidRPr="008A67B2">
        <w:rPr>
          <w:rFonts w:ascii="Arial" w:eastAsia="Times New Roman" w:hAnsi="Arial" w:cs="Arial"/>
          <w:spacing w:val="-1"/>
          <w:sz w:val="22"/>
          <w:szCs w:val="22"/>
          <w:lang w:val="es-CO"/>
        </w:rPr>
        <w:t xml:space="preserve"> documento en el cual se relacionan los procesos y procedimientos desarrollados para llevar a cabo la Asistencia Técnica a la red de prestadores distritales de salud.</w:t>
      </w:r>
      <w:r w:rsidR="004E77EA">
        <w:rPr>
          <w:rFonts w:ascii="Arial" w:eastAsia="Times New Roman" w:hAnsi="Arial" w:cs="Arial"/>
          <w:spacing w:val="-1"/>
          <w:sz w:val="22"/>
          <w:szCs w:val="22"/>
          <w:lang w:val="es-CO"/>
        </w:rPr>
        <w:t xml:space="preserve"> </w:t>
      </w:r>
      <w:r w:rsidRPr="008A67B2">
        <w:rPr>
          <w:rFonts w:ascii="Arial" w:eastAsia="Times New Roman" w:hAnsi="Arial" w:cs="Arial"/>
          <w:spacing w:val="-1"/>
          <w:sz w:val="22"/>
          <w:szCs w:val="22"/>
          <w:lang w:val="es-CO"/>
        </w:rPr>
        <w:t xml:space="preserve"> Este fue aprobado en enero de 2020.</w:t>
      </w:r>
    </w:p>
    <w:p w:rsidR="008A67B2" w:rsidRPr="008A67B2" w:rsidRDefault="008A67B2" w:rsidP="008A67B2">
      <w:pPr>
        <w:ind w:right="105" w:firstLine="6"/>
        <w:jc w:val="both"/>
        <w:rPr>
          <w:rFonts w:ascii="Arial" w:eastAsia="Times New Roman" w:hAnsi="Arial" w:cs="Arial"/>
          <w:spacing w:val="-1"/>
          <w:sz w:val="22"/>
          <w:szCs w:val="22"/>
          <w:lang w:val="es-CO"/>
        </w:rPr>
      </w:pPr>
    </w:p>
    <w:p w:rsidR="008A67B2" w:rsidRPr="008A67B2" w:rsidRDefault="008A67B2" w:rsidP="008A67B2">
      <w:pPr>
        <w:pStyle w:val="Textoindependiente"/>
        <w:ind w:right="-1"/>
        <w:jc w:val="both"/>
        <w:rPr>
          <w:rFonts w:ascii="Arial" w:eastAsia="Times New Roman" w:hAnsi="Arial" w:cs="Arial"/>
          <w:spacing w:val="-1"/>
          <w:sz w:val="22"/>
          <w:szCs w:val="22"/>
          <w:lang w:val="es-CO"/>
        </w:rPr>
      </w:pPr>
      <w:r w:rsidRPr="008A67B2">
        <w:rPr>
          <w:rFonts w:ascii="Arial" w:hAnsi="Arial" w:cs="Arial"/>
          <w:sz w:val="22"/>
          <w:szCs w:val="22"/>
        </w:rPr>
        <w:t xml:space="preserve">La construcción de este </w:t>
      </w:r>
      <w:r w:rsidR="00224654" w:rsidRPr="008A67B2">
        <w:rPr>
          <w:rFonts w:ascii="Arial" w:hAnsi="Arial" w:cs="Arial"/>
          <w:sz w:val="22"/>
          <w:szCs w:val="22"/>
        </w:rPr>
        <w:t>documento</w:t>
      </w:r>
      <w:r w:rsidRPr="008A67B2">
        <w:rPr>
          <w:rFonts w:ascii="Arial" w:hAnsi="Arial" w:cs="Arial"/>
          <w:sz w:val="22"/>
          <w:szCs w:val="22"/>
        </w:rPr>
        <w:t xml:space="preserve"> ha facilitado la</w:t>
      </w:r>
      <w:r w:rsidRPr="008A67B2">
        <w:rPr>
          <w:rFonts w:ascii="Arial" w:hAnsi="Arial" w:cs="Arial"/>
          <w:spacing w:val="-7"/>
          <w:sz w:val="22"/>
          <w:szCs w:val="22"/>
        </w:rPr>
        <w:t xml:space="preserve"> </w:t>
      </w:r>
      <w:r w:rsidRPr="008A67B2">
        <w:rPr>
          <w:rFonts w:ascii="Arial" w:hAnsi="Arial" w:cs="Arial"/>
          <w:sz w:val="22"/>
          <w:szCs w:val="22"/>
        </w:rPr>
        <w:t>planeación,</w:t>
      </w:r>
      <w:r w:rsidRPr="008A67B2">
        <w:rPr>
          <w:rFonts w:ascii="Arial" w:hAnsi="Arial" w:cs="Arial"/>
          <w:spacing w:val="-7"/>
          <w:sz w:val="22"/>
          <w:szCs w:val="22"/>
        </w:rPr>
        <w:t xml:space="preserve"> </w:t>
      </w:r>
      <w:r w:rsidRPr="008A67B2">
        <w:rPr>
          <w:rFonts w:ascii="Arial" w:hAnsi="Arial" w:cs="Arial"/>
          <w:sz w:val="22"/>
          <w:szCs w:val="22"/>
        </w:rPr>
        <w:t>realización</w:t>
      </w:r>
      <w:r w:rsidRPr="008A67B2">
        <w:rPr>
          <w:rFonts w:ascii="Arial" w:hAnsi="Arial" w:cs="Arial"/>
          <w:spacing w:val="-7"/>
          <w:sz w:val="22"/>
          <w:szCs w:val="22"/>
        </w:rPr>
        <w:t xml:space="preserve"> </w:t>
      </w:r>
      <w:r w:rsidRPr="008A67B2">
        <w:rPr>
          <w:rFonts w:ascii="Arial" w:hAnsi="Arial" w:cs="Arial"/>
          <w:sz w:val="22"/>
          <w:szCs w:val="22"/>
        </w:rPr>
        <w:t>y</w:t>
      </w:r>
      <w:r w:rsidRPr="008A67B2">
        <w:rPr>
          <w:rFonts w:ascii="Arial" w:hAnsi="Arial" w:cs="Arial"/>
          <w:spacing w:val="-7"/>
          <w:sz w:val="22"/>
          <w:szCs w:val="22"/>
        </w:rPr>
        <w:t xml:space="preserve"> </w:t>
      </w:r>
      <w:r w:rsidRPr="008A67B2">
        <w:rPr>
          <w:rFonts w:ascii="Arial" w:hAnsi="Arial" w:cs="Arial"/>
          <w:sz w:val="22"/>
          <w:szCs w:val="22"/>
        </w:rPr>
        <w:t>seguimiento</w:t>
      </w:r>
      <w:r w:rsidRPr="008A67B2">
        <w:rPr>
          <w:rFonts w:ascii="Arial" w:hAnsi="Arial" w:cs="Arial"/>
          <w:spacing w:val="-7"/>
          <w:sz w:val="22"/>
          <w:szCs w:val="22"/>
        </w:rPr>
        <w:t xml:space="preserve"> </w:t>
      </w:r>
      <w:r w:rsidRPr="008A67B2">
        <w:rPr>
          <w:rFonts w:ascii="Arial" w:hAnsi="Arial" w:cs="Arial"/>
          <w:sz w:val="22"/>
          <w:szCs w:val="22"/>
        </w:rPr>
        <w:t>de</w:t>
      </w:r>
      <w:r w:rsidRPr="008A67B2">
        <w:rPr>
          <w:rFonts w:ascii="Arial" w:hAnsi="Arial" w:cs="Arial"/>
          <w:spacing w:val="-9"/>
          <w:sz w:val="22"/>
          <w:szCs w:val="22"/>
        </w:rPr>
        <w:t xml:space="preserve"> </w:t>
      </w:r>
      <w:r w:rsidRPr="008A67B2">
        <w:rPr>
          <w:rFonts w:ascii="Arial" w:hAnsi="Arial" w:cs="Arial"/>
          <w:sz w:val="22"/>
          <w:szCs w:val="22"/>
        </w:rPr>
        <w:t>las</w:t>
      </w:r>
      <w:r w:rsidRPr="008A67B2">
        <w:rPr>
          <w:rFonts w:ascii="Arial" w:hAnsi="Arial" w:cs="Arial"/>
          <w:spacing w:val="-7"/>
          <w:sz w:val="22"/>
          <w:szCs w:val="22"/>
        </w:rPr>
        <w:t xml:space="preserve"> </w:t>
      </w:r>
      <w:r w:rsidRPr="008A67B2">
        <w:rPr>
          <w:rFonts w:ascii="Arial" w:hAnsi="Arial" w:cs="Arial"/>
          <w:sz w:val="22"/>
          <w:szCs w:val="22"/>
        </w:rPr>
        <w:t>actividades</w:t>
      </w:r>
      <w:r w:rsidRPr="008A67B2">
        <w:rPr>
          <w:rFonts w:ascii="Arial" w:hAnsi="Arial" w:cs="Arial"/>
          <w:spacing w:val="-8"/>
          <w:sz w:val="22"/>
          <w:szCs w:val="22"/>
        </w:rPr>
        <w:t xml:space="preserve"> </w:t>
      </w:r>
      <w:r w:rsidRPr="008A67B2">
        <w:rPr>
          <w:rFonts w:ascii="Arial" w:hAnsi="Arial" w:cs="Arial"/>
          <w:sz w:val="22"/>
          <w:szCs w:val="22"/>
        </w:rPr>
        <w:t>a</w:t>
      </w:r>
      <w:r w:rsidRPr="008A67B2">
        <w:rPr>
          <w:rFonts w:ascii="Arial" w:hAnsi="Arial" w:cs="Arial"/>
          <w:spacing w:val="-8"/>
          <w:sz w:val="22"/>
          <w:szCs w:val="22"/>
        </w:rPr>
        <w:t xml:space="preserve"> </w:t>
      </w:r>
      <w:r w:rsidRPr="008A67B2">
        <w:rPr>
          <w:rFonts w:ascii="Arial" w:hAnsi="Arial" w:cs="Arial"/>
          <w:sz w:val="22"/>
          <w:szCs w:val="22"/>
        </w:rPr>
        <w:t>través</w:t>
      </w:r>
      <w:r w:rsidRPr="008A67B2">
        <w:rPr>
          <w:rFonts w:ascii="Arial" w:hAnsi="Arial" w:cs="Arial"/>
          <w:spacing w:val="-8"/>
          <w:sz w:val="22"/>
          <w:szCs w:val="22"/>
        </w:rPr>
        <w:t xml:space="preserve"> </w:t>
      </w:r>
      <w:r w:rsidRPr="008A67B2">
        <w:rPr>
          <w:rFonts w:ascii="Arial" w:hAnsi="Arial" w:cs="Arial"/>
          <w:sz w:val="22"/>
          <w:szCs w:val="22"/>
        </w:rPr>
        <w:t>del</w:t>
      </w:r>
      <w:r w:rsidRPr="008A67B2">
        <w:rPr>
          <w:rFonts w:ascii="Arial" w:hAnsi="Arial" w:cs="Arial"/>
          <w:spacing w:val="-6"/>
          <w:sz w:val="22"/>
          <w:szCs w:val="22"/>
        </w:rPr>
        <w:t xml:space="preserve"> </w:t>
      </w:r>
      <w:r w:rsidRPr="008A67B2">
        <w:rPr>
          <w:rFonts w:ascii="Arial" w:hAnsi="Arial" w:cs="Arial"/>
          <w:sz w:val="22"/>
          <w:szCs w:val="22"/>
        </w:rPr>
        <w:t>Cronograma de visitas de asistencias técnicas.</w:t>
      </w:r>
      <w:r w:rsidR="004E77EA">
        <w:rPr>
          <w:rFonts w:ascii="Arial" w:hAnsi="Arial" w:cs="Arial"/>
          <w:sz w:val="22"/>
          <w:szCs w:val="22"/>
        </w:rPr>
        <w:t xml:space="preserve"> </w:t>
      </w:r>
      <w:r w:rsidRPr="008A67B2">
        <w:rPr>
          <w:rFonts w:ascii="Arial" w:eastAsia="Times New Roman" w:hAnsi="Arial" w:cs="Arial"/>
          <w:spacing w:val="-1"/>
          <w:sz w:val="22"/>
          <w:szCs w:val="22"/>
          <w:lang w:val="es-CO"/>
        </w:rPr>
        <w:t>Frente a las actividades desarrolladas en 2020 se aportó el Cronogra</w:t>
      </w:r>
      <w:r w:rsidR="00F914D2">
        <w:rPr>
          <w:rFonts w:ascii="Arial" w:eastAsia="Times New Roman" w:hAnsi="Arial" w:cs="Arial"/>
          <w:spacing w:val="-1"/>
          <w:sz w:val="22"/>
          <w:szCs w:val="22"/>
          <w:lang w:val="es-CO"/>
        </w:rPr>
        <w:t>ma anual de asistencia técnica,</w:t>
      </w:r>
      <w:r w:rsidRPr="008A67B2">
        <w:rPr>
          <w:rFonts w:ascii="Arial" w:eastAsia="Times New Roman" w:hAnsi="Arial" w:cs="Arial"/>
          <w:spacing w:val="-1"/>
          <w:sz w:val="22"/>
          <w:szCs w:val="22"/>
          <w:lang w:val="es-CO"/>
        </w:rPr>
        <w:t xml:space="preserve"> las planillas de reuniones de asistencia técnica a la ESE durante 2020 y el seguimiento respectivo.</w:t>
      </w:r>
    </w:p>
    <w:p w:rsidR="008A67B2" w:rsidRPr="008A67B2" w:rsidRDefault="008A67B2" w:rsidP="008A67B2">
      <w:pPr>
        <w:ind w:right="105" w:firstLine="6"/>
        <w:jc w:val="both"/>
        <w:rPr>
          <w:rFonts w:ascii="Arial" w:eastAsia="Times New Roman" w:hAnsi="Arial" w:cs="Arial"/>
          <w:spacing w:val="-1"/>
          <w:sz w:val="22"/>
          <w:szCs w:val="22"/>
          <w:lang w:val="es-CO"/>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Efectuada la evaluación a la ejecución del Programa viabilizado a la ESE, teniendo en cuenta sus resultados en la ejecución de las medidas, el escenario financiero, el recaudo de fuentes de financiación, el pago del pasivo y la producción, el Ministerio de Hacienda y Crédito público concluyó al cierre de 2019 y de 2020 que presentó alerta baja de incumplimiento.</w:t>
      </w:r>
    </w:p>
    <w:p w:rsidR="008A67B2" w:rsidRPr="008A67B2" w:rsidRDefault="008A67B2" w:rsidP="008A67B2">
      <w:pPr>
        <w:jc w:val="both"/>
        <w:rPr>
          <w:rFonts w:ascii="Arial" w:hAnsi="Arial" w:cs="Arial"/>
          <w:b/>
          <w:sz w:val="22"/>
          <w:szCs w:val="22"/>
          <w:lang w:val="es-CO"/>
        </w:rPr>
      </w:pPr>
    </w:p>
    <w:p w:rsidR="008A67B2" w:rsidRPr="008A67B2" w:rsidRDefault="008A67B2" w:rsidP="008A67B2">
      <w:pPr>
        <w:jc w:val="both"/>
        <w:rPr>
          <w:rFonts w:ascii="Arial" w:hAnsi="Arial" w:cs="Arial"/>
          <w:b/>
          <w:sz w:val="22"/>
          <w:szCs w:val="22"/>
        </w:rPr>
      </w:pPr>
      <w:r w:rsidRPr="008A67B2">
        <w:rPr>
          <w:rFonts w:ascii="Arial" w:hAnsi="Arial" w:cs="Arial"/>
          <w:b/>
          <w:sz w:val="22"/>
          <w:szCs w:val="22"/>
        </w:rPr>
        <w:t>Actividad 4.</w:t>
      </w:r>
      <w:r w:rsidR="004E77EA">
        <w:rPr>
          <w:rFonts w:ascii="Arial" w:hAnsi="Arial" w:cs="Arial"/>
          <w:b/>
          <w:sz w:val="22"/>
          <w:szCs w:val="22"/>
        </w:rPr>
        <w:t xml:space="preserve"> </w:t>
      </w:r>
      <w:r w:rsidRPr="008A67B2">
        <w:rPr>
          <w:rFonts w:ascii="Arial" w:hAnsi="Arial" w:cs="Arial"/>
          <w:b/>
          <w:sz w:val="22"/>
          <w:szCs w:val="22"/>
        </w:rPr>
        <w:t>Efectuar la depuración de la deuda real derivada de la prestación de servicios y tecnologías No POS suministradas a los afiliados del Régimen Subsidiado, de la atención a la población pobre no asegurada y del Régimen Subsidiado si aplica</w:t>
      </w:r>
      <w:r w:rsidR="004E77EA">
        <w:rPr>
          <w:rFonts w:ascii="Arial" w:hAnsi="Arial" w:cs="Arial"/>
          <w:b/>
          <w:sz w:val="22"/>
          <w:szCs w:val="22"/>
        </w:rPr>
        <w:t xml:space="preserve"> </w:t>
      </w:r>
    </w:p>
    <w:p w:rsidR="008A67B2" w:rsidRPr="008A67B2" w:rsidRDefault="008A67B2" w:rsidP="008A67B2">
      <w:pPr>
        <w:rPr>
          <w:rFonts w:ascii="Arial" w:hAnsi="Arial" w:cs="Arial"/>
          <w:b/>
          <w:sz w:val="22"/>
          <w:szCs w:val="22"/>
        </w:rPr>
      </w:pPr>
    </w:p>
    <w:p w:rsidR="008A67B2" w:rsidRPr="008A67B2" w:rsidRDefault="008A67B2" w:rsidP="00224654">
      <w:pPr>
        <w:jc w:val="both"/>
        <w:rPr>
          <w:rFonts w:ascii="Arial" w:hAnsi="Arial" w:cs="Arial"/>
          <w:sz w:val="22"/>
          <w:szCs w:val="22"/>
        </w:rPr>
      </w:pPr>
      <w:r w:rsidRPr="008A67B2">
        <w:rPr>
          <w:rFonts w:ascii="Arial" w:hAnsi="Arial" w:cs="Arial"/>
          <w:sz w:val="22"/>
          <w:szCs w:val="22"/>
        </w:rPr>
        <w:t>Las evidencias se encuentran consignadas en el sistema SIED con el número de Expediente</w:t>
      </w:r>
      <w:r w:rsidR="00F914D2">
        <w:rPr>
          <w:rFonts w:ascii="Arial" w:hAnsi="Arial" w:cs="Arial"/>
          <w:sz w:val="22"/>
          <w:szCs w:val="22"/>
        </w:rPr>
        <w:t xml:space="preserve"> </w:t>
      </w:r>
      <w:r w:rsidRPr="008A67B2">
        <w:rPr>
          <w:rFonts w:ascii="Arial" w:hAnsi="Arial" w:cs="Arial"/>
          <w:sz w:val="22"/>
          <w:szCs w:val="22"/>
        </w:rPr>
        <w:t>120/2018/D028-PREDI.</w:t>
      </w:r>
      <w:r w:rsidR="004E77EA">
        <w:rPr>
          <w:rFonts w:ascii="Arial" w:hAnsi="Arial" w:cs="Arial"/>
          <w:sz w:val="22"/>
          <w:szCs w:val="22"/>
        </w:rPr>
        <w:t xml:space="preserve"> </w:t>
      </w:r>
      <w:r w:rsidRPr="008A67B2">
        <w:rPr>
          <w:rFonts w:ascii="Arial" w:hAnsi="Arial" w:cs="Arial"/>
          <w:sz w:val="22"/>
          <w:szCs w:val="22"/>
        </w:rPr>
        <w:t xml:space="preserve">Dichas evidencias se relacionan a continuación: </w:t>
      </w:r>
    </w:p>
    <w:p w:rsidR="008A67B2" w:rsidRPr="008A67B2" w:rsidRDefault="008A67B2" w:rsidP="008A67B2">
      <w:pPr>
        <w:rPr>
          <w:rFonts w:ascii="Arial" w:hAnsi="Arial" w:cs="Arial"/>
          <w:sz w:val="22"/>
          <w:szCs w:val="22"/>
        </w:rPr>
      </w:pPr>
    </w:p>
    <w:p w:rsidR="008A67B2" w:rsidRPr="008A67B2" w:rsidRDefault="008A67B2" w:rsidP="008A67B2">
      <w:pPr>
        <w:spacing w:line="292" w:lineRule="exact"/>
        <w:rPr>
          <w:rFonts w:ascii="Arial" w:hAnsi="Arial" w:cs="Arial"/>
          <w:b/>
          <w:sz w:val="22"/>
          <w:szCs w:val="22"/>
        </w:rPr>
      </w:pPr>
      <w:r w:rsidRPr="008A67B2">
        <w:rPr>
          <w:rFonts w:ascii="Arial" w:hAnsi="Arial" w:cs="Arial"/>
          <w:b/>
          <w:sz w:val="22"/>
          <w:szCs w:val="22"/>
        </w:rPr>
        <w:t>Anexos: CARPETA – ACTIVIDAD 4</w:t>
      </w:r>
    </w:p>
    <w:p w:rsidR="008A67B2" w:rsidRPr="008A67B2" w:rsidRDefault="008A67B2" w:rsidP="008A67B2">
      <w:pPr>
        <w:widowControl w:val="0"/>
        <w:tabs>
          <w:tab w:val="left" w:pos="726"/>
        </w:tabs>
        <w:autoSpaceDE w:val="0"/>
        <w:autoSpaceDN w:val="0"/>
        <w:spacing w:line="292" w:lineRule="exact"/>
        <w:rPr>
          <w:rFonts w:ascii="Arial" w:hAnsi="Arial" w:cs="Arial"/>
          <w:sz w:val="22"/>
          <w:szCs w:val="22"/>
        </w:rPr>
      </w:pPr>
      <w:r w:rsidRPr="008A67B2">
        <w:rPr>
          <w:rFonts w:ascii="Arial" w:hAnsi="Arial" w:cs="Arial"/>
          <w:sz w:val="22"/>
          <w:szCs w:val="22"/>
        </w:rPr>
        <w:t>Carpeta 4.1 Cartera</w:t>
      </w:r>
      <w:r w:rsidRPr="008A67B2">
        <w:rPr>
          <w:rFonts w:ascii="Arial" w:hAnsi="Arial" w:cs="Arial"/>
          <w:spacing w:val="1"/>
          <w:sz w:val="22"/>
          <w:szCs w:val="22"/>
        </w:rPr>
        <w:t xml:space="preserve"> </w:t>
      </w:r>
      <w:r w:rsidRPr="008A67B2">
        <w:rPr>
          <w:rFonts w:ascii="Arial" w:hAnsi="Arial" w:cs="Arial"/>
          <w:sz w:val="22"/>
          <w:szCs w:val="22"/>
        </w:rPr>
        <w:t>IPS</w:t>
      </w:r>
    </w:p>
    <w:p w:rsidR="008A67B2" w:rsidRPr="008A67B2" w:rsidRDefault="008A67B2" w:rsidP="008A67B2">
      <w:pPr>
        <w:pStyle w:val="Prrafodelista"/>
        <w:widowControl w:val="0"/>
        <w:tabs>
          <w:tab w:val="left" w:pos="726"/>
        </w:tabs>
        <w:autoSpaceDE w:val="0"/>
        <w:autoSpaceDN w:val="0"/>
        <w:spacing w:line="292" w:lineRule="exact"/>
        <w:ind w:left="621"/>
        <w:rPr>
          <w:rFonts w:ascii="Arial" w:hAnsi="Arial" w:cs="Arial"/>
          <w:sz w:val="22"/>
          <w:szCs w:val="22"/>
        </w:rPr>
      </w:pPr>
      <w:r w:rsidRPr="008A67B2">
        <w:rPr>
          <w:rFonts w:ascii="Arial" w:hAnsi="Arial" w:cs="Arial"/>
          <w:sz w:val="22"/>
          <w:szCs w:val="22"/>
        </w:rPr>
        <w:lastRenderedPageBreak/>
        <w:t>CARTERA POR EDADES 202012 a DIC2020</w:t>
      </w:r>
    </w:p>
    <w:p w:rsidR="008A67B2" w:rsidRPr="008A67B2" w:rsidRDefault="008A67B2" w:rsidP="008A67B2">
      <w:pPr>
        <w:pStyle w:val="Prrafodelista"/>
        <w:widowControl w:val="0"/>
        <w:tabs>
          <w:tab w:val="left" w:pos="726"/>
        </w:tabs>
        <w:autoSpaceDE w:val="0"/>
        <w:autoSpaceDN w:val="0"/>
        <w:spacing w:line="292" w:lineRule="exact"/>
        <w:ind w:left="621"/>
        <w:rPr>
          <w:rFonts w:ascii="Arial" w:hAnsi="Arial" w:cs="Arial"/>
          <w:sz w:val="22"/>
          <w:szCs w:val="22"/>
        </w:rPr>
      </w:pPr>
      <w:r w:rsidRPr="008A67B2">
        <w:rPr>
          <w:rFonts w:ascii="Arial" w:hAnsi="Arial" w:cs="Arial"/>
          <w:sz w:val="22"/>
          <w:szCs w:val="22"/>
        </w:rPr>
        <w:t>MATR</w:t>
      </w:r>
      <w:r w:rsidR="00F914D2">
        <w:rPr>
          <w:rFonts w:ascii="Arial" w:hAnsi="Arial" w:cs="Arial"/>
          <w:sz w:val="22"/>
          <w:szCs w:val="22"/>
        </w:rPr>
        <w:t xml:space="preserve">IZ </w:t>
      </w:r>
      <w:r w:rsidRPr="008A67B2">
        <w:rPr>
          <w:rFonts w:ascii="Arial" w:hAnsi="Arial" w:cs="Arial"/>
          <w:sz w:val="22"/>
          <w:szCs w:val="22"/>
        </w:rPr>
        <w:t>A DICIEMBRE 2020</w:t>
      </w:r>
    </w:p>
    <w:p w:rsidR="008A67B2" w:rsidRPr="008A67B2" w:rsidRDefault="008A67B2" w:rsidP="008A67B2">
      <w:pPr>
        <w:pStyle w:val="Prrafodelista"/>
        <w:widowControl w:val="0"/>
        <w:tabs>
          <w:tab w:val="left" w:pos="726"/>
        </w:tabs>
        <w:autoSpaceDE w:val="0"/>
        <w:autoSpaceDN w:val="0"/>
        <w:spacing w:line="292" w:lineRule="exact"/>
        <w:ind w:left="621"/>
        <w:rPr>
          <w:rFonts w:ascii="Arial" w:hAnsi="Arial" w:cs="Arial"/>
          <w:sz w:val="22"/>
          <w:szCs w:val="22"/>
        </w:rPr>
      </w:pPr>
      <w:r w:rsidRPr="008A67B2">
        <w:rPr>
          <w:rFonts w:ascii="Arial" w:hAnsi="Arial" w:cs="Arial"/>
          <w:sz w:val="22"/>
          <w:szCs w:val="22"/>
        </w:rPr>
        <w:t>MATRIZ A JUNIO 2020</w:t>
      </w:r>
    </w:p>
    <w:p w:rsidR="008A67B2" w:rsidRPr="008A67B2" w:rsidRDefault="008A67B2" w:rsidP="008A67B2">
      <w:pPr>
        <w:pStyle w:val="Prrafodelista"/>
        <w:widowControl w:val="0"/>
        <w:tabs>
          <w:tab w:val="left" w:pos="726"/>
        </w:tabs>
        <w:autoSpaceDE w:val="0"/>
        <w:autoSpaceDN w:val="0"/>
        <w:spacing w:line="292" w:lineRule="exact"/>
        <w:ind w:left="621"/>
        <w:rPr>
          <w:rFonts w:ascii="Arial" w:hAnsi="Arial" w:cs="Arial"/>
          <w:sz w:val="22"/>
          <w:szCs w:val="22"/>
        </w:rPr>
      </w:pPr>
    </w:p>
    <w:p w:rsidR="008A67B2" w:rsidRPr="008A67B2" w:rsidRDefault="008A67B2" w:rsidP="008A67B2">
      <w:pPr>
        <w:widowControl w:val="0"/>
        <w:tabs>
          <w:tab w:val="left" w:pos="726"/>
        </w:tabs>
        <w:autoSpaceDE w:val="0"/>
        <w:autoSpaceDN w:val="0"/>
        <w:spacing w:before="23"/>
        <w:rPr>
          <w:rFonts w:ascii="Arial" w:hAnsi="Arial" w:cs="Arial"/>
          <w:sz w:val="22"/>
          <w:szCs w:val="22"/>
        </w:rPr>
      </w:pPr>
      <w:r w:rsidRPr="008A67B2">
        <w:rPr>
          <w:rFonts w:ascii="Arial" w:hAnsi="Arial" w:cs="Arial"/>
          <w:sz w:val="22"/>
          <w:szCs w:val="22"/>
        </w:rPr>
        <w:t>Carpeta 4.2 Cartera</w:t>
      </w:r>
      <w:r w:rsidRPr="008A67B2">
        <w:rPr>
          <w:rFonts w:ascii="Arial" w:hAnsi="Arial" w:cs="Arial"/>
          <w:spacing w:val="-1"/>
          <w:sz w:val="22"/>
          <w:szCs w:val="22"/>
        </w:rPr>
        <w:t xml:space="preserve"> </w:t>
      </w:r>
      <w:r w:rsidRPr="008A67B2">
        <w:rPr>
          <w:rFonts w:ascii="Arial" w:hAnsi="Arial" w:cs="Arial"/>
          <w:sz w:val="22"/>
          <w:szCs w:val="22"/>
        </w:rPr>
        <w:t>EPS</w:t>
      </w:r>
    </w:p>
    <w:p w:rsidR="008A67B2" w:rsidRPr="008A67B2" w:rsidRDefault="00F914D2" w:rsidP="008A67B2">
      <w:pPr>
        <w:widowControl w:val="0"/>
        <w:tabs>
          <w:tab w:val="left" w:pos="726"/>
        </w:tabs>
        <w:autoSpaceDE w:val="0"/>
        <w:autoSpaceDN w:val="0"/>
        <w:spacing w:before="23"/>
        <w:ind w:left="261"/>
        <w:rPr>
          <w:rFonts w:ascii="Arial" w:hAnsi="Arial" w:cs="Arial"/>
          <w:sz w:val="22"/>
          <w:szCs w:val="22"/>
        </w:rPr>
      </w:pPr>
      <w:r>
        <w:rPr>
          <w:rFonts w:ascii="Arial" w:hAnsi="Arial" w:cs="Arial"/>
          <w:sz w:val="22"/>
          <w:szCs w:val="22"/>
        </w:rPr>
        <w:t>CARTERA POR EDADES</w:t>
      </w:r>
      <w:r w:rsidR="008A67B2" w:rsidRPr="008A67B2">
        <w:rPr>
          <w:rFonts w:ascii="Arial" w:hAnsi="Arial" w:cs="Arial"/>
          <w:sz w:val="22"/>
          <w:szCs w:val="22"/>
        </w:rPr>
        <w:t xml:space="preserve"> A DICIEMBRE 2020</w:t>
      </w:r>
    </w:p>
    <w:p w:rsidR="008A67B2" w:rsidRPr="008A67B2" w:rsidRDefault="00F914D2" w:rsidP="008A67B2">
      <w:pPr>
        <w:widowControl w:val="0"/>
        <w:tabs>
          <w:tab w:val="left" w:pos="726"/>
        </w:tabs>
        <w:autoSpaceDE w:val="0"/>
        <w:autoSpaceDN w:val="0"/>
        <w:spacing w:before="23"/>
        <w:ind w:left="261"/>
        <w:rPr>
          <w:rFonts w:ascii="Arial" w:hAnsi="Arial" w:cs="Arial"/>
          <w:sz w:val="22"/>
          <w:szCs w:val="22"/>
        </w:rPr>
      </w:pPr>
      <w:r>
        <w:rPr>
          <w:rFonts w:ascii="Arial" w:hAnsi="Arial" w:cs="Arial"/>
          <w:sz w:val="22"/>
          <w:szCs w:val="22"/>
        </w:rPr>
        <w:t xml:space="preserve">MATRIZ DE </w:t>
      </w:r>
      <w:r w:rsidR="008A67B2" w:rsidRPr="008A67B2">
        <w:rPr>
          <w:rFonts w:ascii="Arial" w:hAnsi="Arial" w:cs="Arial"/>
          <w:sz w:val="22"/>
          <w:szCs w:val="22"/>
        </w:rPr>
        <w:t>JUNIO 2020 A DICIEMBRE 20201) (4)</w:t>
      </w:r>
    </w:p>
    <w:p w:rsidR="008A67B2" w:rsidRPr="008A67B2" w:rsidRDefault="00F914D2" w:rsidP="008A67B2">
      <w:pPr>
        <w:widowControl w:val="0"/>
        <w:tabs>
          <w:tab w:val="left" w:pos="726"/>
        </w:tabs>
        <w:autoSpaceDE w:val="0"/>
        <w:autoSpaceDN w:val="0"/>
        <w:spacing w:before="23"/>
        <w:ind w:left="261"/>
        <w:rPr>
          <w:rFonts w:ascii="Arial" w:hAnsi="Arial" w:cs="Arial"/>
          <w:sz w:val="22"/>
          <w:szCs w:val="22"/>
        </w:rPr>
      </w:pPr>
      <w:r>
        <w:rPr>
          <w:rFonts w:ascii="Arial" w:hAnsi="Arial" w:cs="Arial"/>
          <w:sz w:val="22"/>
          <w:szCs w:val="22"/>
        </w:rPr>
        <w:t xml:space="preserve">MATRIZ DE DICIEMBRE 2019 </w:t>
      </w:r>
      <w:r w:rsidR="008A67B2" w:rsidRPr="008A67B2">
        <w:rPr>
          <w:rFonts w:ascii="Arial" w:hAnsi="Arial" w:cs="Arial"/>
          <w:sz w:val="22"/>
          <w:szCs w:val="22"/>
        </w:rPr>
        <w:t>A JUNIO2020(1) (4) (3)</w:t>
      </w:r>
    </w:p>
    <w:p w:rsidR="008A67B2" w:rsidRPr="008A67B2" w:rsidRDefault="008A67B2" w:rsidP="008A67B2">
      <w:pPr>
        <w:widowControl w:val="0"/>
        <w:tabs>
          <w:tab w:val="left" w:pos="726"/>
        </w:tabs>
        <w:autoSpaceDE w:val="0"/>
        <w:autoSpaceDN w:val="0"/>
        <w:spacing w:before="23"/>
        <w:ind w:left="261"/>
        <w:rPr>
          <w:rFonts w:ascii="Arial" w:hAnsi="Arial" w:cs="Arial"/>
          <w:sz w:val="22"/>
          <w:szCs w:val="22"/>
        </w:rPr>
      </w:pPr>
    </w:p>
    <w:p w:rsidR="008A67B2" w:rsidRPr="008A67B2" w:rsidRDefault="008A67B2" w:rsidP="008A67B2">
      <w:pPr>
        <w:widowControl w:val="0"/>
        <w:tabs>
          <w:tab w:val="left" w:pos="726"/>
        </w:tabs>
        <w:autoSpaceDE w:val="0"/>
        <w:autoSpaceDN w:val="0"/>
        <w:spacing w:before="24"/>
        <w:rPr>
          <w:rFonts w:ascii="Arial" w:hAnsi="Arial" w:cs="Arial"/>
          <w:sz w:val="22"/>
          <w:szCs w:val="22"/>
        </w:rPr>
      </w:pPr>
      <w:r w:rsidRPr="008A67B2">
        <w:rPr>
          <w:rFonts w:ascii="Arial" w:hAnsi="Arial" w:cs="Arial"/>
          <w:sz w:val="22"/>
          <w:szCs w:val="22"/>
        </w:rPr>
        <w:t>Carpeta Evidencia Mesas de</w:t>
      </w:r>
      <w:r w:rsidRPr="008A67B2">
        <w:rPr>
          <w:rFonts w:ascii="Arial" w:hAnsi="Arial" w:cs="Arial"/>
          <w:spacing w:val="-9"/>
          <w:sz w:val="22"/>
          <w:szCs w:val="22"/>
        </w:rPr>
        <w:t xml:space="preserve"> </w:t>
      </w:r>
      <w:r w:rsidRPr="008A67B2">
        <w:rPr>
          <w:rFonts w:ascii="Arial" w:hAnsi="Arial" w:cs="Arial"/>
          <w:sz w:val="22"/>
          <w:szCs w:val="22"/>
        </w:rPr>
        <w:t>Trabajo</w:t>
      </w:r>
    </w:p>
    <w:p w:rsidR="008A67B2" w:rsidRPr="008A67B2" w:rsidRDefault="008A67B2" w:rsidP="008A67B2">
      <w:pPr>
        <w:widowControl w:val="0"/>
        <w:tabs>
          <w:tab w:val="left" w:pos="726"/>
        </w:tabs>
        <w:autoSpaceDE w:val="0"/>
        <w:autoSpaceDN w:val="0"/>
        <w:spacing w:before="24"/>
        <w:ind w:left="261"/>
        <w:rPr>
          <w:rFonts w:ascii="Arial" w:hAnsi="Arial" w:cs="Arial"/>
          <w:sz w:val="22"/>
          <w:szCs w:val="22"/>
        </w:rPr>
      </w:pPr>
      <w:r w:rsidRPr="008A67B2">
        <w:rPr>
          <w:rFonts w:ascii="Arial" w:hAnsi="Arial" w:cs="Arial"/>
          <w:sz w:val="22"/>
          <w:szCs w:val="22"/>
        </w:rPr>
        <w:t>ACTAS DE CONCILIACIONES 030 2019 PARTE 1 (1)</w:t>
      </w:r>
    </w:p>
    <w:p w:rsidR="008A67B2" w:rsidRPr="008A67B2" w:rsidRDefault="008A67B2" w:rsidP="008A67B2">
      <w:pPr>
        <w:widowControl w:val="0"/>
        <w:tabs>
          <w:tab w:val="left" w:pos="726"/>
        </w:tabs>
        <w:autoSpaceDE w:val="0"/>
        <w:autoSpaceDN w:val="0"/>
        <w:spacing w:before="22"/>
        <w:ind w:left="261"/>
        <w:rPr>
          <w:rFonts w:ascii="Arial" w:hAnsi="Arial" w:cs="Arial"/>
          <w:sz w:val="22"/>
          <w:szCs w:val="22"/>
        </w:rPr>
      </w:pPr>
      <w:r w:rsidRPr="008A67B2">
        <w:rPr>
          <w:rFonts w:ascii="Arial" w:hAnsi="Arial" w:cs="Arial"/>
          <w:sz w:val="22"/>
          <w:szCs w:val="22"/>
        </w:rPr>
        <w:t>Informe PISIS −SISPRO</w:t>
      </w:r>
      <w:r w:rsidRPr="008A67B2">
        <w:rPr>
          <w:rFonts w:ascii="Arial" w:hAnsi="Arial" w:cs="Arial"/>
          <w:spacing w:val="-29"/>
          <w:sz w:val="22"/>
          <w:szCs w:val="22"/>
        </w:rPr>
        <w:t xml:space="preserve"> </w:t>
      </w:r>
      <w:r w:rsidRPr="008A67B2">
        <w:rPr>
          <w:rFonts w:ascii="Arial" w:hAnsi="Arial" w:cs="Arial"/>
          <w:sz w:val="22"/>
          <w:szCs w:val="22"/>
        </w:rPr>
        <w:t>2020</w:t>
      </w:r>
    </w:p>
    <w:p w:rsidR="008A67B2" w:rsidRPr="008A67B2" w:rsidRDefault="008A67B2" w:rsidP="008A67B2">
      <w:pPr>
        <w:jc w:val="both"/>
        <w:rPr>
          <w:rFonts w:ascii="Arial" w:hAnsi="Arial" w:cs="Arial"/>
          <w:sz w:val="22"/>
          <w:szCs w:val="22"/>
        </w:rPr>
      </w:pPr>
    </w:p>
    <w:p w:rsidR="008A67B2" w:rsidRPr="008A67B2" w:rsidRDefault="008A67B2" w:rsidP="008A67B2">
      <w:pPr>
        <w:pStyle w:val="Textoindependiente"/>
        <w:spacing w:before="1"/>
        <w:ind w:right="-1"/>
        <w:jc w:val="both"/>
        <w:rPr>
          <w:rFonts w:ascii="Arial" w:hAnsi="Arial" w:cs="Arial"/>
          <w:sz w:val="22"/>
          <w:szCs w:val="22"/>
        </w:rPr>
      </w:pPr>
      <w:r w:rsidRPr="008A67B2">
        <w:rPr>
          <w:rFonts w:ascii="Arial" w:hAnsi="Arial" w:cs="Arial"/>
          <w:sz w:val="22"/>
          <w:szCs w:val="22"/>
        </w:rPr>
        <w:t>Las acciones realizadas durante el 2020 permitieron avanzar en la auditoría sobre la facturación que se encontraba dentro de la plataforma SIGDADIS.</w:t>
      </w:r>
      <w:r w:rsidR="004E77EA">
        <w:rPr>
          <w:rFonts w:ascii="Arial" w:hAnsi="Arial" w:cs="Arial"/>
          <w:sz w:val="22"/>
          <w:szCs w:val="22"/>
        </w:rPr>
        <w:t xml:space="preserve"> </w:t>
      </w:r>
      <w:r w:rsidRPr="008A67B2">
        <w:rPr>
          <w:rFonts w:ascii="Arial" w:hAnsi="Arial" w:cs="Arial"/>
          <w:sz w:val="22"/>
          <w:szCs w:val="22"/>
        </w:rPr>
        <w:t>Por número de facturas es posible resumir así:</w:t>
      </w:r>
    </w:p>
    <w:p w:rsidR="008A67B2" w:rsidRPr="008A67B2" w:rsidRDefault="008A67B2" w:rsidP="008A67B2">
      <w:pPr>
        <w:pStyle w:val="Textoindependiente"/>
        <w:spacing w:before="1"/>
        <w:ind w:right="-1"/>
        <w:jc w:val="both"/>
        <w:rPr>
          <w:rFonts w:ascii="Arial" w:hAnsi="Arial" w:cs="Arial"/>
          <w:sz w:val="22"/>
          <w:szCs w:val="22"/>
        </w:rPr>
      </w:pPr>
    </w:p>
    <w:p w:rsidR="008A67B2" w:rsidRPr="008A67B2" w:rsidRDefault="008A67B2" w:rsidP="008A67B2">
      <w:pPr>
        <w:pStyle w:val="Textoindependiente"/>
        <w:spacing w:before="1"/>
        <w:ind w:right="-1"/>
        <w:jc w:val="both"/>
        <w:rPr>
          <w:rFonts w:ascii="Arial" w:hAnsi="Arial" w:cs="Arial"/>
          <w:sz w:val="22"/>
          <w:szCs w:val="22"/>
        </w:rPr>
      </w:pPr>
      <w:r w:rsidRPr="008A67B2">
        <w:rPr>
          <w:rFonts w:ascii="Arial" w:hAnsi="Arial" w:cs="Arial"/>
          <w:sz w:val="22"/>
          <w:szCs w:val="22"/>
        </w:rPr>
        <w:t>Facturación no PBS</w:t>
      </w:r>
    </w:p>
    <w:p w:rsidR="008A67B2" w:rsidRPr="008A67B2" w:rsidRDefault="008A67B2" w:rsidP="008A67B2">
      <w:pPr>
        <w:pStyle w:val="Textoindependiente"/>
        <w:spacing w:before="1"/>
        <w:ind w:right="-1"/>
        <w:jc w:val="both"/>
        <w:rPr>
          <w:rFonts w:ascii="Arial" w:hAnsi="Arial" w:cs="Arial"/>
          <w:sz w:val="22"/>
          <w:szCs w:val="22"/>
        </w:rPr>
      </w:pPr>
    </w:p>
    <w:p w:rsidR="008A67B2" w:rsidRPr="008A67B2" w:rsidRDefault="008A67B2" w:rsidP="008A67B2">
      <w:pPr>
        <w:pStyle w:val="Textoindependiente"/>
        <w:spacing w:before="1"/>
        <w:ind w:right="-1"/>
        <w:jc w:val="both"/>
        <w:rPr>
          <w:rFonts w:ascii="Arial" w:hAnsi="Arial" w:cs="Arial"/>
          <w:sz w:val="22"/>
          <w:szCs w:val="22"/>
        </w:rPr>
      </w:pPr>
      <w:r w:rsidRPr="008A67B2">
        <w:rPr>
          <w:rFonts w:ascii="Arial" w:hAnsi="Arial" w:cs="Arial"/>
          <w:sz w:val="22"/>
          <w:szCs w:val="22"/>
        </w:rPr>
        <w:t>De un total de 178.045 facturas pendientes de auditar al inicio de la vigencia 2020 (de las cuales 24.110 eran de la vigencia), al 31 de diciembre del 2020 las facturas pendientes por auditar eran de 149, es decir un cumplimiento del 99%. De ese total de facturas y con el fin de agilizar y ser transparentes en los procesos, se realizaron conciliaciones para un total de 175.485, de las cuales 22.644 eran de la vigencia 2020. A 31 de diciembre de 2020 el proceso de conciliación alcanzo el 98% de estas facturas, quedando pendiente por conciliar 2.079</w:t>
      </w:r>
      <w:r w:rsidRPr="008A67B2">
        <w:rPr>
          <w:rFonts w:ascii="Arial" w:hAnsi="Arial" w:cs="Arial"/>
          <w:spacing w:val="-7"/>
          <w:sz w:val="22"/>
          <w:szCs w:val="22"/>
        </w:rPr>
        <w:t xml:space="preserve"> </w:t>
      </w:r>
      <w:r w:rsidRPr="008A67B2">
        <w:rPr>
          <w:rFonts w:ascii="Arial" w:hAnsi="Arial" w:cs="Arial"/>
          <w:sz w:val="22"/>
          <w:szCs w:val="22"/>
        </w:rPr>
        <w:t>facturas.</w:t>
      </w:r>
    </w:p>
    <w:p w:rsidR="00F914D2" w:rsidRDefault="00F914D2" w:rsidP="008A67B2">
      <w:pPr>
        <w:pStyle w:val="Textoindependiente"/>
        <w:spacing w:before="1"/>
        <w:ind w:right="-1"/>
        <w:rPr>
          <w:rFonts w:ascii="Arial" w:hAnsi="Arial" w:cs="Arial"/>
          <w:sz w:val="22"/>
          <w:szCs w:val="22"/>
        </w:rPr>
      </w:pPr>
    </w:p>
    <w:p w:rsidR="008A67B2" w:rsidRPr="008A67B2" w:rsidRDefault="008A67B2" w:rsidP="008A67B2">
      <w:pPr>
        <w:pStyle w:val="Textoindependiente"/>
        <w:spacing w:before="1"/>
        <w:ind w:right="-1"/>
        <w:rPr>
          <w:rFonts w:ascii="Arial" w:hAnsi="Arial" w:cs="Arial"/>
          <w:sz w:val="22"/>
          <w:szCs w:val="22"/>
        </w:rPr>
      </w:pPr>
      <w:r w:rsidRPr="008A67B2">
        <w:rPr>
          <w:rFonts w:ascii="Arial" w:hAnsi="Arial" w:cs="Arial"/>
          <w:sz w:val="22"/>
          <w:szCs w:val="22"/>
        </w:rPr>
        <w:t>Facturación PPNA</w:t>
      </w:r>
    </w:p>
    <w:p w:rsidR="008A67B2" w:rsidRPr="008A67B2" w:rsidRDefault="008A67B2" w:rsidP="008A67B2">
      <w:pPr>
        <w:pStyle w:val="Textoindependiente"/>
        <w:spacing w:before="1"/>
        <w:ind w:right="-1"/>
        <w:rPr>
          <w:rFonts w:ascii="Arial" w:hAnsi="Arial" w:cs="Arial"/>
          <w:sz w:val="22"/>
          <w:szCs w:val="22"/>
        </w:rPr>
      </w:pPr>
    </w:p>
    <w:p w:rsidR="008A67B2" w:rsidRPr="008A67B2" w:rsidRDefault="008A67B2" w:rsidP="008A67B2">
      <w:pPr>
        <w:pStyle w:val="Textoindependiente"/>
        <w:ind w:right="-1"/>
        <w:jc w:val="both"/>
        <w:rPr>
          <w:rFonts w:ascii="Arial" w:hAnsi="Arial" w:cs="Arial"/>
          <w:sz w:val="22"/>
          <w:szCs w:val="22"/>
        </w:rPr>
      </w:pPr>
      <w:r w:rsidRPr="008A67B2">
        <w:rPr>
          <w:rFonts w:ascii="Arial" w:hAnsi="Arial" w:cs="Arial"/>
          <w:sz w:val="22"/>
          <w:szCs w:val="22"/>
        </w:rPr>
        <w:t>En lo concerniente a las facturas por atención a población PPNA, de un total de 87.145 facturas se auditaron a corte 31 de diciembre del 2020 un total de 81.435 facturas, es decir un 93%, quedando por auditar 5.710 facturas.</w:t>
      </w:r>
    </w:p>
    <w:p w:rsidR="008A67B2" w:rsidRPr="008A67B2" w:rsidRDefault="008A67B2" w:rsidP="008A67B2">
      <w:pPr>
        <w:pStyle w:val="Textoindependiente"/>
        <w:spacing w:before="1"/>
        <w:ind w:right="-1"/>
        <w:rPr>
          <w:rFonts w:ascii="Arial" w:hAnsi="Arial" w:cs="Arial"/>
          <w:sz w:val="22"/>
          <w:szCs w:val="22"/>
        </w:rPr>
      </w:pPr>
    </w:p>
    <w:p w:rsidR="008A67B2" w:rsidRPr="008A67B2" w:rsidRDefault="008A67B2" w:rsidP="008A67B2">
      <w:pPr>
        <w:pStyle w:val="Textoindependiente"/>
        <w:ind w:right="-1"/>
        <w:jc w:val="both"/>
        <w:rPr>
          <w:rFonts w:ascii="Arial" w:hAnsi="Arial" w:cs="Arial"/>
          <w:sz w:val="22"/>
          <w:szCs w:val="22"/>
        </w:rPr>
      </w:pPr>
      <w:r w:rsidRPr="008A67B2">
        <w:rPr>
          <w:rFonts w:ascii="Arial" w:hAnsi="Arial" w:cs="Arial"/>
          <w:sz w:val="22"/>
          <w:szCs w:val="22"/>
        </w:rPr>
        <w:t>De igual forma las estrategias realizadas mediante la asignación de facturas y tiempos a personal propio y contratado permitió que se realizaran estas acciones y se logró establecer cronogramas para el desarrollo de las conciliaciones, dando como resultado que a 31 de diciembre de 2020 solo estaban pendientes de conciliar 15.953 facturas, el 18.3%.</w:t>
      </w:r>
    </w:p>
    <w:p w:rsidR="008A67B2" w:rsidRPr="008A67B2" w:rsidRDefault="008A67B2" w:rsidP="008A67B2">
      <w:pPr>
        <w:pStyle w:val="Textoindependiente"/>
        <w:spacing w:before="12"/>
        <w:ind w:right="-1"/>
        <w:rPr>
          <w:rFonts w:ascii="Arial" w:hAnsi="Arial" w:cs="Arial"/>
          <w:sz w:val="22"/>
          <w:szCs w:val="22"/>
        </w:rPr>
      </w:pPr>
    </w:p>
    <w:p w:rsidR="008A67B2" w:rsidRPr="008A67B2" w:rsidRDefault="008A67B2" w:rsidP="008A67B2">
      <w:pPr>
        <w:pStyle w:val="Textoindependiente"/>
        <w:ind w:right="-1"/>
        <w:jc w:val="both"/>
        <w:rPr>
          <w:rFonts w:ascii="Arial" w:hAnsi="Arial" w:cs="Arial"/>
          <w:sz w:val="22"/>
          <w:szCs w:val="22"/>
        </w:rPr>
      </w:pPr>
      <w:r w:rsidRPr="008A67B2">
        <w:rPr>
          <w:rFonts w:ascii="Arial" w:hAnsi="Arial" w:cs="Arial"/>
          <w:sz w:val="22"/>
          <w:szCs w:val="22"/>
        </w:rPr>
        <w:t xml:space="preserve">Con corte 30 de marzo de 2021, siguiendo la estrategia de asignación con fechas de entregas previas y revisión por responsables se obtuvieron los siguientes resultados: </w:t>
      </w:r>
    </w:p>
    <w:p w:rsidR="008A67B2" w:rsidRPr="008A67B2" w:rsidRDefault="008A67B2" w:rsidP="008A67B2">
      <w:pPr>
        <w:pStyle w:val="Textoindependiente"/>
        <w:ind w:right="-1"/>
        <w:jc w:val="both"/>
        <w:rPr>
          <w:rFonts w:ascii="Arial" w:hAnsi="Arial" w:cs="Arial"/>
          <w:sz w:val="22"/>
          <w:szCs w:val="22"/>
        </w:rPr>
      </w:pPr>
    </w:p>
    <w:p w:rsidR="008A67B2" w:rsidRPr="008A67B2" w:rsidRDefault="008A67B2" w:rsidP="008A67B2">
      <w:pPr>
        <w:pStyle w:val="Textoindependiente"/>
        <w:ind w:right="-1"/>
        <w:jc w:val="both"/>
        <w:rPr>
          <w:rFonts w:ascii="Arial" w:hAnsi="Arial" w:cs="Arial"/>
          <w:sz w:val="22"/>
          <w:szCs w:val="22"/>
        </w:rPr>
      </w:pPr>
      <w:r w:rsidRPr="008A67B2">
        <w:rPr>
          <w:rFonts w:ascii="Arial" w:hAnsi="Arial" w:cs="Arial"/>
          <w:sz w:val="22"/>
          <w:szCs w:val="22"/>
        </w:rPr>
        <w:t>En recobros se han presentado un total de 179.079 facturas, de las cuales están en proceso de auditoría 885 facturas presentadas en 2021.</w:t>
      </w:r>
      <w:r w:rsidR="004E77EA">
        <w:rPr>
          <w:rFonts w:ascii="Arial" w:hAnsi="Arial" w:cs="Arial"/>
          <w:sz w:val="22"/>
          <w:szCs w:val="22"/>
        </w:rPr>
        <w:t xml:space="preserve"> </w:t>
      </w:r>
      <w:r w:rsidRPr="008A67B2">
        <w:rPr>
          <w:rFonts w:ascii="Arial" w:hAnsi="Arial" w:cs="Arial"/>
          <w:sz w:val="22"/>
          <w:szCs w:val="22"/>
        </w:rPr>
        <w:t xml:space="preserve">De la facturación auditada se encuentra en la etapa de conciliación 2.446 facturas. </w:t>
      </w:r>
    </w:p>
    <w:p w:rsidR="008A67B2" w:rsidRPr="008A67B2" w:rsidRDefault="008A67B2" w:rsidP="008A67B2">
      <w:pPr>
        <w:pStyle w:val="Textoindependiente"/>
        <w:spacing w:before="1"/>
        <w:ind w:right="-1"/>
        <w:rPr>
          <w:rFonts w:ascii="Arial" w:hAnsi="Arial" w:cs="Arial"/>
          <w:sz w:val="22"/>
          <w:szCs w:val="22"/>
        </w:rPr>
      </w:pPr>
    </w:p>
    <w:p w:rsidR="008A67B2" w:rsidRPr="008A67B2" w:rsidRDefault="008A67B2" w:rsidP="008A67B2">
      <w:pPr>
        <w:pStyle w:val="Textoindependiente"/>
        <w:ind w:right="-1"/>
        <w:jc w:val="both"/>
        <w:rPr>
          <w:rFonts w:ascii="Arial" w:hAnsi="Arial" w:cs="Arial"/>
          <w:sz w:val="22"/>
          <w:szCs w:val="22"/>
        </w:rPr>
      </w:pPr>
      <w:r w:rsidRPr="008A67B2">
        <w:rPr>
          <w:rFonts w:ascii="Arial" w:hAnsi="Arial" w:cs="Arial"/>
          <w:sz w:val="22"/>
          <w:szCs w:val="22"/>
        </w:rPr>
        <w:t xml:space="preserve">Para PPNA de 87.776 facturas están pendientes de auditar 296 facturas y en conciliación </w:t>
      </w:r>
      <w:r w:rsidRPr="008A67B2">
        <w:rPr>
          <w:rFonts w:ascii="Arial" w:hAnsi="Arial" w:cs="Arial"/>
          <w:sz w:val="22"/>
          <w:szCs w:val="22"/>
        </w:rPr>
        <w:lastRenderedPageBreak/>
        <w:t>4.998 facturas.</w:t>
      </w:r>
    </w:p>
    <w:p w:rsidR="008A67B2" w:rsidRPr="008A67B2" w:rsidRDefault="008A67B2" w:rsidP="008A67B2">
      <w:pPr>
        <w:pStyle w:val="Textoindependiente"/>
        <w:spacing w:before="3"/>
        <w:ind w:right="-1"/>
        <w:rPr>
          <w:rFonts w:ascii="Arial" w:hAnsi="Arial" w:cs="Arial"/>
          <w:sz w:val="22"/>
          <w:szCs w:val="22"/>
        </w:rPr>
      </w:pPr>
    </w:p>
    <w:p w:rsidR="008A67B2" w:rsidRPr="008A67B2" w:rsidRDefault="008A67B2" w:rsidP="008A67B2">
      <w:pPr>
        <w:pStyle w:val="Textoindependiente"/>
        <w:spacing w:before="1"/>
        <w:ind w:right="-1"/>
        <w:jc w:val="both"/>
        <w:rPr>
          <w:rFonts w:ascii="Arial" w:hAnsi="Arial" w:cs="Arial"/>
          <w:sz w:val="22"/>
          <w:szCs w:val="22"/>
        </w:rPr>
      </w:pPr>
      <w:r w:rsidRPr="008A67B2">
        <w:rPr>
          <w:rFonts w:ascii="Arial" w:hAnsi="Arial" w:cs="Arial"/>
          <w:sz w:val="22"/>
          <w:szCs w:val="22"/>
        </w:rPr>
        <w:t>Lo anterior, muestra que el ajuste a los procesos, las socializaciones de normas, la entrega de documentos con fechas para auditar y conciliar y la supervisión de procesos que se vienen realizando, han dado como resultado la disminución de las facturas pendientes de auditar y en proceso de conciliación.</w:t>
      </w:r>
      <w:r w:rsidR="004E77EA">
        <w:rPr>
          <w:rFonts w:ascii="Arial" w:hAnsi="Arial" w:cs="Arial"/>
          <w:sz w:val="22"/>
          <w:szCs w:val="22"/>
        </w:rPr>
        <w:t xml:space="preserve"> </w:t>
      </w:r>
    </w:p>
    <w:p w:rsidR="008A67B2" w:rsidRPr="008A67B2" w:rsidRDefault="008A67B2" w:rsidP="008A67B2">
      <w:pPr>
        <w:ind w:right="-1"/>
        <w:jc w:val="both"/>
        <w:rPr>
          <w:rFonts w:ascii="Arial" w:hAnsi="Arial" w:cs="Arial"/>
          <w:sz w:val="22"/>
          <w:szCs w:val="22"/>
        </w:rPr>
      </w:pPr>
    </w:p>
    <w:p w:rsidR="008A67B2" w:rsidRPr="008A67B2" w:rsidRDefault="008A67B2" w:rsidP="008A67B2">
      <w:pPr>
        <w:ind w:right="-1"/>
        <w:jc w:val="both"/>
        <w:rPr>
          <w:rFonts w:ascii="Arial" w:hAnsi="Arial" w:cs="Arial"/>
          <w:b/>
          <w:sz w:val="22"/>
          <w:szCs w:val="22"/>
        </w:rPr>
      </w:pPr>
      <w:r w:rsidRPr="008A67B2">
        <w:rPr>
          <w:rFonts w:ascii="Arial" w:hAnsi="Arial" w:cs="Arial"/>
          <w:sz w:val="22"/>
          <w:szCs w:val="22"/>
        </w:rPr>
        <w:t xml:space="preserve">En la vigencia 2020 se realizaron 4 mesas de trabajo en el marco de la Circular 030 de 2013 expedida por </w:t>
      </w:r>
      <w:r w:rsidRPr="008A67B2">
        <w:rPr>
          <w:rFonts w:ascii="Arial" w:hAnsi="Arial" w:cs="Arial"/>
          <w:b/>
          <w:sz w:val="22"/>
          <w:szCs w:val="22"/>
        </w:rPr>
        <w:t xml:space="preserve">El Ministerio </w:t>
      </w:r>
      <w:r w:rsidR="00224654">
        <w:rPr>
          <w:rFonts w:ascii="Arial" w:hAnsi="Arial" w:cs="Arial"/>
          <w:b/>
          <w:sz w:val="22"/>
          <w:szCs w:val="22"/>
        </w:rPr>
        <w:t>d</w:t>
      </w:r>
      <w:r w:rsidRPr="008A67B2">
        <w:rPr>
          <w:rFonts w:ascii="Arial" w:hAnsi="Arial" w:cs="Arial"/>
          <w:b/>
          <w:sz w:val="22"/>
          <w:szCs w:val="22"/>
        </w:rPr>
        <w:t xml:space="preserve">e Salud </w:t>
      </w:r>
      <w:r w:rsidR="00224654">
        <w:rPr>
          <w:rFonts w:ascii="Arial" w:hAnsi="Arial" w:cs="Arial"/>
          <w:b/>
          <w:sz w:val="22"/>
          <w:szCs w:val="22"/>
        </w:rPr>
        <w:t>y</w:t>
      </w:r>
      <w:r w:rsidRPr="008A67B2">
        <w:rPr>
          <w:rFonts w:ascii="Arial" w:hAnsi="Arial" w:cs="Arial"/>
          <w:b/>
          <w:sz w:val="22"/>
          <w:szCs w:val="22"/>
        </w:rPr>
        <w:t xml:space="preserve"> Protección Social y </w:t>
      </w:r>
      <w:r w:rsidR="00224654">
        <w:rPr>
          <w:rFonts w:ascii="Arial" w:hAnsi="Arial" w:cs="Arial"/>
          <w:b/>
          <w:sz w:val="22"/>
          <w:szCs w:val="22"/>
        </w:rPr>
        <w:t>p</w:t>
      </w:r>
      <w:r w:rsidRPr="008A67B2">
        <w:rPr>
          <w:rFonts w:ascii="Arial" w:hAnsi="Arial" w:cs="Arial"/>
          <w:b/>
          <w:sz w:val="22"/>
          <w:szCs w:val="22"/>
        </w:rPr>
        <w:t xml:space="preserve">or </w:t>
      </w:r>
      <w:r w:rsidR="00224654">
        <w:rPr>
          <w:rFonts w:ascii="Arial" w:hAnsi="Arial" w:cs="Arial"/>
          <w:b/>
          <w:sz w:val="22"/>
          <w:szCs w:val="22"/>
        </w:rPr>
        <w:t>l</w:t>
      </w:r>
      <w:r w:rsidRPr="008A67B2">
        <w:rPr>
          <w:rFonts w:ascii="Arial" w:hAnsi="Arial" w:cs="Arial"/>
          <w:b/>
          <w:sz w:val="22"/>
          <w:szCs w:val="22"/>
        </w:rPr>
        <w:t>a Superintendencia de Salud.</w:t>
      </w:r>
      <w:r w:rsidR="004E77EA">
        <w:rPr>
          <w:rFonts w:ascii="Arial" w:hAnsi="Arial" w:cs="Arial"/>
          <w:b/>
          <w:sz w:val="22"/>
          <w:szCs w:val="22"/>
        </w:rPr>
        <w:t xml:space="preserve">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El Departamento Administrativo de Salud del Distrito, a través de los reportes entregados correspondientes al control de la deuda por prestación de servicios informa a diciembre de 2020 acreencias estimadas por $225.193 millones, de las cuales están acumuladas en mayor proporción en favor de las IPS que han prestado servicios de salud a población pobre no afiliada cargo de la entidad territorial por PPNA/MIGRANTES y servicios de salud no incluidos en el plan de beneficios,</w:t>
      </w:r>
      <w:r w:rsidRPr="008A67B2">
        <w:rPr>
          <w:rFonts w:ascii="Arial" w:hAnsi="Arial" w:cs="Arial"/>
          <w:spacing w:val="1"/>
          <w:sz w:val="22"/>
          <w:szCs w:val="22"/>
        </w:rPr>
        <w:t xml:space="preserve"> </w:t>
      </w:r>
      <w:r w:rsidRPr="008A67B2">
        <w:rPr>
          <w:rFonts w:ascii="Arial" w:hAnsi="Arial" w:cs="Arial"/>
          <w:sz w:val="22"/>
          <w:szCs w:val="22"/>
        </w:rPr>
        <w:t>así:</w:t>
      </w:r>
    </w:p>
    <w:p w:rsidR="008A67B2" w:rsidRPr="008A67B2" w:rsidRDefault="008A67B2" w:rsidP="008A67B2">
      <w:pPr>
        <w:jc w:val="both"/>
        <w:rPr>
          <w:rFonts w:ascii="Arial" w:hAnsi="Arial" w:cs="Arial"/>
          <w:sz w:val="22"/>
          <w:szCs w:val="22"/>
        </w:rPr>
      </w:pPr>
    </w:p>
    <w:p w:rsidR="008A67B2" w:rsidRDefault="008A67B2" w:rsidP="008A67B2">
      <w:pPr>
        <w:jc w:val="center"/>
        <w:rPr>
          <w:rFonts w:ascii="Arial" w:hAnsi="Arial" w:cs="Arial"/>
          <w:sz w:val="22"/>
          <w:szCs w:val="22"/>
        </w:rPr>
      </w:pPr>
      <w:r>
        <w:rPr>
          <w:rFonts w:ascii="Arial" w:hAnsi="Arial" w:cs="Arial"/>
          <w:sz w:val="22"/>
          <w:szCs w:val="22"/>
        </w:rPr>
        <w:t>Tabla 11</w:t>
      </w:r>
    </w:p>
    <w:p w:rsidR="008A67B2" w:rsidRPr="008A67B2" w:rsidRDefault="008A67B2" w:rsidP="008A67B2">
      <w:pPr>
        <w:jc w:val="center"/>
        <w:rPr>
          <w:rFonts w:ascii="Arial" w:hAnsi="Arial" w:cs="Arial"/>
          <w:sz w:val="22"/>
          <w:szCs w:val="22"/>
        </w:rPr>
      </w:pPr>
      <w:r>
        <w:rPr>
          <w:rFonts w:ascii="Arial" w:hAnsi="Arial" w:cs="Arial"/>
          <w:sz w:val="22"/>
          <w:szCs w:val="22"/>
        </w:rPr>
        <w:t>Composición Deuda Prestación de Servicios de Salud</w:t>
      </w:r>
    </w:p>
    <w:p w:rsidR="008A67B2" w:rsidRPr="008A67B2" w:rsidRDefault="008A67B2" w:rsidP="008A67B2">
      <w:pPr>
        <w:jc w:val="center"/>
        <w:rPr>
          <w:rFonts w:ascii="Arial" w:hAnsi="Arial" w:cs="Arial"/>
          <w:sz w:val="22"/>
          <w:szCs w:val="22"/>
        </w:rPr>
      </w:pPr>
      <w:r w:rsidRPr="008A67B2">
        <w:rPr>
          <w:rFonts w:ascii="Arial" w:hAnsi="Arial" w:cs="Arial"/>
          <w:noProof/>
          <w:sz w:val="22"/>
          <w:szCs w:val="22"/>
          <w:lang w:val="es-CO" w:eastAsia="es-CO"/>
        </w:rPr>
        <w:drawing>
          <wp:inline distT="0" distB="0" distL="0" distR="0">
            <wp:extent cx="6210300" cy="14363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0300" cy="1436370"/>
                    </a:xfrm>
                    <a:prstGeom prst="rect">
                      <a:avLst/>
                    </a:prstGeom>
                    <a:noFill/>
                    <a:ln>
                      <a:noFill/>
                    </a:ln>
                  </pic:spPr>
                </pic:pic>
              </a:graphicData>
            </a:graphic>
          </wp:inline>
        </w:drawing>
      </w:r>
    </w:p>
    <w:p w:rsidR="008A67B2" w:rsidRPr="008A67B2" w:rsidRDefault="008A67B2" w:rsidP="008A67B2">
      <w:pPr>
        <w:jc w:val="center"/>
        <w:rPr>
          <w:rFonts w:ascii="Arial" w:hAnsi="Arial" w:cs="Arial"/>
          <w:sz w:val="22"/>
          <w:szCs w:val="22"/>
        </w:rPr>
      </w:pPr>
    </w:p>
    <w:p w:rsidR="008A67B2" w:rsidRPr="008A67B2" w:rsidRDefault="008A67B2" w:rsidP="008A67B2">
      <w:pPr>
        <w:rPr>
          <w:rFonts w:ascii="Arial" w:hAnsi="Arial" w:cs="Arial"/>
          <w:sz w:val="22"/>
          <w:szCs w:val="22"/>
        </w:rPr>
      </w:pPr>
      <w:r w:rsidRPr="008A67B2">
        <w:rPr>
          <w:rFonts w:ascii="Arial" w:hAnsi="Arial" w:cs="Arial"/>
          <w:sz w:val="22"/>
          <w:szCs w:val="22"/>
        </w:rPr>
        <w:t>El 83% de la deuda presenta vencimiento superior a 360 días.</w:t>
      </w:r>
      <w:r w:rsidR="004E77EA">
        <w:rPr>
          <w:rFonts w:ascii="Arial" w:hAnsi="Arial" w:cs="Arial"/>
          <w:sz w:val="22"/>
          <w:szCs w:val="22"/>
        </w:rPr>
        <w:t xml:space="preserve"> </w:t>
      </w:r>
    </w:p>
    <w:p w:rsidR="008A67B2" w:rsidRPr="008A67B2" w:rsidRDefault="008A67B2" w:rsidP="008A67B2">
      <w:pPr>
        <w:jc w:val="center"/>
        <w:rPr>
          <w:rFonts w:ascii="Arial" w:hAnsi="Arial" w:cs="Arial"/>
          <w:sz w:val="22"/>
          <w:szCs w:val="22"/>
        </w:rPr>
      </w:pPr>
    </w:p>
    <w:p w:rsidR="008A67B2" w:rsidRPr="008A67B2" w:rsidRDefault="008A67B2" w:rsidP="008A67B2">
      <w:pPr>
        <w:jc w:val="center"/>
        <w:rPr>
          <w:rFonts w:ascii="Arial" w:hAnsi="Arial" w:cs="Arial"/>
          <w:sz w:val="22"/>
          <w:szCs w:val="22"/>
        </w:rPr>
      </w:pPr>
      <w:r w:rsidRPr="008A67B2">
        <w:rPr>
          <w:rFonts w:ascii="Arial" w:hAnsi="Arial" w:cs="Arial"/>
          <w:noProof/>
          <w:sz w:val="22"/>
          <w:szCs w:val="22"/>
          <w:lang w:val="es-CO" w:eastAsia="es-CO"/>
        </w:rPr>
        <w:drawing>
          <wp:inline distT="0" distB="0" distL="0" distR="0">
            <wp:extent cx="6210300" cy="9537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0300" cy="953770"/>
                    </a:xfrm>
                    <a:prstGeom prst="rect">
                      <a:avLst/>
                    </a:prstGeom>
                    <a:noFill/>
                    <a:ln>
                      <a:noFill/>
                    </a:ln>
                  </pic:spPr>
                </pic:pic>
              </a:graphicData>
            </a:graphic>
          </wp:inline>
        </w:drawing>
      </w:r>
    </w:p>
    <w:p w:rsidR="008A67B2" w:rsidRPr="008A67B2" w:rsidRDefault="008A67B2" w:rsidP="008A67B2">
      <w:pPr>
        <w:jc w:val="center"/>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 xml:space="preserve">Al revisar los reportes entregados, se tiene que en relación </w:t>
      </w:r>
      <w:r w:rsidR="000E2C13">
        <w:rPr>
          <w:rFonts w:ascii="Arial" w:hAnsi="Arial" w:cs="Arial"/>
          <w:sz w:val="22"/>
          <w:szCs w:val="22"/>
        </w:rPr>
        <w:t>con</w:t>
      </w:r>
      <w:r w:rsidRPr="008A67B2">
        <w:rPr>
          <w:rFonts w:ascii="Arial" w:hAnsi="Arial" w:cs="Arial"/>
          <w:sz w:val="22"/>
          <w:szCs w:val="22"/>
        </w:rPr>
        <w:t xml:space="preserve"> la deuda con las IPS las glosas por conciliar sobre el valor auditado fueron equivalente al 12%.</w:t>
      </w:r>
      <w:r w:rsidR="004E77EA">
        <w:rPr>
          <w:rFonts w:ascii="Arial" w:hAnsi="Arial" w:cs="Arial"/>
          <w:sz w:val="22"/>
          <w:szCs w:val="22"/>
        </w:rPr>
        <w:t xml:space="preserve"> </w:t>
      </w:r>
      <w:r w:rsidRPr="008A67B2">
        <w:rPr>
          <w:rFonts w:ascii="Arial" w:hAnsi="Arial" w:cs="Arial"/>
          <w:sz w:val="22"/>
          <w:szCs w:val="22"/>
        </w:rPr>
        <w:t xml:space="preserve">Frente a la facturación pendiente de auditar, que es realmente </w:t>
      </w:r>
      <w:r w:rsidR="000E2C13" w:rsidRPr="008A67B2">
        <w:rPr>
          <w:rFonts w:ascii="Arial" w:hAnsi="Arial" w:cs="Arial"/>
          <w:sz w:val="22"/>
          <w:szCs w:val="22"/>
        </w:rPr>
        <w:t>el monto por determinar</w:t>
      </w:r>
      <w:r w:rsidRPr="008A67B2">
        <w:rPr>
          <w:rFonts w:ascii="Arial" w:hAnsi="Arial" w:cs="Arial"/>
          <w:sz w:val="22"/>
          <w:szCs w:val="22"/>
        </w:rPr>
        <w:t xml:space="preserve"> o depurar equivale al 4% del valor radicado desde el año 2011 hasta diciembre de 2019.</w:t>
      </w:r>
      <w:r w:rsidR="004E77EA">
        <w:rPr>
          <w:rFonts w:ascii="Arial" w:hAnsi="Arial" w:cs="Arial"/>
          <w:sz w:val="22"/>
          <w:szCs w:val="22"/>
        </w:rPr>
        <w:t xml:space="preserve"> </w:t>
      </w:r>
      <w:r w:rsidRPr="008A67B2">
        <w:rPr>
          <w:rFonts w:ascii="Arial" w:hAnsi="Arial" w:cs="Arial"/>
          <w:sz w:val="22"/>
          <w:szCs w:val="22"/>
        </w:rPr>
        <w:t xml:space="preserve"> Se observa que los cobros por atención a la población PPNA con origen en cobros distintos a los contratos firmados por el Distrito representan la mayor parte de la deuda con IPS.</w:t>
      </w:r>
      <w:r w:rsidR="004E77EA">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lastRenderedPageBreak/>
        <w:t>Al analizar la deuda con las EPS, las glosas por conciliar sobre el valor auditado fueron equivalentes al 4%.</w:t>
      </w:r>
      <w:r w:rsidR="004E77EA">
        <w:rPr>
          <w:rFonts w:ascii="Arial" w:hAnsi="Arial" w:cs="Arial"/>
          <w:sz w:val="22"/>
          <w:szCs w:val="22"/>
        </w:rPr>
        <w:t xml:space="preserve"> </w:t>
      </w:r>
      <w:r w:rsidRPr="008A67B2">
        <w:rPr>
          <w:rFonts w:ascii="Arial" w:hAnsi="Arial" w:cs="Arial"/>
          <w:sz w:val="22"/>
          <w:szCs w:val="22"/>
        </w:rPr>
        <w:t>Frente a la facturación pendiente de auditar, que es realmente el monto a determinar o depurar equivale al 3% del valor radicado durante el periodo 2009-2020.</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Se observa que a la fecha de la prevente evaluación las glosas pendientes de conciliar y la proporción de facturación pendiente de auditar se ha reducido.</w:t>
      </w:r>
      <w:r w:rsidR="004E77EA">
        <w:rPr>
          <w:rFonts w:ascii="Arial" w:hAnsi="Arial" w:cs="Arial"/>
          <w:sz w:val="22"/>
          <w:szCs w:val="22"/>
        </w:rPr>
        <w:t xml:space="preserve"> </w:t>
      </w:r>
      <w:r w:rsidRPr="008A67B2">
        <w:rPr>
          <w:rFonts w:ascii="Arial" w:hAnsi="Arial" w:cs="Arial"/>
          <w:sz w:val="22"/>
          <w:szCs w:val="22"/>
        </w:rPr>
        <w:t>Según los informes, se han efectuado pagos por $26.795 millones durante el último año.</w:t>
      </w:r>
      <w:r w:rsidR="004E77EA">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En relación con los reportes de información se aportaron las pruebas de los reportes de SISPRO de los meses de enero a diciembre de 2020.</w:t>
      </w:r>
      <w:r w:rsidR="004E77EA">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 xml:space="preserve">A la fecha de cierre de este informe de evaluación, el Distrito, a través del Departamento Administrativo Distrital de Salud (DADIS) dio inicio a la implementación de los lineamientos relacionados con acuerdo de punto final establecidos en el artículo 238 de la </w:t>
      </w:r>
      <w:r w:rsidR="0090640E">
        <w:rPr>
          <w:rFonts w:ascii="Arial" w:hAnsi="Arial" w:cs="Arial"/>
          <w:sz w:val="22"/>
          <w:szCs w:val="22"/>
        </w:rPr>
        <w:t>L</w:t>
      </w:r>
      <w:r w:rsidRPr="008A67B2">
        <w:rPr>
          <w:rFonts w:ascii="Arial" w:hAnsi="Arial" w:cs="Arial"/>
          <w:sz w:val="22"/>
          <w:szCs w:val="22"/>
        </w:rPr>
        <w:t>ey 1955 de 2019 y sus decretos reglamentarios.</w:t>
      </w:r>
      <w:r w:rsidR="004E77EA">
        <w:rPr>
          <w:rFonts w:ascii="Arial" w:hAnsi="Arial" w:cs="Arial"/>
          <w:sz w:val="22"/>
          <w:szCs w:val="22"/>
        </w:rPr>
        <w:t xml:space="preserve"> </w:t>
      </w:r>
      <w:r w:rsidRPr="008A67B2">
        <w:rPr>
          <w:rFonts w:ascii="Arial" w:hAnsi="Arial" w:cs="Arial"/>
          <w:sz w:val="22"/>
          <w:szCs w:val="22"/>
        </w:rPr>
        <w:t xml:space="preserve"> En la etapa de planeación se estableció un cronograma de 3 fases para cumplir con el saneamiento de las deudas cubiertas por este proceso.</w:t>
      </w:r>
      <w:r w:rsidR="004E77EA">
        <w:rPr>
          <w:rFonts w:ascii="Arial" w:hAnsi="Arial" w:cs="Arial"/>
          <w:sz w:val="22"/>
          <w:szCs w:val="22"/>
        </w:rPr>
        <w:t xml:space="preserve"> </w:t>
      </w:r>
      <w:r w:rsidRPr="008A67B2">
        <w:rPr>
          <w:rFonts w:ascii="Arial" w:hAnsi="Arial" w:cs="Arial"/>
          <w:sz w:val="22"/>
          <w:szCs w:val="22"/>
        </w:rPr>
        <w:t>La primera fase contiene deudas al corte del 30 de junio del 2020, con un plazo para el cumplimiento de la fase el 31 de diciembre, una segunda fase con corte de radicación al 31 de diciembre de 2020 y cumplimiento el 30 de abril de 2021 y una última y tercera fase con corte de facturación el 30 de marzo de 2021 y cumplimiento hasta el 30 de septiembre de 2021.</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En la implementación de la primera fase el Distrito procedió a realizar la conciliación de la cartera con los prestadores, y se aprobó el Acuerdo 028 en el cual se incorporaron al presupuesto de la vigencia por $25.079 millones, cuyos pagos de deuda garantizaron el esfuerzo fiscal requerido.</w:t>
      </w:r>
      <w:r w:rsidR="004E77EA">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La primera fase no se ha podido completar ya que el Distrito identificó que algunas de las cuentas requirieron revisiones adicionales.</w:t>
      </w:r>
      <w:r w:rsidR="004E77EA">
        <w:rPr>
          <w:rFonts w:ascii="Arial" w:hAnsi="Arial" w:cs="Arial"/>
          <w:sz w:val="22"/>
          <w:szCs w:val="22"/>
        </w:rPr>
        <w:t xml:space="preserve"> </w:t>
      </w:r>
      <w:r w:rsidRPr="008A67B2">
        <w:rPr>
          <w:rFonts w:ascii="Arial" w:hAnsi="Arial" w:cs="Arial"/>
          <w:sz w:val="22"/>
          <w:szCs w:val="22"/>
        </w:rPr>
        <w:t>Después de la revisión, el valor de cofinanciación para la primera fase corresponderá a $77.190 millones, para un total de pagos de la primera fase de $104.371 millones.</w:t>
      </w:r>
      <w:r w:rsidR="004E77EA">
        <w:rPr>
          <w:rFonts w:ascii="Arial" w:hAnsi="Arial" w:cs="Arial"/>
          <w:sz w:val="22"/>
          <w:szCs w:val="22"/>
        </w:rPr>
        <w:t xml:space="preserve"> </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t>Con la modificación del cronograma de la implementación total del acuerdo de punto final, la segunda fase iría hasta el 30 de julio y la última para finalizar el 30 de septiembre de 2021.</w:t>
      </w:r>
      <w:r w:rsidR="004E77EA">
        <w:rPr>
          <w:rFonts w:ascii="Arial" w:hAnsi="Arial" w:cs="Arial"/>
          <w:sz w:val="22"/>
          <w:szCs w:val="22"/>
        </w:rPr>
        <w:t xml:space="preserve"> </w:t>
      </w:r>
      <w:r w:rsidRPr="008A67B2">
        <w:rPr>
          <w:rFonts w:ascii="Arial" w:hAnsi="Arial" w:cs="Arial"/>
          <w:sz w:val="22"/>
          <w:szCs w:val="22"/>
        </w:rPr>
        <w:t xml:space="preserve"> El valor estimado para estas fases finales de estima en $53.946 millones.</w:t>
      </w:r>
    </w:p>
    <w:p w:rsidR="008A67B2" w:rsidRPr="008A67B2" w:rsidRDefault="008A67B2" w:rsidP="008A67B2">
      <w:pPr>
        <w:jc w:val="both"/>
        <w:rPr>
          <w:rFonts w:ascii="Arial" w:hAnsi="Arial" w:cs="Arial"/>
          <w:sz w:val="22"/>
          <w:szCs w:val="22"/>
        </w:rPr>
      </w:pPr>
    </w:p>
    <w:p w:rsidR="00F914D2" w:rsidRDefault="008A67B2" w:rsidP="008A67B2">
      <w:pPr>
        <w:jc w:val="both"/>
        <w:rPr>
          <w:rFonts w:ascii="Arial" w:hAnsi="Arial" w:cs="Arial"/>
          <w:sz w:val="22"/>
          <w:szCs w:val="22"/>
        </w:rPr>
      </w:pPr>
      <w:r w:rsidRPr="008A67B2">
        <w:rPr>
          <w:rFonts w:ascii="Arial" w:hAnsi="Arial" w:cs="Arial"/>
          <w:sz w:val="22"/>
          <w:szCs w:val="22"/>
        </w:rPr>
        <w:t>Puede concluirse que se observan avances importantes en la depuración de la deuda y se avizoran soluciones para el pago de la deuda por prestación de servicios no incluidos en el plan de beneficios.</w:t>
      </w:r>
      <w:r w:rsidR="004E77EA">
        <w:rPr>
          <w:rFonts w:ascii="Arial" w:hAnsi="Arial" w:cs="Arial"/>
          <w:sz w:val="22"/>
          <w:szCs w:val="22"/>
        </w:rPr>
        <w:t xml:space="preserve"> </w:t>
      </w:r>
      <w:r w:rsidRPr="008A67B2">
        <w:rPr>
          <w:rFonts w:ascii="Arial" w:hAnsi="Arial" w:cs="Arial"/>
          <w:sz w:val="22"/>
          <w:szCs w:val="22"/>
        </w:rPr>
        <w:t>Sin embargo, el Distrito deberá buscar estrategias para el saneamiento de la deuda por atención a la población pobre no afiliada, cuya deuda a la fecha supera los $90.000 millones.</w:t>
      </w:r>
    </w:p>
    <w:p w:rsidR="00EC58EC" w:rsidRDefault="00EC58EC" w:rsidP="008A67B2">
      <w:pPr>
        <w:jc w:val="both"/>
        <w:rPr>
          <w:rFonts w:ascii="Arial" w:hAnsi="Arial" w:cs="Arial"/>
          <w:sz w:val="22"/>
          <w:szCs w:val="22"/>
        </w:rPr>
      </w:pPr>
    </w:p>
    <w:p w:rsidR="008A67B2" w:rsidRPr="00F914D2" w:rsidRDefault="008A67B2" w:rsidP="008A67B2">
      <w:pPr>
        <w:jc w:val="both"/>
        <w:rPr>
          <w:rFonts w:ascii="Arial" w:hAnsi="Arial" w:cs="Arial"/>
          <w:sz w:val="22"/>
          <w:szCs w:val="22"/>
        </w:rPr>
      </w:pPr>
      <w:r w:rsidRPr="008A67B2">
        <w:rPr>
          <w:rFonts w:ascii="Arial" w:hAnsi="Arial" w:cs="Arial"/>
          <w:b/>
          <w:sz w:val="22"/>
          <w:szCs w:val="22"/>
        </w:rPr>
        <w:t>Actividad 5. Diseño de estrategias para la optimización de recursos, así como para el fortalecimiento de su red de servicios y de los procesos de auditoría, que sirvan de base para el diseño de un escenario financiero orientado a la normalización de la deuda acumulada por prestación de servicios</w:t>
      </w:r>
    </w:p>
    <w:p w:rsidR="008A67B2" w:rsidRPr="008A67B2" w:rsidRDefault="008A67B2" w:rsidP="008A67B2">
      <w:pPr>
        <w:rPr>
          <w:rFonts w:ascii="Arial" w:hAnsi="Arial" w:cs="Arial"/>
          <w:sz w:val="22"/>
          <w:szCs w:val="22"/>
        </w:rPr>
      </w:pPr>
    </w:p>
    <w:p w:rsidR="008A67B2" w:rsidRPr="008A67B2" w:rsidRDefault="008A67B2" w:rsidP="008A67B2">
      <w:pPr>
        <w:jc w:val="both"/>
        <w:rPr>
          <w:rFonts w:ascii="Arial" w:hAnsi="Arial" w:cs="Arial"/>
          <w:sz w:val="22"/>
          <w:szCs w:val="22"/>
        </w:rPr>
      </w:pPr>
      <w:r w:rsidRPr="008A67B2">
        <w:rPr>
          <w:rFonts w:ascii="Arial" w:hAnsi="Arial" w:cs="Arial"/>
          <w:sz w:val="22"/>
          <w:szCs w:val="22"/>
        </w:rPr>
        <w:lastRenderedPageBreak/>
        <w:t>Las evidencias se encuentran consignadas en el sistema SIED con el número de Expediente 120/2018/D028-PREDI /</w:t>
      </w:r>
      <w:r w:rsidR="004E77EA">
        <w:rPr>
          <w:rFonts w:ascii="Arial" w:hAnsi="Arial" w:cs="Arial"/>
          <w:sz w:val="22"/>
          <w:szCs w:val="22"/>
        </w:rPr>
        <w:t xml:space="preserve"> </w:t>
      </w:r>
      <w:r w:rsidRPr="008A67B2">
        <w:rPr>
          <w:rFonts w:ascii="Arial" w:hAnsi="Arial" w:cs="Arial"/>
          <w:sz w:val="22"/>
          <w:szCs w:val="22"/>
        </w:rPr>
        <w:t xml:space="preserve">Dichas evidencias se relacionan a continuación: </w:t>
      </w:r>
    </w:p>
    <w:p w:rsidR="008A67B2" w:rsidRPr="008A67B2" w:rsidRDefault="008A67B2" w:rsidP="008A67B2">
      <w:pPr>
        <w:rPr>
          <w:rFonts w:ascii="Arial" w:hAnsi="Arial" w:cs="Arial"/>
          <w:sz w:val="22"/>
          <w:szCs w:val="22"/>
        </w:rPr>
      </w:pPr>
    </w:p>
    <w:p w:rsidR="008A67B2" w:rsidRPr="008A67B2" w:rsidRDefault="008A67B2" w:rsidP="008A67B2">
      <w:pPr>
        <w:spacing w:before="45"/>
        <w:ind w:left="262"/>
        <w:rPr>
          <w:rFonts w:ascii="Arial" w:hAnsi="Arial" w:cs="Arial"/>
          <w:b/>
          <w:sz w:val="22"/>
          <w:szCs w:val="22"/>
        </w:rPr>
      </w:pPr>
      <w:r w:rsidRPr="008A67B2">
        <w:rPr>
          <w:rFonts w:ascii="Arial" w:hAnsi="Arial" w:cs="Arial"/>
          <w:b/>
          <w:sz w:val="22"/>
          <w:szCs w:val="22"/>
        </w:rPr>
        <w:t>Anexos: CARPETA – ACTIVIDAD 5</w:t>
      </w:r>
    </w:p>
    <w:p w:rsidR="008A67B2" w:rsidRPr="008A67B2" w:rsidRDefault="008A67B2" w:rsidP="008A67B2">
      <w:pPr>
        <w:ind w:left="262"/>
        <w:rPr>
          <w:rFonts w:ascii="Arial" w:hAnsi="Arial" w:cs="Arial"/>
          <w:b/>
          <w:sz w:val="22"/>
          <w:szCs w:val="22"/>
        </w:rPr>
      </w:pPr>
      <w:r w:rsidRPr="008A67B2">
        <w:rPr>
          <w:rFonts w:ascii="Arial" w:hAnsi="Arial" w:cs="Arial"/>
          <w:b/>
          <w:sz w:val="22"/>
          <w:szCs w:val="22"/>
        </w:rPr>
        <w:t>Carpeta Estrategia 1:</w:t>
      </w:r>
    </w:p>
    <w:p w:rsidR="008A67B2" w:rsidRPr="008A67B2" w:rsidRDefault="008A67B2" w:rsidP="008A67B2">
      <w:pPr>
        <w:pStyle w:val="Prrafodelista"/>
        <w:widowControl w:val="0"/>
        <w:numPr>
          <w:ilvl w:val="1"/>
          <w:numId w:val="16"/>
        </w:numPr>
        <w:tabs>
          <w:tab w:val="left" w:pos="726"/>
        </w:tabs>
        <w:autoSpaceDE w:val="0"/>
        <w:autoSpaceDN w:val="0"/>
        <w:rPr>
          <w:rFonts w:ascii="Arial" w:hAnsi="Arial" w:cs="Arial"/>
          <w:sz w:val="22"/>
          <w:szCs w:val="22"/>
        </w:rPr>
      </w:pPr>
      <w:r w:rsidRPr="008A67B2">
        <w:rPr>
          <w:rFonts w:ascii="Arial" w:hAnsi="Arial" w:cs="Arial"/>
          <w:sz w:val="22"/>
          <w:szCs w:val="22"/>
        </w:rPr>
        <w:t>Mesas de</w:t>
      </w:r>
      <w:r w:rsidRPr="008A67B2">
        <w:rPr>
          <w:rFonts w:ascii="Arial" w:hAnsi="Arial" w:cs="Arial"/>
          <w:spacing w:val="-1"/>
          <w:sz w:val="22"/>
          <w:szCs w:val="22"/>
        </w:rPr>
        <w:t xml:space="preserve"> </w:t>
      </w:r>
      <w:r w:rsidRPr="008A67B2">
        <w:rPr>
          <w:rFonts w:ascii="Arial" w:hAnsi="Arial" w:cs="Arial"/>
          <w:sz w:val="22"/>
          <w:szCs w:val="22"/>
        </w:rPr>
        <w:t>trabajo</w:t>
      </w:r>
    </w:p>
    <w:p w:rsidR="008A67B2" w:rsidRPr="008A67B2" w:rsidRDefault="008A67B2" w:rsidP="008A67B2">
      <w:pPr>
        <w:pStyle w:val="Textoindependiente"/>
        <w:spacing w:before="12"/>
        <w:rPr>
          <w:rFonts w:ascii="Arial" w:hAnsi="Arial" w:cs="Arial"/>
          <w:sz w:val="22"/>
          <w:szCs w:val="22"/>
        </w:rPr>
      </w:pPr>
    </w:p>
    <w:p w:rsidR="008A67B2" w:rsidRPr="008A67B2" w:rsidRDefault="008A67B2" w:rsidP="008A67B2">
      <w:pPr>
        <w:pStyle w:val="Ttulo1"/>
        <w:rPr>
          <w:rFonts w:ascii="Arial" w:hAnsi="Arial" w:cs="Arial"/>
          <w:sz w:val="22"/>
          <w:szCs w:val="22"/>
        </w:rPr>
      </w:pPr>
      <w:r w:rsidRPr="008A67B2">
        <w:rPr>
          <w:rFonts w:ascii="Arial" w:hAnsi="Arial" w:cs="Arial"/>
          <w:sz w:val="22"/>
          <w:szCs w:val="22"/>
        </w:rPr>
        <w:t>Carpeta Estrategia 2:</w:t>
      </w:r>
    </w:p>
    <w:p w:rsidR="008A67B2" w:rsidRPr="008A67B2" w:rsidRDefault="008A67B2" w:rsidP="008A67B2">
      <w:pPr>
        <w:pStyle w:val="Prrafodelista"/>
        <w:widowControl w:val="0"/>
        <w:tabs>
          <w:tab w:val="left" w:pos="726"/>
        </w:tabs>
        <w:autoSpaceDE w:val="0"/>
        <w:autoSpaceDN w:val="0"/>
        <w:ind w:left="725"/>
        <w:rPr>
          <w:rFonts w:ascii="Arial" w:hAnsi="Arial" w:cs="Arial"/>
          <w:sz w:val="22"/>
          <w:szCs w:val="22"/>
        </w:rPr>
      </w:pPr>
      <w:r w:rsidRPr="008A67B2">
        <w:rPr>
          <w:rFonts w:ascii="Arial" w:hAnsi="Arial" w:cs="Arial"/>
          <w:sz w:val="22"/>
          <w:szCs w:val="22"/>
        </w:rPr>
        <w:t>Acuerdo del Concejo No. 028 de Julio</w:t>
      </w:r>
      <w:r w:rsidRPr="008A67B2">
        <w:rPr>
          <w:rFonts w:ascii="Arial" w:hAnsi="Arial" w:cs="Arial"/>
          <w:spacing w:val="-4"/>
          <w:sz w:val="22"/>
          <w:szCs w:val="22"/>
        </w:rPr>
        <w:t xml:space="preserve"> </w:t>
      </w:r>
      <w:r w:rsidRPr="008A67B2">
        <w:rPr>
          <w:rFonts w:ascii="Arial" w:hAnsi="Arial" w:cs="Arial"/>
          <w:sz w:val="22"/>
          <w:szCs w:val="22"/>
        </w:rPr>
        <w:t>2020</w:t>
      </w:r>
    </w:p>
    <w:p w:rsidR="008A67B2" w:rsidRPr="008A67B2" w:rsidRDefault="008A67B2" w:rsidP="008A67B2">
      <w:pPr>
        <w:pStyle w:val="Prrafodelista"/>
        <w:widowControl w:val="0"/>
        <w:tabs>
          <w:tab w:val="left" w:pos="726"/>
        </w:tabs>
        <w:autoSpaceDE w:val="0"/>
        <w:autoSpaceDN w:val="0"/>
        <w:spacing w:before="45"/>
        <w:ind w:left="725"/>
        <w:rPr>
          <w:rFonts w:ascii="Arial" w:hAnsi="Arial" w:cs="Arial"/>
          <w:sz w:val="22"/>
          <w:szCs w:val="22"/>
        </w:rPr>
      </w:pPr>
      <w:r w:rsidRPr="008A67B2">
        <w:rPr>
          <w:rFonts w:ascii="Arial" w:hAnsi="Arial" w:cs="Arial"/>
          <w:sz w:val="22"/>
          <w:szCs w:val="22"/>
        </w:rPr>
        <w:t>Diapositivas Informe proceso Acuerdo de Punto Final a diciembre de</w:t>
      </w:r>
      <w:r w:rsidRPr="008A67B2">
        <w:rPr>
          <w:rFonts w:ascii="Arial" w:hAnsi="Arial" w:cs="Arial"/>
          <w:spacing w:val="-11"/>
          <w:sz w:val="22"/>
          <w:szCs w:val="22"/>
        </w:rPr>
        <w:t xml:space="preserve"> </w:t>
      </w:r>
      <w:r w:rsidRPr="008A67B2">
        <w:rPr>
          <w:rFonts w:ascii="Arial" w:hAnsi="Arial" w:cs="Arial"/>
          <w:sz w:val="22"/>
          <w:szCs w:val="22"/>
        </w:rPr>
        <w:t>2020.</w:t>
      </w:r>
    </w:p>
    <w:p w:rsidR="008A67B2" w:rsidRPr="008A67B2" w:rsidRDefault="008A67B2" w:rsidP="008A67B2">
      <w:pPr>
        <w:pStyle w:val="Prrafodelista"/>
        <w:widowControl w:val="0"/>
        <w:tabs>
          <w:tab w:val="left" w:pos="726"/>
        </w:tabs>
        <w:autoSpaceDE w:val="0"/>
        <w:autoSpaceDN w:val="0"/>
        <w:spacing w:before="43"/>
        <w:ind w:left="725"/>
        <w:rPr>
          <w:rFonts w:ascii="Arial" w:hAnsi="Arial" w:cs="Arial"/>
          <w:sz w:val="22"/>
          <w:szCs w:val="22"/>
        </w:rPr>
      </w:pPr>
      <w:r w:rsidRPr="008A67B2">
        <w:rPr>
          <w:rFonts w:ascii="Arial" w:hAnsi="Arial" w:cs="Arial"/>
          <w:sz w:val="22"/>
          <w:szCs w:val="22"/>
        </w:rPr>
        <w:t>Acta de reunión con Hacienda</w:t>
      </w:r>
      <w:r w:rsidRPr="008A67B2">
        <w:rPr>
          <w:rFonts w:ascii="Arial" w:hAnsi="Arial" w:cs="Arial"/>
          <w:spacing w:val="1"/>
          <w:sz w:val="22"/>
          <w:szCs w:val="22"/>
        </w:rPr>
        <w:t xml:space="preserve"> </w:t>
      </w:r>
      <w:r w:rsidRPr="008A67B2">
        <w:rPr>
          <w:rFonts w:ascii="Arial" w:hAnsi="Arial" w:cs="Arial"/>
          <w:sz w:val="22"/>
          <w:szCs w:val="22"/>
        </w:rPr>
        <w:t>Distrital.</w:t>
      </w:r>
    </w:p>
    <w:p w:rsidR="008A67B2" w:rsidRPr="008A67B2" w:rsidRDefault="008A67B2" w:rsidP="008A67B2">
      <w:pPr>
        <w:pStyle w:val="Prrafodelista"/>
        <w:widowControl w:val="0"/>
        <w:tabs>
          <w:tab w:val="left" w:pos="726"/>
        </w:tabs>
        <w:autoSpaceDE w:val="0"/>
        <w:autoSpaceDN w:val="0"/>
        <w:spacing w:before="44"/>
        <w:ind w:left="725"/>
        <w:rPr>
          <w:rFonts w:ascii="Arial" w:hAnsi="Arial" w:cs="Arial"/>
          <w:sz w:val="22"/>
          <w:szCs w:val="22"/>
        </w:rPr>
      </w:pPr>
      <w:r w:rsidRPr="008A67B2">
        <w:rPr>
          <w:rFonts w:ascii="Arial" w:hAnsi="Arial" w:cs="Arial"/>
          <w:sz w:val="22"/>
          <w:szCs w:val="22"/>
        </w:rPr>
        <w:t>Certificación de pagos realizados Esfuerzo</w:t>
      </w:r>
      <w:r w:rsidRPr="008A67B2">
        <w:rPr>
          <w:rFonts w:ascii="Arial" w:hAnsi="Arial" w:cs="Arial"/>
          <w:spacing w:val="-1"/>
          <w:sz w:val="22"/>
          <w:szCs w:val="22"/>
        </w:rPr>
        <w:t xml:space="preserve"> </w:t>
      </w:r>
      <w:r w:rsidRPr="008A67B2">
        <w:rPr>
          <w:rFonts w:ascii="Arial" w:hAnsi="Arial" w:cs="Arial"/>
          <w:sz w:val="22"/>
          <w:szCs w:val="22"/>
        </w:rPr>
        <w:t>Propio</w:t>
      </w:r>
    </w:p>
    <w:p w:rsidR="008A67B2" w:rsidRPr="008A67B2" w:rsidRDefault="008A67B2" w:rsidP="008A67B2">
      <w:pPr>
        <w:pStyle w:val="Textoindependiente"/>
        <w:rPr>
          <w:rFonts w:ascii="Arial" w:hAnsi="Arial" w:cs="Arial"/>
          <w:sz w:val="22"/>
          <w:szCs w:val="22"/>
        </w:rPr>
      </w:pPr>
    </w:p>
    <w:p w:rsidR="008A67B2" w:rsidRPr="008A67B2" w:rsidRDefault="008A67B2" w:rsidP="008A67B2">
      <w:pPr>
        <w:pStyle w:val="Ttulo1"/>
        <w:rPr>
          <w:rFonts w:ascii="Arial" w:hAnsi="Arial" w:cs="Arial"/>
          <w:sz w:val="22"/>
          <w:szCs w:val="22"/>
        </w:rPr>
      </w:pPr>
      <w:r w:rsidRPr="008A67B2">
        <w:rPr>
          <w:rFonts w:ascii="Arial" w:hAnsi="Arial" w:cs="Arial"/>
          <w:sz w:val="22"/>
          <w:szCs w:val="22"/>
        </w:rPr>
        <w:t>Carpeta Estrategia 3:</w:t>
      </w:r>
    </w:p>
    <w:p w:rsidR="008A67B2" w:rsidRPr="008A67B2" w:rsidRDefault="008A67B2" w:rsidP="008A67B2">
      <w:pPr>
        <w:pStyle w:val="Prrafodelista"/>
        <w:widowControl w:val="0"/>
        <w:tabs>
          <w:tab w:val="left" w:pos="726"/>
        </w:tabs>
        <w:autoSpaceDE w:val="0"/>
        <w:autoSpaceDN w:val="0"/>
        <w:spacing w:before="1"/>
        <w:ind w:left="725"/>
        <w:rPr>
          <w:rFonts w:ascii="Arial" w:hAnsi="Arial" w:cs="Arial"/>
          <w:sz w:val="22"/>
          <w:szCs w:val="22"/>
        </w:rPr>
      </w:pPr>
      <w:r w:rsidRPr="008A67B2">
        <w:rPr>
          <w:rFonts w:ascii="Arial" w:hAnsi="Arial" w:cs="Arial"/>
          <w:sz w:val="22"/>
          <w:szCs w:val="22"/>
        </w:rPr>
        <w:t>soportes Est. Plan de</w:t>
      </w:r>
      <w:r w:rsidRPr="008A67B2">
        <w:rPr>
          <w:rFonts w:ascii="Arial" w:hAnsi="Arial" w:cs="Arial"/>
          <w:spacing w:val="1"/>
          <w:sz w:val="22"/>
          <w:szCs w:val="22"/>
        </w:rPr>
        <w:t xml:space="preserve"> </w:t>
      </w:r>
      <w:r w:rsidRPr="008A67B2">
        <w:rPr>
          <w:rFonts w:ascii="Arial" w:hAnsi="Arial" w:cs="Arial"/>
          <w:sz w:val="22"/>
          <w:szCs w:val="22"/>
        </w:rPr>
        <w:t>Contratación</w:t>
      </w:r>
    </w:p>
    <w:p w:rsidR="008A67B2" w:rsidRPr="008A67B2" w:rsidRDefault="008A67B2" w:rsidP="008A67B2">
      <w:pPr>
        <w:pStyle w:val="Prrafodelista"/>
        <w:widowControl w:val="0"/>
        <w:tabs>
          <w:tab w:val="left" w:pos="726"/>
        </w:tabs>
        <w:autoSpaceDE w:val="0"/>
        <w:autoSpaceDN w:val="0"/>
        <w:ind w:left="725"/>
        <w:rPr>
          <w:rFonts w:ascii="Arial" w:hAnsi="Arial" w:cs="Arial"/>
          <w:sz w:val="22"/>
          <w:szCs w:val="22"/>
        </w:rPr>
      </w:pPr>
      <w:r w:rsidRPr="008A67B2">
        <w:rPr>
          <w:rFonts w:ascii="Arial" w:hAnsi="Arial" w:cs="Arial"/>
          <w:sz w:val="22"/>
          <w:szCs w:val="22"/>
        </w:rPr>
        <w:t>Estrategias</w:t>
      </w:r>
    </w:p>
    <w:p w:rsidR="008A67B2" w:rsidRPr="008A67B2" w:rsidRDefault="008A67B2" w:rsidP="008A67B2">
      <w:pPr>
        <w:pStyle w:val="Prrafodelista"/>
        <w:widowControl w:val="0"/>
        <w:tabs>
          <w:tab w:val="left" w:pos="726"/>
        </w:tabs>
        <w:autoSpaceDE w:val="0"/>
        <w:autoSpaceDN w:val="0"/>
        <w:ind w:left="725"/>
        <w:rPr>
          <w:rFonts w:ascii="Arial" w:hAnsi="Arial" w:cs="Arial"/>
          <w:sz w:val="22"/>
          <w:szCs w:val="22"/>
        </w:rPr>
      </w:pPr>
      <w:r w:rsidRPr="008A67B2">
        <w:rPr>
          <w:rFonts w:ascii="Arial" w:hAnsi="Arial" w:cs="Arial"/>
          <w:sz w:val="22"/>
          <w:szCs w:val="22"/>
        </w:rPr>
        <w:t>Cronograma</w:t>
      </w:r>
    </w:p>
    <w:p w:rsidR="008A67B2" w:rsidRPr="008A67B2" w:rsidRDefault="008A67B2" w:rsidP="008A67B2">
      <w:pPr>
        <w:pStyle w:val="Textoindependiente"/>
        <w:spacing w:before="11"/>
        <w:rPr>
          <w:rFonts w:ascii="Arial" w:hAnsi="Arial" w:cs="Arial"/>
          <w:sz w:val="22"/>
          <w:szCs w:val="22"/>
        </w:rPr>
      </w:pPr>
    </w:p>
    <w:p w:rsidR="008A67B2" w:rsidRPr="008A67B2" w:rsidRDefault="008A67B2" w:rsidP="008A67B2">
      <w:pPr>
        <w:pStyle w:val="Ttulo1"/>
        <w:rPr>
          <w:rFonts w:ascii="Arial" w:hAnsi="Arial" w:cs="Arial"/>
          <w:sz w:val="22"/>
          <w:szCs w:val="22"/>
        </w:rPr>
      </w:pPr>
      <w:r w:rsidRPr="008A67B2">
        <w:rPr>
          <w:rFonts w:ascii="Arial" w:hAnsi="Arial" w:cs="Arial"/>
          <w:sz w:val="22"/>
          <w:szCs w:val="22"/>
        </w:rPr>
        <w:t>Carpeta Estrategia 4:</w:t>
      </w:r>
    </w:p>
    <w:p w:rsidR="008A67B2" w:rsidRPr="008A67B2" w:rsidRDefault="008A67B2" w:rsidP="008A67B2">
      <w:pPr>
        <w:pStyle w:val="Prrafodelista"/>
        <w:widowControl w:val="0"/>
        <w:tabs>
          <w:tab w:val="left" w:pos="726"/>
        </w:tabs>
        <w:autoSpaceDE w:val="0"/>
        <w:autoSpaceDN w:val="0"/>
        <w:spacing w:before="1"/>
        <w:ind w:left="725"/>
        <w:rPr>
          <w:rFonts w:ascii="Arial" w:hAnsi="Arial" w:cs="Arial"/>
          <w:sz w:val="22"/>
          <w:szCs w:val="22"/>
        </w:rPr>
      </w:pPr>
      <w:r w:rsidRPr="008A67B2">
        <w:rPr>
          <w:rFonts w:ascii="Arial" w:hAnsi="Arial" w:cs="Arial"/>
          <w:sz w:val="22"/>
          <w:szCs w:val="22"/>
        </w:rPr>
        <w:t>Catorce (14) Actas de asistencia técnica con IPS para creación de Usuario</w:t>
      </w:r>
      <w:r w:rsidRPr="008A67B2">
        <w:rPr>
          <w:rFonts w:ascii="Arial" w:hAnsi="Arial" w:cs="Arial"/>
          <w:spacing w:val="-15"/>
          <w:sz w:val="22"/>
          <w:szCs w:val="22"/>
        </w:rPr>
        <w:t xml:space="preserve"> </w:t>
      </w:r>
      <w:r w:rsidRPr="008A67B2">
        <w:rPr>
          <w:rFonts w:ascii="Arial" w:hAnsi="Arial" w:cs="Arial"/>
          <w:sz w:val="22"/>
          <w:szCs w:val="22"/>
        </w:rPr>
        <w:t>SAT.</w:t>
      </w:r>
    </w:p>
    <w:p w:rsidR="008A67B2" w:rsidRPr="008A67B2" w:rsidRDefault="008A67B2" w:rsidP="008A67B2">
      <w:pPr>
        <w:pStyle w:val="Prrafodelista"/>
        <w:widowControl w:val="0"/>
        <w:tabs>
          <w:tab w:val="left" w:pos="970"/>
        </w:tabs>
        <w:autoSpaceDE w:val="0"/>
        <w:autoSpaceDN w:val="0"/>
        <w:spacing w:before="43"/>
        <w:ind w:left="970"/>
        <w:rPr>
          <w:rFonts w:ascii="Arial" w:hAnsi="Arial" w:cs="Arial"/>
          <w:sz w:val="22"/>
          <w:szCs w:val="22"/>
        </w:rPr>
      </w:pPr>
      <w:r w:rsidRPr="008A67B2">
        <w:rPr>
          <w:rFonts w:ascii="Arial" w:hAnsi="Arial" w:cs="Arial"/>
          <w:sz w:val="22"/>
          <w:szCs w:val="22"/>
        </w:rPr>
        <w:t>Evidencia</w:t>
      </w:r>
      <w:r w:rsidRPr="008A67B2">
        <w:rPr>
          <w:rFonts w:ascii="Arial" w:hAnsi="Arial" w:cs="Arial"/>
          <w:spacing w:val="-3"/>
          <w:sz w:val="22"/>
          <w:szCs w:val="22"/>
        </w:rPr>
        <w:t xml:space="preserve"> </w:t>
      </w:r>
      <w:r w:rsidRPr="008A67B2">
        <w:rPr>
          <w:rFonts w:ascii="Arial" w:hAnsi="Arial" w:cs="Arial"/>
          <w:sz w:val="22"/>
          <w:szCs w:val="22"/>
        </w:rPr>
        <w:t>afiliaciones</w:t>
      </w:r>
    </w:p>
    <w:p w:rsidR="008A67B2" w:rsidRPr="008A67B2" w:rsidRDefault="008A67B2" w:rsidP="008A67B2">
      <w:pPr>
        <w:pStyle w:val="Prrafodelista"/>
        <w:widowControl w:val="0"/>
        <w:tabs>
          <w:tab w:val="left" w:pos="970"/>
        </w:tabs>
        <w:autoSpaceDE w:val="0"/>
        <w:autoSpaceDN w:val="0"/>
        <w:spacing w:before="43"/>
        <w:ind w:left="970"/>
        <w:rPr>
          <w:rFonts w:ascii="Arial" w:hAnsi="Arial" w:cs="Arial"/>
          <w:sz w:val="22"/>
          <w:szCs w:val="22"/>
        </w:rPr>
      </w:pPr>
      <w:r w:rsidRPr="008A67B2">
        <w:rPr>
          <w:rFonts w:ascii="Arial" w:hAnsi="Arial" w:cs="Arial"/>
          <w:sz w:val="22"/>
          <w:szCs w:val="22"/>
        </w:rPr>
        <w:t>Evidencia Proyecto</w:t>
      </w:r>
      <w:r w:rsidRPr="008A67B2">
        <w:rPr>
          <w:rFonts w:ascii="Arial" w:hAnsi="Arial" w:cs="Arial"/>
          <w:spacing w:val="-2"/>
          <w:sz w:val="22"/>
          <w:szCs w:val="22"/>
        </w:rPr>
        <w:t xml:space="preserve"> </w:t>
      </w:r>
      <w:r w:rsidRPr="008A67B2">
        <w:rPr>
          <w:rFonts w:ascii="Arial" w:hAnsi="Arial" w:cs="Arial"/>
          <w:sz w:val="22"/>
          <w:szCs w:val="22"/>
        </w:rPr>
        <w:t>descentralización</w:t>
      </w:r>
    </w:p>
    <w:p w:rsidR="008A67B2" w:rsidRPr="008A67B2" w:rsidRDefault="008A67B2" w:rsidP="00F914D2">
      <w:pPr>
        <w:rPr>
          <w:rFonts w:ascii="Arial" w:hAnsi="Arial" w:cs="Arial"/>
          <w:sz w:val="22"/>
          <w:szCs w:val="22"/>
        </w:rPr>
      </w:pPr>
    </w:p>
    <w:p w:rsidR="008A67B2" w:rsidRPr="008A67B2" w:rsidRDefault="008A67B2" w:rsidP="00F914D2">
      <w:pPr>
        <w:jc w:val="both"/>
        <w:rPr>
          <w:rFonts w:ascii="Arial" w:hAnsi="Arial" w:cs="Arial"/>
          <w:sz w:val="22"/>
          <w:szCs w:val="22"/>
        </w:rPr>
      </w:pPr>
      <w:r w:rsidRPr="008A67B2">
        <w:rPr>
          <w:rFonts w:ascii="Arial" w:hAnsi="Arial" w:cs="Arial"/>
          <w:sz w:val="22"/>
          <w:szCs w:val="22"/>
        </w:rPr>
        <w:t>Se plantean 4 estrategias que incluyen el proceso de depuración de la cartera con los deudores, revisión de pagos y de procesos judiciales, impulso al desarrollo de las disposiciones del Acuerdo de Punto final, que incluye la definición del esfuerzo territorial en la financiación de la deuda, estrategias para disminuir el impacto de los costos de prestación de servicios a la población pobre no afiliada y migrantes, y la promoción de la afiliación al SGSSS desde la Dirección Operativa de Aseguramiento del DADIS.</w:t>
      </w:r>
      <w:r w:rsidR="004E77EA">
        <w:rPr>
          <w:rFonts w:ascii="Arial" w:hAnsi="Arial" w:cs="Arial"/>
          <w:sz w:val="22"/>
          <w:szCs w:val="22"/>
        </w:rPr>
        <w:t xml:space="preserve"> </w:t>
      </w:r>
    </w:p>
    <w:p w:rsidR="008A67B2" w:rsidRPr="008A67B2" w:rsidRDefault="008A67B2" w:rsidP="00F914D2">
      <w:pPr>
        <w:jc w:val="both"/>
        <w:rPr>
          <w:rFonts w:ascii="Arial" w:hAnsi="Arial" w:cs="Arial"/>
          <w:sz w:val="22"/>
          <w:szCs w:val="22"/>
        </w:rPr>
      </w:pPr>
    </w:p>
    <w:p w:rsidR="008A67B2" w:rsidRPr="008A67B2" w:rsidRDefault="008A67B2" w:rsidP="00F914D2">
      <w:pPr>
        <w:widowControl w:val="0"/>
        <w:tabs>
          <w:tab w:val="left" w:pos="1342"/>
        </w:tabs>
        <w:autoSpaceDE w:val="0"/>
        <w:autoSpaceDN w:val="0"/>
        <w:ind w:right="-1"/>
        <w:jc w:val="both"/>
        <w:rPr>
          <w:rFonts w:ascii="Arial" w:hAnsi="Arial" w:cs="Arial"/>
          <w:sz w:val="22"/>
          <w:szCs w:val="22"/>
        </w:rPr>
      </w:pPr>
      <w:r w:rsidRPr="008A67B2">
        <w:rPr>
          <w:rFonts w:ascii="Arial" w:hAnsi="Arial" w:cs="Arial"/>
          <w:sz w:val="22"/>
          <w:szCs w:val="22"/>
        </w:rPr>
        <w:t xml:space="preserve">El Distrito de Cartagena, con el fin de dar cumplimiento al marco normativo especialmente lo contemplado en la Ley 1955 de 2019 y sus disposiciones frente a la implementación del </w:t>
      </w:r>
      <w:r w:rsidRPr="008A67B2">
        <w:rPr>
          <w:rFonts w:ascii="Arial" w:hAnsi="Arial" w:cs="Arial"/>
          <w:b/>
          <w:sz w:val="22"/>
          <w:szCs w:val="22"/>
        </w:rPr>
        <w:t>Acuerdo</w:t>
      </w:r>
      <w:r w:rsidRPr="008A67B2">
        <w:rPr>
          <w:rFonts w:ascii="Arial" w:hAnsi="Arial" w:cs="Arial"/>
          <w:b/>
          <w:spacing w:val="-25"/>
          <w:sz w:val="22"/>
          <w:szCs w:val="22"/>
        </w:rPr>
        <w:t xml:space="preserve"> </w:t>
      </w:r>
      <w:r w:rsidRPr="008A67B2">
        <w:rPr>
          <w:rFonts w:ascii="Arial" w:hAnsi="Arial" w:cs="Arial"/>
          <w:b/>
          <w:sz w:val="22"/>
          <w:szCs w:val="22"/>
        </w:rPr>
        <w:t>de</w:t>
      </w:r>
      <w:r w:rsidRPr="008A67B2">
        <w:rPr>
          <w:rFonts w:ascii="Arial" w:hAnsi="Arial" w:cs="Arial"/>
          <w:b/>
          <w:spacing w:val="-27"/>
          <w:sz w:val="22"/>
          <w:szCs w:val="22"/>
        </w:rPr>
        <w:t xml:space="preserve"> </w:t>
      </w:r>
      <w:r w:rsidRPr="008A67B2">
        <w:rPr>
          <w:rFonts w:ascii="Arial" w:hAnsi="Arial" w:cs="Arial"/>
          <w:b/>
          <w:sz w:val="22"/>
          <w:szCs w:val="22"/>
        </w:rPr>
        <w:t>Punto</w:t>
      </w:r>
      <w:r w:rsidRPr="008A67B2">
        <w:rPr>
          <w:rFonts w:ascii="Arial" w:hAnsi="Arial" w:cs="Arial"/>
          <w:b/>
          <w:spacing w:val="-25"/>
          <w:sz w:val="22"/>
          <w:szCs w:val="22"/>
        </w:rPr>
        <w:t xml:space="preserve"> </w:t>
      </w:r>
      <w:r w:rsidRPr="008A67B2">
        <w:rPr>
          <w:rFonts w:ascii="Arial" w:hAnsi="Arial" w:cs="Arial"/>
          <w:b/>
          <w:sz w:val="22"/>
          <w:szCs w:val="22"/>
        </w:rPr>
        <w:t>Final</w:t>
      </w:r>
      <w:r w:rsidRPr="008A67B2">
        <w:rPr>
          <w:rFonts w:ascii="Arial" w:hAnsi="Arial" w:cs="Arial"/>
          <w:sz w:val="22"/>
          <w:szCs w:val="22"/>
        </w:rPr>
        <w:t>,</w:t>
      </w:r>
      <w:r w:rsidRPr="008A67B2">
        <w:rPr>
          <w:rFonts w:ascii="Arial" w:hAnsi="Arial" w:cs="Arial"/>
          <w:spacing w:val="-26"/>
          <w:sz w:val="22"/>
          <w:szCs w:val="22"/>
        </w:rPr>
        <w:t xml:space="preserve"> </w:t>
      </w:r>
      <w:r w:rsidRPr="008A67B2">
        <w:rPr>
          <w:rFonts w:ascii="Arial" w:hAnsi="Arial" w:cs="Arial"/>
          <w:sz w:val="22"/>
          <w:szCs w:val="22"/>
        </w:rPr>
        <w:t>así como sus normas complementarias (Decreto 2154 del 28 de Noviembre de 2019 y Resolución 3315 del 06 de Diciembre de</w:t>
      </w:r>
      <w:r w:rsidRPr="008A67B2">
        <w:rPr>
          <w:rFonts w:ascii="Arial" w:hAnsi="Arial" w:cs="Arial"/>
          <w:spacing w:val="-8"/>
          <w:sz w:val="22"/>
          <w:szCs w:val="22"/>
        </w:rPr>
        <w:t xml:space="preserve"> </w:t>
      </w:r>
      <w:r w:rsidRPr="008A67B2">
        <w:rPr>
          <w:rFonts w:ascii="Arial" w:hAnsi="Arial" w:cs="Arial"/>
          <w:sz w:val="22"/>
          <w:szCs w:val="22"/>
        </w:rPr>
        <w:t>2019), mediante Acuerdo del Concejo Distrital No 028 de julio 1 de 2020 y el Decreto 0774 de julio 27 de 2020 incorporó recursos por la suma de $25.079 millones que permitieron el pago de $24.128 millones de la deuda acumulada que traía el Distrito, acreditando así el esfuerzo fiscal establecido en el marco de este proceso.</w:t>
      </w:r>
      <w:r w:rsidR="004E77EA">
        <w:rPr>
          <w:rFonts w:ascii="Arial" w:hAnsi="Arial" w:cs="Arial"/>
          <w:sz w:val="22"/>
          <w:szCs w:val="22"/>
        </w:rPr>
        <w:t xml:space="preserve"> </w:t>
      </w:r>
    </w:p>
    <w:p w:rsidR="008A67B2" w:rsidRPr="008A67B2" w:rsidRDefault="008A67B2" w:rsidP="008A67B2">
      <w:pPr>
        <w:widowControl w:val="0"/>
        <w:tabs>
          <w:tab w:val="left" w:pos="1342"/>
        </w:tabs>
        <w:autoSpaceDE w:val="0"/>
        <w:autoSpaceDN w:val="0"/>
        <w:spacing w:line="276" w:lineRule="auto"/>
        <w:ind w:right="-1"/>
        <w:jc w:val="both"/>
        <w:rPr>
          <w:rFonts w:ascii="Arial" w:hAnsi="Arial" w:cs="Arial"/>
          <w:sz w:val="22"/>
          <w:szCs w:val="22"/>
        </w:rPr>
      </w:pPr>
    </w:p>
    <w:p w:rsidR="008A67B2" w:rsidRPr="008A67B2" w:rsidRDefault="008A67B2" w:rsidP="008A67B2">
      <w:pPr>
        <w:pStyle w:val="Textoindependiente"/>
        <w:ind w:right="-1"/>
        <w:jc w:val="both"/>
        <w:rPr>
          <w:rFonts w:ascii="Arial" w:hAnsi="Arial" w:cs="Arial"/>
          <w:sz w:val="22"/>
          <w:szCs w:val="22"/>
        </w:rPr>
      </w:pPr>
      <w:r w:rsidRPr="008A67B2">
        <w:rPr>
          <w:rFonts w:ascii="Arial" w:hAnsi="Arial" w:cs="Arial"/>
          <w:sz w:val="22"/>
          <w:szCs w:val="22"/>
        </w:rPr>
        <w:t xml:space="preserve">Dentro del cronograma en el marco del plan de saneamiento acuerdo de punto final, en la cual se plantearon estrategias que incluyeron el proceso de depuración de la cartera con los deudores, revisión de pagos y de procesos judiciales; se realizó actividad conjunta entre la Dirección Administrativa y Financiera con la Dirección Operativa de Prestación de Servicios para determinar del periodo de la vigencia de 2015 hasta Junio 2020, las facturas que se encontraban por auditar y conciliar de la deuda derivada de prestación de servicios a la Población Pobre no Asegurada y atenciones No PBS (Ver evaluación Actividad 4). </w:t>
      </w:r>
    </w:p>
    <w:p w:rsidR="008A67B2" w:rsidRPr="008A67B2" w:rsidRDefault="008A67B2" w:rsidP="008A67B2">
      <w:pPr>
        <w:widowControl w:val="0"/>
        <w:tabs>
          <w:tab w:val="left" w:pos="1342"/>
        </w:tabs>
        <w:autoSpaceDE w:val="0"/>
        <w:autoSpaceDN w:val="0"/>
        <w:spacing w:line="276" w:lineRule="auto"/>
        <w:ind w:right="-1"/>
        <w:jc w:val="both"/>
        <w:rPr>
          <w:rFonts w:ascii="Arial" w:hAnsi="Arial" w:cs="Arial"/>
          <w:sz w:val="22"/>
          <w:szCs w:val="22"/>
        </w:rPr>
      </w:pPr>
    </w:p>
    <w:p w:rsidR="008A67B2" w:rsidRPr="008A67B2" w:rsidRDefault="00F914D2" w:rsidP="00F914D2">
      <w:pPr>
        <w:widowControl w:val="0"/>
        <w:tabs>
          <w:tab w:val="left" w:pos="1342"/>
        </w:tabs>
        <w:autoSpaceDE w:val="0"/>
        <w:autoSpaceDN w:val="0"/>
        <w:ind w:right="-1"/>
        <w:jc w:val="both"/>
        <w:rPr>
          <w:rFonts w:ascii="Arial" w:hAnsi="Arial" w:cs="Arial"/>
          <w:sz w:val="22"/>
          <w:szCs w:val="22"/>
        </w:rPr>
      </w:pPr>
      <w:r>
        <w:rPr>
          <w:rFonts w:ascii="Arial" w:hAnsi="Arial" w:cs="Arial"/>
          <w:sz w:val="22"/>
          <w:szCs w:val="22"/>
        </w:rPr>
        <w:lastRenderedPageBreak/>
        <w:t>D</w:t>
      </w:r>
      <w:r w:rsidR="008A67B2" w:rsidRPr="008A67B2">
        <w:rPr>
          <w:rFonts w:ascii="Arial" w:hAnsi="Arial" w:cs="Arial"/>
          <w:sz w:val="22"/>
          <w:szCs w:val="22"/>
        </w:rPr>
        <w:t>entro de las medidas adoptadas para disminuir los costos por prestación de servicios se adoptaron auditorías concurrentes y se dispusieron formas de contratación por paquetes integrales de atención a precios razonables y con descuentos sobre tarifas hasta del 25%.</w:t>
      </w:r>
      <w:r w:rsidR="004E77EA">
        <w:rPr>
          <w:rFonts w:ascii="Arial" w:hAnsi="Arial" w:cs="Arial"/>
          <w:sz w:val="22"/>
          <w:szCs w:val="22"/>
        </w:rPr>
        <w:t xml:space="preserve"> </w:t>
      </w:r>
      <w:r w:rsidR="008A67B2" w:rsidRPr="008A67B2">
        <w:rPr>
          <w:rFonts w:ascii="Arial" w:hAnsi="Arial" w:cs="Arial"/>
          <w:sz w:val="22"/>
          <w:szCs w:val="22"/>
        </w:rPr>
        <w:t>La impl</w:t>
      </w:r>
      <w:r>
        <w:rPr>
          <w:rFonts w:ascii="Arial" w:hAnsi="Arial" w:cs="Arial"/>
          <w:sz w:val="22"/>
          <w:szCs w:val="22"/>
        </w:rPr>
        <w:t>ementación del sistema SIGDADIS</w:t>
      </w:r>
      <w:r w:rsidR="008A67B2" w:rsidRPr="008A67B2">
        <w:rPr>
          <w:rFonts w:ascii="Arial" w:hAnsi="Arial" w:cs="Arial"/>
          <w:sz w:val="22"/>
          <w:szCs w:val="22"/>
        </w:rPr>
        <w:t xml:space="preserve"> ha permitido el control de la facturación desde la radicación hasta la auditoría.</w:t>
      </w:r>
    </w:p>
    <w:p w:rsidR="008A67B2" w:rsidRPr="008A67B2" w:rsidRDefault="008A67B2" w:rsidP="008A67B2">
      <w:pPr>
        <w:jc w:val="both"/>
        <w:rPr>
          <w:rFonts w:ascii="Arial" w:hAnsi="Arial" w:cs="Arial"/>
          <w:sz w:val="22"/>
          <w:szCs w:val="22"/>
        </w:rPr>
      </w:pPr>
    </w:p>
    <w:p w:rsidR="008A67B2" w:rsidRPr="008A67B2" w:rsidRDefault="008A67B2" w:rsidP="008A67B2">
      <w:pPr>
        <w:jc w:val="both"/>
        <w:rPr>
          <w:rFonts w:ascii="Arial" w:hAnsi="Arial" w:cs="Arial"/>
          <w:b/>
          <w:sz w:val="22"/>
          <w:szCs w:val="22"/>
        </w:rPr>
      </w:pPr>
      <w:r w:rsidRPr="008A67B2">
        <w:rPr>
          <w:rFonts w:ascii="Arial" w:hAnsi="Arial" w:cs="Arial"/>
          <w:b/>
          <w:sz w:val="22"/>
          <w:szCs w:val="22"/>
        </w:rPr>
        <w:t xml:space="preserve">Actividad 6 </w:t>
      </w:r>
    </w:p>
    <w:p w:rsidR="008A67B2" w:rsidRPr="008A67B2" w:rsidRDefault="008A67B2" w:rsidP="008A67B2">
      <w:pPr>
        <w:jc w:val="both"/>
        <w:rPr>
          <w:rFonts w:ascii="Arial" w:hAnsi="Arial" w:cs="Arial"/>
          <w:b/>
          <w:sz w:val="22"/>
          <w:szCs w:val="22"/>
        </w:rPr>
      </w:pPr>
    </w:p>
    <w:p w:rsidR="008A67B2" w:rsidRPr="008A67B2" w:rsidRDefault="008A67B2" w:rsidP="008A67B2">
      <w:pPr>
        <w:jc w:val="both"/>
        <w:rPr>
          <w:rFonts w:ascii="Arial" w:hAnsi="Arial" w:cs="Arial"/>
          <w:b/>
          <w:sz w:val="22"/>
          <w:szCs w:val="22"/>
        </w:rPr>
      </w:pPr>
      <w:r w:rsidRPr="008A67B2">
        <w:rPr>
          <w:rFonts w:ascii="Arial" w:hAnsi="Arial" w:cs="Arial"/>
          <w:b/>
          <w:sz w:val="22"/>
          <w:szCs w:val="22"/>
        </w:rPr>
        <w:t>Planear los recursos asignados y efectuar la contratación del componente de Salud Pública atendiendo a los lineamientos señalados en la Resolución 518 de 2015, y demás normas que la modifiquen, los principios presupuestales y la armonización requerida con el Plan Territorial en Salud; teniendo en cuenta la distribución de los recursos SGP estipulada entre PIC y Gestión en Salud.</w:t>
      </w:r>
    </w:p>
    <w:p w:rsidR="008A67B2" w:rsidRPr="008A67B2" w:rsidRDefault="008A67B2" w:rsidP="008A67B2">
      <w:pPr>
        <w:jc w:val="both"/>
        <w:rPr>
          <w:rFonts w:ascii="Arial" w:hAnsi="Arial" w:cs="Arial"/>
          <w:b/>
          <w:sz w:val="22"/>
          <w:szCs w:val="22"/>
        </w:rPr>
      </w:pPr>
    </w:p>
    <w:p w:rsidR="008A67B2" w:rsidRPr="008A67B2" w:rsidRDefault="008A67B2" w:rsidP="00F914D2">
      <w:pPr>
        <w:jc w:val="both"/>
        <w:rPr>
          <w:rFonts w:ascii="Arial" w:hAnsi="Arial" w:cs="Arial"/>
          <w:sz w:val="22"/>
          <w:szCs w:val="22"/>
        </w:rPr>
      </w:pPr>
      <w:r w:rsidRPr="008A67B2">
        <w:rPr>
          <w:rFonts w:ascii="Arial" w:hAnsi="Arial" w:cs="Arial"/>
          <w:sz w:val="22"/>
          <w:szCs w:val="22"/>
        </w:rPr>
        <w:t>Las evidencias se encuentran consignadas en el sistema SIED con el número de Expediente 120/2018/D028-PREDI /D028-PREDI.</w:t>
      </w:r>
      <w:r w:rsidR="004E77EA">
        <w:rPr>
          <w:rFonts w:ascii="Arial" w:hAnsi="Arial" w:cs="Arial"/>
          <w:sz w:val="22"/>
          <w:szCs w:val="22"/>
        </w:rPr>
        <w:t xml:space="preserve"> </w:t>
      </w:r>
      <w:r w:rsidRPr="008A67B2">
        <w:rPr>
          <w:rFonts w:ascii="Arial" w:hAnsi="Arial" w:cs="Arial"/>
          <w:sz w:val="22"/>
          <w:szCs w:val="22"/>
        </w:rPr>
        <w:t xml:space="preserve">Dichas evidencias se relacionan a continuación: </w:t>
      </w:r>
    </w:p>
    <w:p w:rsidR="008A67B2" w:rsidRPr="008A67B2" w:rsidRDefault="008A67B2" w:rsidP="00F914D2">
      <w:pPr>
        <w:jc w:val="both"/>
        <w:rPr>
          <w:rFonts w:ascii="Arial" w:hAnsi="Arial" w:cs="Arial"/>
          <w:sz w:val="22"/>
          <w:szCs w:val="22"/>
        </w:rPr>
      </w:pPr>
    </w:p>
    <w:p w:rsidR="008A67B2" w:rsidRPr="008A67B2" w:rsidRDefault="008A67B2" w:rsidP="00F914D2">
      <w:pPr>
        <w:pStyle w:val="Ttulo1"/>
        <w:spacing w:before="161"/>
        <w:rPr>
          <w:rFonts w:ascii="Arial" w:hAnsi="Arial" w:cs="Arial"/>
          <w:sz w:val="22"/>
          <w:szCs w:val="22"/>
        </w:rPr>
      </w:pPr>
      <w:r w:rsidRPr="008A67B2">
        <w:rPr>
          <w:rFonts w:ascii="Arial" w:hAnsi="Arial" w:cs="Arial"/>
          <w:sz w:val="22"/>
          <w:szCs w:val="22"/>
        </w:rPr>
        <w:t>EVIDENCIA</w:t>
      </w:r>
    </w:p>
    <w:p w:rsidR="008A67B2" w:rsidRPr="008A67B2" w:rsidRDefault="008A67B2" w:rsidP="00F914D2">
      <w:pPr>
        <w:ind w:left="262"/>
        <w:rPr>
          <w:rFonts w:ascii="Arial" w:hAnsi="Arial" w:cs="Arial"/>
          <w:b/>
          <w:sz w:val="22"/>
          <w:szCs w:val="22"/>
        </w:rPr>
      </w:pPr>
      <w:r w:rsidRPr="008A67B2">
        <w:rPr>
          <w:rFonts w:ascii="Arial" w:hAnsi="Arial" w:cs="Arial"/>
          <w:b/>
          <w:sz w:val="22"/>
          <w:szCs w:val="22"/>
        </w:rPr>
        <w:t>Anexos: CARPETA – ACTIVIDAD 6</w:t>
      </w:r>
    </w:p>
    <w:p w:rsidR="008A67B2" w:rsidRPr="008A67B2" w:rsidRDefault="008A67B2" w:rsidP="00F914D2">
      <w:pPr>
        <w:pStyle w:val="Prrafodelista"/>
        <w:widowControl w:val="0"/>
        <w:numPr>
          <w:ilvl w:val="0"/>
          <w:numId w:val="17"/>
        </w:numPr>
        <w:tabs>
          <w:tab w:val="left" w:pos="622"/>
        </w:tabs>
        <w:autoSpaceDE w:val="0"/>
        <w:autoSpaceDN w:val="0"/>
        <w:ind w:left="621" w:right="677"/>
        <w:jc w:val="both"/>
        <w:rPr>
          <w:rFonts w:ascii="Arial" w:hAnsi="Arial" w:cs="Arial"/>
          <w:sz w:val="22"/>
          <w:szCs w:val="22"/>
        </w:rPr>
      </w:pPr>
      <w:r w:rsidRPr="008A67B2">
        <w:rPr>
          <w:rFonts w:ascii="Arial" w:hAnsi="Arial" w:cs="Arial"/>
          <w:sz w:val="22"/>
          <w:szCs w:val="22"/>
        </w:rPr>
        <w:t>6.1 Componente operativo anual de inversión COAI 2020 en el cual se identifica el proceso de planeación y distribución de los recursos del SGP- Salud Pública por componentes (PIC- Gestión), para la vigencia</w:t>
      </w:r>
      <w:r w:rsidRPr="008A67B2">
        <w:rPr>
          <w:rFonts w:ascii="Arial" w:hAnsi="Arial" w:cs="Arial"/>
          <w:spacing w:val="-4"/>
          <w:sz w:val="22"/>
          <w:szCs w:val="22"/>
        </w:rPr>
        <w:t xml:space="preserve"> </w:t>
      </w:r>
      <w:r w:rsidRPr="008A67B2">
        <w:rPr>
          <w:rFonts w:ascii="Arial" w:hAnsi="Arial" w:cs="Arial"/>
          <w:sz w:val="22"/>
          <w:szCs w:val="22"/>
        </w:rPr>
        <w:t>2020</w:t>
      </w:r>
    </w:p>
    <w:p w:rsidR="00F914D2" w:rsidRDefault="008A67B2" w:rsidP="00F914D2">
      <w:pPr>
        <w:pStyle w:val="Prrafodelista"/>
        <w:widowControl w:val="0"/>
        <w:numPr>
          <w:ilvl w:val="0"/>
          <w:numId w:val="17"/>
        </w:numPr>
        <w:tabs>
          <w:tab w:val="left" w:pos="622"/>
        </w:tabs>
        <w:autoSpaceDE w:val="0"/>
        <w:autoSpaceDN w:val="0"/>
        <w:jc w:val="both"/>
        <w:rPr>
          <w:rFonts w:ascii="Arial" w:hAnsi="Arial" w:cs="Arial"/>
          <w:sz w:val="22"/>
          <w:szCs w:val="22"/>
        </w:rPr>
      </w:pPr>
      <w:r w:rsidRPr="008A67B2">
        <w:rPr>
          <w:rFonts w:ascii="Arial" w:hAnsi="Arial" w:cs="Arial"/>
          <w:sz w:val="22"/>
          <w:szCs w:val="22"/>
        </w:rPr>
        <w:t>6.2. Tabla distribución porcentual de recursos asignados por componente</w:t>
      </w:r>
      <w:r w:rsidRPr="008A67B2">
        <w:rPr>
          <w:rFonts w:ascii="Arial" w:hAnsi="Arial" w:cs="Arial"/>
          <w:spacing w:val="-19"/>
          <w:sz w:val="22"/>
          <w:szCs w:val="22"/>
        </w:rPr>
        <w:t xml:space="preserve"> </w:t>
      </w:r>
      <w:r w:rsidR="00F914D2">
        <w:rPr>
          <w:rFonts w:ascii="Arial" w:hAnsi="Arial" w:cs="Arial"/>
          <w:sz w:val="22"/>
          <w:szCs w:val="22"/>
        </w:rPr>
        <w:t xml:space="preserve">2020 </w:t>
      </w:r>
    </w:p>
    <w:p w:rsidR="00F914D2" w:rsidRPr="00F914D2" w:rsidRDefault="00F914D2" w:rsidP="00F914D2">
      <w:pPr>
        <w:pStyle w:val="Prrafodelista"/>
        <w:widowControl w:val="0"/>
        <w:numPr>
          <w:ilvl w:val="0"/>
          <w:numId w:val="17"/>
        </w:numPr>
        <w:tabs>
          <w:tab w:val="left" w:pos="622"/>
        </w:tabs>
        <w:autoSpaceDE w:val="0"/>
        <w:autoSpaceDN w:val="0"/>
        <w:jc w:val="both"/>
        <w:rPr>
          <w:rFonts w:ascii="Arial" w:hAnsi="Arial" w:cs="Arial"/>
          <w:sz w:val="22"/>
          <w:szCs w:val="22"/>
        </w:rPr>
      </w:pPr>
      <w:r w:rsidRPr="00F914D2">
        <w:rPr>
          <w:rFonts w:ascii="Arial" w:hAnsi="Arial" w:cs="Arial"/>
          <w:sz w:val="22"/>
          <w:szCs w:val="22"/>
        </w:rPr>
        <w:t>6.3 Matriz de Compromisos y Registros Presupuestales (Recursos SGP Salud</w:t>
      </w:r>
      <w:r w:rsidRPr="00F914D2">
        <w:rPr>
          <w:rFonts w:ascii="Arial" w:hAnsi="Arial" w:cs="Arial"/>
          <w:spacing w:val="-14"/>
          <w:sz w:val="22"/>
          <w:szCs w:val="22"/>
        </w:rPr>
        <w:t xml:space="preserve"> </w:t>
      </w:r>
      <w:r w:rsidRPr="00F914D2">
        <w:rPr>
          <w:rFonts w:ascii="Arial" w:hAnsi="Arial" w:cs="Arial"/>
          <w:sz w:val="22"/>
          <w:szCs w:val="22"/>
        </w:rPr>
        <w:t>Pública).</w:t>
      </w:r>
    </w:p>
    <w:p w:rsidR="00F914D2" w:rsidRPr="008A67B2" w:rsidRDefault="00F914D2" w:rsidP="00F914D2">
      <w:pPr>
        <w:pStyle w:val="Prrafodelista"/>
        <w:widowControl w:val="0"/>
        <w:numPr>
          <w:ilvl w:val="0"/>
          <w:numId w:val="17"/>
        </w:numPr>
        <w:tabs>
          <w:tab w:val="left" w:pos="622"/>
        </w:tabs>
        <w:autoSpaceDE w:val="0"/>
        <w:autoSpaceDN w:val="0"/>
        <w:spacing w:before="45"/>
        <w:rPr>
          <w:rFonts w:ascii="Arial" w:hAnsi="Arial" w:cs="Arial"/>
          <w:sz w:val="22"/>
          <w:szCs w:val="22"/>
        </w:rPr>
      </w:pPr>
      <w:r w:rsidRPr="008A67B2">
        <w:rPr>
          <w:rFonts w:ascii="Arial" w:hAnsi="Arial" w:cs="Arial"/>
          <w:sz w:val="22"/>
          <w:szCs w:val="22"/>
        </w:rPr>
        <w:t>6.4 Relación Contractual por componentes</w:t>
      </w:r>
      <w:r w:rsidRPr="008A67B2">
        <w:rPr>
          <w:rFonts w:ascii="Arial" w:hAnsi="Arial" w:cs="Arial"/>
          <w:spacing w:val="-2"/>
          <w:sz w:val="22"/>
          <w:szCs w:val="22"/>
        </w:rPr>
        <w:t xml:space="preserve"> </w:t>
      </w:r>
      <w:r w:rsidRPr="008A67B2">
        <w:rPr>
          <w:rFonts w:ascii="Arial" w:hAnsi="Arial" w:cs="Arial"/>
          <w:sz w:val="22"/>
          <w:szCs w:val="22"/>
        </w:rPr>
        <w:t>2020</w:t>
      </w:r>
    </w:p>
    <w:p w:rsidR="00F914D2" w:rsidRPr="008A67B2" w:rsidRDefault="00F914D2" w:rsidP="00F914D2">
      <w:pPr>
        <w:pStyle w:val="Prrafodelista"/>
        <w:numPr>
          <w:ilvl w:val="0"/>
          <w:numId w:val="17"/>
        </w:numPr>
        <w:jc w:val="both"/>
        <w:rPr>
          <w:rFonts w:ascii="Arial" w:hAnsi="Arial" w:cs="Arial"/>
          <w:sz w:val="22"/>
          <w:szCs w:val="22"/>
        </w:rPr>
      </w:pPr>
      <w:r w:rsidRPr="008A67B2">
        <w:rPr>
          <w:rFonts w:ascii="Arial" w:hAnsi="Arial" w:cs="Arial"/>
          <w:sz w:val="22"/>
          <w:szCs w:val="22"/>
        </w:rPr>
        <w:t>6.5 Copia de contratos efectuados con la red para la contratación del PIC con cargo a los recursos del SGP − Salud Pública vigencia 2020 y estudio de</w:t>
      </w:r>
      <w:r w:rsidRPr="008A67B2">
        <w:rPr>
          <w:rFonts w:ascii="Arial" w:hAnsi="Arial" w:cs="Arial"/>
          <w:spacing w:val="-35"/>
          <w:sz w:val="22"/>
          <w:szCs w:val="22"/>
        </w:rPr>
        <w:t xml:space="preserve"> </w:t>
      </w:r>
      <w:r w:rsidRPr="008A67B2">
        <w:rPr>
          <w:rFonts w:ascii="Arial" w:hAnsi="Arial" w:cs="Arial"/>
          <w:sz w:val="22"/>
          <w:szCs w:val="22"/>
        </w:rPr>
        <w:t>capacidades</w:t>
      </w:r>
    </w:p>
    <w:p w:rsidR="00F914D2" w:rsidRPr="008A67B2" w:rsidRDefault="00F914D2" w:rsidP="00F914D2">
      <w:pPr>
        <w:jc w:val="both"/>
        <w:rPr>
          <w:rFonts w:ascii="Arial" w:hAnsi="Arial" w:cs="Arial"/>
          <w:sz w:val="22"/>
          <w:szCs w:val="22"/>
        </w:rPr>
      </w:pPr>
    </w:p>
    <w:p w:rsidR="00F914D2" w:rsidRPr="008A67B2" w:rsidRDefault="00F914D2" w:rsidP="00F914D2">
      <w:pPr>
        <w:jc w:val="both"/>
        <w:rPr>
          <w:rFonts w:ascii="Arial" w:hAnsi="Arial" w:cs="Arial"/>
          <w:sz w:val="22"/>
          <w:szCs w:val="22"/>
        </w:rPr>
      </w:pPr>
      <w:r w:rsidRPr="008A67B2">
        <w:rPr>
          <w:rFonts w:ascii="Arial" w:hAnsi="Arial" w:cs="Arial"/>
          <w:sz w:val="22"/>
          <w:szCs w:val="22"/>
        </w:rPr>
        <w:t>Para evaluar los avances durante el 2020, posterior a la extensión de la medida, se suministró la relación de registros presupuestales y los contratos de salud pública distribuidos entre Plan de Intervenciones Colectivas (PIC) y Gestión de la salud Pública.</w:t>
      </w:r>
      <w:r w:rsidR="004E77EA">
        <w:rPr>
          <w:rFonts w:ascii="Arial" w:hAnsi="Arial" w:cs="Arial"/>
          <w:sz w:val="22"/>
          <w:szCs w:val="22"/>
        </w:rPr>
        <w:t xml:space="preserve"> </w:t>
      </w:r>
      <w:r w:rsidRPr="008A67B2">
        <w:rPr>
          <w:rFonts w:ascii="Arial" w:hAnsi="Arial" w:cs="Arial"/>
          <w:sz w:val="22"/>
          <w:szCs w:val="22"/>
        </w:rPr>
        <w:t>Con base en la información fue posible identificar que la ejecución se ajusta a las disposiciones previstas en la Resolución 518 de 2015 para los Distritos, como lo es Cartagena de Indias.</w:t>
      </w:r>
      <w:r w:rsidR="004E77EA">
        <w:rPr>
          <w:rFonts w:ascii="Arial" w:hAnsi="Arial" w:cs="Arial"/>
          <w:sz w:val="22"/>
          <w:szCs w:val="22"/>
        </w:rPr>
        <w:t xml:space="preserve"> </w:t>
      </w:r>
    </w:p>
    <w:p w:rsidR="00F914D2" w:rsidRPr="008A67B2" w:rsidRDefault="00F914D2" w:rsidP="00F914D2">
      <w:pPr>
        <w:pStyle w:val="Textoindependiente"/>
        <w:spacing w:before="199"/>
        <w:ind w:right="49"/>
        <w:jc w:val="both"/>
        <w:rPr>
          <w:rFonts w:ascii="Arial" w:hAnsi="Arial" w:cs="Arial"/>
          <w:sz w:val="22"/>
          <w:szCs w:val="22"/>
        </w:rPr>
      </w:pPr>
      <w:r w:rsidRPr="008A67B2">
        <w:rPr>
          <w:rFonts w:ascii="Arial" w:hAnsi="Arial" w:cs="Arial"/>
          <w:sz w:val="22"/>
          <w:szCs w:val="22"/>
        </w:rPr>
        <w:t>En razón a la gestión realizada en e</w:t>
      </w:r>
      <w:r>
        <w:rPr>
          <w:rFonts w:ascii="Arial" w:hAnsi="Arial" w:cs="Arial"/>
          <w:sz w:val="22"/>
          <w:szCs w:val="22"/>
        </w:rPr>
        <w:t xml:space="preserve">l marco del plan de desempeño, </w:t>
      </w:r>
      <w:r w:rsidRPr="008A67B2">
        <w:rPr>
          <w:rFonts w:ascii="Arial" w:hAnsi="Arial" w:cs="Arial"/>
          <w:sz w:val="22"/>
          <w:szCs w:val="22"/>
        </w:rPr>
        <w:t>el Departamento Administrativo Distrital de Salud − DADIS, ha logrado cumplir con la Planeación Integral en Salud enmarcados en el ciclo de la gestión pública para cada vigencia en particular, permitiendo a la entidad territorial definir y desarrollar las acciones de formulación, implementación, monitoreo, evaluación y rendición de cuentas del Plan Territorial de Salud –PTS.</w:t>
      </w:r>
    </w:p>
    <w:p w:rsidR="00F914D2" w:rsidRPr="008A67B2" w:rsidRDefault="00F914D2" w:rsidP="00F914D2">
      <w:pPr>
        <w:pStyle w:val="Textoindependiente"/>
        <w:spacing w:before="158"/>
        <w:ind w:right="49"/>
        <w:jc w:val="both"/>
        <w:rPr>
          <w:rFonts w:ascii="Arial" w:hAnsi="Arial" w:cs="Arial"/>
          <w:sz w:val="22"/>
          <w:szCs w:val="22"/>
        </w:rPr>
      </w:pPr>
      <w:r w:rsidRPr="008A67B2">
        <w:rPr>
          <w:rFonts w:ascii="Arial" w:hAnsi="Arial" w:cs="Arial"/>
          <w:sz w:val="22"/>
          <w:szCs w:val="22"/>
        </w:rPr>
        <w:t>Por consiguiente, el componente estratégico de la planeación integral en salud se trabajó con el Plan de Desarrollo del Distrito de Cartagena</w:t>
      </w:r>
      <w:r w:rsidRPr="008A67B2">
        <w:rPr>
          <w:rFonts w:ascii="Arial" w:hAnsi="Arial" w:cs="Arial"/>
          <w:spacing w:val="-31"/>
          <w:sz w:val="22"/>
          <w:szCs w:val="22"/>
        </w:rPr>
        <w:t xml:space="preserve"> </w:t>
      </w:r>
      <w:r w:rsidRPr="008A67B2">
        <w:rPr>
          <w:rFonts w:ascii="Arial" w:hAnsi="Arial" w:cs="Arial"/>
          <w:sz w:val="22"/>
          <w:szCs w:val="22"/>
        </w:rPr>
        <w:t>“Primero</w:t>
      </w:r>
      <w:r w:rsidRPr="008A67B2">
        <w:rPr>
          <w:rFonts w:ascii="Arial" w:hAnsi="Arial" w:cs="Arial"/>
          <w:spacing w:val="-31"/>
          <w:sz w:val="22"/>
          <w:szCs w:val="22"/>
        </w:rPr>
        <w:t xml:space="preserve"> </w:t>
      </w:r>
      <w:r w:rsidRPr="008A67B2">
        <w:rPr>
          <w:rFonts w:ascii="Arial" w:hAnsi="Arial" w:cs="Arial"/>
          <w:sz w:val="22"/>
          <w:szCs w:val="22"/>
        </w:rPr>
        <w:t>la</w:t>
      </w:r>
      <w:r w:rsidRPr="008A67B2">
        <w:rPr>
          <w:rFonts w:ascii="Arial" w:hAnsi="Arial" w:cs="Arial"/>
          <w:spacing w:val="-31"/>
          <w:sz w:val="22"/>
          <w:szCs w:val="22"/>
        </w:rPr>
        <w:t xml:space="preserve"> </w:t>
      </w:r>
      <w:r w:rsidRPr="008A67B2">
        <w:rPr>
          <w:rFonts w:ascii="Arial" w:hAnsi="Arial" w:cs="Arial"/>
          <w:sz w:val="22"/>
          <w:szCs w:val="22"/>
        </w:rPr>
        <w:t>Gente”</w:t>
      </w:r>
      <w:r w:rsidRPr="008A67B2">
        <w:rPr>
          <w:rFonts w:ascii="Arial" w:hAnsi="Arial" w:cs="Arial"/>
          <w:spacing w:val="-31"/>
          <w:sz w:val="22"/>
          <w:szCs w:val="22"/>
        </w:rPr>
        <w:t xml:space="preserve"> </w:t>
      </w:r>
      <w:r w:rsidRPr="008A67B2">
        <w:rPr>
          <w:rFonts w:ascii="Arial" w:hAnsi="Arial" w:cs="Arial"/>
          <w:sz w:val="22"/>
          <w:szCs w:val="22"/>
        </w:rPr>
        <w:t>en</w:t>
      </w:r>
      <w:r w:rsidRPr="008A67B2">
        <w:rPr>
          <w:rFonts w:ascii="Arial" w:hAnsi="Arial" w:cs="Arial"/>
          <w:spacing w:val="-31"/>
          <w:sz w:val="22"/>
          <w:szCs w:val="22"/>
        </w:rPr>
        <w:t xml:space="preserve"> </w:t>
      </w:r>
      <w:r w:rsidRPr="008A67B2">
        <w:rPr>
          <w:rFonts w:ascii="Arial" w:hAnsi="Arial" w:cs="Arial"/>
          <w:sz w:val="22"/>
          <w:szCs w:val="22"/>
        </w:rPr>
        <w:t>su</w:t>
      </w:r>
      <w:r w:rsidRPr="008A67B2">
        <w:rPr>
          <w:rFonts w:ascii="Arial" w:hAnsi="Arial" w:cs="Arial"/>
          <w:spacing w:val="-31"/>
          <w:sz w:val="22"/>
          <w:szCs w:val="22"/>
        </w:rPr>
        <w:t xml:space="preserve"> </w:t>
      </w:r>
      <w:r w:rsidRPr="008A67B2">
        <w:rPr>
          <w:rFonts w:ascii="Arial" w:hAnsi="Arial" w:cs="Arial"/>
          <w:sz w:val="22"/>
          <w:szCs w:val="22"/>
        </w:rPr>
        <w:t>línea</w:t>
      </w:r>
      <w:r w:rsidRPr="008A67B2">
        <w:rPr>
          <w:rFonts w:ascii="Arial" w:hAnsi="Arial" w:cs="Arial"/>
          <w:spacing w:val="-31"/>
          <w:sz w:val="22"/>
          <w:szCs w:val="22"/>
        </w:rPr>
        <w:t xml:space="preserve"> </w:t>
      </w:r>
      <w:r w:rsidRPr="008A67B2">
        <w:rPr>
          <w:rFonts w:ascii="Arial" w:hAnsi="Arial" w:cs="Arial"/>
          <w:sz w:val="22"/>
          <w:szCs w:val="22"/>
        </w:rPr>
        <w:t>estratégica</w:t>
      </w:r>
      <w:r w:rsidRPr="008A67B2">
        <w:rPr>
          <w:rFonts w:ascii="Arial" w:hAnsi="Arial" w:cs="Arial"/>
          <w:spacing w:val="-31"/>
          <w:sz w:val="22"/>
          <w:szCs w:val="22"/>
        </w:rPr>
        <w:t xml:space="preserve"> </w:t>
      </w:r>
      <w:r w:rsidRPr="008A67B2">
        <w:rPr>
          <w:rFonts w:ascii="Arial" w:hAnsi="Arial" w:cs="Arial"/>
          <w:sz w:val="22"/>
          <w:szCs w:val="22"/>
        </w:rPr>
        <w:t>“por</w:t>
      </w:r>
      <w:r w:rsidRPr="008A67B2">
        <w:rPr>
          <w:rFonts w:ascii="Arial" w:hAnsi="Arial" w:cs="Arial"/>
          <w:spacing w:val="-18"/>
          <w:sz w:val="22"/>
          <w:szCs w:val="22"/>
        </w:rPr>
        <w:t xml:space="preserve"> </w:t>
      </w:r>
      <w:r w:rsidRPr="008A67B2">
        <w:rPr>
          <w:rFonts w:ascii="Arial" w:hAnsi="Arial" w:cs="Arial"/>
          <w:sz w:val="22"/>
          <w:szCs w:val="22"/>
        </w:rPr>
        <w:t>una</w:t>
      </w:r>
      <w:r w:rsidRPr="008A67B2">
        <w:rPr>
          <w:rFonts w:ascii="Arial" w:hAnsi="Arial" w:cs="Arial"/>
          <w:spacing w:val="-19"/>
          <w:sz w:val="22"/>
          <w:szCs w:val="22"/>
        </w:rPr>
        <w:t xml:space="preserve"> </w:t>
      </w:r>
      <w:r w:rsidRPr="008A67B2">
        <w:rPr>
          <w:rFonts w:ascii="Arial" w:hAnsi="Arial" w:cs="Arial"/>
          <w:sz w:val="22"/>
          <w:szCs w:val="22"/>
        </w:rPr>
        <w:t>Cartagena</w:t>
      </w:r>
      <w:r w:rsidRPr="008A67B2">
        <w:rPr>
          <w:rFonts w:ascii="Arial" w:hAnsi="Arial" w:cs="Arial"/>
          <w:spacing w:val="-19"/>
          <w:sz w:val="22"/>
          <w:szCs w:val="22"/>
        </w:rPr>
        <w:t xml:space="preserve"> </w:t>
      </w:r>
      <w:r w:rsidRPr="008A67B2">
        <w:rPr>
          <w:rFonts w:ascii="Arial" w:hAnsi="Arial" w:cs="Arial"/>
          <w:sz w:val="22"/>
          <w:szCs w:val="22"/>
        </w:rPr>
        <w:t>con</w:t>
      </w:r>
      <w:r w:rsidRPr="008A67B2">
        <w:rPr>
          <w:rFonts w:ascii="Arial" w:hAnsi="Arial" w:cs="Arial"/>
          <w:spacing w:val="-18"/>
          <w:sz w:val="22"/>
          <w:szCs w:val="22"/>
        </w:rPr>
        <w:t xml:space="preserve"> </w:t>
      </w:r>
      <w:r w:rsidRPr="008A67B2">
        <w:rPr>
          <w:rFonts w:ascii="Arial" w:hAnsi="Arial" w:cs="Arial"/>
          <w:sz w:val="22"/>
          <w:szCs w:val="22"/>
        </w:rPr>
        <w:t>equidad</w:t>
      </w:r>
      <w:r w:rsidRPr="008A67B2">
        <w:rPr>
          <w:rFonts w:ascii="Arial" w:hAnsi="Arial" w:cs="Arial"/>
          <w:spacing w:val="-18"/>
          <w:sz w:val="22"/>
          <w:szCs w:val="22"/>
        </w:rPr>
        <w:t xml:space="preserve"> </w:t>
      </w:r>
      <w:r w:rsidRPr="008A67B2">
        <w:rPr>
          <w:rFonts w:ascii="Arial" w:hAnsi="Arial" w:cs="Arial"/>
          <w:sz w:val="22"/>
          <w:szCs w:val="22"/>
        </w:rPr>
        <w:t xml:space="preserve">en salud” y luego se inició todo el proceso de formulación </w:t>
      </w:r>
      <w:r w:rsidRPr="008A67B2">
        <w:rPr>
          <w:rFonts w:ascii="Arial" w:hAnsi="Arial" w:cs="Arial"/>
          <w:sz w:val="22"/>
          <w:szCs w:val="22"/>
        </w:rPr>
        <w:lastRenderedPageBreak/>
        <w:t>del nuevo plan de</w:t>
      </w:r>
      <w:r w:rsidRPr="008A67B2">
        <w:rPr>
          <w:rFonts w:ascii="Arial" w:hAnsi="Arial" w:cs="Arial"/>
          <w:spacing w:val="-48"/>
          <w:sz w:val="22"/>
          <w:szCs w:val="22"/>
        </w:rPr>
        <w:t xml:space="preserve"> </w:t>
      </w:r>
      <w:r w:rsidRPr="008A67B2">
        <w:rPr>
          <w:rFonts w:ascii="Arial" w:hAnsi="Arial" w:cs="Arial"/>
          <w:sz w:val="22"/>
          <w:szCs w:val="22"/>
        </w:rPr>
        <w:t>desarrollo “Salvemos</w:t>
      </w:r>
      <w:r w:rsidRPr="008A67B2">
        <w:rPr>
          <w:rFonts w:ascii="Arial" w:hAnsi="Arial" w:cs="Arial"/>
          <w:spacing w:val="-12"/>
          <w:sz w:val="22"/>
          <w:szCs w:val="22"/>
        </w:rPr>
        <w:t xml:space="preserve"> </w:t>
      </w:r>
      <w:r w:rsidRPr="008A67B2">
        <w:rPr>
          <w:rFonts w:ascii="Arial" w:hAnsi="Arial" w:cs="Arial"/>
          <w:sz w:val="22"/>
          <w:szCs w:val="22"/>
        </w:rPr>
        <w:t>Juntos</w:t>
      </w:r>
      <w:r w:rsidRPr="008A67B2">
        <w:rPr>
          <w:rFonts w:ascii="Arial" w:hAnsi="Arial" w:cs="Arial"/>
          <w:spacing w:val="-12"/>
          <w:sz w:val="22"/>
          <w:szCs w:val="22"/>
        </w:rPr>
        <w:t xml:space="preserve"> </w:t>
      </w:r>
      <w:r w:rsidRPr="008A67B2">
        <w:rPr>
          <w:rFonts w:ascii="Arial" w:hAnsi="Arial" w:cs="Arial"/>
          <w:sz w:val="22"/>
          <w:szCs w:val="22"/>
        </w:rPr>
        <w:t>a</w:t>
      </w:r>
      <w:r w:rsidRPr="008A67B2">
        <w:rPr>
          <w:rFonts w:ascii="Arial" w:hAnsi="Arial" w:cs="Arial"/>
          <w:spacing w:val="-11"/>
          <w:sz w:val="22"/>
          <w:szCs w:val="22"/>
        </w:rPr>
        <w:t xml:space="preserve"> </w:t>
      </w:r>
      <w:r w:rsidRPr="008A67B2">
        <w:rPr>
          <w:rFonts w:ascii="Arial" w:hAnsi="Arial" w:cs="Arial"/>
          <w:sz w:val="22"/>
          <w:szCs w:val="22"/>
        </w:rPr>
        <w:t>Cartagena”</w:t>
      </w:r>
      <w:r w:rsidRPr="008A67B2">
        <w:rPr>
          <w:rFonts w:ascii="Arial" w:hAnsi="Arial" w:cs="Arial"/>
          <w:spacing w:val="-13"/>
          <w:sz w:val="22"/>
          <w:szCs w:val="22"/>
        </w:rPr>
        <w:t xml:space="preserve"> </w:t>
      </w:r>
      <w:r w:rsidRPr="008A67B2">
        <w:rPr>
          <w:rFonts w:ascii="Arial" w:hAnsi="Arial" w:cs="Arial"/>
          <w:sz w:val="22"/>
          <w:szCs w:val="22"/>
        </w:rPr>
        <w:t>en</w:t>
      </w:r>
      <w:r w:rsidRPr="008A67B2">
        <w:rPr>
          <w:rFonts w:ascii="Arial" w:hAnsi="Arial" w:cs="Arial"/>
          <w:spacing w:val="-12"/>
          <w:sz w:val="22"/>
          <w:szCs w:val="22"/>
        </w:rPr>
        <w:t xml:space="preserve"> </w:t>
      </w:r>
      <w:r w:rsidRPr="008A67B2">
        <w:rPr>
          <w:rFonts w:ascii="Arial" w:hAnsi="Arial" w:cs="Arial"/>
          <w:sz w:val="22"/>
          <w:szCs w:val="22"/>
        </w:rPr>
        <w:t>el</w:t>
      </w:r>
      <w:r w:rsidRPr="008A67B2">
        <w:rPr>
          <w:rFonts w:ascii="Arial" w:hAnsi="Arial" w:cs="Arial"/>
          <w:spacing w:val="-12"/>
          <w:sz w:val="22"/>
          <w:szCs w:val="22"/>
        </w:rPr>
        <w:t xml:space="preserve"> </w:t>
      </w:r>
      <w:r w:rsidRPr="008A67B2">
        <w:rPr>
          <w:rFonts w:ascii="Arial" w:hAnsi="Arial" w:cs="Arial"/>
          <w:sz w:val="22"/>
          <w:szCs w:val="22"/>
        </w:rPr>
        <w:t>cual</w:t>
      </w:r>
      <w:r w:rsidRPr="008A67B2">
        <w:rPr>
          <w:rFonts w:ascii="Arial" w:hAnsi="Arial" w:cs="Arial"/>
          <w:spacing w:val="-11"/>
          <w:sz w:val="22"/>
          <w:szCs w:val="22"/>
        </w:rPr>
        <w:t xml:space="preserve"> </w:t>
      </w:r>
      <w:r w:rsidRPr="008A67B2">
        <w:rPr>
          <w:rFonts w:ascii="Arial" w:hAnsi="Arial" w:cs="Arial"/>
          <w:sz w:val="22"/>
          <w:szCs w:val="22"/>
        </w:rPr>
        <w:t>se</w:t>
      </w:r>
      <w:r w:rsidRPr="008A67B2">
        <w:rPr>
          <w:rFonts w:ascii="Arial" w:hAnsi="Arial" w:cs="Arial"/>
          <w:spacing w:val="-13"/>
          <w:sz w:val="22"/>
          <w:szCs w:val="22"/>
        </w:rPr>
        <w:t xml:space="preserve"> </w:t>
      </w:r>
      <w:r w:rsidRPr="008A67B2">
        <w:rPr>
          <w:rFonts w:ascii="Arial" w:hAnsi="Arial" w:cs="Arial"/>
          <w:sz w:val="22"/>
          <w:szCs w:val="22"/>
        </w:rPr>
        <w:t>plantearon</w:t>
      </w:r>
      <w:r w:rsidRPr="008A67B2">
        <w:rPr>
          <w:rFonts w:ascii="Arial" w:hAnsi="Arial" w:cs="Arial"/>
          <w:spacing w:val="-12"/>
          <w:sz w:val="22"/>
          <w:szCs w:val="22"/>
        </w:rPr>
        <w:t xml:space="preserve"> </w:t>
      </w:r>
      <w:r w:rsidRPr="008A67B2">
        <w:rPr>
          <w:rFonts w:ascii="Arial" w:hAnsi="Arial" w:cs="Arial"/>
          <w:sz w:val="22"/>
          <w:szCs w:val="22"/>
        </w:rPr>
        <w:t>las</w:t>
      </w:r>
      <w:r w:rsidRPr="008A67B2">
        <w:rPr>
          <w:rFonts w:ascii="Arial" w:hAnsi="Arial" w:cs="Arial"/>
          <w:spacing w:val="-12"/>
          <w:sz w:val="22"/>
          <w:szCs w:val="22"/>
        </w:rPr>
        <w:t xml:space="preserve"> </w:t>
      </w:r>
      <w:r w:rsidRPr="008A67B2">
        <w:rPr>
          <w:rFonts w:ascii="Arial" w:hAnsi="Arial" w:cs="Arial"/>
          <w:sz w:val="22"/>
          <w:szCs w:val="22"/>
        </w:rPr>
        <w:t>prioridades</w:t>
      </w:r>
      <w:r w:rsidRPr="008A67B2">
        <w:rPr>
          <w:rFonts w:ascii="Arial" w:hAnsi="Arial" w:cs="Arial"/>
          <w:spacing w:val="-11"/>
          <w:sz w:val="22"/>
          <w:szCs w:val="22"/>
        </w:rPr>
        <w:t xml:space="preserve"> </w:t>
      </w:r>
      <w:r w:rsidRPr="008A67B2">
        <w:rPr>
          <w:rFonts w:ascii="Arial" w:hAnsi="Arial" w:cs="Arial"/>
          <w:sz w:val="22"/>
          <w:szCs w:val="22"/>
        </w:rPr>
        <w:t>de</w:t>
      </w:r>
      <w:r w:rsidRPr="008A67B2">
        <w:rPr>
          <w:rFonts w:ascii="Arial" w:hAnsi="Arial" w:cs="Arial"/>
          <w:spacing w:val="-12"/>
          <w:sz w:val="22"/>
          <w:szCs w:val="22"/>
        </w:rPr>
        <w:t xml:space="preserve"> </w:t>
      </w:r>
      <w:r w:rsidRPr="008A67B2">
        <w:rPr>
          <w:rFonts w:ascii="Arial" w:hAnsi="Arial" w:cs="Arial"/>
          <w:sz w:val="22"/>
          <w:szCs w:val="22"/>
        </w:rPr>
        <w:t>la</w:t>
      </w:r>
      <w:r w:rsidRPr="008A67B2">
        <w:rPr>
          <w:rFonts w:ascii="Arial" w:hAnsi="Arial" w:cs="Arial"/>
          <w:spacing w:val="-11"/>
          <w:sz w:val="22"/>
          <w:szCs w:val="22"/>
        </w:rPr>
        <w:t xml:space="preserve"> </w:t>
      </w:r>
      <w:r w:rsidRPr="008A67B2">
        <w:rPr>
          <w:rFonts w:ascii="Arial" w:hAnsi="Arial" w:cs="Arial"/>
          <w:sz w:val="22"/>
          <w:szCs w:val="22"/>
        </w:rPr>
        <w:t>ciudad establecidas en el plan territorial de salud, a través de metas de resultados y productos asociados a</w:t>
      </w:r>
      <w:r w:rsidRPr="008A67B2">
        <w:rPr>
          <w:rFonts w:ascii="Arial" w:hAnsi="Arial" w:cs="Arial"/>
          <w:spacing w:val="-1"/>
          <w:sz w:val="22"/>
          <w:szCs w:val="22"/>
        </w:rPr>
        <w:t xml:space="preserve"> </w:t>
      </w:r>
      <w:r w:rsidRPr="008A67B2">
        <w:rPr>
          <w:rFonts w:ascii="Arial" w:hAnsi="Arial" w:cs="Arial"/>
          <w:sz w:val="22"/>
          <w:szCs w:val="22"/>
        </w:rPr>
        <w:t>estas.</w:t>
      </w:r>
    </w:p>
    <w:p w:rsidR="00F914D2" w:rsidRPr="008A67B2" w:rsidRDefault="00F914D2" w:rsidP="00F914D2">
      <w:pPr>
        <w:pStyle w:val="Textoindependiente"/>
        <w:spacing w:before="158"/>
        <w:ind w:right="49"/>
        <w:jc w:val="both"/>
        <w:rPr>
          <w:rFonts w:ascii="Arial" w:hAnsi="Arial" w:cs="Arial"/>
          <w:sz w:val="22"/>
          <w:szCs w:val="22"/>
        </w:rPr>
      </w:pPr>
      <w:r w:rsidRPr="008A67B2">
        <w:rPr>
          <w:rFonts w:ascii="Arial" w:hAnsi="Arial" w:cs="Arial"/>
          <w:sz w:val="22"/>
          <w:szCs w:val="22"/>
        </w:rPr>
        <w:t>Una vez construido el Plan Territorial de Salud se procedió a la programación de los recursos financieros de cada anualidad, siendo consistentes con el componente estratégico vinculando los programas y proyectos viabilizados en el plan de desarrollo mediante el Componente Operativo Anual de Inversiones – COAI.</w:t>
      </w:r>
      <w:r w:rsidR="004E77EA">
        <w:rPr>
          <w:rFonts w:ascii="Arial" w:hAnsi="Arial" w:cs="Arial"/>
          <w:sz w:val="22"/>
          <w:szCs w:val="22"/>
        </w:rPr>
        <w:t xml:space="preserve"> </w:t>
      </w:r>
    </w:p>
    <w:p w:rsidR="00F914D2" w:rsidRPr="008A67B2" w:rsidRDefault="00F914D2" w:rsidP="00F914D2">
      <w:pPr>
        <w:jc w:val="both"/>
        <w:rPr>
          <w:rFonts w:ascii="Arial" w:hAnsi="Arial" w:cs="Arial"/>
          <w:sz w:val="22"/>
          <w:szCs w:val="22"/>
        </w:rPr>
      </w:pPr>
    </w:p>
    <w:p w:rsidR="00F914D2" w:rsidRDefault="00F914D2" w:rsidP="00F914D2">
      <w:pPr>
        <w:jc w:val="both"/>
        <w:rPr>
          <w:rFonts w:ascii="Arial" w:hAnsi="Arial" w:cs="Arial"/>
          <w:sz w:val="22"/>
          <w:szCs w:val="22"/>
        </w:rPr>
      </w:pPr>
      <w:r w:rsidRPr="008A67B2">
        <w:rPr>
          <w:rFonts w:ascii="Arial" w:hAnsi="Arial" w:cs="Arial"/>
          <w:sz w:val="22"/>
          <w:szCs w:val="22"/>
        </w:rPr>
        <w:t xml:space="preserve">Al revisar los registros presupuestales se encontró que no se están financiando gastos de nómina con los recursos del SGP. Los extractos enviados evidencian que los pagos se efectuaron a través de transferencias. </w:t>
      </w:r>
    </w:p>
    <w:p w:rsidR="009D1BF6" w:rsidRDefault="009D1BF6" w:rsidP="00F914D2">
      <w:pPr>
        <w:jc w:val="both"/>
        <w:rPr>
          <w:rFonts w:ascii="Arial" w:hAnsi="Arial" w:cs="Arial"/>
          <w:sz w:val="22"/>
          <w:szCs w:val="22"/>
        </w:rPr>
      </w:pPr>
    </w:p>
    <w:p w:rsidR="00F914D2" w:rsidRPr="008A67B2" w:rsidRDefault="00F914D2" w:rsidP="00F914D2">
      <w:pPr>
        <w:jc w:val="both"/>
        <w:rPr>
          <w:rFonts w:ascii="Arial" w:hAnsi="Arial" w:cs="Arial"/>
          <w:b/>
          <w:sz w:val="22"/>
          <w:szCs w:val="22"/>
        </w:rPr>
      </w:pPr>
      <w:r w:rsidRPr="008A67B2">
        <w:rPr>
          <w:rFonts w:ascii="Arial" w:hAnsi="Arial" w:cs="Arial"/>
          <w:b/>
          <w:sz w:val="22"/>
          <w:szCs w:val="22"/>
        </w:rPr>
        <w:t>Actividad 7</w:t>
      </w:r>
    </w:p>
    <w:p w:rsidR="00F914D2" w:rsidRPr="008A67B2" w:rsidRDefault="00F914D2" w:rsidP="00F914D2">
      <w:pPr>
        <w:jc w:val="both"/>
        <w:rPr>
          <w:rFonts w:ascii="Arial" w:hAnsi="Arial" w:cs="Arial"/>
          <w:b/>
          <w:sz w:val="22"/>
          <w:szCs w:val="22"/>
        </w:rPr>
      </w:pPr>
    </w:p>
    <w:p w:rsidR="00F914D2" w:rsidRPr="008A67B2" w:rsidRDefault="00F914D2" w:rsidP="00F914D2">
      <w:pPr>
        <w:jc w:val="both"/>
        <w:rPr>
          <w:rFonts w:ascii="Arial" w:hAnsi="Arial" w:cs="Arial"/>
          <w:b/>
          <w:sz w:val="22"/>
          <w:szCs w:val="22"/>
        </w:rPr>
      </w:pPr>
      <w:r w:rsidRPr="008A67B2">
        <w:rPr>
          <w:rFonts w:ascii="Arial" w:hAnsi="Arial" w:cs="Arial"/>
          <w:b/>
          <w:sz w:val="22"/>
          <w:szCs w:val="22"/>
        </w:rPr>
        <w:t>Establecer el Plan de Acción en Salud Anual, detallando las actividades a ejecutar conforme a la normatividad vigente, y efectuar el monitoreo y seguimiento a los proyectos planteados en el plan.</w:t>
      </w:r>
    </w:p>
    <w:p w:rsidR="00F914D2" w:rsidRPr="008A67B2" w:rsidRDefault="00F914D2" w:rsidP="00F914D2">
      <w:pPr>
        <w:jc w:val="both"/>
        <w:rPr>
          <w:rFonts w:ascii="Arial" w:hAnsi="Arial" w:cs="Arial"/>
          <w:sz w:val="22"/>
          <w:szCs w:val="22"/>
        </w:rPr>
      </w:pPr>
    </w:p>
    <w:p w:rsidR="00F914D2" w:rsidRPr="008A67B2" w:rsidRDefault="00F914D2" w:rsidP="00F914D2">
      <w:pPr>
        <w:spacing w:before="1"/>
        <w:ind w:left="262"/>
        <w:rPr>
          <w:rFonts w:ascii="Arial" w:hAnsi="Arial" w:cs="Arial"/>
          <w:b/>
          <w:sz w:val="22"/>
          <w:szCs w:val="22"/>
        </w:rPr>
      </w:pPr>
      <w:r w:rsidRPr="008A67B2">
        <w:rPr>
          <w:rFonts w:ascii="Arial" w:hAnsi="Arial" w:cs="Arial"/>
          <w:b/>
          <w:sz w:val="22"/>
          <w:szCs w:val="22"/>
        </w:rPr>
        <w:t>Anexos: (CARPETA – ACTIVIDAD 7)</w:t>
      </w:r>
    </w:p>
    <w:p w:rsidR="00F914D2" w:rsidRPr="008A67B2" w:rsidRDefault="00F914D2" w:rsidP="00F914D2">
      <w:pPr>
        <w:pStyle w:val="Textoindependiente"/>
        <w:spacing w:before="11"/>
        <w:rPr>
          <w:rFonts w:ascii="Arial" w:hAnsi="Arial" w:cs="Arial"/>
          <w:b/>
          <w:sz w:val="22"/>
          <w:szCs w:val="22"/>
        </w:rPr>
      </w:pPr>
    </w:p>
    <w:p w:rsidR="00F914D2" w:rsidRPr="008A67B2" w:rsidRDefault="00F914D2" w:rsidP="00F914D2">
      <w:pPr>
        <w:pStyle w:val="Prrafodelista"/>
        <w:widowControl w:val="0"/>
        <w:numPr>
          <w:ilvl w:val="0"/>
          <w:numId w:val="17"/>
        </w:numPr>
        <w:tabs>
          <w:tab w:val="left" w:pos="622"/>
        </w:tabs>
        <w:autoSpaceDE w:val="0"/>
        <w:autoSpaceDN w:val="0"/>
        <w:rPr>
          <w:rFonts w:ascii="Arial" w:hAnsi="Arial" w:cs="Arial"/>
          <w:sz w:val="22"/>
          <w:szCs w:val="22"/>
        </w:rPr>
      </w:pPr>
      <w:r w:rsidRPr="008A67B2">
        <w:rPr>
          <w:rFonts w:ascii="Arial" w:hAnsi="Arial" w:cs="Arial"/>
          <w:sz w:val="22"/>
          <w:szCs w:val="22"/>
        </w:rPr>
        <w:t>7.1 Plan Territorial en Salud (Reporte SISPRO - Ministerio de Salud y Protección</w:t>
      </w:r>
      <w:r w:rsidRPr="008A67B2">
        <w:rPr>
          <w:rFonts w:ascii="Arial" w:hAnsi="Arial" w:cs="Arial"/>
          <w:spacing w:val="18"/>
          <w:sz w:val="22"/>
          <w:szCs w:val="22"/>
        </w:rPr>
        <w:t xml:space="preserve"> </w:t>
      </w:r>
      <w:r w:rsidRPr="008A67B2">
        <w:rPr>
          <w:rFonts w:ascii="Arial" w:hAnsi="Arial" w:cs="Arial"/>
          <w:sz w:val="22"/>
          <w:szCs w:val="22"/>
        </w:rPr>
        <w:t>Social).</w:t>
      </w:r>
    </w:p>
    <w:p w:rsidR="00F914D2" w:rsidRPr="008A67B2" w:rsidRDefault="00F914D2" w:rsidP="00F914D2">
      <w:pPr>
        <w:pStyle w:val="Textoindependiente"/>
        <w:ind w:left="621"/>
        <w:rPr>
          <w:rFonts w:ascii="Arial" w:hAnsi="Arial" w:cs="Arial"/>
          <w:sz w:val="22"/>
          <w:szCs w:val="22"/>
        </w:rPr>
      </w:pPr>
      <w:r w:rsidRPr="008A67B2">
        <w:rPr>
          <w:rFonts w:ascii="Arial" w:hAnsi="Arial" w:cs="Arial"/>
          <w:sz w:val="22"/>
          <w:szCs w:val="22"/>
        </w:rPr>
        <w:t>Se anexa carpeta PTS 2020.</w:t>
      </w:r>
    </w:p>
    <w:p w:rsidR="00F914D2" w:rsidRPr="008A67B2" w:rsidRDefault="00F914D2" w:rsidP="00F914D2">
      <w:pPr>
        <w:pStyle w:val="Prrafodelista"/>
        <w:widowControl w:val="0"/>
        <w:numPr>
          <w:ilvl w:val="0"/>
          <w:numId w:val="17"/>
        </w:numPr>
        <w:tabs>
          <w:tab w:val="left" w:pos="622"/>
        </w:tabs>
        <w:autoSpaceDE w:val="0"/>
        <w:autoSpaceDN w:val="0"/>
        <w:rPr>
          <w:rFonts w:ascii="Arial" w:hAnsi="Arial" w:cs="Arial"/>
          <w:sz w:val="22"/>
          <w:szCs w:val="22"/>
        </w:rPr>
      </w:pPr>
      <w:r w:rsidRPr="008A67B2">
        <w:rPr>
          <w:rFonts w:ascii="Arial" w:hAnsi="Arial" w:cs="Arial"/>
          <w:sz w:val="22"/>
          <w:szCs w:val="22"/>
        </w:rPr>
        <w:t>7.2 Informes de gestión de resultados, monitoreo y evaluación PIC</w:t>
      </w:r>
      <w:r w:rsidRPr="008A67B2">
        <w:rPr>
          <w:rFonts w:ascii="Arial" w:hAnsi="Arial" w:cs="Arial"/>
          <w:spacing w:val="-10"/>
          <w:sz w:val="22"/>
          <w:szCs w:val="22"/>
        </w:rPr>
        <w:t xml:space="preserve"> </w:t>
      </w:r>
      <w:r w:rsidRPr="008A67B2">
        <w:rPr>
          <w:rFonts w:ascii="Arial" w:hAnsi="Arial" w:cs="Arial"/>
          <w:sz w:val="22"/>
          <w:szCs w:val="22"/>
        </w:rPr>
        <w:t>2020</w:t>
      </w:r>
    </w:p>
    <w:p w:rsidR="00F914D2" w:rsidRPr="008A67B2" w:rsidRDefault="00F914D2" w:rsidP="00F914D2">
      <w:pPr>
        <w:pStyle w:val="Textoindependiente"/>
        <w:rPr>
          <w:rFonts w:ascii="Arial" w:hAnsi="Arial" w:cs="Arial"/>
          <w:sz w:val="22"/>
          <w:szCs w:val="22"/>
        </w:rPr>
      </w:pPr>
    </w:p>
    <w:p w:rsidR="00F914D2" w:rsidRPr="008A67B2" w:rsidRDefault="00F914D2" w:rsidP="00F914D2">
      <w:pPr>
        <w:jc w:val="both"/>
        <w:rPr>
          <w:rFonts w:ascii="Arial" w:hAnsi="Arial" w:cs="Arial"/>
          <w:sz w:val="22"/>
          <w:szCs w:val="22"/>
        </w:rPr>
      </w:pPr>
      <w:r w:rsidRPr="008A67B2">
        <w:rPr>
          <w:rFonts w:ascii="Arial" w:hAnsi="Arial" w:cs="Arial"/>
          <w:sz w:val="22"/>
          <w:szCs w:val="22"/>
        </w:rPr>
        <w:t>El informe de gestión aportado señala por cada uno de los programas a cargo de la Dirección Operativa de Salud Pública del Departamento Distrital de Salud, el detalle de los Subprograma, meta de resultado del cuatrienio, meta producto cuatrienio, meta producto programada año 2020, se indican las actividades ejecutadas en el periodo evaluado y se analiza el cumplimiento de dichos indicadores.</w:t>
      </w:r>
      <w:r w:rsidR="004E77EA">
        <w:rPr>
          <w:rFonts w:ascii="Arial" w:hAnsi="Arial" w:cs="Arial"/>
          <w:sz w:val="22"/>
          <w:szCs w:val="22"/>
        </w:rPr>
        <w:t xml:space="preserve"> </w:t>
      </w:r>
      <w:r w:rsidRPr="008A67B2">
        <w:rPr>
          <w:rFonts w:ascii="Arial" w:hAnsi="Arial" w:cs="Arial"/>
          <w:sz w:val="22"/>
          <w:szCs w:val="22"/>
        </w:rPr>
        <w:t xml:space="preserve">De igual forma, el seguimiento al Plan de Acción señala además las metas del plan indicativo para 2020, desagregando por los 22 proyectos y recursos asignados. </w:t>
      </w:r>
    </w:p>
    <w:p w:rsidR="00F914D2" w:rsidRPr="008A67B2" w:rsidRDefault="00F914D2" w:rsidP="00F914D2">
      <w:pPr>
        <w:jc w:val="both"/>
        <w:rPr>
          <w:rFonts w:ascii="Arial" w:hAnsi="Arial" w:cs="Arial"/>
          <w:sz w:val="22"/>
          <w:szCs w:val="22"/>
        </w:rPr>
      </w:pPr>
    </w:p>
    <w:p w:rsidR="00F914D2" w:rsidRPr="008A67B2" w:rsidRDefault="00F914D2" w:rsidP="00F914D2">
      <w:pPr>
        <w:jc w:val="both"/>
        <w:rPr>
          <w:rFonts w:ascii="Arial" w:hAnsi="Arial" w:cs="Arial"/>
          <w:sz w:val="22"/>
          <w:szCs w:val="22"/>
        </w:rPr>
      </w:pPr>
      <w:r w:rsidRPr="008A67B2">
        <w:rPr>
          <w:rFonts w:ascii="Arial" w:hAnsi="Arial" w:cs="Arial"/>
          <w:sz w:val="22"/>
          <w:szCs w:val="22"/>
        </w:rPr>
        <w:t>En la ejecución de la vigencia, se observa, que las metas de la mayoría de los programas estuvieron cumplidas.</w:t>
      </w:r>
      <w:r w:rsidR="004E77EA">
        <w:rPr>
          <w:rFonts w:ascii="Arial" w:hAnsi="Arial" w:cs="Arial"/>
          <w:sz w:val="22"/>
          <w:szCs w:val="22"/>
        </w:rPr>
        <w:t xml:space="preserve"> </w:t>
      </w:r>
      <w:r w:rsidRPr="008A67B2">
        <w:rPr>
          <w:rFonts w:ascii="Arial" w:hAnsi="Arial" w:cs="Arial"/>
          <w:sz w:val="22"/>
          <w:szCs w:val="22"/>
        </w:rPr>
        <w:t>De los 9 programas que suman 85 metas de productos para el año, 74 de ellas se cumplieron, lo que muestra un cumplimiento del 87%.</w:t>
      </w:r>
    </w:p>
    <w:p w:rsidR="00F914D2" w:rsidRPr="008A67B2" w:rsidRDefault="00F914D2" w:rsidP="00F914D2">
      <w:pPr>
        <w:jc w:val="both"/>
        <w:rPr>
          <w:rFonts w:ascii="Arial" w:hAnsi="Arial" w:cs="Arial"/>
          <w:sz w:val="22"/>
          <w:szCs w:val="22"/>
        </w:rPr>
      </w:pPr>
    </w:p>
    <w:p w:rsidR="00F914D2" w:rsidRPr="008A67B2" w:rsidRDefault="00F914D2" w:rsidP="00F914D2">
      <w:pPr>
        <w:jc w:val="both"/>
        <w:rPr>
          <w:rFonts w:ascii="Arial" w:hAnsi="Arial" w:cs="Arial"/>
          <w:sz w:val="22"/>
          <w:szCs w:val="22"/>
        </w:rPr>
      </w:pPr>
      <w:r w:rsidRPr="008A67B2">
        <w:rPr>
          <w:rFonts w:ascii="Arial" w:hAnsi="Arial" w:cs="Arial"/>
          <w:sz w:val="22"/>
          <w:szCs w:val="22"/>
        </w:rPr>
        <w:t>Las metas que quedaron por debajo de lo programado se encuentran en los componentes de seguridad sanitaria del ambiente, con debilidad en las tomas de muestras microbiológicas para la vigilancia y control del agua para consumo humano, la realización de muestras de alimentos de alto riesgo en salud pública y metas relacionadas con la dimensión de salud sexual y reproductiva.</w:t>
      </w:r>
      <w:r w:rsidR="004E77EA">
        <w:rPr>
          <w:rFonts w:ascii="Arial" w:hAnsi="Arial" w:cs="Arial"/>
          <w:sz w:val="22"/>
          <w:szCs w:val="22"/>
        </w:rPr>
        <w:t xml:space="preserve"> </w:t>
      </w:r>
      <w:r w:rsidRPr="008A67B2">
        <w:rPr>
          <w:rFonts w:ascii="Arial" w:hAnsi="Arial" w:cs="Arial"/>
          <w:sz w:val="22"/>
          <w:szCs w:val="22"/>
        </w:rPr>
        <w:t>No se alcanzaron las coberturas útiles de vacunación muchos de ellos relacionados con la declaración de emergencia sanitaria.</w:t>
      </w:r>
      <w:r w:rsidR="004E77EA">
        <w:rPr>
          <w:rFonts w:ascii="Arial" w:hAnsi="Arial" w:cs="Arial"/>
          <w:sz w:val="22"/>
          <w:szCs w:val="22"/>
        </w:rPr>
        <w:t xml:space="preserve"> </w:t>
      </w:r>
      <w:r w:rsidRPr="008A67B2">
        <w:rPr>
          <w:rFonts w:ascii="Arial" w:hAnsi="Arial" w:cs="Arial"/>
          <w:sz w:val="22"/>
          <w:szCs w:val="22"/>
        </w:rPr>
        <w:t>Se recomienda adoptar planes de mejoramiento en aquellos componentes que no alcanzaron a cumplir las metas previstas.</w:t>
      </w:r>
      <w:r w:rsidR="004E77EA">
        <w:rPr>
          <w:rFonts w:ascii="Arial" w:hAnsi="Arial" w:cs="Arial"/>
          <w:sz w:val="22"/>
          <w:szCs w:val="22"/>
        </w:rPr>
        <w:t xml:space="preserve">  </w:t>
      </w:r>
    </w:p>
    <w:p w:rsidR="00F914D2" w:rsidRPr="008A67B2" w:rsidRDefault="00F914D2" w:rsidP="00F914D2">
      <w:pPr>
        <w:jc w:val="both"/>
        <w:rPr>
          <w:rFonts w:ascii="Arial" w:hAnsi="Arial" w:cs="Arial"/>
          <w:sz w:val="22"/>
          <w:szCs w:val="22"/>
        </w:rPr>
      </w:pPr>
    </w:p>
    <w:p w:rsidR="00F914D2" w:rsidRPr="008A67B2" w:rsidRDefault="00F914D2" w:rsidP="00F914D2">
      <w:pPr>
        <w:jc w:val="both"/>
        <w:rPr>
          <w:rFonts w:ascii="Arial" w:hAnsi="Arial" w:cs="Arial"/>
          <w:b/>
          <w:sz w:val="22"/>
          <w:szCs w:val="22"/>
        </w:rPr>
      </w:pPr>
      <w:r w:rsidRPr="008A67B2">
        <w:rPr>
          <w:rFonts w:ascii="Arial" w:hAnsi="Arial" w:cs="Arial"/>
          <w:b/>
          <w:sz w:val="22"/>
          <w:szCs w:val="22"/>
        </w:rPr>
        <w:lastRenderedPageBreak/>
        <w:t>Actividad 8. Presentar un escenario financiero que contemple la orientación de recursos por $421 millones, en el cual se determinen las fuentes de financiación, que en todo caso deberán ser diferentes a aquellas previstas por la Ley como de destinación específica para el sector salud, de manera que se orienten al Sector los recursos que fueron pagados sin observancia de los criterios de gasto dispuestos en la legislación vigente</w:t>
      </w:r>
    </w:p>
    <w:p w:rsidR="00F914D2" w:rsidRPr="008A67B2" w:rsidRDefault="00F914D2" w:rsidP="00F914D2">
      <w:pPr>
        <w:jc w:val="both"/>
        <w:rPr>
          <w:rFonts w:ascii="Arial" w:hAnsi="Arial" w:cs="Arial"/>
          <w:b/>
          <w:sz w:val="22"/>
          <w:szCs w:val="22"/>
        </w:rPr>
      </w:pPr>
    </w:p>
    <w:p w:rsidR="00F914D2" w:rsidRPr="008A67B2" w:rsidRDefault="00F914D2" w:rsidP="00F914D2">
      <w:pPr>
        <w:jc w:val="both"/>
        <w:rPr>
          <w:rFonts w:ascii="Arial" w:hAnsi="Arial" w:cs="Arial"/>
          <w:sz w:val="22"/>
          <w:szCs w:val="22"/>
        </w:rPr>
      </w:pPr>
      <w:r w:rsidRPr="008A67B2">
        <w:rPr>
          <w:rFonts w:ascii="Arial" w:hAnsi="Arial" w:cs="Arial"/>
          <w:sz w:val="22"/>
          <w:szCs w:val="22"/>
        </w:rPr>
        <w:t>Las evidencias se encuentran consignadas en el sistema SIED con el número de Expediente 120/2018/D028-PREDI /D028-PREDI.</w:t>
      </w:r>
      <w:r w:rsidR="004E77EA">
        <w:rPr>
          <w:rFonts w:ascii="Arial" w:hAnsi="Arial" w:cs="Arial"/>
          <w:sz w:val="22"/>
          <w:szCs w:val="22"/>
        </w:rPr>
        <w:t xml:space="preserve"> </w:t>
      </w:r>
      <w:r w:rsidRPr="008A67B2">
        <w:rPr>
          <w:rFonts w:ascii="Arial" w:hAnsi="Arial" w:cs="Arial"/>
          <w:sz w:val="22"/>
          <w:szCs w:val="22"/>
        </w:rPr>
        <w:t xml:space="preserve">Dichas evidencias se relacionan a continuación: </w:t>
      </w:r>
    </w:p>
    <w:p w:rsidR="00F914D2" w:rsidRPr="008A67B2" w:rsidRDefault="00F914D2" w:rsidP="00F914D2">
      <w:pPr>
        <w:jc w:val="both"/>
        <w:rPr>
          <w:rFonts w:ascii="Arial" w:hAnsi="Arial" w:cs="Arial"/>
          <w:sz w:val="22"/>
          <w:szCs w:val="22"/>
        </w:rPr>
      </w:pPr>
    </w:p>
    <w:p w:rsidR="00F914D2" w:rsidRPr="008A67B2" w:rsidRDefault="00F914D2" w:rsidP="00F914D2">
      <w:pPr>
        <w:spacing w:before="2"/>
        <w:ind w:left="262"/>
        <w:rPr>
          <w:rFonts w:ascii="Arial" w:hAnsi="Arial" w:cs="Arial"/>
          <w:b/>
          <w:sz w:val="22"/>
          <w:szCs w:val="22"/>
        </w:rPr>
      </w:pPr>
      <w:r w:rsidRPr="008A67B2">
        <w:rPr>
          <w:rFonts w:ascii="Arial" w:hAnsi="Arial" w:cs="Arial"/>
          <w:b/>
          <w:sz w:val="22"/>
          <w:szCs w:val="22"/>
        </w:rPr>
        <w:t>Anexos: (CARPETA – ACTIVIDAD 8)</w:t>
      </w:r>
    </w:p>
    <w:p w:rsidR="00F914D2" w:rsidRPr="008A67B2" w:rsidRDefault="00F914D2" w:rsidP="00F914D2">
      <w:pPr>
        <w:pStyle w:val="Prrafodelista"/>
        <w:widowControl w:val="0"/>
        <w:numPr>
          <w:ilvl w:val="1"/>
          <w:numId w:val="18"/>
        </w:numPr>
        <w:tabs>
          <w:tab w:val="left" w:pos="1342"/>
        </w:tabs>
        <w:autoSpaceDE w:val="0"/>
        <w:autoSpaceDN w:val="0"/>
        <w:ind w:hanging="361"/>
        <w:rPr>
          <w:rFonts w:ascii="Arial" w:hAnsi="Arial" w:cs="Arial"/>
          <w:sz w:val="22"/>
          <w:szCs w:val="22"/>
        </w:rPr>
      </w:pPr>
      <w:r w:rsidRPr="008A67B2">
        <w:rPr>
          <w:rFonts w:ascii="Arial" w:hAnsi="Arial" w:cs="Arial"/>
          <w:sz w:val="22"/>
          <w:szCs w:val="22"/>
        </w:rPr>
        <w:t>Decreto de liquidación PPTO</w:t>
      </w:r>
      <w:r w:rsidRPr="008A67B2">
        <w:rPr>
          <w:rFonts w:ascii="Arial" w:hAnsi="Arial" w:cs="Arial"/>
          <w:spacing w:val="-5"/>
          <w:sz w:val="22"/>
          <w:szCs w:val="22"/>
        </w:rPr>
        <w:t xml:space="preserve"> </w:t>
      </w:r>
      <w:r w:rsidRPr="008A67B2">
        <w:rPr>
          <w:rFonts w:ascii="Arial" w:hAnsi="Arial" w:cs="Arial"/>
          <w:sz w:val="22"/>
          <w:szCs w:val="22"/>
        </w:rPr>
        <w:t>2020</w:t>
      </w:r>
    </w:p>
    <w:p w:rsidR="00F914D2" w:rsidRPr="008A67B2" w:rsidRDefault="00F914D2" w:rsidP="00F914D2">
      <w:pPr>
        <w:pStyle w:val="Prrafodelista"/>
        <w:widowControl w:val="0"/>
        <w:numPr>
          <w:ilvl w:val="1"/>
          <w:numId w:val="18"/>
        </w:numPr>
        <w:tabs>
          <w:tab w:val="left" w:pos="1342"/>
        </w:tabs>
        <w:autoSpaceDE w:val="0"/>
        <w:autoSpaceDN w:val="0"/>
        <w:spacing w:before="43"/>
        <w:ind w:hanging="361"/>
        <w:rPr>
          <w:rFonts w:ascii="Arial" w:hAnsi="Arial" w:cs="Arial"/>
          <w:sz w:val="22"/>
          <w:szCs w:val="22"/>
        </w:rPr>
      </w:pPr>
      <w:r w:rsidRPr="008A67B2">
        <w:rPr>
          <w:rFonts w:ascii="Arial" w:hAnsi="Arial" w:cs="Arial"/>
          <w:sz w:val="22"/>
          <w:szCs w:val="22"/>
        </w:rPr>
        <w:t>Pantallazo Decreto</w:t>
      </w:r>
      <w:r w:rsidRPr="008A67B2">
        <w:rPr>
          <w:rFonts w:ascii="Arial" w:hAnsi="Arial" w:cs="Arial"/>
          <w:spacing w:val="-5"/>
          <w:sz w:val="22"/>
          <w:szCs w:val="22"/>
        </w:rPr>
        <w:t xml:space="preserve"> </w:t>
      </w:r>
      <w:r w:rsidRPr="008A67B2">
        <w:rPr>
          <w:rFonts w:ascii="Arial" w:hAnsi="Arial" w:cs="Arial"/>
          <w:sz w:val="22"/>
          <w:szCs w:val="22"/>
        </w:rPr>
        <w:t>1564-2020</w:t>
      </w:r>
    </w:p>
    <w:p w:rsidR="00F914D2" w:rsidRPr="008A67B2" w:rsidRDefault="00F914D2" w:rsidP="00F914D2">
      <w:pPr>
        <w:pStyle w:val="Prrafodelista"/>
        <w:widowControl w:val="0"/>
        <w:numPr>
          <w:ilvl w:val="1"/>
          <w:numId w:val="18"/>
        </w:numPr>
        <w:tabs>
          <w:tab w:val="left" w:pos="1342"/>
        </w:tabs>
        <w:autoSpaceDE w:val="0"/>
        <w:autoSpaceDN w:val="0"/>
        <w:spacing w:before="43"/>
        <w:ind w:left="1341" w:hanging="361"/>
        <w:rPr>
          <w:rFonts w:ascii="Arial" w:hAnsi="Arial" w:cs="Arial"/>
          <w:sz w:val="22"/>
          <w:szCs w:val="22"/>
        </w:rPr>
      </w:pPr>
      <w:r w:rsidRPr="008A67B2">
        <w:rPr>
          <w:rFonts w:ascii="Arial" w:hAnsi="Arial" w:cs="Arial"/>
          <w:sz w:val="22"/>
          <w:szCs w:val="22"/>
        </w:rPr>
        <w:t>Pantallazo Informe ejecutivo de ejecución de gatos e</w:t>
      </w:r>
      <w:r w:rsidRPr="008A67B2">
        <w:rPr>
          <w:rFonts w:ascii="Arial" w:hAnsi="Arial" w:cs="Arial"/>
          <w:spacing w:val="-11"/>
          <w:sz w:val="22"/>
          <w:szCs w:val="22"/>
        </w:rPr>
        <w:t xml:space="preserve"> </w:t>
      </w:r>
      <w:r w:rsidRPr="008A67B2">
        <w:rPr>
          <w:rFonts w:ascii="Arial" w:hAnsi="Arial" w:cs="Arial"/>
          <w:sz w:val="22"/>
          <w:szCs w:val="22"/>
        </w:rPr>
        <w:t>inversiones</w:t>
      </w:r>
    </w:p>
    <w:p w:rsidR="00F914D2" w:rsidRPr="008A67B2" w:rsidRDefault="00F914D2" w:rsidP="00F914D2">
      <w:pPr>
        <w:pStyle w:val="Prrafodelista"/>
        <w:widowControl w:val="0"/>
        <w:numPr>
          <w:ilvl w:val="1"/>
          <w:numId w:val="18"/>
        </w:numPr>
        <w:tabs>
          <w:tab w:val="left" w:pos="1342"/>
        </w:tabs>
        <w:autoSpaceDE w:val="0"/>
        <w:autoSpaceDN w:val="0"/>
        <w:spacing w:before="45" w:line="276" w:lineRule="auto"/>
        <w:ind w:left="981" w:right="1333" w:firstLine="0"/>
        <w:rPr>
          <w:rFonts w:ascii="Arial" w:hAnsi="Arial" w:cs="Arial"/>
          <w:sz w:val="22"/>
          <w:szCs w:val="22"/>
        </w:rPr>
      </w:pPr>
      <w:r w:rsidRPr="008A67B2">
        <w:rPr>
          <w:rFonts w:ascii="Arial" w:hAnsi="Arial" w:cs="Arial"/>
          <w:sz w:val="22"/>
          <w:szCs w:val="22"/>
        </w:rPr>
        <w:t>Ejecución ICLD-Fort. de la Gestión del Plan de Salud Pública (pagos y</w:t>
      </w:r>
      <w:r w:rsidRPr="008A67B2">
        <w:rPr>
          <w:rFonts w:ascii="Arial" w:hAnsi="Arial" w:cs="Arial"/>
          <w:spacing w:val="-34"/>
          <w:sz w:val="22"/>
          <w:szCs w:val="22"/>
        </w:rPr>
        <w:t xml:space="preserve"> </w:t>
      </w:r>
      <w:r w:rsidRPr="008A67B2">
        <w:rPr>
          <w:rFonts w:ascii="Arial" w:hAnsi="Arial" w:cs="Arial"/>
          <w:sz w:val="22"/>
          <w:szCs w:val="22"/>
        </w:rPr>
        <w:t>CxP) 8.5 PREDIS Cont. 028-2020 y</w:t>
      </w:r>
      <w:r w:rsidRPr="008A67B2">
        <w:rPr>
          <w:rFonts w:ascii="Arial" w:hAnsi="Arial" w:cs="Arial"/>
          <w:spacing w:val="-2"/>
          <w:sz w:val="22"/>
          <w:szCs w:val="22"/>
        </w:rPr>
        <w:t xml:space="preserve"> </w:t>
      </w:r>
      <w:r w:rsidRPr="008A67B2">
        <w:rPr>
          <w:rFonts w:ascii="Arial" w:hAnsi="Arial" w:cs="Arial"/>
          <w:sz w:val="22"/>
          <w:szCs w:val="22"/>
        </w:rPr>
        <w:t>Cont.020-2020</w:t>
      </w:r>
    </w:p>
    <w:p w:rsidR="00F914D2" w:rsidRPr="008A67B2" w:rsidRDefault="00F914D2" w:rsidP="00F914D2">
      <w:pPr>
        <w:pStyle w:val="Prrafodelista"/>
        <w:widowControl w:val="0"/>
        <w:numPr>
          <w:ilvl w:val="1"/>
          <w:numId w:val="19"/>
        </w:numPr>
        <w:tabs>
          <w:tab w:val="left" w:pos="1342"/>
        </w:tabs>
        <w:autoSpaceDE w:val="0"/>
        <w:autoSpaceDN w:val="0"/>
        <w:spacing w:before="1"/>
        <w:ind w:hanging="361"/>
        <w:rPr>
          <w:rFonts w:ascii="Arial" w:hAnsi="Arial" w:cs="Arial"/>
          <w:sz w:val="22"/>
          <w:szCs w:val="22"/>
        </w:rPr>
      </w:pPr>
      <w:r w:rsidRPr="008A67B2">
        <w:rPr>
          <w:rFonts w:ascii="Arial" w:hAnsi="Arial" w:cs="Arial"/>
          <w:sz w:val="22"/>
          <w:szCs w:val="22"/>
        </w:rPr>
        <w:t>PREDIS Cont.</w:t>
      </w:r>
      <w:r w:rsidRPr="008A67B2">
        <w:rPr>
          <w:rFonts w:ascii="Arial" w:hAnsi="Arial" w:cs="Arial"/>
          <w:spacing w:val="-3"/>
          <w:sz w:val="22"/>
          <w:szCs w:val="22"/>
        </w:rPr>
        <w:t xml:space="preserve"> </w:t>
      </w:r>
      <w:r w:rsidRPr="008A67B2">
        <w:rPr>
          <w:rFonts w:ascii="Arial" w:hAnsi="Arial" w:cs="Arial"/>
          <w:sz w:val="22"/>
          <w:szCs w:val="22"/>
        </w:rPr>
        <w:t>5605-2020</w:t>
      </w:r>
    </w:p>
    <w:p w:rsidR="00F914D2" w:rsidRPr="008A67B2" w:rsidRDefault="00F914D2" w:rsidP="00F914D2">
      <w:pPr>
        <w:pStyle w:val="Prrafodelista"/>
        <w:widowControl w:val="0"/>
        <w:numPr>
          <w:ilvl w:val="1"/>
          <w:numId w:val="19"/>
        </w:numPr>
        <w:tabs>
          <w:tab w:val="left" w:pos="1342"/>
        </w:tabs>
        <w:autoSpaceDE w:val="0"/>
        <w:autoSpaceDN w:val="0"/>
        <w:spacing w:before="1"/>
        <w:ind w:left="1342" w:hanging="361"/>
        <w:rPr>
          <w:rFonts w:ascii="Arial" w:hAnsi="Arial" w:cs="Arial"/>
          <w:sz w:val="22"/>
          <w:szCs w:val="22"/>
        </w:rPr>
      </w:pPr>
      <w:r w:rsidRPr="008A67B2">
        <w:rPr>
          <w:rFonts w:ascii="Arial" w:hAnsi="Arial" w:cs="Arial"/>
          <w:sz w:val="22"/>
          <w:szCs w:val="22"/>
        </w:rPr>
        <w:t>Copia</w:t>
      </w:r>
      <w:r w:rsidRPr="008A67B2">
        <w:rPr>
          <w:rFonts w:ascii="Arial" w:hAnsi="Arial" w:cs="Arial"/>
          <w:spacing w:val="-1"/>
          <w:sz w:val="22"/>
          <w:szCs w:val="22"/>
        </w:rPr>
        <w:t xml:space="preserve"> </w:t>
      </w:r>
      <w:r w:rsidRPr="008A67B2">
        <w:rPr>
          <w:rFonts w:ascii="Arial" w:hAnsi="Arial" w:cs="Arial"/>
          <w:sz w:val="22"/>
          <w:szCs w:val="22"/>
        </w:rPr>
        <w:t>contratos</w:t>
      </w:r>
    </w:p>
    <w:p w:rsidR="009D1BF6" w:rsidRDefault="009D1BF6" w:rsidP="00F914D2">
      <w:pPr>
        <w:pStyle w:val="Textoindependiente"/>
        <w:spacing w:line="256" w:lineRule="auto"/>
        <w:ind w:right="49"/>
        <w:jc w:val="both"/>
        <w:rPr>
          <w:rFonts w:ascii="Arial" w:hAnsi="Arial" w:cs="Arial"/>
          <w:sz w:val="22"/>
          <w:szCs w:val="22"/>
        </w:rPr>
      </w:pPr>
    </w:p>
    <w:p w:rsidR="00F914D2" w:rsidRPr="009D1BF6" w:rsidRDefault="00F914D2" w:rsidP="00F914D2">
      <w:pPr>
        <w:pStyle w:val="Textoindependiente"/>
        <w:spacing w:line="256" w:lineRule="auto"/>
        <w:ind w:right="49"/>
        <w:jc w:val="both"/>
        <w:rPr>
          <w:rFonts w:ascii="Arial" w:hAnsi="Arial" w:cs="Arial"/>
          <w:sz w:val="22"/>
          <w:szCs w:val="22"/>
          <w:lang w:val="es-CO"/>
        </w:rPr>
      </w:pPr>
      <w:r w:rsidRPr="009D1BF6">
        <w:rPr>
          <w:rFonts w:ascii="Arial" w:hAnsi="Arial" w:cs="Arial"/>
          <w:sz w:val="22"/>
          <w:szCs w:val="22"/>
        </w:rPr>
        <w:t xml:space="preserve">El informe presentado por el Distrito muestra que la Alcaldía determinó apropiar en el presupuesto 2020 del DADIS la suma de $500 millones de recursos propios de Ingresos corrientes de libre destinación (ICLD), </w:t>
      </w:r>
      <w:r w:rsidRPr="009D1BF6">
        <w:rPr>
          <w:rFonts w:ascii="Arial" w:hAnsi="Arial" w:cs="Arial"/>
          <w:w w:val="90"/>
          <w:sz w:val="22"/>
          <w:szCs w:val="22"/>
        </w:rPr>
        <w:t>en</w:t>
      </w:r>
      <w:r w:rsidRPr="009D1BF6">
        <w:rPr>
          <w:rFonts w:ascii="Arial" w:hAnsi="Arial" w:cs="Arial"/>
          <w:spacing w:val="-30"/>
          <w:w w:val="90"/>
          <w:sz w:val="22"/>
          <w:szCs w:val="22"/>
        </w:rPr>
        <w:t xml:space="preserve"> </w:t>
      </w:r>
      <w:r w:rsidRPr="009D1BF6">
        <w:rPr>
          <w:rFonts w:ascii="Arial" w:hAnsi="Arial" w:cs="Arial"/>
          <w:w w:val="90"/>
          <w:sz w:val="22"/>
          <w:szCs w:val="22"/>
        </w:rPr>
        <w:t>el</w:t>
      </w:r>
      <w:r w:rsidRPr="009D1BF6">
        <w:rPr>
          <w:rFonts w:ascii="Arial" w:hAnsi="Arial" w:cs="Arial"/>
          <w:spacing w:val="-29"/>
          <w:w w:val="90"/>
          <w:sz w:val="22"/>
          <w:szCs w:val="22"/>
        </w:rPr>
        <w:t xml:space="preserve"> </w:t>
      </w:r>
      <w:r w:rsidRPr="009D1BF6">
        <w:rPr>
          <w:rFonts w:ascii="Arial" w:hAnsi="Arial" w:cs="Arial"/>
          <w:w w:val="90"/>
          <w:sz w:val="22"/>
          <w:szCs w:val="22"/>
        </w:rPr>
        <w:t>rubro</w:t>
      </w:r>
      <w:r w:rsidRPr="009D1BF6">
        <w:rPr>
          <w:rFonts w:ascii="Arial" w:hAnsi="Arial" w:cs="Arial"/>
          <w:spacing w:val="-30"/>
          <w:w w:val="90"/>
          <w:sz w:val="22"/>
          <w:szCs w:val="22"/>
        </w:rPr>
        <w:t xml:space="preserve"> </w:t>
      </w:r>
      <w:r w:rsidRPr="009D1BF6">
        <w:rPr>
          <w:rFonts w:ascii="Arial" w:hAnsi="Arial" w:cs="Arial"/>
          <w:w w:val="90"/>
          <w:sz w:val="22"/>
          <w:szCs w:val="22"/>
        </w:rPr>
        <w:t>“FORTALECIMIENTO</w:t>
      </w:r>
      <w:r w:rsidRPr="009D1BF6">
        <w:rPr>
          <w:rFonts w:ascii="Arial" w:hAnsi="Arial" w:cs="Arial"/>
          <w:spacing w:val="-31"/>
          <w:w w:val="90"/>
          <w:sz w:val="22"/>
          <w:szCs w:val="22"/>
        </w:rPr>
        <w:t xml:space="preserve"> </w:t>
      </w:r>
      <w:r w:rsidRPr="009D1BF6">
        <w:rPr>
          <w:rFonts w:ascii="Arial" w:hAnsi="Arial" w:cs="Arial"/>
          <w:w w:val="90"/>
          <w:sz w:val="22"/>
          <w:szCs w:val="22"/>
        </w:rPr>
        <w:t>DE</w:t>
      </w:r>
      <w:r w:rsidRPr="009D1BF6">
        <w:rPr>
          <w:rFonts w:ascii="Arial" w:hAnsi="Arial" w:cs="Arial"/>
          <w:spacing w:val="-29"/>
          <w:w w:val="90"/>
          <w:sz w:val="22"/>
          <w:szCs w:val="22"/>
        </w:rPr>
        <w:t xml:space="preserve"> </w:t>
      </w:r>
      <w:r w:rsidRPr="009D1BF6">
        <w:rPr>
          <w:rFonts w:ascii="Arial" w:hAnsi="Arial" w:cs="Arial"/>
          <w:w w:val="90"/>
          <w:sz w:val="22"/>
          <w:szCs w:val="22"/>
        </w:rPr>
        <w:t>LA</w:t>
      </w:r>
      <w:r w:rsidRPr="009D1BF6">
        <w:rPr>
          <w:rFonts w:ascii="Arial" w:hAnsi="Arial" w:cs="Arial"/>
          <w:spacing w:val="-30"/>
          <w:w w:val="90"/>
          <w:sz w:val="22"/>
          <w:szCs w:val="22"/>
        </w:rPr>
        <w:t xml:space="preserve"> </w:t>
      </w:r>
      <w:r w:rsidRPr="009D1BF6">
        <w:rPr>
          <w:rFonts w:ascii="Arial" w:hAnsi="Arial" w:cs="Arial"/>
          <w:w w:val="90"/>
          <w:sz w:val="22"/>
          <w:szCs w:val="22"/>
        </w:rPr>
        <w:t>GESTION</w:t>
      </w:r>
      <w:r w:rsidRPr="009D1BF6">
        <w:rPr>
          <w:rFonts w:ascii="Arial" w:hAnsi="Arial" w:cs="Arial"/>
          <w:spacing w:val="-30"/>
          <w:w w:val="90"/>
          <w:sz w:val="22"/>
          <w:szCs w:val="22"/>
        </w:rPr>
        <w:t xml:space="preserve"> </w:t>
      </w:r>
      <w:r w:rsidRPr="009D1BF6">
        <w:rPr>
          <w:rFonts w:ascii="Arial" w:hAnsi="Arial" w:cs="Arial"/>
          <w:w w:val="90"/>
          <w:sz w:val="22"/>
          <w:szCs w:val="22"/>
        </w:rPr>
        <w:t>DEL</w:t>
      </w:r>
      <w:r w:rsidRPr="009D1BF6">
        <w:rPr>
          <w:rFonts w:ascii="Arial" w:hAnsi="Arial" w:cs="Arial"/>
          <w:spacing w:val="-30"/>
          <w:w w:val="90"/>
          <w:sz w:val="22"/>
          <w:szCs w:val="22"/>
        </w:rPr>
        <w:t xml:space="preserve"> </w:t>
      </w:r>
      <w:r w:rsidRPr="009D1BF6">
        <w:rPr>
          <w:rFonts w:ascii="Arial" w:hAnsi="Arial" w:cs="Arial"/>
          <w:w w:val="90"/>
          <w:sz w:val="22"/>
          <w:szCs w:val="22"/>
        </w:rPr>
        <w:t>PLAN</w:t>
      </w:r>
      <w:r w:rsidRPr="009D1BF6">
        <w:rPr>
          <w:rFonts w:ascii="Arial" w:hAnsi="Arial" w:cs="Arial"/>
          <w:spacing w:val="-29"/>
          <w:w w:val="90"/>
          <w:sz w:val="22"/>
          <w:szCs w:val="22"/>
        </w:rPr>
        <w:t xml:space="preserve"> </w:t>
      </w:r>
      <w:r w:rsidRPr="009D1BF6">
        <w:rPr>
          <w:rFonts w:ascii="Arial" w:hAnsi="Arial" w:cs="Arial"/>
          <w:w w:val="90"/>
          <w:sz w:val="22"/>
          <w:szCs w:val="22"/>
        </w:rPr>
        <w:t>SALUD</w:t>
      </w:r>
      <w:r w:rsidRPr="009D1BF6">
        <w:rPr>
          <w:rFonts w:ascii="Arial" w:hAnsi="Arial" w:cs="Arial"/>
          <w:spacing w:val="-31"/>
          <w:w w:val="90"/>
          <w:sz w:val="22"/>
          <w:szCs w:val="22"/>
        </w:rPr>
        <w:t xml:space="preserve"> </w:t>
      </w:r>
      <w:r w:rsidRPr="009D1BF6">
        <w:rPr>
          <w:rFonts w:ascii="Arial" w:hAnsi="Arial" w:cs="Arial"/>
          <w:w w:val="90"/>
          <w:sz w:val="22"/>
          <w:szCs w:val="22"/>
        </w:rPr>
        <w:t>PUBLICA”</w:t>
      </w:r>
      <w:r w:rsidRPr="009D1BF6">
        <w:rPr>
          <w:rFonts w:ascii="Arial" w:hAnsi="Arial" w:cs="Arial"/>
          <w:spacing w:val="-29"/>
          <w:w w:val="90"/>
          <w:sz w:val="22"/>
          <w:szCs w:val="22"/>
        </w:rPr>
        <w:t xml:space="preserve"> </w:t>
      </w:r>
      <w:r w:rsidRPr="009D1BF6">
        <w:rPr>
          <w:rFonts w:ascii="Arial" w:hAnsi="Arial" w:cs="Arial"/>
          <w:w w:val="90"/>
          <w:sz w:val="22"/>
          <w:szCs w:val="22"/>
        </w:rPr>
        <w:t>con</w:t>
      </w:r>
      <w:r w:rsidRPr="009D1BF6">
        <w:rPr>
          <w:rFonts w:ascii="Arial" w:hAnsi="Arial" w:cs="Arial"/>
          <w:spacing w:val="-30"/>
          <w:w w:val="90"/>
          <w:sz w:val="22"/>
          <w:szCs w:val="22"/>
        </w:rPr>
        <w:t xml:space="preserve"> </w:t>
      </w:r>
      <w:r w:rsidRPr="009D1BF6">
        <w:rPr>
          <w:rFonts w:ascii="Arial" w:hAnsi="Arial" w:cs="Arial"/>
          <w:w w:val="90"/>
          <w:sz w:val="22"/>
          <w:szCs w:val="22"/>
        </w:rPr>
        <w:t>el</w:t>
      </w:r>
      <w:r w:rsidRPr="009D1BF6">
        <w:rPr>
          <w:rFonts w:ascii="Arial" w:hAnsi="Arial" w:cs="Arial"/>
          <w:spacing w:val="-29"/>
          <w:w w:val="90"/>
          <w:sz w:val="22"/>
          <w:szCs w:val="22"/>
        </w:rPr>
        <w:t xml:space="preserve"> </w:t>
      </w:r>
      <w:r w:rsidRPr="009D1BF6">
        <w:rPr>
          <w:rFonts w:ascii="Arial" w:hAnsi="Arial" w:cs="Arial"/>
          <w:w w:val="90"/>
          <w:sz w:val="22"/>
          <w:szCs w:val="22"/>
        </w:rPr>
        <w:t xml:space="preserve">código </w:t>
      </w:r>
      <w:r w:rsidRPr="009D1BF6">
        <w:rPr>
          <w:rFonts w:ascii="Arial" w:hAnsi="Arial" w:cs="Arial"/>
          <w:sz w:val="22"/>
          <w:szCs w:val="22"/>
        </w:rPr>
        <w:t xml:space="preserve">presupuestal “02-001-06-20-01-02-01-12 (que venían sin ejecutar en 2019 mediante </w:t>
      </w:r>
      <w:r w:rsidRPr="009D1BF6">
        <w:rPr>
          <w:rFonts w:ascii="Arial" w:hAnsi="Arial" w:cs="Arial"/>
          <w:sz w:val="22"/>
          <w:szCs w:val="22"/>
          <w:lang w:val="es-CO"/>
        </w:rPr>
        <w:t>Decreto Nº 1564 de 27/12/2019).</w:t>
      </w:r>
      <w:r w:rsidR="004E77EA">
        <w:rPr>
          <w:rFonts w:ascii="Arial" w:hAnsi="Arial" w:cs="Arial"/>
          <w:sz w:val="22"/>
          <w:szCs w:val="22"/>
          <w:lang w:val="es-CO"/>
        </w:rPr>
        <w:t xml:space="preserve"> </w:t>
      </w:r>
      <w:r w:rsidRPr="009D1BF6">
        <w:rPr>
          <w:rFonts w:ascii="Arial" w:hAnsi="Arial" w:cs="Arial"/>
          <w:sz w:val="22"/>
          <w:szCs w:val="22"/>
          <w:lang w:val="es-CO"/>
        </w:rPr>
        <w:t>Al revisar la ejecución presupuestal, al 31 de diciembre de 2020 estos recursos fueron ejecutados, en los siguientes conceptos:</w:t>
      </w:r>
      <w:r w:rsidR="004E77EA">
        <w:rPr>
          <w:rFonts w:ascii="Arial" w:hAnsi="Arial" w:cs="Arial"/>
          <w:sz w:val="22"/>
          <w:szCs w:val="22"/>
          <w:lang w:val="es-CO"/>
        </w:rPr>
        <w:t xml:space="preserve">  </w:t>
      </w:r>
    </w:p>
    <w:p w:rsidR="00F914D2" w:rsidRDefault="00F914D2" w:rsidP="00F914D2">
      <w:pPr>
        <w:pStyle w:val="Textoindependiente"/>
        <w:spacing w:line="256" w:lineRule="auto"/>
        <w:ind w:right="49"/>
        <w:jc w:val="both"/>
        <w:rPr>
          <w:rFonts w:ascii="Arial" w:hAnsi="Arial" w:cs="Arial"/>
          <w:sz w:val="22"/>
          <w:szCs w:val="22"/>
          <w:lang w:val="es-CO"/>
        </w:rPr>
      </w:pPr>
    </w:p>
    <w:p w:rsidR="00EC58EC" w:rsidRDefault="00EC58EC" w:rsidP="00F914D2">
      <w:pPr>
        <w:pStyle w:val="Textoindependiente"/>
        <w:spacing w:line="256" w:lineRule="auto"/>
        <w:ind w:right="49"/>
        <w:jc w:val="both"/>
        <w:rPr>
          <w:rFonts w:ascii="Arial" w:hAnsi="Arial" w:cs="Arial"/>
          <w:sz w:val="22"/>
          <w:szCs w:val="22"/>
          <w:lang w:val="es-CO"/>
        </w:rPr>
      </w:pPr>
    </w:p>
    <w:p w:rsidR="00EC58EC" w:rsidRDefault="00EC58EC"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5F1E0F" w:rsidRDefault="005F1E0F" w:rsidP="00F914D2">
      <w:pPr>
        <w:pStyle w:val="Textoindependiente"/>
        <w:spacing w:line="256" w:lineRule="auto"/>
        <w:ind w:right="49"/>
        <w:jc w:val="both"/>
        <w:rPr>
          <w:rFonts w:ascii="Arial" w:hAnsi="Arial" w:cs="Arial"/>
          <w:sz w:val="22"/>
          <w:szCs w:val="22"/>
          <w:lang w:val="es-CO"/>
        </w:rPr>
      </w:pPr>
    </w:p>
    <w:p w:rsidR="00F914D2" w:rsidRDefault="00F914D2" w:rsidP="00F914D2">
      <w:pPr>
        <w:pStyle w:val="Textoindependiente"/>
        <w:spacing w:line="256" w:lineRule="auto"/>
        <w:ind w:right="49"/>
        <w:jc w:val="center"/>
        <w:rPr>
          <w:rFonts w:ascii="Arial" w:hAnsi="Arial" w:cs="Arial"/>
          <w:sz w:val="22"/>
          <w:szCs w:val="22"/>
          <w:lang w:val="es-CO"/>
        </w:rPr>
      </w:pPr>
      <w:r>
        <w:rPr>
          <w:rFonts w:ascii="Arial" w:hAnsi="Arial" w:cs="Arial"/>
          <w:sz w:val="22"/>
          <w:szCs w:val="22"/>
          <w:lang w:val="es-CO"/>
        </w:rPr>
        <w:lastRenderedPageBreak/>
        <w:t>Tabla 12</w:t>
      </w:r>
    </w:p>
    <w:p w:rsidR="00F914D2" w:rsidRDefault="00F914D2" w:rsidP="00F914D2">
      <w:pPr>
        <w:pStyle w:val="Textoindependiente"/>
        <w:spacing w:line="256" w:lineRule="auto"/>
        <w:ind w:right="49"/>
        <w:jc w:val="center"/>
        <w:rPr>
          <w:rFonts w:ascii="Arial" w:hAnsi="Arial" w:cs="Arial"/>
          <w:sz w:val="22"/>
          <w:szCs w:val="22"/>
          <w:lang w:val="es-CO"/>
        </w:rPr>
      </w:pPr>
      <w:r>
        <w:rPr>
          <w:rFonts w:ascii="Arial" w:hAnsi="Arial" w:cs="Arial"/>
          <w:sz w:val="22"/>
          <w:szCs w:val="22"/>
          <w:lang w:val="es-CO"/>
        </w:rPr>
        <w:t>Gastos en salud pública compensados</w:t>
      </w:r>
    </w:p>
    <w:p w:rsidR="00F914D2" w:rsidRPr="008A67B2" w:rsidRDefault="00F914D2" w:rsidP="00F914D2">
      <w:pPr>
        <w:pStyle w:val="Textoindependiente"/>
        <w:spacing w:line="256" w:lineRule="auto"/>
        <w:ind w:right="49"/>
        <w:jc w:val="center"/>
        <w:rPr>
          <w:rFonts w:ascii="Arial" w:hAnsi="Arial" w:cs="Arial"/>
          <w:sz w:val="22"/>
          <w:szCs w:val="22"/>
        </w:rPr>
      </w:pPr>
      <w:r w:rsidRPr="008A67B2">
        <w:rPr>
          <w:rFonts w:ascii="Arial" w:hAnsi="Arial" w:cs="Arial"/>
          <w:noProof/>
          <w:sz w:val="22"/>
          <w:szCs w:val="22"/>
          <w:lang w:val="es-CO" w:eastAsia="es-CO"/>
        </w:rPr>
        <w:drawing>
          <wp:inline distT="0" distB="0" distL="0" distR="0">
            <wp:extent cx="4354512" cy="535742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55673" cy="5358853"/>
                    </a:xfrm>
                    <a:prstGeom prst="rect">
                      <a:avLst/>
                    </a:prstGeom>
                    <a:noFill/>
                    <a:ln>
                      <a:noFill/>
                    </a:ln>
                  </pic:spPr>
                </pic:pic>
              </a:graphicData>
            </a:graphic>
          </wp:inline>
        </w:drawing>
      </w:r>
    </w:p>
    <w:p w:rsidR="00F914D2" w:rsidRPr="008A67B2" w:rsidRDefault="00F914D2" w:rsidP="00F914D2">
      <w:pPr>
        <w:jc w:val="both"/>
        <w:rPr>
          <w:rFonts w:ascii="Arial" w:hAnsi="Arial" w:cs="Arial"/>
          <w:sz w:val="22"/>
          <w:szCs w:val="22"/>
        </w:rPr>
      </w:pPr>
    </w:p>
    <w:p w:rsidR="009D1BF6" w:rsidRPr="008A67B2" w:rsidRDefault="00F914D2" w:rsidP="00F914D2">
      <w:pPr>
        <w:jc w:val="both"/>
        <w:rPr>
          <w:rFonts w:ascii="Arial" w:hAnsi="Arial" w:cs="Arial"/>
          <w:sz w:val="22"/>
          <w:szCs w:val="22"/>
        </w:rPr>
      </w:pPr>
      <w:r w:rsidRPr="008A67B2">
        <w:rPr>
          <w:rFonts w:ascii="Arial" w:hAnsi="Arial" w:cs="Arial"/>
          <w:sz w:val="22"/>
          <w:szCs w:val="22"/>
        </w:rPr>
        <w:t xml:space="preserve">Considerando que estas actividades corresponden a gastos autorizados en los componentes de Salud pública y que su ejecución supera los $421 millones de </w:t>
      </w:r>
      <w:r w:rsidR="00B80202" w:rsidRPr="008A67B2">
        <w:rPr>
          <w:rFonts w:ascii="Arial" w:hAnsi="Arial" w:cs="Arial"/>
          <w:sz w:val="22"/>
          <w:szCs w:val="22"/>
        </w:rPr>
        <w:t>qué</w:t>
      </w:r>
      <w:r w:rsidRPr="008A67B2">
        <w:rPr>
          <w:rFonts w:ascii="Arial" w:hAnsi="Arial" w:cs="Arial"/>
          <w:sz w:val="22"/>
          <w:szCs w:val="22"/>
        </w:rPr>
        <w:t xml:space="preserve"> trata la presente actividad, </w:t>
      </w:r>
      <w:r w:rsidR="009D1BF6">
        <w:rPr>
          <w:rFonts w:ascii="Arial" w:hAnsi="Arial" w:cs="Arial"/>
          <w:sz w:val="22"/>
          <w:szCs w:val="22"/>
        </w:rPr>
        <w:t>es posible emitir su cumplimiento</w:t>
      </w:r>
      <w:r w:rsidRPr="008A67B2">
        <w:rPr>
          <w:rFonts w:ascii="Arial" w:hAnsi="Arial" w:cs="Arial"/>
          <w:sz w:val="22"/>
          <w:szCs w:val="22"/>
        </w:rPr>
        <w:t>.</w:t>
      </w:r>
    </w:p>
    <w:p w:rsidR="00F914D2" w:rsidRPr="008A67B2" w:rsidRDefault="00F914D2" w:rsidP="00F914D2">
      <w:pPr>
        <w:jc w:val="both"/>
        <w:rPr>
          <w:rFonts w:ascii="Arial" w:hAnsi="Arial" w:cs="Arial"/>
          <w:sz w:val="22"/>
          <w:szCs w:val="22"/>
        </w:rPr>
      </w:pPr>
    </w:p>
    <w:p w:rsidR="00F914D2" w:rsidRPr="008A67B2" w:rsidRDefault="00F914D2" w:rsidP="00F914D2">
      <w:pPr>
        <w:numPr>
          <w:ilvl w:val="0"/>
          <w:numId w:val="11"/>
        </w:numPr>
        <w:contextualSpacing/>
        <w:jc w:val="both"/>
        <w:rPr>
          <w:rFonts w:ascii="Arial" w:hAnsi="Arial" w:cs="Arial"/>
          <w:b/>
          <w:sz w:val="22"/>
          <w:szCs w:val="22"/>
        </w:rPr>
      </w:pPr>
      <w:r w:rsidRPr="008A67B2">
        <w:rPr>
          <w:rFonts w:ascii="Arial" w:hAnsi="Arial" w:cs="Arial"/>
          <w:b/>
          <w:sz w:val="22"/>
          <w:szCs w:val="22"/>
        </w:rPr>
        <w:t>Conclusiones y Recomendaciones:</w:t>
      </w:r>
    </w:p>
    <w:p w:rsidR="00F914D2" w:rsidRPr="008A67B2" w:rsidRDefault="00F914D2" w:rsidP="00F914D2">
      <w:pPr>
        <w:rPr>
          <w:rFonts w:ascii="Arial" w:hAnsi="Arial" w:cs="Arial"/>
          <w:sz w:val="22"/>
          <w:szCs w:val="22"/>
        </w:rPr>
      </w:pPr>
    </w:p>
    <w:p w:rsidR="00F914D2" w:rsidRPr="008A67B2" w:rsidRDefault="00F914D2" w:rsidP="00F914D2">
      <w:pPr>
        <w:jc w:val="both"/>
        <w:rPr>
          <w:rFonts w:ascii="Arial" w:eastAsia="Times New Roman" w:hAnsi="Arial" w:cs="Arial"/>
          <w:sz w:val="22"/>
          <w:szCs w:val="22"/>
          <w:lang w:val="es-CO"/>
        </w:rPr>
      </w:pPr>
      <w:bookmarkStart w:id="5" w:name="CONCLUSION_NO_COMPETENCIAS"/>
      <w:r w:rsidRPr="008A67B2">
        <w:rPr>
          <w:rFonts w:ascii="Arial" w:hAnsi="Arial" w:cs="Arial"/>
          <w:sz w:val="22"/>
          <w:szCs w:val="22"/>
          <w:lang w:val="es-CO"/>
        </w:rPr>
        <w:t xml:space="preserve">Como resultado de la evaluación se concluye que el </w:t>
      </w:r>
      <w:r w:rsidRPr="008A67B2">
        <w:fldChar w:fldCharType="begin"/>
      </w:r>
      <w:r w:rsidRPr="008A67B2">
        <w:rPr>
          <w:rFonts w:ascii="Arial" w:hAnsi="Arial" w:cs="Arial"/>
          <w:sz w:val="22"/>
          <w:szCs w:val="22"/>
        </w:rPr>
        <w:instrText xml:space="preserve"> LINK Excel.SheetMacroEnabled.12 "\\\\MH-EXMOSSSA01.MHEXT.RED\\EncuestasPSFF_Archivos\\Decreto028\\BD\\Excel\\Matriz_2018_PlanDesempeño_Distrito_Cartagena_De_Indias_Bolívar_Sector_Salud.xlsm" "Principal!F6C7" \a \t  \* MERGEFORMAT </w:instrText>
      </w:r>
      <w:r w:rsidRPr="008A67B2">
        <w:fldChar w:fldCharType="separate"/>
      </w:r>
      <w:r w:rsidRPr="008A67B2">
        <w:rPr>
          <w:rFonts w:ascii="Arial" w:hAnsi="Arial" w:cs="Arial"/>
          <w:sz w:val="22"/>
          <w:szCs w:val="22"/>
        </w:rPr>
        <w:t>Distrito: Cartagena de Indias - Bolívar</w:t>
      </w:r>
      <w:r w:rsidRPr="008A67B2">
        <w:fldChar w:fldCharType="end"/>
      </w:r>
      <w:r w:rsidRPr="008A67B2">
        <w:rPr>
          <w:rFonts w:ascii="Arial" w:hAnsi="Arial" w:cs="Arial"/>
          <w:sz w:val="22"/>
          <w:szCs w:val="22"/>
          <w:lang w:val="es-CO"/>
        </w:rPr>
        <w:t xml:space="preserve"> ha cumplido </w:t>
      </w:r>
      <w:bookmarkStart w:id="6" w:name="N_MEDIDAS_CUMPLIDAS"/>
      <w:bookmarkEnd w:id="6"/>
      <w:r w:rsidRPr="008A67B2">
        <w:rPr>
          <w:rFonts w:ascii="Arial" w:hAnsi="Arial" w:cs="Arial"/>
          <w:sz w:val="22"/>
          <w:szCs w:val="22"/>
          <w:lang w:val="es-CO"/>
        </w:rPr>
        <w:t xml:space="preserve">8 de las 8 actividades contempladas en la reformulación y extensión de </w:t>
      </w:r>
      <w:r w:rsidRPr="008A67B2">
        <w:fldChar w:fldCharType="begin"/>
      </w:r>
      <w:r w:rsidRPr="008A67B2">
        <w:rPr>
          <w:rFonts w:ascii="Arial" w:hAnsi="Arial" w:cs="Arial"/>
          <w:sz w:val="22"/>
          <w:szCs w:val="22"/>
        </w:rPr>
        <w:instrText xml:space="preserve"> LINK Excel.SheetMacroEnabled.12 "\\\\MH-EXMOSSSA01.MHEXT.RED\\EncuestasPSFF_Archivos\\Decreto028\\BD\\Excel\\Matriz_2018_PlanDesempeño_Distrito_Cartagena_De_Indias_Bolívar_Sector_Salud.xlsm" "Principal!F18C8" \a \t  \* MERGEFORMAT </w:instrText>
      </w:r>
      <w:r w:rsidRPr="008A67B2">
        <w:fldChar w:fldCharType="separate"/>
      </w:r>
      <w:r w:rsidRPr="008A67B2">
        <w:rPr>
          <w:rFonts w:ascii="Arial" w:hAnsi="Arial" w:cs="Arial"/>
          <w:sz w:val="22"/>
          <w:szCs w:val="22"/>
        </w:rPr>
        <w:t>Medida Preventiva Plan de Desempeño</w:t>
      </w:r>
      <w:r w:rsidRPr="008A67B2">
        <w:fldChar w:fldCharType="end"/>
      </w:r>
      <w:r w:rsidRPr="008A67B2">
        <w:rPr>
          <w:rFonts w:ascii="Arial" w:hAnsi="Arial" w:cs="Arial"/>
          <w:sz w:val="22"/>
          <w:szCs w:val="22"/>
          <w:lang w:val="es-CO"/>
        </w:rPr>
        <w:t xml:space="preserve">, para un cumplimiento del </w:t>
      </w:r>
      <w:bookmarkStart w:id="7" w:name="P_MEDIDAS_CUMPLIDAS"/>
      <w:bookmarkEnd w:id="7"/>
      <w:r w:rsidRPr="008A67B2">
        <w:rPr>
          <w:rFonts w:ascii="Arial" w:hAnsi="Arial" w:cs="Arial"/>
          <w:sz w:val="22"/>
          <w:szCs w:val="22"/>
          <w:lang w:val="es-CO"/>
        </w:rPr>
        <w:t xml:space="preserve">100%, requeridas </w:t>
      </w:r>
      <w:bookmarkEnd w:id="5"/>
      <w:r w:rsidRPr="008A67B2">
        <w:rPr>
          <w:rFonts w:ascii="Arial" w:hAnsi="Arial" w:cs="Arial"/>
          <w:bCs/>
          <w:sz w:val="22"/>
          <w:szCs w:val="22"/>
          <w:lang w:val="es-CO"/>
        </w:rPr>
        <w:t xml:space="preserve">para el </w:t>
      </w:r>
      <w:r w:rsidRPr="008A67B2">
        <w:rPr>
          <w:rFonts w:ascii="Arial" w:hAnsi="Arial" w:cs="Arial"/>
          <w:bCs/>
          <w:sz w:val="22"/>
          <w:szCs w:val="22"/>
          <w:lang w:val="es-CO"/>
        </w:rPr>
        <w:lastRenderedPageBreak/>
        <w:t xml:space="preserve">levantamiento de la medida contenida </w:t>
      </w:r>
      <w:r w:rsidRPr="008A67B2">
        <w:rPr>
          <w:rFonts w:ascii="Arial" w:hAnsi="Arial" w:cs="Arial"/>
          <w:sz w:val="22"/>
          <w:szCs w:val="22"/>
        </w:rPr>
        <w:t xml:space="preserve">en el artículo 1 de la </w:t>
      </w:r>
      <w:r w:rsidR="005F1E0F">
        <w:rPr>
          <w:rFonts w:ascii="Arial" w:hAnsi="Arial" w:cs="Arial"/>
          <w:sz w:val="22"/>
          <w:szCs w:val="22"/>
        </w:rPr>
        <w:t>R</w:t>
      </w:r>
      <w:r w:rsidRPr="008A67B2">
        <w:rPr>
          <w:rFonts w:ascii="Arial" w:hAnsi="Arial" w:cs="Arial"/>
          <w:sz w:val="22"/>
          <w:szCs w:val="22"/>
        </w:rPr>
        <w:t xml:space="preserve">esolución 4320 </w:t>
      </w:r>
      <w:r w:rsidRPr="008A67B2">
        <w:rPr>
          <w:rFonts w:ascii="Arial" w:eastAsia="Times New Roman" w:hAnsi="Arial" w:cs="Arial"/>
          <w:sz w:val="22"/>
          <w:szCs w:val="22"/>
          <w:lang w:val="es-CO"/>
        </w:rPr>
        <w:t>del 22 de noviembre de 2018.</w:t>
      </w:r>
    </w:p>
    <w:p w:rsidR="00F914D2" w:rsidRPr="008A67B2" w:rsidRDefault="00F914D2" w:rsidP="00F914D2">
      <w:pPr>
        <w:jc w:val="both"/>
        <w:rPr>
          <w:rFonts w:ascii="Arial" w:eastAsia="Times New Roman" w:hAnsi="Arial" w:cs="Arial"/>
          <w:sz w:val="22"/>
          <w:szCs w:val="22"/>
          <w:lang w:val="es-CO"/>
        </w:rPr>
      </w:pPr>
    </w:p>
    <w:p w:rsidR="00F914D2" w:rsidRPr="008A67B2" w:rsidRDefault="00F914D2" w:rsidP="00F914D2">
      <w:pPr>
        <w:jc w:val="both"/>
        <w:rPr>
          <w:rFonts w:ascii="Arial" w:hAnsi="Arial" w:cs="Arial"/>
          <w:sz w:val="22"/>
          <w:szCs w:val="22"/>
          <w:lang w:val="es-CO"/>
        </w:rPr>
      </w:pPr>
      <w:r w:rsidRPr="008A67B2">
        <w:rPr>
          <w:rFonts w:ascii="Arial" w:hAnsi="Arial" w:cs="Arial"/>
          <w:sz w:val="22"/>
          <w:szCs w:val="22"/>
        </w:rPr>
        <w:t xml:space="preserve">Conforme a lo anterior se recomienda el levantamiento de la medida al </w:t>
      </w:r>
      <w:r w:rsidRPr="008A67B2">
        <w:rPr>
          <w:rFonts w:ascii="Arial" w:hAnsi="Arial" w:cs="Arial"/>
          <w:sz w:val="22"/>
          <w:szCs w:val="22"/>
          <w:lang w:val="es-CO"/>
        </w:rPr>
        <w:t>superar los eventos de riesgo que dieron origen a la reformulación y extensión de la medida preventiva.</w:t>
      </w:r>
    </w:p>
    <w:p w:rsidR="00F914D2" w:rsidRPr="008A67B2" w:rsidRDefault="00F914D2" w:rsidP="00F914D2">
      <w:pPr>
        <w:jc w:val="both"/>
        <w:rPr>
          <w:rFonts w:ascii="Arial" w:eastAsia="Times New Roman" w:hAnsi="Arial" w:cs="Arial"/>
          <w:sz w:val="22"/>
          <w:szCs w:val="22"/>
          <w:lang w:val="es-CO"/>
        </w:rPr>
      </w:pPr>
    </w:p>
    <w:p w:rsidR="00F914D2" w:rsidRPr="008A67B2" w:rsidRDefault="00F914D2" w:rsidP="00F914D2">
      <w:pPr>
        <w:jc w:val="both"/>
        <w:rPr>
          <w:rFonts w:ascii="Arial" w:hAnsi="Arial" w:cs="Arial"/>
          <w:sz w:val="22"/>
          <w:szCs w:val="22"/>
          <w:lang w:val="es-CO"/>
        </w:rPr>
      </w:pPr>
      <w:r w:rsidRPr="008A67B2">
        <w:rPr>
          <w:rFonts w:ascii="Arial" w:eastAsia="Times New Roman" w:hAnsi="Arial" w:cs="Arial"/>
          <w:sz w:val="22"/>
          <w:szCs w:val="22"/>
          <w:lang w:val="es-CO"/>
        </w:rPr>
        <w:t xml:space="preserve">Se sugiere fortalecimiento al proceso presupuestal de la cuenta de aseguramiento del fondo a fin de que se </w:t>
      </w:r>
      <w:r w:rsidRPr="008A67B2">
        <w:rPr>
          <w:rFonts w:ascii="Arial" w:hAnsi="Arial" w:cs="Arial"/>
          <w:sz w:val="22"/>
          <w:szCs w:val="22"/>
          <w:lang w:val="es-CO"/>
        </w:rPr>
        <w:t>adopten internamente los correctivos finales para garantizar la adecuada articulación del presupuesto del Fondo de Salud (DADIS) con el presupuesto del Distrito y se corrijan de forma definitiva las debilidades recurrentes en los reportes de información.</w:t>
      </w:r>
      <w:r w:rsidR="004E77EA">
        <w:rPr>
          <w:rFonts w:ascii="Arial" w:hAnsi="Arial" w:cs="Arial"/>
          <w:sz w:val="22"/>
          <w:szCs w:val="22"/>
          <w:lang w:val="es-CO"/>
        </w:rPr>
        <w:t xml:space="preserve"> </w:t>
      </w:r>
    </w:p>
    <w:p w:rsidR="00F914D2" w:rsidRPr="008A67B2" w:rsidRDefault="00F914D2" w:rsidP="00F914D2">
      <w:pPr>
        <w:jc w:val="both"/>
        <w:rPr>
          <w:rFonts w:ascii="Arial" w:eastAsia="Times New Roman" w:hAnsi="Arial" w:cs="Arial"/>
          <w:sz w:val="22"/>
          <w:szCs w:val="22"/>
          <w:lang w:val="es-CO"/>
        </w:rPr>
      </w:pPr>
    </w:p>
    <w:p w:rsidR="00F914D2" w:rsidRPr="008A67B2" w:rsidRDefault="00F914D2" w:rsidP="00F914D2">
      <w:pPr>
        <w:jc w:val="both"/>
        <w:rPr>
          <w:rFonts w:ascii="Arial" w:hAnsi="Arial" w:cs="Arial"/>
          <w:sz w:val="22"/>
          <w:szCs w:val="22"/>
          <w:lang w:val="es-CO"/>
        </w:rPr>
      </w:pPr>
    </w:p>
    <w:p w:rsidR="00F914D2" w:rsidRPr="008A67B2" w:rsidRDefault="00F914D2" w:rsidP="00F914D2">
      <w:pPr>
        <w:tabs>
          <w:tab w:val="left" w:pos="3206"/>
          <w:tab w:val="left" w:pos="6338"/>
        </w:tabs>
        <w:rPr>
          <w:rFonts w:ascii="Arial" w:hAnsi="Arial" w:cs="Arial"/>
          <w:sz w:val="22"/>
          <w:szCs w:val="22"/>
        </w:rPr>
      </w:pPr>
    </w:p>
    <w:p w:rsidR="00F914D2" w:rsidRPr="008A67B2" w:rsidRDefault="00F914D2" w:rsidP="00F914D2">
      <w:pPr>
        <w:tabs>
          <w:tab w:val="left" w:pos="3206"/>
          <w:tab w:val="left" w:pos="6338"/>
        </w:tabs>
        <w:rPr>
          <w:rFonts w:ascii="Arial" w:hAnsi="Arial" w:cs="Arial"/>
          <w:sz w:val="22"/>
          <w:szCs w:val="22"/>
        </w:rPr>
      </w:pPr>
    </w:p>
    <w:p w:rsidR="00F914D2" w:rsidRPr="009D1BF6" w:rsidRDefault="00F914D2" w:rsidP="00F914D2">
      <w:pPr>
        <w:jc w:val="both"/>
        <w:rPr>
          <w:rFonts w:ascii="Arial" w:hAnsi="Arial" w:cs="Arial"/>
          <w:sz w:val="18"/>
          <w:szCs w:val="18"/>
        </w:rPr>
      </w:pPr>
      <w:bookmarkStart w:id="8" w:name="NUEVAS_SITUACIONES"/>
      <w:bookmarkEnd w:id="8"/>
      <w:r w:rsidRPr="009D1BF6">
        <w:rPr>
          <w:rFonts w:ascii="Arial" w:hAnsi="Arial" w:cs="Arial"/>
          <w:sz w:val="18"/>
          <w:szCs w:val="18"/>
        </w:rPr>
        <w:t>Aprobó: Fernando Olivera</w:t>
      </w:r>
    </w:p>
    <w:p w:rsidR="00F914D2" w:rsidRPr="009D1BF6" w:rsidRDefault="00F914D2" w:rsidP="00F914D2">
      <w:pPr>
        <w:jc w:val="both"/>
        <w:rPr>
          <w:rFonts w:ascii="Arial" w:hAnsi="Arial" w:cs="Arial"/>
          <w:sz w:val="18"/>
          <w:szCs w:val="18"/>
        </w:rPr>
      </w:pPr>
      <w:bookmarkStart w:id="9" w:name="REVISA_MP"/>
      <w:r w:rsidRPr="009D1BF6">
        <w:rPr>
          <w:rFonts w:ascii="Arial" w:hAnsi="Arial" w:cs="Arial"/>
          <w:sz w:val="18"/>
          <w:szCs w:val="18"/>
        </w:rPr>
        <w:t>Revisó. Patricia Peña/ Maria Adelaida Berdugo</w:t>
      </w:r>
    </w:p>
    <w:bookmarkEnd w:id="9"/>
    <w:p w:rsidR="00F01F75" w:rsidRPr="008A67B2" w:rsidRDefault="00F914D2" w:rsidP="005F1E0F">
      <w:pPr>
        <w:jc w:val="both"/>
      </w:pPr>
      <w:r w:rsidRPr="009D1BF6">
        <w:rPr>
          <w:rFonts w:ascii="Arial" w:hAnsi="Arial" w:cs="Arial"/>
          <w:sz w:val="18"/>
          <w:szCs w:val="18"/>
        </w:rPr>
        <w:t xml:space="preserve">Elaboró: </w:t>
      </w:r>
      <w:bookmarkStart w:id="10" w:name="ELABORA"/>
      <w:bookmarkEnd w:id="10"/>
      <w:r w:rsidRPr="009D1BF6">
        <w:rPr>
          <w:rFonts w:ascii="Arial" w:hAnsi="Arial" w:cs="Arial"/>
          <w:sz w:val="18"/>
          <w:szCs w:val="18"/>
        </w:rPr>
        <w:t>Sandra Maritza Piñeros Castro</w:t>
      </w:r>
    </w:p>
    <w:sectPr w:rsidR="00F01F75" w:rsidRPr="008A67B2" w:rsidSect="004E432F">
      <w:headerReference w:type="default" r:id="rId25"/>
      <w:footerReference w:type="default" r:id="rId26"/>
      <w:headerReference w:type="first" r:id="rId27"/>
      <w:footerReference w:type="first" r:id="rId28"/>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8F2" w:rsidRDefault="003B28F2" w:rsidP="00F71345">
      <w:r>
        <w:separator/>
      </w:r>
    </w:p>
  </w:endnote>
  <w:endnote w:type="continuationSeparator" w:id="0">
    <w:p w:rsidR="003B28F2" w:rsidRDefault="003B28F2"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D2" w:rsidRPr="00F01F75" w:rsidRDefault="005F1E0F" w:rsidP="00F01F75">
    <w:pPr>
      <w:pStyle w:val="Piedepgina"/>
    </w:pPr>
    <w:r>
      <w:rPr>
        <w:noProof/>
        <w:lang w:eastAsia="es-CO"/>
      </w:rPr>
      <w:drawing>
        <wp:inline distT="0" distB="0" distL="0" distR="0">
          <wp:extent cx="3399155" cy="981075"/>
          <wp:effectExtent l="0" t="0" r="0" b="0"/>
          <wp:docPr id="44" name="Imagen 4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D2" w:rsidRPr="005F1E0F" w:rsidRDefault="005F1E0F" w:rsidP="005F1E0F">
    <w:pPr>
      <w:pStyle w:val="Piedepgina"/>
    </w:pPr>
    <w:r>
      <w:rPr>
        <w:noProof/>
        <w:lang w:eastAsia="es-CO"/>
      </w:rPr>
      <w:drawing>
        <wp:inline distT="0" distB="0" distL="0" distR="0">
          <wp:extent cx="3399155" cy="98107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8F2" w:rsidRDefault="003B28F2" w:rsidP="00F71345">
      <w:r>
        <w:separator/>
      </w:r>
    </w:p>
  </w:footnote>
  <w:footnote w:type="continuationSeparator" w:id="0">
    <w:p w:rsidR="003B28F2" w:rsidRDefault="003B28F2" w:rsidP="00F71345">
      <w:r>
        <w:continuationSeparator/>
      </w:r>
    </w:p>
  </w:footnote>
  <w:footnote w:id="1">
    <w:p w:rsidR="00F914D2" w:rsidRDefault="00F914D2" w:rsidP="008A67B2">
      <w:pPr>
        <w:pStyle w:val="Textonotapie"/>
        <w:jc w:val="both"/>
      </w:pPr>
      <w:r>
        <w:rPr>
          <w:rStyle w:val="Refdenotaalpi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lang w:val="es-CO"/>
        </w:rPr>
        <w:t>No se tuvo en cuenta la incorporación de los recursos que respaldan las reservas presupuestales.</w:t>
      </w:r>
    </w:p>
  </w:footnote>
  <w:footnote w:id="2">
    <w:p w:rsidR="00F914D2" w:rsidRPr="00E851BA" w:rsidRDefault="00F914D2" w:rsidP="00E851BA">
      <w:pPr>
        <w:pStyle w:val="Textonotapie"/>
        <w:jc w:val="both"/>
        <w:rPr>
          <w:rFonts w:ascii="Arial" w:hAnsi="Arial" w:cs="Arial"/>
          <w:sz w:val="18"/>
          <w:szCs w:val="18"/>
          <w:lang w:val="es-CO"/>
        </w:rPr>
      </w:pPr>
      <w:r w:rsidRPr="00E851BA">
        <w:rPr>
          <w:rStyle w:val="Refdenotaalpie"/>
          <w:rFonts w:ascii="Arial" w:hAnsi="Arial" w:cs="Arial"/>
          <w:sz w:val="18"/>
          <w:szCs w:val="18"/>
        </w:rPr>
        <w:footnoteRef/>
      </w:r>
      <w:r w:rsidRPr="00E851BA">
        <w:rPr>
          <w:rFonts w:ascii="Arial" w:hAnsi="Arial" w:cs="Arial"/>
          <w:sz w:val="18"/>
          <w:szCs w:val="18"/>
        </w:rPr>
        <w:t xml:space="preserve"> El año anterior se dieron mayores erogaciones en el marco del plan bienal de infraestructura y la ejecución del Programa de Saneamiento Fiscal y Financiero de la ESE Hospital Cartagena de Indias.</w:t>
      </w:r>
    </w:p>
  </w:footnote>
  <w:footnote w:id="3">
    <w:p w:rsidR="00F914D2" w:rsidRDefault="00F914D2" w:rsidP="008A67B2">
      <w:pPr>
        <w:pStyle w:val="Textonotapie"/>
        <w:jc w:val="both"/>
      </w:pPr>
      <w:r>
        <w:rPr>
          <w:rStyle w:val="Refdenotaalpie"/>
          <w:rFonts w:ascii="Arial Narrow" w:hAnsi="Arial Narrow"/>
          <w:sz w:val="18"/>
          <w:szCs w:val="18"/>
        </w:rPr>
        <w:footnoteRef/>
      </w:r>
      <w:r>
        <w:rPr>
          <w:rFonts w:ascii="Arial Narrow" w:hAnsi="Arial Narrow"/>
          <w:sz w:val="18"/>
          <w:szCs w:val="18"/>
        </w:rPr>
        <w:t xml:space="preserve"> </w:t>
      </w:r>
      <w:r>
        <w:rPr>
          <w:rFonts w:ascii="Arial Narrow" w:hAnsi="Arial Narrow" w:cs="Arial"/>
          <w:sz w:val="18"/>
          <w:szCs w:val="18"/>
        </w:rPr>
        <w:t>Decreto 0059 del 20 de enero de 2021</w:t>
      </w:r>
    </w:p>
  </w:footnote>
  <w:footnote w:id="4">
    <w:p w:rsidR="00F914D2" w:rsidRPr="006C1E01" w:rsidRDefault="00F914D2" w:rsidP="006C1E01">
      <w:pPr>
        <w:pStyle w:val="Textonotapie"/>
        <w:jc w:val="both"/>
        <w:rPr>
          <w:rFonts w:ascii="Arial" w:hAnsi="Arial" w:cs="Arial"/>
          <w:sz w:val="16"/>
          <w:szCs w:val="16"/>
        </w:rPr>
      </w:pPr>
      <w:r w:rsidRPr="006C1E01">
        <w:rPr>
          <w:rStyle w:val="Refdenotaalpie"/>
          <w:rFonts w:ascii="Arial" w:hAnsi="Arial" w:cs="Arial"/>
          <w:sz w:val="16"/>
          <w:szCs w:val="16"/>
        </w:rPr>
        <w:footnoteRef/>
      </w:r>
      <w:r w:rsidRPr="006C1E01">
        <w:rPr>
          <w:rFonts w:ascii="Arial" w:hAnsi="Arial" w:cs="Arial"/>
          <w:sz w:val="16"/>
          <w:szCs w:val="16"/>
        </w:rPr>
        <w:t xml:space="preserve"> </w:t>
      </w:r>
      <w:r w:rsidRPr="006C1E01">
        <w:rPr>
          <w:rFonts w:ascii="Arial" w:hAnsi="Arial" w:cs="Arial"/>
          <w:sz w:val="16"/>
          <w:szCs w:val="16"/>
          <w:lang w:val="es-CO"/>
        </w:rPr>
        <w:t xml:space="preserve">El informe identifica que corresponden a cuentas por pagar de la vigencia, cuentas por pagar de vigencias anteriores y reservas presupuestales </w:t>
      </w:r>
    </w:p>
  </w:footnote>
  <w:footnote w:id="5">
    <w:p w:rsidR="00F914D2" w:rsidRDefault="00F914D2" w:rsidP="006C1E01">
      <w:pPr>
        <w:pStyle w:val="Textonotapie"/>
        <w:jc w:val="both"/>
      </w:pPr>
      <w:r w:rsidRPr="006C1E01">
        <w:rPr>
          <w:rStyle w:val="Refdenotaalpie"/>
          <w:rFonts w:ascii="Arial" w:hAnsi="Arial" w:cs="Arial"/>
          <w:sz w:val="16"/>
          <w:szCs w:val="16"/>
        </w:rPr>
        <w:footnoteRef/>
      </w:r>
      <w:r w:rsidRPr="006C1E01">
        <w:rPr>
          <w:rFonts w:ascii="Arial" w:hAnsi="Arial" w:cs="Arial"/>
          <w:sz w:val="16"/>
          <w:szCs w:val="16"/>
        </w:rPr>
        <w:t xml:space="preserve"> Recursos del crédito disponibles en la cuenta del Distrito por $21.959 millones y recursos de ICLD por $1.850 millones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D2" w:rsidRDefault="00F914D2" w:rsidP="00F01F75">
    <w:pPr>
      <w:pStyle w:val="Encabezado"/>
      <w:rPr>
        <w:rFonts w:ascii="Arial" w:hAnsi="Arial" w:cs="Arial"/>
        <w:sz w:val="16"/>
        <w:szCs w:val="16"/>
      </w:rPr>
    </w:pPr>
  </w:p>
  <w:p w:rsidR="005F1E0F" w:rsidRDefault="005F1E0F" w:rsidP="00F01F75">
    <w:pPr>
      <w:pStyle w:val="Encabezado"/>
      <w:rPr>
        <w:rFonts w:ascii="Arial" w:hAnsi="Arial" w:cs="Arial"/>
        <w:sz w:val="16"/>
        <w:szCs w:val="16"/>
      </w:rPr>
    </w:pPr>
    <w:r>
      <w:rPr>
        <w:noProof/>
        <w:lang w:eastAsia="es-CO"/>
      </w:rPr>
      <w:drawing>
        <wp:inline distT="0" distB="0" distL="0" distR="0">
          <wp:extent cx="2809875" cy="58102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730" t="22370" r="69280" b="72297"/>
                  <a:stretch/>
                </pic:blipFill>
                <pic:spPr bwMode="auto">
                  <a:xfrm>
                    <a:off x="0" y="0"/>
                    <a:ext cx="2809875" cy="581025"/>
                  </a:xfrm>
                  <a:prstGeom prst="rect">
                    <a:avLst/>
                  </a:prstGeom>
                  <a:ln>
                    <a:noFill/>
                  </a:ln>
                  <a:extLst>
                    <a:ext uri="{53640926-AAD7-44D8-BBD7-CCE9431645EC}">
                      <a14:shadowObscured xmlns:a14="http://schemas.microsoft.com/office/drawing/2010/main"/>
                    </a:ext>
                  </a:extLst>
                </pic:spPr>
              </pic:pic>
            </a:graphicData>
          </a:graphic>
        </wp:inline>
      </w:drawing>
    </w:r>
  </w:p>
  <w:p w:rsidR="00F914D2" w:rsidRDefault="00F914D2" w:rsidP="00F01F75">
    <w:pPr>
      <w:pStyle w:val="Encabezado"/>
      <w:rPr>
        <w:rFonts w:ascii="Arial" w:hAnsi="Arial" w:cs="Arial"/>
        <w:sz w:val="16"/>
        <w:szCs w:val="16"/>
      </w:rPr>
    </w:pPr>
  </w:p>
  <w:p w:rsidR="00F914D2" w:rsidRPr="00F01F75" w:rsidRDefault="00F914D2" w:rsidP="00F01F75">
    <w:pPr>
      <w:pStyle w:val="Encabezado"/>
      <w:rPr>
        <w:rFonts w:ascii="Arial" w:hAnsi="Arial" w:cs="Arial"/>
        <w:sz w:val="16"/>
        <w:szCs w:val="16"/>
      </w:rPr>
    </w:pPr>
    <w:r w:rsidRPr="00F01F75">
      <w:rPr>
        <w:rFonts w:ascii="Arial" w:hAnsi="Arial" w:cs="Arial"/>
        <w:sz w:val="16"/>
        <w:szCs w:val="16"/>
      </w:rPr>
      <w:t>Continuación oficio</w:t>
    </w:r>
    <w:r w:rsidR="004E77EA">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885D86">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885D86">
      <w:rPr>
        <w:rStyle w:val="Nmerodepgina"/>
        <w:rFonts w:ascii="Arial" w:hAnsi="Arial" w:cs="Arial"/>
        <w:noProof/>
        <w:sz w:val="16"/>
        <w:szCs w:val="16"/>
      </w:rPr>
      <w:t>22</w:t>
    </w:r>
    <w:r w:rsidRPr="00F01F75">
      <w:rPr>
        <w:rStyle w:val="Nmerodepgina"/>
        <w:rFonts w:ascii="Arial" w:hAnsi="Arial" w:cs="Arial"/>
        <w:sz w:val="16"/>
        <w:szCs w:val="16"/>
      </w:rPr>
      <w:fldChar w:fldCharType="end"/>
    </w:r>
  </w:p>
  <w:p w:rsidR="00F914D2" w:rsidRPr="00F01F75" w:rsidRDefault="00F914D2">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D2" w:rsidRDefault="00917454" w:rsidP="00917454">
    <w:pPr>
      <w:pStyle w:val="Encabezado"/>
    </w:pPr>
    <w:r>
      <w:rPr>
        <w:noProof/>
        <w:lang w:eastAsia="es-CO"/>
      </w:rPr>
      <w:drawing>
        <wp:inline distT="0" distB="0" distL="0" distR="0">
          <wp:extent cx="2809875" cy="5810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730" t="22370" r="69280" b="72297"/>
                  <a:stretch/>
                </pic:blipFill>
                <pic:spPr bwMode="auto">
                  <a:xfrm>
                    <a:off x="0" y="0"/>
                    <a:ext cx="2809875" cy="581025"/>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BD3F24"/>
    <w:multiLevelType w:val="hybridMultilevel"/>
    <w:tmpl w:val="93222898"/>
    <w:lvl w:ilvl="0" w:tplc="240A0017">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 w15:restartNumberingAfterBreak="0">
    <w:nsid w:val="3041749B"/>
    <w:multiLevelType w:val="hybridMultilevel"/>
    <w:tmpl w:val="39D29690"/>
    <w:lvl w:ilvl="0" w:tplc="7C7897A4">
      <w:numFmt w:val="bullet"/>
      <w:lvlText w:val="-"/>
      <w:lvlJc w:val="left"/>
      <w:pPr>
        <w:ind w:left="982" w:hanging="360"/>
      </w:pPr>
      <w:rPr>
        <w:rFonts w:ascii="Carlito" w:eastAsia="Carlito" w:hAnsi="Carlito" w:cs="Carlito" w:hint="default"/>
        <w:spacing w:val="-2"/>
        <w:w w:val="85"/>
        <w:sz w:val="24"/>
        <w:szCs w:val="24"/>
        <w:lang w:val="es-ES" w:eastAsia="en-US" w:bidi="ar-SA"/>
      </w:rPr>
    </w:lvl>
    <w:lvl w:ilvl="1" w:tplc="EA4E54CC">
      <w:numFmt w:val="bullet"/>
      <w:lvlText w:val="•"/>
      <w:lvlJc w:val="left"/>
      <w:pPr>
        <w:ind w:left="1860" w:hanging="360"/>
      </w:pPr>
      <w:rPr>
        <w:lang w:val="es-ES" w:eastAsia="en-US" w:bidi="ar-SA"/>
      </w:rPr>
    </w:lvl>
    <w:lvl w:ilvl="2" w:tplc="7108ADFE">
      <w:numFmt w:val="bullet"/>
      <w:lvlText w:val="•"/>
      <w:lvlJc w:val="left"/>
      <w:pPr>
        <w:ind w:left="2740" w:hanging="360"/>
      </w:pPr>
      <w:rPr>
        <w:lang w:val="es-ES" w:eastAsia="en-US" w:bidi="ar-SA"/>
      </w:rPr>
    </w:lvl>
    <w:lvl w:ilvl="3" w:tplc="57F486C4">
      <w:numFmt w:val="bullet"/>
      <w:lvlText w:val="•"/>
      <w:lvlJc w:val="left"/>
      <w:pPr>
        <w:ind w:left="3620" w:hanging="360"/>
      </w:pPr>
      <w:rPr>
        <w:lang w:val="es-ES" w:eastAsia="en-US" w:bidi="ar-SA"/>
      </w:rPr>
    </w:lvl>
    <w:lvl w:ilvl="4" w:tplc="86306198">
      <w:numFmt w:val="bullet"/>
      <w:lvlText w:val="•"/>
      <w:lvlJc w:val="left"/>
      <w:pPr>
        <w:ind w:left="4500" w:hanging="360"/>
      </w:pPr>
      <w:rPr>
        <w:lang w:val="es-ES" w:eastAsia="en-US" w:bidi="ar-SA"/>
      </w:rPr>
    </w:lvl>
    <w:lvl w:ilvl="5" w:tplc="9300F782">
      <w:numFmt w:val="bullet"/>
      <w:lvlText w:val="•"/>
      <w:lvlJc w:val="left"/>
      <w:pPr>
        <w:ind w:left="5380" w:hanging="360"/>
      </w:pPr>
      <w:rPr>
        <w:lang w:val="es-ES" w:eastAsia="en-US" w:bidi="ar-SA"/>
      </w:rPr>
    </w:lvl>
    <w:lvl w:ilvl="6" w:tplc="BD5ACAD4">
      <w:numFmt w:val="bullet"/>
      <w:lvlText w:val="•"/>
      <w:lvlJc w:val="left"/>
      <w:pPr>
        <w:ind w:left="6260" w:hanging="360"/>
      </w:pPr>
      <w:rPr>
        <w:lang w:val="es-ES" w:eastAsia="en-US" w:bidi="ar-SA"/>
      </w:rPr>
    </w:lvl>
    <w:lvl w:ilvl="7" w:tplc="9BDE0B68">
      <w:numFmt w:val="bullet"/>
      <w:lvlText w:val="•"/>
      <w:lvlJc w:val="left"/>
      <w:pPr>
        <w:ind w:left="7140" w:hanging="360"/>
      </w:pPr>
      <w:rPr>
        <w:lang w:val="es-ES" w:eastAsia="en-US" w:bidi="ar-SA"/>
      </w:rPr>
    </w:lvl>
    <w:lvl w:ilvl="8" w:tplc="CFFA51BC">
      <w:numFmt w:val="bullet"/>
      <w:lvlText w:val="•"/>
      <w:lvlJc w:val="left"/>
      <w:pPr>
        <w:ind w:left="8020" w:hanging="360"/>
      </w:pPr>
      <w:rPr>
        <w:lang w:val="es-ES" w:eastAsia="en-US" w:bidi="ar-SA"/>
      </w:rPr>
    </w:lvl>
  </w:abstractNum>
  <w:abstractNum w:abstractNumId="5" w15:restartNumberingAfterBreak="0">
    <w:nsid w:val="30A97B95"/>
    <w:multiLevelType w:val="multilevel"/>
    <w:tmpl w:val="05CEE9C2"/>
    <w:lvl w:ilvl="0">
      <w:start w:val="1"/>
      <w:numFmt w:val="decimal"/>
      <w:lvlText w:val="%1"/>
      <w:lvlJc w:val="left"/>
      <w:pPr>
        <w:ind w:left="725" w:hanging="360"/>
      </w:pPr>
      <w:rPr>
        <w:lang w:val="es-ES" w:eastAsia="en-US" w:bidi="ar-SA"/>
      </w:rPr>
    </w:lvl>
    <w:lvl w:ilvl="1">
      <w:start w:val="1"/>
      <w:numFmt w:val="decimal"/>
      <w:lvlText w:val="%1.%2"/>
      <w:lvlJc w:val="left"/>
      <w:pPr>
        <w:ind w:left="725" w:hanging="360"/>
      </w:pPr>
      <w:rPr>
        <w:rFonts w:ascii="Carlito" w:eastAsia="Carlito" w:hAnsi="Carlito" w:cs="Carlito" w:hint="default"/>
        <w:w w:val="100"/>
        <w:sz w:val="24"/>
        <w:szCs w:val="24"/>
        <w:lang w:val="es-ES" w:eastAsia="en-US" w:bidi="ar-SA"/>
      </w:rPr>
    </w:lvl>
    <w:lvl w:ilvl="2">
      <w:numFmt w:val="bullet"/>
      <w:lvlText w:val="•"/>
      <w:lvlJc w:val="left"/>
      <w:pPr>
        <w:ind w:left="2532" w:hanging="360"/>
      </w:pPr>
      <w:rPr>
        <w:lang w:val="es-ES" w:eastAsia="en-US" w:bidi="ar-SA"/>
      </w:rPr>
    </w:lvl>
    <w:lvl w:ilvl="3">
      <w:numFmt w:val="bullet"/>
      <w:lvlText w:val="•"/>
      <w:lvlJc w:val="left"/>
      <w:pPr>
        <w:ind w:left="3438" w:hanging="360"/>
      </w:pPr>
      <w:rPr>
        <w:lang w:val="es-ES" w:eastAsia="en-US" w:bidi="ar-SA"/>
      </w:rPr>
    </w:lvl>
    <w:lvl w:ilvl="4">
      <w:numFmt w:val="bullet"/>
      <w:lvlText w:val="•"/>
      <w:lvlJc w:val="left"/>
      <w:pPr>
        <w:ind w:left="4344" w:hanging="360"/>
      </w:pPr>
      <w:rPr>
        <w:lang w:val="es-ES" w:eastAsia="en-US" w:bidi="ar-SA"/>
      </w:rPr>
    </w:lvl>
    <w:lvl w:ilvl="5">
      <w:numFmt w:val="bullet"/>
      <w:lvlText w:val="•"/>
      <w:lvlJc w:val="left"/>
      <w:pPr>
        <w:ind w:left="5250" w:hanging="360"/>
      </w:pPr>
      <w:rPr>
        <w:lang w:val="es-ES" w:eastAsia="en-US" w:bidi="ar-SA"/>
      </w:rPr>
    </w:lvl>
    <w:lvl w:ilvl="6">
      <w:numFmt w:val="bullet"/>
      <w:lvlText w:val="•"/>
      <w:lvlJc w:val="left"/>
      <w:pPr>
        <w:ind w:left="6156" w:hanging="360"/>
      </w:pPr>
      <w:rPr>
        <w:lang w:val="es-ES" w:eastAsia="en-US" w:bidi="ar-SA"/>
      </w:rPr>
    </w:lvl>
    <w:lvl w:ilvl="7">
      <w:numFmt w:val="bullet"/>
      <w:lvlText w:val="•"/>
      <w:lvlJc w:val="left"/>
      <w:pPr>
        <w:ind w:left="7062" w:hanging="360"/>
      </w:pPr>
      <w:rPr>
        <w:lang w:val="es-ES" w:eastAsia="en-US" w:bidi="ar-SA"/>
      </w:rPr>
    </w:lvl>
    <w:lvl w:ilvl="8">
      <w:numFmt w:val="bullet"/>
      <w:lvlText w:val="•"/>
      <w:lvlJc w:val="left"/>
      <w:pPr>
        <w:ind w:left="7968" w:hanging="360"/>
      </w:pPr>
      <w:rPr>
        <w:lang w:val="es-ES" w:eastAsia="en-US" w:bidi="ar-SA"/>
      </w:rPr>
    </w:lvl>
  </w:abstractNum>
  <w:abstractNum w:abstractNumId="6" w15:restartNumberingAfterBreak="0">
    <w:nsid w:val="30E87719"/>
    <w:multiLevelType w:val="multilevel"/>
    <w:tmpl w:val="774E4804"/>
    <w:lvl w:ilvl="0">
      <w:start w:val="8"/>
      <w:numFmt w:val="decimal"/>
      <w:lvlText w:val="%1"/>
      <w:lvlJc w:val="left"/>
      <w:pPr>
        <w:ind w:left="982" w:hanging="360"/>
      </w:pPr>
      <w:rPr>
        <w:rFonts w:ascii="Carlito" w:eastAsia="Carlito" w:hAnsi="Carlito" w:cs="Carlito" w:hint="default"/>
        <w:b/>
        <w:bCs/>
        <w:spacing w:val="-3"/>
        <w:w w:val="100"/>
        <w:sz w:val="24"/>
        <w:szCs w:val="24"/>
        <w:lang w:val="es-ES" w:eastAsia="en-US" w:bidi="ar-SA"/>
      </w:rPr>
    </w:lvl>
    <w:lvl w:ilvl="1">
      <w:start w:val="1"/>
      <w:numFmt w:val="decimal"/>
      <w:lvlText w:val="%1.%2"/>
      <w:lvlJc w:val="left"/>
      <w:pPr>
        <w:ind w:left="1342" w:hanging="360"/>
      </w:pPr>
      <w:rPr>
        <w:rFonts w:ascii="Carlito" w:eastAsia="Carlito" w:hAnsi="Carlito" w:cs="Carlito" w:hint="default"/>
        <w:w w:val="100"/>
        <w:sz w:val="24"/>
        <w:szCs w:val="24"/>
        <w:lang w:val="es-ES" w:eastAsia="en-US" w:bidi="ar-SA"/>
      </w:rPr>
    </w:lvl>
    <w:lvl w:ilvl="2">
      <w:numFmt w:val="bullet"/>
      <w:lvlText w:val="•"/>
      <w:lvlJc w:val="left"/>
      <w:pPr>
        <w:ind w:left="2277" w:hanging="360"/>
      </w:pPr>
      <w:rPr>
        <w:lang w:val="es-ES" w:eastAsia="en-US" w:bidi="ar-SA"/>
      </w:rPr>
    </w:lvl>
    <w:lvl w:ilvl="3">
      <w:numFmt w:val="bullet"/>
      <w:lvlText w:val="•"/>
      <w:lvlJc w:val="left"/>
      <w:pPr>
        <w:ind w:left="3215" w:hanging="360"/>
      </w:pPr>
      <w:rPr>
        <w:lang w:val="es-ES" w:eastAsia="en-US" w:bidi="ar-SA"/>
      </w:rPr>
    </w:lvl>
    <w:lvl w:ilvl="4">
      <w:numFmt w:val="bullet"/>
      <w:lvlText w:val="•"/>
      <w:lvlJc w:val="left"/>
      <w:pPr>
        <w:ind w:left="4153" w:hanging="360"/>
      </w:pPr>
      <w:rPr>
        <w:lang w:val="es-ES" w:eastAsia="en-US" w:bidi="ar-SA"/>
      </w:rPr>
    </w:lvl>
    <w:lvl w:ilvl="5">
      <w:numFmt w:val="bullet"/>
      <w:lvlText w:val="•"/>
      <w:lvlJc w:val="left"/>
      <w:pPr>
        <w:ind w:left="5091" w:hanging="360"/>
      </w:pPr>
      <w:rPr>
        <w:lang w:val="es-ES" w:eastAsia="en-US" w:bidi="ar-SA"/>
      </w:rPr>
    </w:lvl>
    <w:lvl w:ilvl="6">
      <w:numFmt w:val="bullet"/>
      <w:lvlText w:val="•"/>
      <w:lvlJc w:val="left"/>
      <w:pPr>
        <w:ind w:left="6028" w:hanging="360"/>
      </w:pPr>
      <w:rPr>
        <w:lang w:val="es-ES" w:eastAsia="en-US" w:bidi="ar-SA"/>
      </w:rPr>
    </w:lvl>
    <w:lvl w:ilvl="7">
      <w:numFmt w:val="bullet"/>
      <w:lvlText w:val="•"/>
      <w:lvlJc w:val="left"/>
      <w:pPr>
        <w:ind w:left="6966" w:hanging="360"/>
      </w:pPr>
      <w:rPr>
        <w:lang w:val="es-ES" w:eastAsia="en-US" w:bidi="ar-SA"/>
      </w:rPr>
    </w:lvl>
    <w:lvl w:ilvl="8">
      <w:numFmt w:val="bullet"/>
      <w:lvlText w:val="•"/>
      <w:lvlJc w:val="left"/>
      <w:pPr>
        <w:ind w:left="7904" w:hanging="360"/>
      </w:pPr>
      <w:rPr>
        <w:lang w:val="es-ES" w:eastAsia="en-US" w:bidi="ar-SA"/>
      </w:rPr>
    </w:lvl>
  </w:abstractNum>
  <w:abstractNum w:abstractNumId="7" w15:restartNumberingAfterBreak="0">
    <w:nsid w:val="34EE469E"/>
    <w:multiLevelType w:val="multilevel"/>
    <w:tmpl w:val="3BBCED56"/>
    <w:lvl w:ilvl="0">
      <w:start w:val="8"/>
      <w:numFmt w:val="decimal"/>
      <w:lvlText w:val="%1"/>
      <w:lvlJc w:val="left"/>
      <w:pPr>
        <w:ind w:left="1341" w:hanging="360"/>
      </w:pPr>
      <w:rPr>
        <w:lang w:val="es-ES" w:eastAsia="en-US" w:bidi="ar-SA"/>
      </w:rPr>
    </w:lvl>
    <w:lvl w:ilvl="1">
      <w:start w:val="6"/>
      <w:numFmt w:val="decimal"/>
      <w:lvlText w:val="%1.%2"/>
      <w:lvlJc w:val="left"/>
      <w:pPr>
        <w:ind w:left="1341" w:hanging="360"/>
      </w:pPr>
      <w:rPr>
        <w:rFonts w:ascii="Carlito" w:eastAsia="Carlito" w:hAnsi="Carlito" w:cs="Carlito" w:hint="default"/>
        <w:w w:val="100"/>
        <w:sz w:val="24"/>
        <w:szCs w:val="24"/>
        <w:lang w:val="es-ES" w:eastAsia="en-US" w:bidi="ar-SA"/>
      </w:rPr>
    </w:lvl>
    <w:lvl w:ilvl="2">
      <w:numFmt w:val="bullet"/>
      <w:lvlText w:val="•"/>
      <w:lvlJc w:val="left"/>
      <w:pPr>
        <w:ind w:left="3028" w:hanging="360"/>
      </w:pPr>
      <w:rPr>
        <w:lang w:val="es-ES" w:eastAsia="en-US" w:bidi="ar-SA"/>
      </w:rPr>
    </w:lvl>
    <w:lvl w:ilvl="3">
      <w:numFmt w:val="bullet"/>
      <w:lvlText w:val="•"/>
      <w:lvlJc w:val="left"/>
      <w:pPr>
        <w:ind w:left="3872" w:hanging="360"/>
      </w:pPr>
      <w:rPr>
        <w:lang w:val="es-ES" w:eastAsia="en-US" w:bidi="ar-SA"/>
      </w:rPr>
    </w:lvl>
    <w:lvl w:ilvl="4">
      <w:numFmt w:val="bullet"/>
      <w:lvlText w:val="•"/>
      <w:lvlJc w:val="left"/>
      <w:pPr>
        <w:ind w:left="4716" w:hanging="360"/>
      </w:pPr>
      <w:rPr>
        <w:lang w:val="es-ES" w:eastAsia="en-US" w:bidi="ar-SA"/>
      </w:rPr>
    </w:lvl>
    <w:lvl w:ilvl="5">
      <w:numFmt w:val="bullet"/>
      <w:lvlText w:val="•"/>
      <w:lvlJc w:val="left"/>
      <w:pPr>
        <w:ind w:left="5560" w:hanging="360"/>
      </w:pPr>
      <w:rPr>
        <w:lang w:val="es-ES" w:eastAsia="en-US" w:bidi="ar-SA"/>
      </w:rPr>
    </w:lvl>
    <w:lvl w:ilvl="6">
      <w:numFmt w:val="bullet"/>
      <w:lvlText w:val="•"/>
      <w:lvlJc w:val="left"/>
      <w:pPr>
        <w:ind w:left="6404" w:hanging="360"/>
      </w:pPr>
      <w:rPr>
        <w:lang w:val="es-ES" w:eastAsia="en-US" w:bidi="ar-SA"/>
      </w:rPr>
    </w:lvl>
    <w:lvl w:ilvl="7">
      <w:numFmt w:val="bullet"/>
      <w:lvlText w:val="•"/>
      <w:lvlJc w:val="left"/>
      <w:pPr>
        <w:ind w:left="7248" w:hanging="360"/>
      </w:pPr>
      <w:rPr>
        <w:lang w:val="es-ES" w:eastAsia="en-US" w:bidi="ar-SA"/>
      </w:rPr>
    </w:lvl>
    <w:lvl w:ilvl="8">
      <w:numFmt w:val="bullet"/>
      <w:lvlText w:val="•"/>
      <w:lvlJc w:val="left"/>
      <w:pPr>
        <w:ind w:left="8092" w:hanging="360"/>
      </w:pPr>
      <w:rPr>
        <w:lang w:val="es-ES" w:eastAsia="en-US" w:bidi="ar-SA"/>
      </w:rPr>
    </w:lvl>
  </w:abstractNum>
  <w:abstractNum w:abstractNumId="8"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74B429F"/>
    <w:multiLevelType w:val="hybridMultilevel"/>
    <w:tmpl w:val="1FDA3158"/>
    <w:lvl w:ilvl="0" w:tplc="8D742136">
      <w:numFmt w:val="bullet"/>
      <w:lvlText w:val="-"/>
      <w:lvlJc w:val="left"/>
      <w:pPr>
        <w:ind w:left="622" w:hanging="360"/>
      </w:pPr>
      <w:rPr>
        <w:rFonts w:ascii="Carlito" w:eastAsia="Carlito" w:hAnsi="Carlito" w:cs="Carlito" w:hint="default"/>
        <w:spacing w:val="-19"/>
        <w:w w:val="100"/>
        <w:sz w:val="24"/>
        <w:szCs w:val="24"/>
        <w:lang w:val="es-ES" w:eastAsia="en-US" w:bidi="ar-SA"/>
      </w:rPr>
    </w:lvl>
    <w:lvl w:ilvl="1" w:tplc="861AF8A4">
      <w:numFmt w:val="bullet"/>
      <w:lvlText w:val="•"/>
      <w:lvlJc w:val="left"/>
      <w:pPr>
        <w:ind w:left="1536" w:hanging="360"/>
      </w:pPr>
      <w:rPr>
        <w:lang w:val="es-ES" w:eastAsia="en-US" w:bidi="ar-SA"/>
      </w:rPr>
    </w:lvl>
    <w:lvl w:ilvl="2" w:tplc="2F648D88">
      <w:numFmt w:val="bullet"/>
      <w:lvlText w:val="•"/>
      <w:lvlJc w:val="left"/>
      <w:pPr>
        <w:ind w:left="2452" w:hanging="360"/>
      </w:pPr>
      <w:rPr>
        <w:lang w:val="es-ES" w:eastAsia="en-US" w:bidi="ar-SA"/>
      </w:rPr>
    </w:lvl>
    <w:lvl w:ilvl="3" w:tplc="1E6EC9DC">
      <w:numFmt w:val="bullet"/>
      <w:lvlText w:val="•"/>
      <w:lvlJc w:val="left"/>
      <w:pPr>
        <w:ind w:left="3368" w:hanging="360"/>
      </w:pPr>
      <w:rPr>
        <w:lang w:val="es-ES" w:eastAsia="en-US" w:bidi="ar-SA"/>
      </w:rPr>
    </w:lvl>
    <w:lvl w:ilvl="4" w:tplc="82D48776">
      <w:numFmt w:val="bullet"/>
      <w:lvlText w:val="•"/>
      <w:lvlJc w:val="left"/>
      <w:pPr>
        <w:ind w:left="4284" w:hanging="360"/>
      </w:pPr>
      <w:rPr>
        <w:lang w:val="es-ES" w:eastAsia="en-US" w:bidi="ar-SA"/>
      </w:rPr>
    </w:lvl>
    <w:lvl w:ilvl="5" w:tplc="43D6FDA0">
      <w:numFmt w:val="bullet"/>
      <w:lvlText w:val="•"/>
      <w:lvlJc w:val="left"/>
      <w:pPr>
        <w:ind w:left="5200" w:hanging="360"/>
      </w:pPr>
      <w:rPr>
        <w:lang w:val="es-ES" w:eastAsia="en-US" w:bidi="ar-SA"/>
      </w:rPr>
    </w:lvl>
    <w:lvl w:ilvl="6" w:tplc="69766C5E">
      <w:numFmt w:val="bullet"/>
      <w:lvlText w:val="•"/>
      <w:lvlJc w:val="left"/>
      <w:pPr>
        <w:ind w:left="6116" w:hanging="360"/>
      </w:pPr>
      <w:rPr>
        <w:lang w:val="es-ES" w:eastAsia="en-US" w:bidi="ar-SA"/>
      </w:rPr>
    </w:lvl>
    <w:lvl w:ilvl="7" w:tplc="EC286034">
      <w:numFmt w:val="bullet"/>
      <w:lvlText w:val="•"/>
      <w:lvlJc w:val="left"/>
      <w:pPr>
        <w:ind w:left="7032" w:hanging="360"/>
      </w:pPr>
      <w:rPr>
        <w:lang w:val="es-ES" w:eastAsia="en-US" w:bidi="ar-SA"/>
      </w:rPr>
    </w:lvl>
    <w:lvl w:ilvl="8" w:tplc="16B0A49E">
      <w:numFmt w:val="bullet"/>
      <w:lvlText w:val="•"/>
      <w:lvlJc w:val="left"/>
      <w:pPr>
        <w:ind w:left="7948" w:hanging="360"/>
      </w:pPr>
      <w:rPr>
        <w:lang w:val="es-ES" w:eastAsia="en-US" w:bidi="ar-SA"/>
      </w:rPr>
    </w:lvl>
  </w:abstractNum>
  <w:abstractNum w:abstractNumId="12"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B844637"/>
    <w:multiLevelType w:val="multilevel"/>
    <w:tmpl w:val="E3DE70B2"/>
    <w:lvl w:ilvl="0">
      <w:start w:val="5"/>
      <w:numFmt w:val="decimal"/>
      <w:lvlText w:val="%1"/>
      <w:lvlJc w:val="left"/>
      <w:pPr>
        <w:ind w:left="360" w:hanging="360"/>
      </w:pPr>
    </w:lvl>
    <w:lvl w:ilvl="1">
      <w:start w:val="1"/>
      <w:numFmt w:val="decimal"/>
      <w:lvlText w:val="%1.%2"/>
      <w:lvlJc w:val="left"/>
      <w:pPr>
        <w:ind w:left="621" w:hanging="360"/>
      </w:pPr>
    </w:lvl>
    <w:lvl w:ilvl="2">
      <w:start w:val="1"/>
      <w:numFmt w:val="decimal"/>
      <w:lvlText w:val="%1.%2.%3"/>
      <w:lvlJc w:val="left"/>
      <w:pPr>
        <w:ind w:left="1242" w:hanging="720"/>
      </w:pPr>
    </w:lvl>
    <w:lvl w:ilvl="3">
      <w:start w:val="1"/>
      <w:numFmt w:val="decimal"/>
      <w:lvlText w:val="%1.%2.%3.%4"/>
      <w:lvlJc w:val="left"/>
      <w:pPr>
        <w:ind w:left="1503" w:hanging="720"/>
      </w:pPr>
    </w:lvl>
    <w:lvl w:ilvl="4">
      <w:start w:val="1"/>
      <w:numFmt w:val="decimal"/>
      <w:lvlText w:val="%1.%2.%3.%4.%5"/>
      <w:lvlJc w:val="left"/>
      <w:pPr>
        <w:ind w:left="2124" w:hanging="1080"/>
      </w:pPr>
    </w:lvl>
    <w:lvl w:ilvl="5">
      <w:start w:val="1"/>
      <w:numFmt w:val="decimal"/>
      <w:lvlText w:val="%1.%2.%3.%4.%5.%6"/>
      <w:lvlJc w:val="left"/>
      <w:pPr>
        <w:ind w:left="2385" w:hanging="1080"/>
      </w:pPr>
    </w:lvl>
    <w:lvl w:ilvl="6">
      <w:start w:val="1"/>
      <w:numFmt w:val="decimal"/>
      <w:lvlText w:val="%1.%2.%3.%4.%5.%6.%7"/>
      <w:lvlJc w:val="left"/>
      <w:pPr>
        <w:ind w:left="3006" w:hanging="1440"/>
      </w:pPr>
    </w:lvl>
    <w:lvl w:ilvl="7">
      <w:start w:val="1"/>
      <w:numFmt w:val="decimal"/>
      <w:lvlText w:val="%1.%2.%3.%4.%5.%6.%7.%8"/>
      <w:lvlJc w:val="left"/>
      <w:pPr>
        <w:ind w:left="3267" w:hanging="1440"/>
      </w:pPr>
    </w:lvl>
    <w:lvl w:ilvl="8">
      <w:start w:val="1"/>
      <w:numFmt w:val="decimal"/>
      <w:lvlText w:val="%1.%2.%3.%4.%5.%6.%7.%8.%9"/>
      <w:lvlJc w:val="left"/>
      <w:pPr>
        <w:ind w:left="3888" w:hanging="1800"/>
      </w:pPr>
    </w:lvl>
  </w:abstractNum>
  <w:abstractNum w:abstractNumId="14" w15:restartNumberingAfterBreak="0">
    <w:nsid w:val="7DE4614D"/>
    <w:multiLevelType w:val="multilevel"/>
    <w:tmpl w:val="8698D626"/>
    <w:lvl w:ilvl="0">
      <w:start w:val="2"/>
      <w:numFmt w:val="decimal"/>
      <w:lvlText w:val="%1"/>
      <w:lvlJc w:val="left"/>
      <w:pPr>
        <w:ind w:left="622" w:hanging="360"/>
      </w:pPr>
      <w:rPr>
        <w:rFonts w:ascii="Carlito" w:eastAsia="Carlito" w:hAnsi="Carlito" w:cs="Carlito" w:hint="default"/>
        <w:b/>
        <w:bCs/>
        <w:spacing w:val="-24"/>
        <w:w w:val="100"/>
        <w:sz w:val="24"/>
        <w:szCs w:val="24"/>
        <w:lang w:val="es-ES" w:eastAsia="en-US" w:bidi="ar-SA"/>
      </w:rPr>
    </w:lvl>
    <w:lvl w:ilvl="1">
      <w:start w:val="1"/>
      <w:numFmt w:val="decimal"/>
      <w:lvlText w:val="%1.%2"/>
      <w:lvlJc w:val="left"/>
      <w:pPr>
        <w:ind w:left="621" w:hanging="360"/>
      </w:pPr>
      <w:rPr>
        <w:rFonts w:ascii="Carlito" w:eastAsia="Carlito" w:hAnsi="Carlito" w:cs="Carlito" w:hint="default"/>
        <w:w w:val="100"/>
        <w:sz w:val="24"/>
        <w:szCs w:val="24"/>
        <w:lang w:val="es-ES" w:eastAsia="en-US" w:bidi="ar-SA"/>
      </w:rPr>
    </w:lvl>
    <w:lvl w:ilvl="2">
      <w:numFmt w:val="bullet"/>
      <w:lvlText w:val="•"/>
      <w:lvlJc w:val="left"/>
      <w:pPr>
        <w:ind w:left="1726" w:hanging="360"/>
      </w:pPr>
      <w:rPr>
        <w:lang w:val="es-ES" w:eastAsia="en-US" w:bidi="ar-SA"/>
      </w:rPr>
    </w:lvl>
    <w:lvl w:ilvl="3">
      <w:numFmt w:val="bullet"/>
      <w:lvlText w:val="•"/>
      <w:lvlJc w:val="left"/>
      <w:pPr>
        <w:ind w:left="2733" w:hanging="360"/>
      </w:pPr>
      <w:rPr>
        <w:lang w:val="es-ES" w:eastAsia="en-US" w:bidi="ar-SA"/>
      </w:rPr>
    </w:lvl>
    <w:lvl w:ilvl="4">
      <w:numFmt w:val="bullet"/>
      <w:lvlText w:val="•"/>
      <w:lvlJc w:val="left"/>
      <w:pPr>
        <w:ind w:left="3740" w:hanging="360"/>
      </w:pPr>
      <w:rPr>
        <w:lang w:val="es-ES" w:eastAsia="en-US" w:bidi="ar-SA"/>
      </w:rPr>
    </w:lvl>
    <w:lvl w:ilvl="5">
      <w:numFmt w:val="bullet"/>
      <w:lvlText w:val="•"/>
      <w:lvlJc w:val="left"/>
      <w:pPr>
        <w:ind w:left="4746" w:hanging="360"/>
      </w:pPr>
      <w:rPr>
        <w:lang w:val="es-ES" w:eastAsia="en-US" w:bidi="ar-SA"/>
      </w:rPr>
    </w:lvl>
    <w:lvl w:ilvl="6">
      <w:numFmt w:val="bullet"/>
      <w:lvlText w:val="•"/>
      <w:lvlJc w:val="left"/>
      <w:pPr>
        <w:ind w:left="5753" w:hanging="360"/>
      </w:pPr>
      <w:rPr>
        <w:lang w:val="es-ES" w:eastAsia="en-US" w:bidi="ar-SA"/>
      </w:rPr>
    </w:lvl>
    <w:lvl w:ilvl="7">
      <w:numFmt w:val="bullet"/>
      <w:lvlText w:val="•"/>
      <w:lvlJc w:val="left"/>
      <w:pPr>
        <w:ind w:left="6760" w:hanging="360"/>
      </w:pPr>
      <w:rPr>
        <w:lang w:val="es-ES" w:eastAsia="en-US" w:bidi="ar-SA"/>
      </w:rPr>
    </w:lvl>
    <w:lvl w:ilvl="8">
      <w:numFmt w:val="bullet"/>
      <w:lvlText w:val="•"/>
      <w:lvlJc w:val="left"/>
      <w:pPr>
        <w:ind w:left="7766" w:hanging="360"/>
      </w:pPr>
      <w:rPr>
        <w:lang w:val="es-ES" w:eastAsia="en-US" w:bidi="ar-SA"/>
      </w:rPr>
    </w:lvl>
  </w:abstractNum>
  <w:num w:numId="1">
    <w:abstractNumId w:val="1"/>
  </w:num>
  <w:num w:numId="2">
    <w:abstractNumId w:val="12"/>
  </w:num>
  <w:num w:numId="3">
    <w:abstractNumId w:val="2"/>
  </w:num>
  <w:num w:numId="4">
    <w:abstractNumId w:val="9"/>
  </w:num>
  <w:num w:numId="5">
    <w:abstractNumId w:val="0"/>
  </w:num>
  <w:num w:numId="6">
    <w:abstractNumId w:val="10"/>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4"/>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4"/>
  </w:num>
  <w:num w:numId="1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6"/>
    <w:lvlOverride w:ilvl="0">
      <w:startOverride w:val="8"/>
    </w:lvlOverride>
    <w:lvlOverride w:ilvl="1">
      <w:startOverride w:val="1"/>
    </w:lvlOverride>
    <w:lvlOverride w:ilvl="2"/>
    <w:lvlOverride w:ilvl="3"/>
    <w:lvlOverride w:ilvl="4"/>
    <w:lvlOverride w:ilvl="5"/>
    <w:lvlOverride w:ilvl="6"/>
    <w:lvlOverride w:ilvl="7"/>
    <w:lvlOverride w:ilvl="8"/>
  </w:num>
  <w:num w:numId="19">
    <w:abstractNumId w:val="7"/>
    <w:lvlOverride w:ilvl="0">
      <w:startOverride w:val="8"/>
    </w:lvlOverride>
    <w:lvlOverride w:ilvl="1">
      <w:startOverride w:val="6"/>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102FA"/>
    <w:rsid w:val="0004707D"/>
    <w:rsid w:val="00073A1F"/>
    <w:rsid w:val="000877D1"/>
    <w:rsid w:val="000B5E9E"/>
    <w:rsid w:val="000E2C13"/>
    <w:rsid w:val="0011263A"/>
    <w:rsid w:val="001339E2"/>
    <w:rsid w:val="0013472A"/>
    <w:rsid w:val="00153C65"/>
    <w:rsid w:val="001976D2"/>
    <w:rsid w:val="001F7009"/>
    <w:rsid w:val="0022264A"/>
    <w:rsid w:val="00224654"/>
    <w:rsid w:val="0024487B"/>
    <w:rsid w:val="00285D5F"/>
    <w:rsid w:val="002A6351"/>
    <w:rsid w:val="002B2E03"/>
    <w:rsid w:val="002C4777"/>
    <w:rsid w:val="0033289D"/>
    <w:rsid w:val="0034312A"/>
    <w:rsid w:val="003B28F2"/>
    <w:rsid w:val="003B4DD5"/>
    <w:rsid w:val="003C6D25"/>
    <w:rsid w:val="003D798F"/>
    <w:rsid w:val="003E632D"/>
    <w:rsid w:val="00410C94"/>
    <w:rsid w:val="00415295"/>
    <w:rsid w:val="0044344C"/>
    <w:rsid w:val="00452CAE"/>
    <w:rsid w:val="00472DB8"/>
    <w:rsid w:val="00473B82"/>
    <w:rsid w:val="004A2D09"/>
    <w:rsid w:val="004B16C1"/>
    <w:rsid w:val="004E432F"/>
    <w:rsid w:val="004E77EA"/>
    <w:rsid w:val="004E7B18"/>
    <w:rsid w:val="00502D8B"/>
    <w:rsid w:val="00504C0C"/>
    <w:rsid w:val="005364A0"/>
    <w:rsid w:val="00561999"/>
    <w:rsid w:val="005B2D9A"/>
    <w:rsid w:val="005C6301"/>
    <w:rsid w:val="005E1133"/>
    <w:rsid w:val="005F1E0F"/>
    <w:rsid w:val="006252FE"/>
    <w:rsid w:val="00625FC7"/>
    <w:rsid w:val="0062793E"/>
    <w:rsid w:val="0063188F"/>
    <w:rsid w:val="00683AC6"/>
    <w:rsid w:val="00687E5C"/>
    <w:rsid w:val="006A29E0"/>
    <w:rsid w:val="006B67FE"/>
    <w:rsid w:val="006C1E01"/>
    <w:rsid w:val="006C2B4A"/>
    <w:rsid w:val="006E18DB"/>
    <w:rsid w:val="00700DAA"/>
    <w:rsid w:val="00702037"/>
    <w:rsid w:val="00736096"/>
    <w:rsid w:val="00774DC9"/>
    <w:rsid w:val="007760F2"/>
    <w:rsid w:val="00785AE1"/>
    <w:rsid w:val="007D7427"/>
    <w:rsid w:val="00804184"/>
    <w:rsid w:val="008356D8"/>
    <w:rsid w:val="008540DC"/>
    <w:rsid w:val="00862A45"/>
    <w:rsid w:val="00870E09"/>
    <w:rsid w:val="00874628"/>
    <w:rsid w:val="00885D86"/>
    <w:rsid w:val="008A2D0E"/>
    <w:rsid w:val="008A67B2"/>
    <w:rsid w:val="008C705B"/>
    <w:rsid w:val="0090640E"/>
    <w:rsid w:val="00917454"/>
    <w:rsid w:val="00931D87"/>
    <w:rsid w:val="00936335"/>
    <w:rsid w:val="00996E4F"/>
    <w:rsid w:val="009A14D9"/>
    <w:rsid w:val="009C57BA"/>
    <w:rsid w:val="009D1BF6"/>
    <w:rsid w:val="009F1853"/>
    <w:rsid w:val="00A45C91"/>
    <w:rsid w:val="00A82889"/>
    <w:rsid w:val="00AD0830"/>
    <w:rsid w:val="00B038F3"/>
    <w:rsid w:val="00B12358"/>
    <w:rsid w:val="00B22F0D"/>
    <w:rsid w:val="00B44184"/>
    <w:rsid w:val="00B51957"/>
    <w:rsid w:val="00B51D68"/>
    <w:rsid w:val="00B55E28"/>
    <w:rsid w:val="00B74688"/>
    <w:rsid w:val="00B80202"/>
    <w:rsid w:val="00B936FA"/>
    <w:rsid w:val="00BB45A4"/>
    <w:rsid w:val="00BB5205"/>
    <w:rsid w:val="00BC1762"/>
    <w:rsid w:val="00BD357D"/>
    <w:rsid w:val="00BD7883"/>
    <w:rsid w:val="00BE440E"/>
    <w:rsid w:val="00C30590"/>
    <w:rsid w:val="00C447A9"/>
    <w:rsid w:val="00C668DD"/>
    <w:rsid w:val="00CA5028"/>
    <w:rsid w:val="00D2162C"/>
    <w:rsid w:val="00D45F04"/>
    <w:rsid w:val="00DC25D3"/>
    <w:rsid w:val="00DD3C5C"/>
    <w:rsid w:val="00DD4C14"/>
    <w:rsid w:val="00DF13EB"/>
    <w:rsid w:val="00E543C2"/>
    <w:rsid w:val="00E61E67"/>
    <w:rsid w:val="00E81E8B"/>
    <w:rsid w:val="00E851BA"/>
    <w:rsid w:val="00E962A5"/>
    <w:rsid w:val="00E97BFD"/>
    <w:rsid w:val="00EB5584"/>
    <w:rsid w:val="00EC58EC"/>
    <w:rsid w:val="00EE231F"/>
    <w:rsid w:val="00EF523B"/>
    <w:rsid w:val="00F01F75"/>
    <w:rsid w:val="00F04D0A"/>
    <w:rsid w:val="00F12AF4"/>
    <w:rsid w:val="00F17232"/>
    <w:rsid w:val="00F229AE"/>
    <w:rsid w:val="00F65748"/>
    <w:rsid w:val="00F71345"/>
    <w:rsid w:val="00F914D2"/>
    <w:rsid w:val="00F970D0"/>
    <w:rsid w:val="00FB58C7"/>
    <w:rsid w:val="00FC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C8D609-A543-4940-8819-A3E4A4BC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link w:val="Ttulo1Car"/>
    <w:uiPriority w:val="1"/>
    <w:qFormat/>
    <w:rsid w:val="008A67B2"/>
    <w:pPr>
      <w:widowControl w:val="0"/>
      <w:autoSpaceDE w:val="0"/>
      <w:autoSpaceDN w:val="0"/>
      <w:ind w:left="262"/>
      <w:outlineLvl w:val="0"/>
    </w:pPr>
    <w:rPr>
      <w:rFonts w:ascii="Carlito" w:eastAsia="Carlito" w:hAnsi="Carlito" w:cs="Carlito"/>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titulo 3,Ha,Párrafo de lista2,Bullets,Chulito,parrafo,EITI list"/>
    <w:basedOn w:val="Normal"/>
    <w:link w:val="PrrafodelistaCar"/>
    <w:uiPriority w:val="1"/>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customStyle="1" w:styleId="Ttulo1Car">
    <w:name w:val="Título 1 Car"/>
    <w:basedOn w:val="Fuentedeprrafopredeter"/>
    <w:link w:val="Ttulo1"/>
    <w:uiPriority w:val="1"/>
    <w:rsid w:val="008A67B2"/>
    <w:rPr>
      <w:rFonts w:ascii="Carlito" w:eastAsia="Carlito" w:hAnsi="Carlito" w:cs="Carlito"/>
      <w:b/>
      <w:bCs/>
      <w:sz w:val="24"/>
      <w:szCs w:val="24"/>
      <w:lang w:val="es-ES"/>
    </w:rPr>
  </w:style>
  <w:style w:type="paragraph" w:styleId="Textonotapie">
    <w:name w:val="footnote text"/>
    <w:basedOn w:val="Normal"/>
    <w:link w:val="TextonotapieCar"/>
    <w:uiPriority w:val="99"/>
    <w:semiHidden/>
    <w:unhideWhenUsed/>
    <w:rsid w:val="008A67B2"/>
    <w:rPr>
      <w:sz w:val="20"/>
      <w:szCs w:val="20"/>
    </w:rPr>
  </w:style>
  <w:style w:type="character" w:customStyle="1" w:styleId="TextonotapieCar">
    <w:name w:val="Texto nota pie Car"/>
    <w:basedOn w:val="Fuentedeprrafopredeter"/>
    <w:link w:val="Textonotapie"/>
    <w:uiPriority w:val="99"/>
    <w:semiHidden/>
    <w:rsid w:val="008A67B2"/>
    <w:rPr>
      <w:rFonts w:ascii="Times New Roman" w:eastAsia="MS Mincho" w:hAnsi="Times New Roman" w:cs="Times New Roman"/>
      <w:sz w:val="20"/>
      <w:szCs w:val="20"/>
      <w:lang w:val="es-ES" w:eastAsia="es-ES"/>
    </w:rPr>
  </w:style>
  <w:style w:type="paragraph" w:styleId="Textoindependiente">
    <w:name w:val="Body Text"/>
    <w:basedOn w:val="Normal"/>
    <w:link w:val="TextoindependienteCar"/>
    <w:uiPriority w:val="1"/>
    <w:semiHidden/>
    <w:unhideWhenUsed/>
    <w:qFormat/>
    <w:rsid w:val="008A67B2"/>
    <w:pPr>
      <w:widowControl w:val="0"/>
      <w:autoSpaceDE w:val="0"/>
      <w:autoSpaceDN w:val="0"/>
    </w:pPr>
    <w:rPr>
      <w:rFonts w:ascii="Carlito" w:eastAsia="Carlito" w:hAnsi="Carlito" w:cs="Carlito"/>
      <w:lang w:eastAsia="en-US"/>
    </w:rPr>
  </w:style>
  <w:style w:type="character" w:customStyle="1" w:styleId="TextoindependienteCar">
    <w:name w:val="Texto independiente Car"/>
    <w:basedOn w:val="Fuentedeprrafopredeter"/>
    <w:link w:val="Textoindependiente"/>
    <w:uiPriority w:val="1"/>
    <w:semiHidden/>
    <w:rsid w:val="008A67B2"/>
    <w:rPr>
      <w:rFonts w:ascii="Carlito" w:eastAsia="Carlito" w:hAnsi="Carlito" w:cs="Carlito"/>
      <w:sz w:val="24"/>
      <w:szCs w:val="24"/>
      <w:lang w:val="es-ES"/>
    </w:rPr>
  </w:style>
  <w:style w:type="character" w:customStyle="1" w:styleId="PrrafodelistaCar">
    <w:name w:val="Párrafo de lista Car"/>
    <w:aliases w:val="titulo 3 Car,Ha Car,Párrafo de lista2 Car,Bullets Car,Chulito Car,parrafo Car,EITI list Car"/>
    <w:link w:val="Prrafodelista"/>
    <w:uiPriority w:val="1"/>
    <w:locked/>
    <w:rsid w:val="008A67B2"/>
    <w:rPr>
      <w:rFonts w:ascii="Times New Roman" w:eastAsia="MS Mincho" w:hAnsi="Times New Roman" w:cs="Times New Roman"/>
      <w:sz w:val="24"/>
      <w:szCs w:val="24"/>
      <w:lang w:val="es-ES" w:eastAsia="es-ES"/>
    </w:rPr>
  </w:style>
  <w:style w:type="character" w:styleId="Refdenotaalpie">
    <w:name w:val="footnote reference"/>
    <w:basedOn w:val="Fuentedeprrafopredeter"/>
    <w:uiPriority w:val="99"/>
    <w:semiHidden/>
    <w:unhideWhenUsed/>
    <w:rsid w:val="008A67B2"/>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81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24" Type="http://schemas.openxmlformats.org/officeDocument/2006/relationships/image" Target="media/image13.emf"/><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wmf"/></Relationships>
</file>

<file path=word/_rels/footer2.xml.rels><?xml version="1.0" encoding="UTF-8" standalone="yes"?>
<Relationships xmlns="http://schemas.openxmlformats.org/package/2006/relationships"><Relationship Id="rId1" Type="http://schemas.openxmlformats.org/officeDocument/2006/relationships/image" Target="media/image15.wmf"/></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3DEEE-E9DB-442B-AC7E-0CAEBCD7FE16}"/>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5.xml><?xml version="1.0" encoding="utf-8"?>
<ds:datastoreItem xmlns:ds="http://schemas.openxmlformats.org/officeDocument/2006/customXml" ds:itemID="{AA856CA0-197C-484F-A955-58CF673DA8B3}">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22</Pages>
  <Words>7045</Words>
  <Characters>38753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45707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2022-06-17T19:42:00Z</dcterms:created>
  <dcterms:modified xsi:type="dcterms:W3CDTF">2022-06-17T19:42:00Z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