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E4AD" w14:textId="77777777" w:rsidR="00A20990" w:rsidRPr="001A38D5" w:rsidRDefault="00A20990" w:rsidP="005140E1">
      <w:pPr>
        <w:pStyle w:val="Sinespaciado"/>
        <w:contextualSpacing/>
        <w:jc w:val="center"/>
        <w:rPr>
          <w:rFonts w:ascii="Verdana" w:hAnsi="Verdana" w:cs="Arial"/>
          <w:b/>
        </w:rPr>
      </w:pPr>
      <w:r w:rsidRPr="001A38D5">
        <w:rPr>
          <w:rFonts w:ascii="Verdana" w:hAnsi="Verdana" w:cs="Arial"/>
          <w:b/>
        </w:rPr>
        <w:t>INFORME DE RECONOCIMIENTO INSTITUCIONAL AL MUNICIPIO DE VILLAVICENCIO – META EN APLICACIÓN DEL DECRETO 028 DE 2008.</w:t>
      </w:r>
    </w:p>
    <w:p w14:paraId="67247D8A" w14:textId="77777777" w:rsidR="00A20990" w:rsidRPr="001A38D5" w:rsidRDefault="00A20990" w:rsidP="005140E1">
      <w:pPr>
        <w:contextualSpacing/>
        <w:rPr>
          <w:rFonts w:cs="Arial"/>
          <w:lang w:val="es-CO"/>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C000"/>
        <w:tblLook w:val="04A0" w:firstRow="1" w:lastRow="0" w:firstColumn="1" w:lastColumn="0" w:noHBand="0" w:noVBand="1"/>
      </w:tblPr>
      <w:tblGrid>
        <w:gridCol w:w="3139"/>
        <w:gridCol w:w="6255"/>
      </w:tblGrid>
      <w:tr w:rsidR="001A38D5" w:rsidRPr="001A38D5" w14:paraId="2ED7E22A" w14:textId="77777777" w:rsidTr="001A38D5">
        <w:trPr>
          <w:trHeight w:val="20"/>
        </w:trPr>
        <w:tc>
          <w:tcPr>
            <w:tcW w:w="1671" w:type="pct"/>
            <w:shd w:val="clear" w:color="auto" w:fill="FFC000"/>
            <w:hideMark/>
          </w:tcPr>
          <w:p w14:paraId="7DF0F5EA" w14:textId="77777777" w:rsidR="00A20990" w:rsidRPr="001A38D5" w:rsidRDefault="00A20990" w:rsidP="005140E1">
            <w:pPr>
              <w:pStyle w:val="NormalWeb"/>
              <w:spacing w:before="0" w:beforeAutospacing="0" w:after="0"/>
              <w:contextualSpacing/>
              <w:rPr>
                <w:rFonts w:ascii="Verdana" w:hAnsi="Verdana" w:cs="Arial"/>
                <w:i/>
                <w:iCs/>
                <w:sz w:val="20"/>
                <w:szCs w:val="20"/>
                <w:lang w:val="es-CO"/>
              </w:rPr>
            </w:pPr>
            <w:r w:rsidRPr="001A38D5">
              <w:rPr>
                <w:rFonts w:ascii="Verdana" w:hAnsi="Verdana" w:cs="Arial"/>
                <w:i/>
                <w:iCs/>
                <w:sz w:val="20"/>
                <w:szCs w:val="20"/>
                <w:lang w:val="es-CO"/>
              </w:rPr>
              <w:t>Número de Expediente</w:t>
            </w:r>
          </w:p>
        </w:tc>
        <w:tc>
          <w:tcPr>
            <w:tcW w:w="3329" w:type="pct"/>
            <w:shd w:val="clear" w:color="auto" w:fill="FFC000"/>
            <w:hideMark/>
          </w:tcPr>
          <w:p w14:paraId="20170998" w14:textId="77777777" w:rsidR="00A20990" w:rsidRPr="001A38D5" w:rsidRDefault="00A20990" w:rsidP="005140E1">
            <w:pPr>
              <w:pStyle w:val="NormalWeb"/>
              <w:spacing w:before="0" w:beforeAutospacing="0" w:after="0"/>
              <w:contextualSpacing/>
              <w:rPr>
                <w:rFonts w:ascii="Verdana" w:hAnsi="Verdana" w:cs="Arial"/>
                <w:b/>
                <w:bCs/>
                <w:sz w:val="20"/>
                <w:szCs w:val="20"/>
                <w:lang w:val="es-CO"/>
              </w:rPr>
            </w:pPr>
            <w:bookmarkStart w:id="0" w:name="numexpcompartido"/>
            <w:bookmarkEnd w:id="0"/>
            <w:r w:rsidRPr="001A38D5">
              <w:rPr>
                <w:rFonts w:ascii="Verdana" w:hAnsi="Verdana" w:cs="Arial"/>
                <w:b/>
                <w:bCs/>
                <w:sz w:val="20"/>
                <w:szCs w:val="20"/>
                <w:lang w:val="es-CO"/>
              </w:rPr>
              <w:t>52/2018/D028-PREDI</w:t>
            </w:r>
          </w:p>
        </w:tc>
      </w:tr>
      <w:tr w:rsidR="001A38D5" w:rsidRPr="001A38D5" w14:paraId="12FD275A" w14:textId="77777777" w:rsidTr="001A38D5">
        <w:trPr>
          <w:trHeight w:val="20"/>
        </w:trPr>
        <w:tc>
          <w:tcPr>
            <w:tcW w:w="1671" w:type="pct"/>
            <w:shd w:val="clear" w:color="auto" w:fill="FFC000"/>
            <w:hideMark/>
          </w:tcPr>
          <w:p w14:paraId="2B0C25D9" w14:textId="77777777" w:rsidR="00A20990" w:rsidRPr="001A38D5" w:rsidRDefault="00A20990" w:rsidP="005140E1">
            <w:pPr>
              <w:pStyle w:val="NormalWeb"/>
              <w:spacing w:before="0" w:beforeAutospacing="0" w:after="0"/>
              <w:contextualSpacing/>
              <w:rPr>
                <w:rFonts w:ascii="Verdana" w:hAnsi="Verdana" w:cs="Arial"/>
                <w:i/>
                <w:iCs/>
                <w:sz w:val="20"/>
                <w:szCs w:val="20"/>
                <w:lang w:val="es-CO"/>
              </w:rPr>
            </w:pPr>
            <w:r w:rsidRPr="001A38D5">
              <w:rPr>
                <w:rFonts w:ascii="Verdana" w:hAnsi="Verdana" w:cs="Arial"/>
                <w:i/>
                <w:iCs/>
                <w:sz w:val="20"/>
                <w:szCs w:val="20"/>
                <w:lang w:val="es-CO"/>
              </w:rPr>
              <w:t>Sector</w:t>
            </w:r>
          </w:p>
        </w:tc>
        <w:tc>
          <w:tcPr>
            <w:tcW w:w="3329" w:type="pct"/>
            <w:shd w:val="clear" w:color="auto" w:fill="FFC000"/>
            <w:hideMark/>
          </w:tcPr>
          <w:p w14:paraId="0C14BF57" w14:textId="77777777" w:rsidR="00A20990" w:rsidRPr="001A38D5" w:rsidRDefault="00A20990" w:rsidP="005140E1">
            <w:pPr>
              <w:pStyle w:val="NormalWeb"/>
              <w:spacing w:before="0" w:beforeAutospacing="0" w:after="0"/>
              <w:contextualSpacing/>
              <w:rPr>
                <w:rFonts w:ascii="Verdana" w:hAnsi="Verdana" w:cs="Arial"/>
                <w:b/>
                <w:bCs/>
                <w:sz w:val="20"/>
                <w:szCs w:val="20"/>
                <w:lang w:val="es-CO"/>
              </w:rPr>
            </w:pPr>
            <w:bookmarkStart w:id="1" w:name="cmbsector"/>
            <w:bookmarkEnd w:id="1"/>
            <w:r w:rsidRPr="001A38D5">
              <w:rPr>
                <w:rFonts w:ascii="Verdana" w:hAnsi="Verdana" w:cs="Arial"/>
                <w:b/>
                <w:bCs/>
                <w:sz w:val="20"/>
                <w:szCs w:val="20"/>
              </w:rPr>
              <w:t xml:space="preserve">Alimentación Escolar </w:t>
            </w:r>
          </w:p>
        </w:tc>
      </w:tr>
      <w:tr w:rsidR="001A38D5" w:rsidRPr="001A38D5" w14:paraId="2368A7AE" w14:textId="77777777" w:rsidTr="001A38D5">
        <w:trPr>
          <w:trHeight w:val="20"/>
        </w:trPr>
        <w:tc>
          <w:tcPr>
            <w:tcW w:w="1671" w:type="pct"/>
            <w:shd w:val="clear" w:color="auto" w:fill="FFC000"/>
            <w:hideMark/>
          </w:tcPr>
          <w:p w14:paraId="14DB6AC2" w14:textId="77777777" w:rsidR="00A20990" w:rsidRPr="001A38D5" w:rsidRDefault="00A20990" w:rsidP="005140E1">
            <w:pPr>
              <w:pStyle w:val="NormalWeb"/>
              <w:spacing w:before="0" w:beforeAutospacing="0" w:after="0"/>
              <w:contextualSpacing/>
              <w:rPr>
                <w:rFonts w:ascii="Verdana" w:hAnsi="Verdana" w:cs="Arial"/>
                <w:i/>
                <w:iCs/>
                <w:sz w:val="20"/>
                <w:szCs w:val="20"/>
                <w:lang w:val="es-CO"/>
              </w:rPr>
            </w:pPr>
            <w:r w:rsidRPr="001A38D5">
              <w:rPr>
                <w:rFonts w:ascii="Verdana" w:hAnsi="Verdana" w:cs="Arial"/>
                <w:i/>
                <w:iCs/>
                <w:sz w:val="20"/>
                <w:szCs w:val="20"/>
                <w:lang w:val="es-CO"/>
              </w:rPr>
              <w:t>Tipo de Entidad</w:t>
            </w:r>
          </w:p>
        </w:tc>
        <w:tc>
          <w:tcPr>
            <w:tcW w:w="3329" w:type="pct"/>
            <w:shd w:val="clear" w:color="auto" w:fill="FFC000"/>
            <w:hideMark/>
          </w:tcPr>
          <w:p w14:paraId="409B5DC2" w14:textId="77777777" w:rsidR="00A20990" w:rsidRPr="001A38D5" w:rsidRDefault="00A20990" w:rsidP="005140E1">
            <w:pPr>
              <w:contextualSpacing/>
              <w:rPr>
                <w:rFonts w:cs="Arial"/>
                <w:b/>
                <w:bCs/>
                <w:sz w:val="20"/>
                <w:szCs w:val="20"/>
                <w:lang w:val="es-CO"/>
              </w:rPr>
            </w:pPr>
            <w:bookmarkStart w:id="2" w:name="cmbtipoentidad"/>
            <w:bookmarkEnd w:id="2"/>
            <w:r w:rsidRPr="001A38D5">
              <w:rPr>
                <w:rFonts w:cs="Arial"/>
                <w:b/>
                <w:bCs/>
                <w:sz w:val="20"/>
                <w:szCs w:val="20"/>
              </w:rPr>
              <w:t>Municipio</w:t>
            </w:r>
          </w:p>
        </w:tc>
      </w:tr>
      <w:tr w:rsidR="001A38D5" w:rsidRPr="001A38D5" w14:paraId="3A620948" w14:textId="77777777" w:rsidTr="001A38D5">
        <w:trPr>
          <w:trHeight w:val="20"/>
        </w:trPr>
        <w:tc>
          <w:tcPr>
            <w:tcW w:w="1671" w:type="pct"/>
            <w:shd w:val="clear" w:color="auto" w:fill="FFC000"/>
            <w:hideMark/>
          </w:tcPr>
          <w:p w14:paraId="00F58DA4" w14:textId="77777777" w:rsidR="00A20990" w:rsidRPr="001A38D5" w:rsidRDefault="00A20990" w:rsidP="005140E1">
            <w:pPr>
              <w:pStyle w:val="NormalWeb"/>
              <w:spacing w:before="0" w:beforeAutospacing="0" w:after="0"/>
              <w:contextualSpacing/>
              <w:rPr>
                <w:rFonts w:ascii="Verdana" w:hAnsi="Verdana" w:cs="Arial"/>
                <w:i/>
                <w:iCs/>
                <w:sz w:val="20"/>
                <w:szCs w:val="20"/>
                <w:lang w:val="es-CO"/>
              </w:rPr>
            </w:pPr>
            <w:r w:rsidRPr="001A38D5">
              <w:rPr>
                <w:rFonts w:ascii="Verdana" w:hAnsi="Verdana" w:cs="Arial"/>
                <w:i/>
                <w:iCs/>
                <w:sz w:val="20"/>
                <w:szCs w:val="20"/>
                <w:lang w:val="es-CO"/>
              </w:rPr>
              <w:t>Entidad</w:t>
            </w:r>
          </w:p>
        </w:tc>
        <w:tc>
          <w:tcPr>
            <w:tcW w:w="3329" w:type="pct"/>
            <w:shd w:val="clear" w:color="auto" w:fill="FFC000"/>
            <w:hideMark/>
          </w:tcPr>
          <w:p w14:paraId="67476E5E" w14:textId="77777777" w:rsidR="00A20990" w:rsidRPr="001A38D5" w:rsidRDefault="00A20990" w:rsidP="005140E1">
            <w:pPr>
              <w:contextualSpacing/>
              <w:rPr>
                <w:rFonts w:cs="Arial"/>
                <w:b/>
                <w:bCs/>
                <w:sz w:val="20"/>
                <w:szCs w:val="20"/>
                <w:lang w:val="es-CO"/>
              </w:rPr>
            </w:pPr>
            <w:bookmarkStart w:id="3" w:name="cmbresguardo"/>
            <w:bookmarkStart w:id="4" w:name="deptoymuni"/>
            <w:bookmarkEnd w:id="3"/>
            <w:bookmarkEnd w:id="4"/>
            <w:r w:rsidRPr="001A38D5">
              <w:rPr>
                <w:rFonts w:cs="Arial"/>
                <w:b/>
                <w:bCs/>
                <w:sz w:val="20"/>
                <w:szCs w:val="20"/>
                <w:lang w:val="es-CO"/>
              </w:rPr>
              <w:t xml:space="preserve">Villavicencio – Meta </w:t>
            </w:r>
          </w:p>
        </w:tc>
      </w:tr>
    </w:tbl>
    <w:p w14:paraId="5E0ADB22" w14:textId="77777777" w:rsidR="00A20990" w:rsidRPr="001A38D5" w:rsidRDefault="00A20990" w:rsidP="005140E1">
      <w:pPr>
        <w:contextualSpacing/>
        <w:rPr>
          <w:rFonts w:cs="Arial"/>
          <w:lang w:val="es-CO"/>
        </w:rPr>
      </w:pPr>
    </w:p>
    <w:p w14:paraId="6185883B" w14:textId="77777777" w:rsidR="00A20990" w:rsidRPr="001A38D5" w:rsidRDefault="00A20990" w:rsidP="005140E1">
      <w:pPr>
        <w:pStyle w:val="Ttulo1"/>
        <w:contextualSpacing/>
        <w:rPr>
          <w:rFonts w:ascii="Verdana" w:hAnsi="Verdana"/>
          <w:color w:val="auto"/>
        </w:rPr>
      </w:pPr>
      <w:r w:rsidRPr="001A38D5">
        <w:rPr>
          <w:rFonts w:ascii="Verdana" w:hAnsi="Verdana"/>
          <w:color w:val="auto"/>
        </w:rPr>
        <w:t>ANTECEDENTES</w:t>
      </w:r>
      <w:r w:rsidR="00BB580E">
        <w:rPr>
          <w:rFonts w:ascii="Verdana" w:hAnsi="Verdana"/>
          <w:color w:val="auto"/>
        </w:rPr>
        <w:t>.</w:t>
      </w:r>
    </w:p>
    <w:p w14:paraId="5AC83A51" w14:textId="77777777" w:rsidR="00A20990" w:rsidRPr="001A38D5" w:rsidRDefault="00A20990" w:rsidP="005140E1">
      <w:pPr>
        <w:contextualSpacing/>
        <w:rPr>
          <w:rFonts w:cs="Arial"/>
          <w:lang w:val="es-CO"/>
        </w:rPr>
      </w:pPr>
    </w:p>
    <w:p w14:paraId="4E720B11" w14:textId="77777777" w:rsidR="00A20990" w:rsidRPr="001A38D5" w:rsidRDefault="00A20990" w:rsidP="005140E1">
      <w:pPr>
        <w:pStyle w:val="Sinespaciado"/>
        <w:contextualSpacing/>
        <w:jc w:val="both"/>
        <w:rPr>
          <w:rFonts w:ascii="Verdana" w:hAnsi="Verdana" w:cs="Arial"/>
          <w:lang w:val="es-ES_tradnl"/>
        </w:rPr>
      </w:pPr>
      <w:r w:rsidRPr="001A38D5">
        <w:rPr>
          <w:rFonts w:ascii="Verdana" w:hAnsi="Verdana" w:cs="Arial"/>
          <w:lang w:val="es-ES_tradnl"/>
        </w:rPr>
        <w:t xml:space="preserve">El Municipio de Villavicencio - Meta fue auditado por la Contraloría General de la República </w:t>
      </w:r>
      <w:r w:rsidR="00512957">
        <w:rPr>
          <w:rFonts w:ascii="Verdana" w:hAnsi="Verdana" w:cs="Arial"/>
          <w:lang w:val="es-ES_tradnl"/>
        </w:rPr>
        <w:t xml:space="preserve">- </w:t>
      </w:r>
      <w:r w:rsidRPr="001A38D5">
        <w:rPr>
          <w:rFonts w:ascii="Verdana" w:hAnsi="Verdana" w:cs="Arial"/>
          <w:lang w:val="es-ES_tradnl"/>
        </w:rPr>
        <w:t xml:space="preserve">CGR durante la vigencia 2016. La Dirección General de Apoyo Fiscal en el marco de las funciones asignadas por los Decretos 028 de 2008, 791 de 2009 y 1068 de 2015 y la Resolución 794 de 2009 tomó nota del Informe Final de la Auditoría de Desempeño al Programa de Alimentación Escolar – PAE realizado en una muestra de 21 </w:t>
      </w:r>
      <w:r w:rsidR="00512957">
        <w:rPr>
          <w:rFonts w:ascii="Verdana" w:hAnsi="Verdana" w:cs="Arial"/>
          <w:lang w:val="es-ES_tradnl"/>
        </w:rPr>
        <w:t>e</w:t>
      </w:r>
      <w:r w:rsidRPr="001A38D5">
        <w:rPr>
          <w:rFonts w:ascii="Verdana" w:hAnsi="Verdana" w:cs="Arial"/>
          <w:lang w:val="es-ES_tradnl"/>
        </w:rPr>
        <w:t xml:space="preserve">ntidades territoriales, entregado a la opinión pública en agosto de 2017 por la Contraloría Delegada para el Sector Social - CDSS de la Contraloría General de la República, en el cual indica que el Municipio de Villavicencio - Meta presentó situaciones que ponen en riesgo la prestación del </w:t>
      </w:r>
      <w:r w:rsidR="00512957">
        <w:rPr>
          <w:rFonts w:ascii="Verdana" w:hAnsi="Verdana" w:cs="Arial"/>
          <w:lang w:val="es-ES_tradnl"/>
        </w:rPr>
        <w:t>S</w:t>
      </w:r>
      <w:r w:rsidRPr="001A38D5">
        <w:rPr>
          <w:rFonts w:ascii="Verdana" w:hAnsi="Verdana" w:cs="Arial"/>
          <w:lang w:val="es-ES_tradnl"/>
        </w:rPr>
        <w:t xml:space="preserve">ervicio de </w:t>
      </w:r>
      <w:r w:rsidR="00512957">
        <w:rPr>
          <w:rFonts w:ascii="Verdana" w:hAnsi="Verdana" w:cs="Arial"/>
          <w:lang w:val="es-ES_tradnl"/>
        </w:rPr>
        <w:t>A</w:t>
      </w:r>
      <w:r w:rsidRPr="001A38D5">
        <w:rPr>
          <w:rFonts w:ascii="Verdana" w:hAnsi="Verdana" w:cs="Arial"/>
          <w:lang w:val="es-ES_tradnl"/>
        </w:rPr>
        <w:t xml:space="preserve">limentación </w:t>
      </w:r>
      <w:r w:rsidR="00512957">
        <w:rPr>
          <w:rFonts w:ascii="Verdana" w:hAnsi="Verdana" w:cs="Arial"/>
          <w:lang w:val="es-ES_tradnl"/>
        </w:rPr>
        <w:t>E</w:t>
      </w:r>
      <w:r w:rsidRPr="001A38D5">
        <w:rPr>
          <w:rFonts w:ascii="Verdana" w:hAnsi="Verdana" w:cs="Arial"/>
          <w:lang w:val="es-ES_tradnl"/>
        </w:rPr>
        <w:t>scolar en esta Entidad en el marco del artículo 9 del Decreto 028 de 2008, las cuales se encuentran asociadas a la ejecución de los de los recursos del SGP en la Asignación Especial para Alimentación Escolar.</w:t>
      </w:r>
    </w:p>
    <w:p w14:paraId="081F7C9F" w14:textId="77777777" w:rsidR="00A20990" w:rsidRPr="001A38D5" w:rsidRDefault="00A20990" w:rsidP="005140E1">
      <w:pPr>
        <w:pStyle w:val="Sinespaciado"/>
        <w:contextualSpacing/>
        <w:jc w:val="both"/>
        <w:rPr>
          <w:rFonts w:ascii="Verdana" w:hAnsi="Verdana" w:cs="Arial"/>
          <w:lang w:val="es-ES_tradnl"/>
        </w:rPr>
      </w:pPr>
    </w:p>
    <w:p w14:paraId="3AFC9363"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Es necesario precisar que el Programa de Alimentación Escolar – PAE es una política pública que integra múltiples actores y fuentes de financiación. De acuerdo con lo establecido en el Decreto 1075 de 2015, Único Reglamentario del Sector Educación, adicionado por el Decreto 1852 del mismo año, el PAE se financiará con recursos de diferentes fuentes: i) con el porcentaje que establece el parágrafo 2° del artículo 2° de la Ley 715 de 2001, en relación con el 4</w:t>
      </w:r>
      <w:r w:rsidR="002E11CE">
        <w:rPr>
          <w:rFonts w:ascii="Verdana" w:hAnsi="Verdana" w:cs="Arial"/>
        </w:rPr>
        <w:t xml:space="preserve"> </w:t>
      </w:r>
      <w:r w:rsidRPr="001A38D5">
        <w:rPr>
          <w:rFonts w:ascii="Verdana" w:hAnsi="Verdana" w:cs="Arial"/>
        </w:rPr>
        <w:t>% del total de los recursos del SGP, que corresponde al 0</w:t>
      </w:r>
      <w:r w:rsidR="002E11CE">
        <w:rPr>
          <w:rFonts w:ascii="Verdana" w:hAnsi="Verdana" w:cs="Arial"/>
        </w:rPr>
        <w:t>,</w:t>
      </w:r>
      <w:r w:rsidRPr="001A38D5">
        <w:rPr>
          <w:rFonts w:ascii="Verdana" w:hAnsi="Verdana" w:cs="Arial"/>
        </w:rPr>
        <w:t>5</w:t>
      </w:r>
      <w:r w:rsidR="002E11CE">
        <w:rPr>
          <w:rFonts w:ascii="Verdana" w:hAnsi="Verdana" w:cs="Arial"/>
        </w:rPr>
        <w:t xml:space="preserve"> </w:t>
      </w:r>
      <w:r w:rsidRPr="001A38D5">
        <w:rPr>
          <w:rFonts w:ascii="Verdana" w:hAnsi="Verdana" w:cs="Arial"/>
        </w:rPr>
        <w:t xml:space="preserve">% a favor de los distritos y municipios para programas de alimentación escolar, de conformidad con el artículo 76.17 de la misma norma; ii) lo que asignen las </w:t>
      </w:r>
      <w:r w:rsidR="002E11CE">
        <w:rPr>
          <w:rFonts w:ascii="Verdana" w:hAnsi="Verdana" w:cs="Arial"/>
        </w:rPr>
        <w:t>e</w:t>
      </w:r>
      <w:r w:rsidRPr="001A38D5">
        <w:rPr>
          <w:rFonts w:ascii="Verdana" w:hAnsi="Verdana" w:cs="Arial"/>
        </w:rPr>
        <w:t xml:space="preserve">ntidades territoriales de recursos propios, recursos de libre inversión y de libre destinación de la </w:t>
      </w:r>
      <w:r w:rsidR="002E11CE">
        <w:rPr>
          <w:rFonts w:ascii="Verdana" w:hAnsi="Verdana" w:cs="Arial"/>
        </w:rPr>
        <w:t>P</w:t>
      </w:r>
      <w:r w:rsidRPr="001A38D5">
        <w:rPr>
          <w:rFonts w:ascii="Verdana" w:hAnsi="Verdana" w:cs="Arial"/>
        </w:rPr>
        <w:t xml:space="preserve">articipación de </w:t>
      </w:r>
      <w:r w:rsidR="002E11CE">
        <w:rPr>
          <w:rFonts w:ascii="Verdana" w:hAnsi="Verdana" w:cs="Arial"/>
        </w:rPr>
        <w:t>P</w:t>
      </w:r>
      <w:r w:rsidRPr="001A38D5">
        <w:rPr>
          <w:rFonts w:ascii="Verdana" w:hAnsi="Verdana" w:cs="Arial"/>
        </w:rPr>
        <w:t xml:space="preserve">ropósito </w:t>
      </w:r>
      <w:r w:rsidR="002E11CE">
        <w:rPr>
          <w:rFonts w:ascii="Verdana" w:hAnsi="Verdana" w:cs="Arial"/>
        </w:rPr>
        <w:t>G</w:t>
      </w:r>
      <w:r w:rsidRPr="001A38D5">
        <w:rPr>
          <w:rFonts w:ascii="Verdana" w:hAnsi="Verdana" w:cs="Arial"/>
        </w:rPr>
        <w:t xml:space="preserve">eneral y recursos de </w:t>
      </w:r>
      <w:r w:rsidR="002E11CE">
        <w:rPr>
          <w:rFonts w:ascii="Verdana" w:hAnsi="Verdana" w:cs="Arial"/>
        </w:rPr>
        <w:t>C</w:t>
      </w:r>
      <w:r w:rsidRPr="001A38D5">
        <w:rPr>
          <w:rFonts w:ascii="Verdana" w:hAnsi="Verdana" w:cs="Arial"/>
        </w:rPr>
        <w:t xml:space="preserve">alidad </w:t>
      </w:r>
      <w:r w:rsidR="002E11CE">
        <w:rPr>
          <w:rFonts w:ascii="Verdana" w:hAnsi="Verdana" w:cs="Arial"/>
        </w:rPr>
        <w:t>E</w:t>
      </w:r>
      <w:r w:rsidRPr="001A38D5">
        <w:rPr>
          <w:rFonts w:ascii="Verdana" w:hAnsi="Verdana" w:cs="Arial"/>
        </w:rPr>
        <w:t xml:space="preserve">ducativa de la </w:t>
      </w:r>
      <w:r w:rsidR="002E11CE">
        <w:rPr>
          <w:rFonts w:ascii="Verdana" w:hAnsi="Verdana" w:cs="Arial"/>
        </w:rPr>
        <w:t>P</w:t>
      </w:r>
      <w:r w:rsidRPr="001A38D5">
        <w:rPr>
          <w:rFonts w:ascii="Verdana" w:hAnsi="Verdana" w:cs="Arial"/>
        </w:rPr>
        <w:t xml:space="preserve">articipación de </w:t>
      </w:r>
      <w:r w:rsidR="002E11CE">
        <w:rPr>
          <w:rFonts w:ascii="Verdana" w:hAnsi="Verdana" w:cs="Arial"/>
        </w:rPr>
        <w:t>E</w:t>
      </w:r>
      <w:r w:rsidRPr="001A38D5">
        <w:rPr>
          <w:rFonts w:ascii="Verdana" w:hAnsi="Verdana" w:cs="Arial"/>
        </w:rPr>
        <w:t xml:space="preserve">ducación del Sistema General de Participaciones </w:t>
      </w:r>
      <w:r w:rsidR="002E11CE">
        <w:rPr>
          <w:rFonts w:ascii="Verdana" w:hAnsi="Verdana" w:cs="Arial"/>
        </w:rPr>
        <w:t xml:space="preserve">- </w:t>
      </w:r>
      <w:r w:rsidRPr="001A38D5">
        <w:rPr>
          <w:rFonts w:ascii="Verdana" w:hAnsi="Verdana" w:cs="Arial"/>
        </w:rPr>
        <w:t xml:space="preserve">SGP, según lo dispone el parágrafo del artículo 16 de la Ley 1176 de 2007; iii) recursos de regalías, según lo establecido en la </w:t>
      </w:r>
      <w:r w:rsidR="00C237FB" w:rsidRPr="00C237FB">
        <w:rPr>
          <w:rFonts w:ascii="Verdana" w:hAnsi="Verdana" w:cs="Arial"/>
        </w:rPr>
        <w:t>Ley 2056 de 2020</w:t>
      </w:r>
      <w:r w:rsidR="00C237FB">
        <w:rPr>
          <w:rFonts w:ascii="Verdana" w:hAnsi="Verdana" w:cs="Arial"/>
        </w:rPr>
        <w:t xml:space="preserve"> </w:t>
      </w:r>
      <w:r w:rsidRPr="001A38D5">
        <w:rPr>
          <w:rFonts w:ascii="Verdana" w:hAnsi="Verdana" w:cs="Arial"/>
        </w:rPr>
        <w:t xml:space="preserve">establece en su artículo </w:t>
      </w:r>
      <w:r w:rsidR="00C237FB">
        <w:rPr>
          <w:rFonts w:ascii="Verdana" w:hAnsi="Verdana" w:cs="Arial"/>
        </w:rPr>
        <w:t>28</w:t>
      </w:r>
      <w:r w:rsidRPr="001A38D5">
        <w:rPr>
          <w:rFonts w:ascii="Verdana" w:hAnsi="Verdana" w:cs="Arial"/>
        </w:rPr>
        <w:t xml:space="preserve">; iv) recursos propios de las </w:t>
      </w:r>
      <w:r w:rsidR="002E11CE">
        <w:rPr>
          <w:rFonts w:ascii="Verdana" w:hAnsi="Verdana" w:cs="Arial"/>
        </w:rPr>
        <w:t>e</w:t>
      </w:r>
      <w:r w:rsidRPr="001A38D5">
        <w:rPr>
          <w:rFonts w:ascii="Verdana" w:hAnsi="Verdana" w:cs="Arial"/>
        </w:rPr>
        <w:t>ntidades territoriales y los provenientes de</w:t>
      </w:r>
      <w:r w:rsidR="002E11CE">
        <w:rPr>
          <w:rFonts w:ascii="Verdana" w:hAnsi="Verdana" w:cs="Arial"/>
        </w:rPr>
        <w:t xml:space="preserve"> </w:t>
      </w:r>
      <w:r w:rsidRPr="001A38D5">
        <w:rPr>
          <w:rFonts w:ascii="Verdana" w:hAnsi="Verdana" w:cs="Arial"/>
        </w:rPr>
        <w:t>l</w:t>
      </w:r>
      <w:r w:rsidR="002E11CE">
        <w:rPr>
          <w:rFonts w:ascii="Verdana" w:hAnsi="Verdana" w:cs="Arial"/>
        </w:rPr>
        <w:t>os</w:t>
      </w:r>
      <w:r w:rsidRPr="001A38D5">
        <w:rPr>
          <w:rFonts w:ascii="Verdana" w:hAnsi="Verdana" w:cs="Arial"/>
        </w:rPr>
        <w:t xml:space="preserve"> departamento</w:t>
      </w:r>
      <w:r w:rsidR="002E11CE">
        <w:rPr>
          <w:rFonts w:ascii="Verdana" w:hAnsi="Verdana" w:cs="Arial"/>
        </w:rPr>
        <w:t>s</w:t>
      </w:r>
      <w:r w:rsidRPr="001A38D5">
        <w:rPr>
          <w:rFonts w:ascii="Verdana" w:hAnsi="Verdana" w:cs="Arial"/>
        </w:rPr>
        <w:t xml:space="preserve"> y la Nación, según lo establecido en el artículo 3° de la Ley 136 de 1994, modificado por el artículo 6° de la Ley 1551 de 2012; v) recursos del Presupuesto General de la Nación distribuidos anualmente por el Ministerio de Educación Nacional - MEN transferidos a las Entidades Territoriales Certificadas en Educación para cofinanciar el Programa y v) otras fuentes de financiación por parte del sector privado, cooperativo o no gubernamental, del nivel nacional e internacional y cajas de compensación.</w:t>
      </w:r>
    </w:p>
    <w:p w14:paraId="06AF1C94"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lastRenderedPageBreak/>
        <w:t>Teniendo claro lo anterior, en el presente informe se analizan los recursos de la Asignación Especial para Alimentación Escolar del Sistema General de Participaciones, dadas las competencias ya mencionadas por esta Dirección. Lo anterior</w:t>
      </w:r>
      <w:r w:rsidR="007F516E">
        <w:rPr>
          <w:rFonts w:ascii="Verdana" w:hAnsi="Verdana" w:cs="Arial"/>
        </w:rPr>
        <w:t>,</w:t>
      </w:r>
      <w:r w:rsidRPr="001A38D5">
        <w:rPr>
          <w:rFonts w:ascii="Verdana" w:hAnsi="Verdana" w:cs="Arial"/>
        </w:rPr>
        <w:t xml:space="preserve"> sin perjuicio de mencionar las demás fuentes cuando estas se encuentren acompañando a la Asignación Especial para Alimentación Escolar y teniendo en cuenta el sistema de Bolsa Común del PAE (Capítulo 2 articulo 2.3.10.2.1 del Decreto 1075 de 2015), así como las obligaciones a cargo de los diferentes actores del Programa de Alimentación Escolar.</w:t>
      </w:r>
    </w:p>
    <w:p w14:paraId="06E8048E" w14:textId="77777777" w:rsidR="00A20990" w:rsidRPr="001A38D5" w:rsidRDefault="00A20990" w:rsidP="005140E1">
      <w:pPr>
        <w:pStyle w:val="Sinespaciado"/>
        <w:contextualSpacing/>
        <w:jc w:val="both"/>
        <w:rPr>
          <w:rFonts w:ascii="Verdana" w:hAnsi="Verdana" w:cs="Arial"/>
        </w:rPr>
      </w:pPr>
    </w:p>
    <w:p w14:paraId="0E036433"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 xml:space="preserve">De acuerdo con lo anterior y en cumplimiento del artículo 2.6.3.4.3 del Decreto 1068 de 2015, la Dirección General de Apoyo Fiscal, con base en sus criterios de priorización, determinó el inicio de las actividades de seguimiento y control a su cargo en el Municipio y mediante </w:t>
      </w:r>
      <w:r w:rsidR="007F516E">
        <w:rPr>
          <w:rFonts w:ascii="Verdana" w:hAnsi="Verdana" w:cs="Arial"/>
        </w:rPr>
        <w:t xml:space="preserve">el </w:t>
      </w:r>
      <w:r w:rsidRPr="001A38D5">
        <w:rPr>
          <w:rFonts w:ascii="Verdana" w:hAnsi="Verdana" w:cs="Arial"/>
        </w:rPr>
        <w:t xml:space="preserve">oficio </w:t>
      </w:r>
      <w:r w:rsidR="007F516E">
        <w:rPr>
          <w:rFonts w:ascii="Verdana" w:hAnsi="Verdana" w:cs="Arial"/>
        </w:rPr>
        <w:t xml:space="preserve">con radicado No. </w:t>
      </w:r>
      <w:r w:rsidRPr="001A38D5">
        <w:rPr>
          <w:rFonts w:ascii="Verdana" w:hAnsi="Verdana" w:cs="Arial"/>
        </w:rPr>
        <w:t xml:space="preserve">2-2018-023707 del 10 de julio de 2018 solicitó a la Entidad Territorial información sectorial del manejo del Programa de Alimentación Escolar. En respuesta, la Entidad Territorial remitió parcialmente la documentación solicitada con el </w:t>
      </w:r>
      <w:r w:rsidR="007F516E">
        <w:rPr>
          <w:rFonts w:ascii="Verdana" w:hAnsi="Verdana" w:cs="Arial"/>
        </w:rPr>
        <w:t xml:space="preserve">oficio con </w:t>
      </w:r>
      <w:r w:rsidRPr="001A38D5">
        <w:rPr>
          <w:rFonts w:ascii="Verdana" w:hAnsi="Verdana" w:cs="Arial"/>
        </w:rPr>
        <w:t xml:space="preserve">radicado </w:t>
      </w:r>
      <w:r w:rsidR="007F516E">
        <w:rPr>
          <w:rFonts w:ascii="Verdana" w:hAnsi="Verdana" w:cs="Arial"/>
        </w:rPr>
        <w:t xml:space="preserve">No. </w:t>
      </w:r>
      <w:r w:rsidRPr="001A38D5">
        <w:rPr>
          <w:rFonts w:ascii="Verdana" w:hAnsi="Verdana" w:cs="Arial"/>
        </w:rPr>
        <w:t>1-2018-086538 del 10 de septiembre de 2018, con la cual se procedió a realizar el diagnóstico preliminar sectorial, en el cual se concluyó la pertinencia de efectuar una visita de reconocimiento a la Entidad Territorial con el fin de evaluar los posibles riesgos presentados en la Administración Municipal.</w:t>
      </w:r>
    </w:p>
    <w:p w14:paraId="3327BD3D" w14:textId="77777777" w:rsidR="00A20990" w:rsidRPr="001A38D5" w:rsidRDefault="00A20990" w:rsidP="005140E1">
      <w:pPr>
        <w:pStyle w:val="Sinespaciado"/>
        <w:contextualSpacing/>
        <w:jc w:val="both"/>
        <w:rPr>
          <w:rFonts w:ascii="Verdana" w:hAnsi="Verdana" w:cs="Arial"/>
        </w:rPr>
      </w:pPr>
    </w:p>
    <w:p w14:paraId="1693964B"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 xml:space="preserve">Así las cosas, los días 28, 29 y 30 de agosto de 2019 esta Dirección realizó visita de reconocimiento institucional al Municipio en donde se verificó la </w:t>
      </w:r>
      <w:r w:rsidR="007F516E">
        <w:rPr>
          <w:rFonts w:ascii="Verdana" w:hAnsi="Verdana" w:cs="Arial"/>
        </w:rPr>
        <w:t>p</w:t>
      </w:r>
      <w:r w:rsidRPr="001A38D5">
        <w:rPr>
          <w:rFonts w:ascii="Verdana" w:hAnsi="Verdana" w:cs="Arial"/>
        </w:rPr>
        <w:t>restación del Servicio en algunas instituciones educativas de la jurisdicción urbana y rural de Municipio, además de evaluar la entrega de raciones a los titulares de derecho a la luz de los lineamientos técnicos-administrativos, de los estándares y de las condiciones para la prestación del servicio para la ejecución del Programa. De igual manera, se hizo la revisión de la documentación requerida con el fin de evaluar la planeación contractual y la ejecución de los recursos que concurren en la financiación del Programa de Alimentación Escolar en la Entidad Territorial. Dicha información fue entregada por parte de Administración Municipal durante la visita realizada y además fue allegada a esta Dirección mediante oficios con radicado</w:t>
      </w:r>
      <w:r w:rsidR="007F516E">
        <w:rPr>
          <w:rFonts w:ascii="Verdana" w:hAnsi="Verdana" w:cs="Arial"/>
        </w:rPr>
        <w:t>s No.</w:t>
      </w:r>
      <w:r w:rsidRPr="001A38D5">
        <w:rPr>
          <w:rFonts w:ascii="Verdana" w:hAnsi="Verdana" w:cs="Arial"/>
        </w:rPr>
        <w:t xml:space="preserve"> 1-2019-085548 del 13 de septiembre de 2019 y 1-2019-092674 del 4 de octubre de 2019.</w:t>
      </w:r>
    </w:p>
    <w:p w14:paraId="36F97983" w14:textId="77777777" w:rsidR="00A20990" w:rsidRPr="001A38D5" w:rsidRDefault="00A20990" w:rsidP="005140E1">
      <w:pPr>
        <w:pStyle w:val="Sinespaciado"/>
        <w:contextualSpacing/>
        <w:jc w:val="both"/>
        <w:rPr>
          <w:rFonts w:ascii="Verdana" w:hAnsi="Verdana" w:cs="Arial"/>
        </w:rPr>
      </w:pPr>
    </w:p>
    <w:p w14:paraId="1BB76E42"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 xml:space="preserve">Con ocasión del anuncio del estado de pandemia por el Coronavirus COVID-19 el Gobierno Nacional expidió el Decreto </w:t>
      </w:r>
      <w:r w:rsidR="007F516E">
        <w:rPr>
          <w:rFonts w:ascii="Verdana" w:hAnsi="Verdana" w:cs="Arial"/>
        </w:rPr>
        <w:t>0</w:t>
      </w:r>
      <w:r w:rsidRPr="001A38D5">
        <w:rPr>
          <w:rFonts w:ascii="Verdana" w:hAnsi="Verdana" w:cs="Arial"/>
        </w:rPr>
        <w:t>491 del 28 de marzo de 2020 con el fin de adoptar medidas de urgencia para garantizar la atención y la prestación de los servicios por parte de las autoridades y los particulares que cumplan funciones públicas. De este modo, el artículo 6 del citado Decreto estableció la suspensión de todos los términos de las actuaciones administrativas o jurisdiccionales en sede administrativa. En 2021, mediante la Resolución 0301</w:t>
      </w:r>
      <w:r w:rsidRPr="001A38D5">
        <w:rPr>
          <w:rFonts w:ascii="Verdana" w:hAnsi="Verdana" w:cs="Arial"/>
          <w:vertAlign w:val="superscript"/>
        </w:rPr>
        <w:footnoteReference w:id="2"/>
      </w:r>
      <w:r w:rsidRPr="001A38D5">
        <w:rPr>
          <w:rFonts w:ascii="Verdana" w:hAnsi="Verdana" w:cs="Arial"/>
          <w:vertAlign w:val="superscript"/>
        </w:rPr>
        <w:t xml:space="preserve"> </w:t>
      </w:r>
      <w:r w:rsidRPr="001A38D5">
        <w:rPr>
          <w:rFonts w:ascii="Verdana" w:hAnsi="Verdana" w:cs="Arial"/>
        </w:rPr>
        <w:t xml:space="preserve">del 9 de febrero fue levantada la suspensión, reanudando el término de ejecución de las medidas preventivas en aplicación del Decreto 028 de 2008. </w:t>
      </w:r>
    </w:p>
    <w:p w14:paraId="670DA162" w14:textId="77777777" w:rsidR="00A20990" w:rsidRPr="001A38D5" w:rsidRDefault="00A20990" w:rsidP="005140E1">
      <w:pPr>
        <w:pStyle w:val="Sinespaciado"/>
        <w:contextualSpacing/>
        <w:jc w:val="both"/>
        <w:rPr>
          <w:rFonts w:ascii="Verdana" w:hAnsi="Verdana" w:cs="Arial"/>
        </w:rPr>
      </w:pPr>
    </w:p>
    <w:p w14:paraId="10F50A6A"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 xml:space="preserve">Posteriormente, el Ministerio de Hacienda y Crédito Público solicitó información complementaria a la Entidad Territorial mediante el oficio con radicado No. 2-2021-050784 del 30 de septiembre de 2021 con el fin de actualizar la información obtenida en el reconocimiento. Este requerimiento fue atendido por parte de la Entidad Territorial mediante </w:t>
      </w:r>
      <w:r w:rsidR="007F516E">
        <w:rPr>
          <w:rFonts w:ascii="Verdana" w:hAnsi="Verdana" w:cs="Arial"/>
        </w:rPr>
        <w:t xml:space="preserve">los oficios con </w:t>
      </w:r>
      <w:r w:rsidRPr="001A38D5">
        <w:rPr>
          <w:rFonts w:ascii="Verdana" w:hAnsi="Verdana" w:cs="Arial"/>
        </w:rPr>
        <w:t>radicados No. 1-2021-091566 del 15 de octubre de 2021 y 1-2021-098387 del 4 de noviembre de 2021.</w:t>
      </w:r>
    </w:p>
    <w:p w14:paraId="239D47DF" w14:textId="77777777" w:rsidR="00A20990" w:rsidRPr="001A38D5" w:rsidRDefault="00A20990" w:rsidP="005140E1">
      <w:pPr>
        <w:pStyle w:val="Sinespaciado"/>
        <w:contextualSpacing/>
        <w:jc w:val="both"/>
        <w:rPr>
          <w:rFonts w:ascii="Verdana" w:hAnsi="Verdana" w:cs="Arial"/>
        </w:rPr>
      </w:pPr>
    </w:p>
    <w:p w14:paraId="63DAF4CD"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Por último, con el fin de llevar a cabo la actualización del informe con corte a la vigencia 2022 se realizó solicitud de información sectorial del Municipio a la Unidad Administrativa Especial de Alimentación Escolar “</w:t>
      </w:r>
      <w:r w:rsidRPr="007A412F">
        <w:rPr>
          <w:rFonts w:ascii="Verdana" w:hAnsi="Verdana" w:cs="Arial"/>
          <w:i/>
          <w:iCs/>
        </w:rPr>
        <w:t>Alimentos para Aprender</w:t>
      </w:r>
      <w:r w:rsidRPr="001A38D5">
        <w:rPr>
          <w:rFonts w:ascii="Verdana" w:hAnsi="Verdana" w:cs="Arial"/>
        </w:rPr>
        <w:t>”, la cual fue remitida mediante el oficio con radicado No. 1-2022-067382 del 19 de agosto de 2022. El análisis de la información remitida y de la visita llevada a cabo se plasma en el siguiente informe.</w:t>
      </w:r>
    </w:p>
    <w:p w14:paraId="61EE3E8D" w14:textId="77777777" w:rsidR="00A20990" w:rsidRPr="001A38D5" w:rsidRDefault="00A20990" w:rsidP="005140E1">
      <w:pPr>
        <w:contextualSpacing/>
        <w:rPr>
          <w:rFonts w:cs="Arial"/>
          <w:lang w:val="es-CO"/>
        </w:rPr>
      </w:pPr>
    </w:p>
    <w:p w14:paraId="0BE29E83" w14:textId="77777777" w:rsidR="00A20990" w:rsidRPr="001A38D5" w:rsidRDefault="00A20990" w:rsidP="005140E1">
      <w:pPr>
        <w:pStyle w:val="Ttulo1"/>
        <w:contextualSpacing/>
        <w:rPr>
          <w:rFonts w:ascii="Verdana" w:hAnsi="Verdana"/>
          <w:color w:val="auto"/>
        </w:rPr>
      </w:pPr>
      <w:r w:rsidRPr="001A38D5">
        <w:rPr>
          <w:rFonts w:ascii="Verdana" w:hAnsi="Verdana"/>
          <w:color w:val="auto"/>
        </w:rPr>
        <w:t>CARACTERIZACIÓN</w:t>
      </w:r>
      <w:r w:rsidR="007F516E">
        <w:rPr>
          <w:rFonts w:ascii="Verdana" w:hAnsi="Verdana"/>
          <w:color w:val="auto"/>
        </w:rPr>
        <w:t>.</w:t>
      </w:r>
    </w:p>
    <w:p w14:paraId="0FE7C1AA" w14:textId="77777777" w:rsidR="00A20990" w:rsidRPr="001A38D5" w:rsidRDefault="00A20990" w:rsidP="005140E1">
      <w:pPr>
        <w:contextualSpacing/>
        <w:rPr>
          <w:rFonts w:cs="Arial"/>
          <w:lang w:val="es-CO"/>
        </w:rPr>
      </w:pPr>
    </w:p>
    <w:p w14:paraId="48FD4177" w14:textId="77777777" w:rsidR="00A20990" w:rsidRPr="001A38D5" w:rsidRDefault="00A20990" w:rsidP="005140E1">
      <w:pPr>
        <w:pStyle w:val="Ttulo2"/>
        <w:contextualSpacing/>
        <w:rPr>
          <w:rFonts w:ascii="Verdana" w:hAnsi="Verdana"/>
        </w:rPr>
      </w:pPr>
      <w:r w:rsidRPr="001A38D5">
        <w:rPr>
          <w:rFonts w:ascii="Verdana" w:hAnsi="Verdana"/>
        </w:rPr>
        <w:t>Contexto Regional</w:t>
      </w:r>
      <w:r w:rsidR="007F516E">
        <w:rPr>
          <w:rFonts w:ascii="Verdana" w:hAnsi="Verdana"/>
        </w:rPr>
        <w:t>.</w:t>
      </w:r>
    </w:p>
    <w:p w14:paraId="36C5609A" w14:textId="77777777" w:rsidR="00A20990" w:rsidRPr="001A38D5" w:rsidRDefault="00A20990" w:rsidP="005140E1">
      <w:pPr>
        <w:contextualSpacing/>
        <w:rPr>
          <w:rFonts w:cs="Arial"/>
        </w:rPr>
      </w:pPr>
    </w:p>
    <w:p w14:paraId="4D17BCC6" w14:textId="77777777" w:rsidR="00A20990" w:rsidRPr="001A38D5" w:rsidRDefault="00A20990" w:rsidP="005140E1">
      <w:pPr>
        <w:contextualSpacing/>
        <w:jc w:val="both"/>
        <w:rPr>
          <w:rFonts w:cs="Arial"/>
        </w:rPr>
      </w:pPr>
      <w:r w:rsidRPr="001A38D5">
        <w:rPr>
          <w:rFonts w:cs="Arial"/>
        </w:rPr>
        <w:t xml:space="preserve">El Municipio de Villavicencio, capital del </w:t>
      </w:r>
      <w:r w:rsidR="007F516E">
        <w:rPr>
          <w:rFonts w:cs="Arial"/>
        </w:rPr>
        <w:t>D</w:t>
      </w:r>
      <w:r w:rsidRPr="001A38D5">
        <w:rPr>
          <w:rFonts w:cs="Arial"/>
        </w:rPr>
        <w:t xml:space="preserve">epartamento del Meta, se encuentra ubicado en el piedemonte de la Cordillera Oriental, al noroccidente del </w:t>
      </w:r>
      <w:r w:rsidR="007F516E">
        <w:rPr>
          <w:rFonts w:cs="Arial"/>
        </w:rPr>
        <w:t>D</w:t>
      </w:r>
      <w:r w:rsidRPr="001A38D5">
        <w:rPr>
          <w:rFonts w:cs="Arial"/>
        </w:rPr>
        <w:t xml:space="preserve">epartamento, es el centro comercial más importante de los Llanos Orientales, cuenta con un área de 1.328 km² y alberga en su jurisdicción al Resguardo indígena Maguare. Está clasificado para la vigencia 2022 en categoría primera de la Ley 617 de 2001. </w:t>
      </w:r>
    </w:p>
    <w:p w14:paraId="22B1E70D" w14:textId="77777777" w:rsidR="00A20990" w:rsidRPr="001A38D5" w:rsidRDefault="00A20990" w:rsidP="005140E1">
      <w:pPr>
        <w:contextualSpacing/>
        <w:jc w:val="both"/>
        <w:rPr>
          <w:rFonts w:cs="Arial"/>
        </w:rPr>
      </w:pPr>
    </w:p>
    <w:p w14:paraId="1DF99F83" w14:textId="77777777" w:rsidR="00A20990" w:rsidRPr="007A412F" w:rsidRDefault="00A20990" w:rsidP="005140E1">
      <w:pPr>
        <w:pStyle w:val="Descripcin"/>
        <w:contextualSpacing/>
        <w:rPr>
          <w:rFonts w:ascii="Verdana" w:hAnsi="Verdana"/>
          <w:color w:val="auto"/>
          <w:sz w:val="20"/>
          <w:szCs w:val="20"/>
        </w:rPr>
      </w:pPr>
      <w:r w:rsidRPr="007A412F">
        <w:rPr>
          <w:rFonts w:ascii="Verdana" w:hAnsi="Verdana"/>
          <w:color w:val="auto"/>
          <w:sz w:val="20"/>
          <w:szCs w:val="20"/>
        </w:rPr>
        <w:t xml:space="preserve">Ilustración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Ilustración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1</w:t>
      </w:r>
      <w:r w:rsidRPr="007A412F">
        <w:rPr>
          <w:rFonts w:ascii="Verdana" w:hAnsi="Verdana"/>
          <w:color w:val="auto"/>
          <w:sz w:val="20"/>
          <w:szCs w:val="20"/>
        </w:rPr>
        <w:fldChar w:fldCharType="end"/>
      </w:r>
      <w:r w:rsidRPr="007A412F">
        <w:rPr>
          <w:rFonts w:ascii="Verdana" w:hAnsi="Verdana"/>
          <w:color w:val="auto"/>
          <w:sz w:val="20"/>
          <w:szCs w:val="20"/>
        </w:rPr>
        <w:t xml:space="preserve"> Información del Municipio de Villavicencio – Meta</w:t>
      </w:r>
      <w:r w:rsidR="003E1C4E" w:rsidRPr="007A412F">
        <w:rPr>
          <w:rFonts w:ascii="Verdana" w:hAnsi="Verdana"/>
          <w:color w:val="auto"/>
          <w:sz w:val="20"/>
          <w:szCs w:val="20"/>
        </w:rPr>
        <w:t>.</w:t>
      </w:r>
    </w:p>
    <w:tbl>
      <w:tblPr>
        <w:tblW w:w="9634" w:type="dxa"/>
        <w:jc w:val="center"/>
        <w:tblLayout w:type="fixed"/>
        <w:tblCellMar>
          <w:left w:w="70" w:type="dxa"/>
          <w:right w:w="70" w:type="dxa"/>
        </w:tblCellMar>
        <w:tblLook w:val="04A0" w:firstRow="1" w:lastRow="0" w:firstColumn="1" w:lastColumn="0" w:noHBand="0" w:noVBand="1"/>
      </w:tblPr>
      <w:tblGrid>
        <w:gridCol w:w="3397"/>
        <w:gridCol w:w="567"/>
        <w:gridCol w:w="2268"/>
        <w:gridCol w:w="850"/>
        <w:gridCol w:w="284"/>
        <w:gridCol w:w="567"/>
        <w:gridCol w:w="142"/>
        <w:gridCol w:w="425"/>
        <w:gridCol w:w="283"/>
        <w:gridCol w:w="851"/>
      </w:tblGrid>
      <w:tr w:rsidR="001A38D5" w:rsidRPr="001A38D5" w14:paraId="472BC38B" w14:textId="77777777" w:rsidTr="00A20990">
        <w:trPr>
          <w:trHeight w:val="20"/>
          <w:jc w:val="center"/>
        </w:trPr>
        <w:tc>
          <w:tcPr>
            <w:tcW w:w="3397" w:type="dxa"/>
            <w:vMerge w:val="restart"/>
            <w:tcBorders>
              <w:top w:val="single" w:sz="4" w:space="0" w:color="4F81BD" w:themeColor="accent1"/>
              <w:left w:val="single" w:sz="4" w:space="0" w:color="4F81BD" w:themeColor="accent1"/>
              <w:right w:val="single" w:sz="4" w:space="0" w:color="4472C4"/>
            </w:tcBorders>
            <w:shd w:val="clear" w:color="000000" w:fill="D6DCE4"/>
            <w:vAlign w:val="center"/>
            <w:hideMark/>
          </w:tcPr>
          <w:p w14:paraId="0C692A80" w14:textId="77777777" w:rsidR="00A20990" w:rsidRPr="001A38D5" w:rsidRDefault="00A20990" w:rsidP="005140E1">
            <w:pPr>
              <w:contextualSpacing/>
              <w:rPr>
                <w:rFonts w:eastAsia="Times New Roman" w:cs="Arial"/>
                <w:sz w:val="16"/>
                <w:szCs w:val="16"/>
                <w:lang w:val="es-CO" w:eastAsia="es-CO"/>
              </w:rPr>
            </w:pPr>
            <w:r w:rsidRPr="001A38D5">
              <w:rPr>
                <w:rFonts w:cs="Arial"/>
                <w:noProof/>
                <w:lang w:val="es-CO" w:eastAsia="es-CO"/>
              </w:rPr>
              <w:drawing>
                <wp:inline distT="0" distB="0" distL="0" distR="0" wp14:anchorId="1395C25D" wp14:editId="734E2773">
                  <wp:extent cx="2138045" cy="1825625"/>
                  <wp:effectExtent l="0" t="0" r="0" b="3175"/>
                  <wp:docPr id="12" name="Imagen 12" descr="Villavicencio ubicada en Meta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vicencio ubicada en Meta (Colomb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045" cy="1825625"/>
                          </a:xfrm>
                          <a:prstGeom prst="rect">
                            <a:avLst/>
                          </a:prstGeom>
                          <a:noFill/>
                          <a:ln>
                            <a:noFill/>
                          </a:ln>
                        </pic:spPr>
                      </pic:pic>
                    </a:graphicData>
                  </a:graphic>
                </wp:inline>
              </w:drawing>
            </w:r>
          </w:p>
        </w:tc>
        <w:tc>
          <w:tcPr>
            <w:tcW w:w="567" w:type="dxa"/>
            <w:vMerge w:val="restart"/>
            <w:tcBorders>
              <w:top w:val="single" w:sz="4" w:space="0" w:color="4F81BD" w:themeColor="accent1"/>
              <w:left w:val="nil"/>
              <w:bottom w:val="nil"/>
              <w:right w:val="nil"/>
            </w:tcBorders>
            <w:shd w:val="clear" w:color="auto" w:fill="auto"/>
            <w:noWrap/>
            <w:vAlign w:val="bottom"/>
            <w:hideMark/>
          </w:tcPr>
          <w:p w14:paraId="39903609" w14:textId="77777777" w:rsidR="00A20990" w:rsidRPr="001A38D5" w:rsidRDefault="003E1C4E" w:rsidP="005140E1">
            <w:pPr>
              <w:contextualSpacing/>
              <w:rPr>
                <w:rFonts w:cs="Arial"/>
                <w:lang w:val="es-CO" w:eastAsia="es-CO"/>
              </w:rPr>
            </w:pPr>
            <w:r>
              <w:rPr>
                <w:rFonts w:cs="Arial"/>
                <w:noProof/>
                <w:lang w:val="es-CO" w:eastAsia="es-CO"/>
              </w:rPr>
              <w:drawing>
                <wp:anchor distT="0" distB="0" distL="114300" distR="114300" simplePos="0" relativeHeight="251656192" behindDoc="0" locked="0" layoutInCell="1" allowOverlap="1" wp14:anchorId="184C536D" wp14:editId="189F9A43">
                  <wp:simplePos x="0" y="0"/>
                  <wp:positionH relativeFrom="column">
                    <wp:posOffset>-19050</wp:posOffset>
                  </wp:positionH>
                  <wp:positionV relativeFrom="paragraph">
                    <wp:posOffset>12700</wp:posOffset>
                  </wp:positionV>
                  <wp:extent cx="313690" cy="299720"/>
                  <wp:effectExtent l="0" t="0" r="0" b="5080"/>
                  <wp:wrapNone/>
                  <wp:docPr id="8" name="Imagen 5">
                    <a:extLst xmlns:a="http://schemas.openxmlformats.org/drawingml/2006/main">
                      <a:ext uri="{FF2B5EF4-FFF2-40B4-BE49-F238E27FC236}">
                        <a16:creationId xmlns:a16="http://schemas.microsoft.com/office/drawing/2014/main" id="{C1FD310E-4465-4CC0-9059-FD9C5A8ED9E4}"/>
                      </a:ext>
                    </a:extLst>
                  </wp:docPr>
                  <wp:cNvGraphicFramePr/>
                  <a:graphic xmlns:a="http://schemas.openxmlformats.org/drawingml/2006/main">
                    <a:graphicData uri="http://schemas.openxmlformats.org/drawingml/2006/picture">
                      <pic:pic xmlns:pic="http://schemas.openxmlformats.org/drawingml/2006/picture">
                        <pic:nvPicPr>
                          <pic:cNvPr id="8" name="Imagen 8">
                            <a:extLst>
                              <a:ext uri="{FF2B5EF4-FFF2-40B4-BE49-F238E27FC236}">
                                <a16:creationId xmlns:a16="http://schemas.microsoft.com/office/drawing/2014/main" id="{C1FD310E-4465-4CC0-9059-FD9C5A8ED9E4}"/>
                              </a:ext>
                            </a:extLst>
                          </pic:cNvPr>
                          <pic:cNvPicPr/>
                        </pic:nvPicPr>
                        <pic:blipFill rotWithShape="1">
                          <a:blip r:embed="rId11" cstate="print">
                            <a:extLst>
                              <a:ext uri="{28A0092B-C50C-407E-A947-70E740481C1C}">
                                <a14:useLocalDpi xmlns:a14="http://schemas.microsoft.com/office/drawing/2010/main" val="0"/>
                              </a:ext>
                            </a:extLst>
                          </a:blip>
                          <a:srcRect l="30041" t="28364" r="42803" b="24261"/>
                          <a:stretch/>
                        </pic:blipFill>
                        <pic:spPr bwMode="auto">
                          <a:xfrm>
                            <a:off x="0" y="0"/>
                            <a:ext cx="313690" cy="299720"/>
                          </a:xfrm>
                          <a:prstGeom prst="ellipse">
                            <a:avLst/>
                          </a:prstGeom>
                          <a:ln>
                            <a:noFill/>
                          </a:ln>
                          <a:extLst>
                            <a:ext uri="{53640926-AAD7-44D8-BBD7-CCE9431645EC}">
                              <a14:shadowObscured xmlns:a14="http://schemas.microsoft.com/office/drawing/2010/main"/>
                            </a:ext>
                          </a:extLst>
                        </pic:spPr>
                      </pic:pic>
                    </a:graphicData>
                  </a:graphic>
                </wp:anchor>
              </w:drawing>
            </w:r>
          </w:p>
          <w:p w14:paraId="6C75C052" w14:textId="77777777" w:rsidR="00A20990" w:rsidRPr="001A38D5" w:rsidRDefault="00A20990" w:rsidP="005140E1">
            <w:pPr>
              <w:contextualSpacing/>
              <w:rPr>
                <w:rFonts w:cs="Arial"/>
                <w:lang w:val="es-CO" w:eastAsia="es-CO"/>
              </w:rPr>
            </w:pPr>
          </w:p>
        </w:tc>
        <w:tc>
          <w:tcPr>
            <w:tcW w:w="2268" w:type="dxa"/>
            <w:tcBorders>
              <w:top w:val="single" w:sz="4" w:space="0" w:color="4F81BD" w:themeColor="accent1"/>
              <w:left w:val="nil"/>
              <w:bottom w:val="dotted" w:sz="4" w:space="0" w:color="4F81BD" w:themeColor="accent1"/>
              <w:right w:val="single" w:sz="4" w:space="0" w:color="4472C4"/>
            </w:tcBorders>
            <w:shd w:val="clear" w:color="000000" w:fill="FFFFFF"/>
            <w:vAlign w:val="center"/>
            <w:hideMark/>
          </w:tcPr>
          <w:p w14:paraId="7C600DCF" w14:textId="77777777" w:rsidR="00A20990" w:rsidRPr="001A38D5" w:rsidRDefault="00A20990" w:rsidP="005140E1">
            <w:pPr>
              <w:contextualSpacing/>
              <w:rPr>
                <w:rFonts w:cs="Arial"/>
                <w:b/>
                <w:bCs/>
                <w:sz w:val="16"/>
                <w:szCs w:val="16"/>
                <w:lang w:val="es-CO" w:eastAsia="es-CO"/>
              </w:rPr>
            </w:pPr>
            <w:r w:rsidRPr="001A38D5">
              <w:rPr>
                <w:rFonts w:cs="Arial"/>
                <w:b/>
                <w:bCs/>
                <w:sz w:val="16"/>
                <w:szCs w:val="16"/>
                <w:lang w:val="es-CO" w:eastAsia="es-CO"/>
              </w:rPr>
              <w:t>Alcalde 2020-2023:</w:t>
            </w:r>
          </w:p>
        </w:tc>
        <w:tc>
          <w:tcPr>
            <w:tcW w:w="3402" w:type="dxa"/>
            <w:gridSpan w:val="7"/>
            <w:tcBorders>
              <w:top w:val="single" w:sz="4" w:space="0" w:color="4F81BD" w:themeColor="accent1"/>
              <w:left w:val="nil"/>
              <w:bottom w:val="dotted" w:sz="4" w:space="0" w:color="4F81BD" w:themeColor="accent1"/>
              <w:right w:val="single" w:sz="4" w:space="0" w:color="4F81BD" w:themeColor="accent1"/>
            </w:tcBorders>
            <w:shd w:val="clear" w:color="000000" w:fill="FFFFFF"/>
            <w:vAlign w:val="center"/>
            <w:hideMark/>
          </w:tcPr>
          <w:p w14:paraId="0BFEC081"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JUAN FELIPE HARMAN ORTIZ</w:t>
            </w:r>
          </w:p>
        </w:tc>
      </w:tr>
      <w:tr w:rsidR="001A38D5" w:rsidRPr="001A38D5" w14:paraId="7EDC016C" w14:textId="77777777" w:rsidTr="00A20990">
        <w:trPr>
          <w:trHeight w:val="20"/>
          <w:jc w:val="center"/>
        </w:trPr>
        <w:tc>
          <w:tcPr>
            <w:tcW w:w="3397" w:type="dxa"/>
            <w:vMerge/>
            <w:tcBorders>
              <w:left w:val="single" w:sz="4" w:space="0" w:color="4F81BD" w:themeColor="accent1"/>
              <w:right w:val="single" w:sz="4" w:space="0" w:color="4472C4"/>
            </w:tcBorders>
            <w:vAlign w:val="center"/>
            <w:hideMark/>
          </w:tcPr>
          <w:p w14:paraId="74F98B8D" w14:textId="77777777" w:rsidR="00A20990" w:rsidRPr="001A38D5" w:rsidRDefault="00A20990" w:rsidP="005140E1">
            <w:pPr>
              <w:contextualSpacing/>
              <w:rPr>
                <w:rFonts w:cs="Arial"/>
                <w:lang w:val="es-CO" w:eastAsia="es-CO"/>
              </w:rPr>
            </w:pPr>
          </w:p>
        </w:tc>
        <w:tc>
          <w:tcPr>
            <w:tcW w:w="567" w:type="dxa"/>
            <w:vMerge/>
            <w:tcBorders>
              <w:top w:val="nil"/>
              <w:left w:val="nil"/>
              <w:bottom w:val="nil"/>
              <w:right w:val="nil"/>
            </w:tcBorders>
            <w:vAlign w:val="center"/>
            <w:hideMark/>
          </w:tcPr>
          <w:p w14:paraId="246B9B2F" w14:textId="77777777" w:rsidR="00A20990" w:rsidRPr="001A38D5" w:rsidRDefault="00A20990" w:rsidP="005140E1">
            <w:pPr>
              <w:contextualSpacing/>
              <w:rPr>
                <w:rFonts w:cs="Arial"/>
                <w:lang w:val="es-CO" w:eastAsia="es-CO"/>
              </w:rPr>
            </w:pPr>
          </w:p>
        </w:tc>
        <w:tc>
          <w:tcPr>
            <w:tcW w:w="2268" w:type="dxa"/>
            <w:tcBorders>
              <w:top w:val="dotted" w:sz="4" w:space="0" w:color="4F81BD" w:themeColor="accent1"/>
              <w:left w:val="nil"/>
              <w:bottom w:val="single" w:sz="4" w:space="0" w:color="4472C4"/>
              <w:right w:val="single" w:sz="4" w:space="0" w:color="4472C4"/>
            </w:tcBorders>
            <w:shd w:val="clear" w:color="000000" w:fill="FFFFFF"/>
            <w:vAlign w:val="center"/>
            <w:hideMark/>
          </w:tcPr>
          <w:p w14:paraId="4F2D1066" w14:textId="77777777" w:rsidR="00A20990" w:rsidRPr="001A38D5" w:rsidRDefault="00A20990" w:rsidP="005140E1">
            <w:pPr>
              <w:contextualSpacing/>
              <w:rPr>
                <w:rFonts w:cs="Arial"/>
                <w:b/>
                <w:bCs/>
                <w:sz w:val="16"/>
                <w:szCs w:val="16"/>
                <w:lang w:val="es-CO" w:eastAsia="es-CO"/>
              </w:rPr>
            </w:pPr>
            <w:r w:rsidRPr="001A38D5">
              <w:rPr>
                <w:rFonts w:cs="Arial"/>
                <w:b/>
                <w:bCs/>
                <w:sz w:val="16"/>
                <w:szCs w:val="16"/>
                <w:lang w:val="es-CO" w:eastAsia="es-CO"/>
              </w:rPr>
              <w:t>Categoría Ley 617 de 2000:</w:t>
            </w:r>
          </w:p>
        </w:tc>
        <w:tc>
          <w:tcPr>
            <w:tcW w:w="3402" w:type="dxa"/>
            <w:gridSpan w:val="7"/>
            <w:tcBorders>
              <w:top w:val="dotted" w:sz="4" w:space="0" w:color="4F81BD" w:themeColor="accent1"/>
              <w:left w:val="nil"/>
              <w:bottom w:val="single" w:sz="4" w:space="0" w:color="4472C4"/>
              <w:right w:val="single" w:sz="4" w:space="0" w:color="4F81BD" w:themeColor="accent1"/>
            </w:tcBorders>
            <w:shd w:val="clear" w:color="000000" w:fill="FFFFFF"/>
            <w:vAlign w:val="center"/>
            <w:hideMark/>
          </w:tcPr>
          <w:p w14:paraId="0EDAE6FC"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1</w:t>
            </w:r>
          </w:p>
        </w:tc>
      </w:tr>
      <w:tr w:rsidR="001A38D5" w:rsidRPr="001A38D5" w14:paraId="463D1875" w14:textId="77777777" w:rsidTr="00A20990">
        <w:trPr>
          <w:trHeight w:val="20"/>
          <w:jc w:val="center"/>
        </w:trPr>
        <w:tc>
          <w:tcPr>
            <w:tcW w:w="3397" w:type="dxa"/>
            <w:vMerge/>
            <w:tcBorders>
              <w:left w:val="single" w:sz="4" w:space="0" w:color="4F81BD" w:themeColor="accent1"/>
              <w:right w:val="single" w:sz="4" w:space="0" w:color="4472C4"/>
            </w:tcBorders>
            <w:vAlign w:val="center"/>
            <w:hideMark/>
          </w:tcPr>
          <w:p w14:paraId="592F8F0F" w14:textId="77777777" w:rsidR="00A20990" w:rsidRPr="001A38D5" w:rsidRDefault="00A20990" w:rsidP="005140E1">
            <w:pPr>
              <w:contextualSpacing/>
              <w:rPr>
                <w:rFonts w:cs="Arial"/>
                <w:lang w:val="es-CO" w:eastAsia="es-CO"/>
              </w:rPr>
            </w:pPr>
          </w:p>
        </w:tc>
        <w:tc>
          <w:tcPr>
            <w:tcW w:w="567" w:type="dxa"/>
            <w:vMerge w:val="restart"/>
            <w:tcBorders>
              <w:top w:val="single" w:sz="4" w:space="0" w:color="4472C4"/>
              <w:left w:val="single" w:sz="4" w:space="0" w:color="4472C4"/>
              <w:bottom w:val="nil"/>
              <w:right w:val="nil"/>
            </w:tcBorders>
            <w:shd w:val="clear" w:color="000000" w:fill="FFFFFF"/>
            <w:vAlign w:val="center"/>
            <w:hideMark/>
          </w:tcPr>
          <w:p w14:paraId="109011FC" w14:textId="77777777" w:rsidR="00A20990" w:rsidRPr="001A38D5" w:rsidRDefault="003E1C4E" w:rsidP="005140E1">
            <w:pPr>
              <w:contextualSpacing/>
              <w:rPr>
                <w:rFonts w:cs="Arial"/>
                <w:lang w:val="es-CO" w:eastAsia="es-CO"/>
              </w:rPr>
            </w:pPr>
            <w:r>
              <w:rPr>
                <w:rFonts w:cs="Arial"/>
                <w:noProof/>
                <w:lang w:val="es-CO" w:eastAsia="es-CO"/>
              </w:rPr>
              <w:drawing>
                <wp:anchor distT="0" distB="0" distL="114300" distR="114300" simplePos="0" relativeHeight="251657216" behindDoc="0" locked="0" layoutInCell="1" allowOverlap="1" wp14:anchorId="2059813B" wp14:editId="15FFFD28">
                  <wp:simplePos x="0" y="0"/>
                  <wp:positionH relativeFrom="column">
                    <wp:posOffset>-24765</wp:posOffset>
                  </wp:positionH>
                  <wp:positionV relativeFrom="paragraph">
                    <wp:posOffset>20955</wp:posOffset>
                  </wp:positionV>
                  <wp:extent cx="313690" cy="299720"/>
                  <wp:effectExtent l="0" t="0" r="0" b="5080"/>
                  <wp:wrapNone/>
                  <wp:docPr id="9" name="Imagen 6">
                    <a:extLst xmlns:a="http://schemas.openxmlformats.org/drawingml/2006/main">
                      <a:ext uri="{FF2B5EF4-FFF2-40B4-BE49-F238E27FC236}">
                        <a16:creationId xmlns:a16="http://schemas.microsoft.com/office/drawing/2014/main" id="{E3ED0E3D-2F40-4CA8-8EF4-74C4D56CD5ED}"/>
                      </a:ext>
                    </a:extLst>
                  </wp:docPr>
                  <wp:cNvGraphicFramePr/>
                  <a:graphic xmlns:a="http://schemas.openxmlformats.org/drawingml/2006/main">
                    <a:graphicData uri="http://schemas.openxmlformats.org/drawingml/2006/picture">
                      <pic:pic xmlns:pic="http://schemas.openxmlformats.org/drawingml/2006/picture">
                        <pic:nvPicPr>
                          <pic:cNvPr id="9" name="Imagen 9">
                            <a:extLst>
                              <a:ext uri="{FF2B5EF4-FFF2-40B4-BE49-F238E27FC236}">
                                <a16:creationId xmlns:a16="http://schemas.microsoft.com/office/drawing/2014/main" id="{E3ED0E3D-2F40-4CA8-8EF4-74C4D56CD5ED}"/>
                              </a:ext>
                            </a:extLst>
                          </pic:cNvPr>
                          <pic:cNvPicPr/>
                        </pic:nvPicPr>
                        <pic:blipFill rotWithShape="1">
                          <a:blip r:embed="rId12" cstate="print">
                            <a:extLst>
                              <a:ext uri="{28A0092B-C50C-407E-A947-70E740481C1C}">
                                <a14:useLocalDpi xmlns:a14="http://schemas.microsoft.com/office/drawing/2010/main" val="0"/>
                              </a:ext>
                            </a:extLst>
                          </a:blip>
                          <a:srcRect l="30211" t="27761" r="42974" b="24260"/>
                          <a:stretch/>
                        </pic:blipFill>
                        <pic:spPr bwMode="auto">
                          <a:xfrm>
                            <a:off x="0" y="0"/>
                            <a:ext cx="313690" cy="299720"/>
                          </a:xfrm>
                          <a:prstGeom prst="ellipse">
                            <a:avLst/>
                          </a:prstGeom>
                          <a:ln>
                            <a:noFill/>
                          </a:ln>
                          <a:extLst>
                            <a:ext uri="{53640926-AAD7-44D8-BBD7-CCE9431645EC}">
                              <a14:shadowObscured xmlns:a14="http://schemas.microsoft.com/office/drawing/2010/main"/>
                            </a:ext>
                          </a:extLst>
                        </pic:spPr>
                      </pic:pic>
                    </a:graphicData>
                  </a:graphic>
                </wp:anchor>
              </w:drawing>
            </w:r>
            <w:r w:rsidR="00A20990" w:rsidRPr="001A38D5">
              <w:rPr>
                <w:rFonts w:cs="Arial"/>
                <w:lang w:val="es-CO" w:eastAsia="es-CO"/>
              </w:rPr>
              <w:t> </w:t>
            </w:r>
          </w:p>
        </w:tc>
        <w:tc>
          <w:tcPr>
            <w:tcW w:w="2268" w:type="dxa"/>
            <w:tcBorders>
              <w:top w:val="nil"/>
              <w:left w:val="nil"/>
              <w:bottom w:val="dotted" w:sz="4" w:space="0" w:color="4F81BD" w:themeColor="accent1"/>
              <w:right w:val="single" w:sz="4" w:space="0" w:color="4472C4"/>
            </w:tcBorders>
            <w:shd w:val="clear" w:color="000000" w:fill="FFFFFF"/>
            <w:vAlign w:val="center"/>
            <w:hideMark/>
          </w:tcPr>
          <w:p w14:paraId="020EBABB" w14:textId="77777777" w:rsidR="00A20990" w:rsidRPr="001A38D5" w:rsidRDefault="00A20990" w:rsidP="005140E1">
            <w:pPr>
              <w:contextualSpacing/>
              <w:rPr>
                <w:rFonts w:cs="Arial"/>
                <w:b/>
                <w:bCs/>
                <w:sz w:val="16"/>
                <w:szCs w:val="16"/>
                <w:lang w:val="es-CO" w:eastAsia="es-CO"/>
              </w:rPr>
            </w:pPr>
            <w:r w:rsidRPr="001A38D5">
              <w:rPr>
                <w:rFonts w:cs="Arial"/>
                <w:b/>
                <w:bCs/>
                <w:sz w:val="16"/>
                <w:szCs w:val="16"/>
                <w:lang w:val="es-CO" w:eastAsia="es-CO"/>
              </w:rPr>
              <w:t>Extensión (km</w:t>
            </w:r>
            <w:r w:rsidRPr="001A38D5">
              <w:rPr>
                <w:rFonts w:cs="Arial"/>
                <w:b/>
                <w:bCs/>
                <w:sz w:val="16"/>
                <w:szCs w:val="16"/>
                <w:vertAlign w:val="superscript"/>
                <w:lang w:val="es-CO" w:eastAsia="es-CO"/>
              </w:rPr>
              <w:t>2</w:t>
            </w:r>
            <w:r w:rsidRPr="001A38D5">
              <w:rPr>
                <w:rFonts w:cs="Arial"/>
                <w:b/>
                <w:bCs/>
                <w:sz w:val="16"/>
                <w:szCs w:val="16"/>
                <w:lang w:val="es-CO" w:eastAsia="es-CO"/>
              </w:rPr>
              <w:t>):</w:t>
            </w:r>
          </w:p>
        </w:tc>
        <w:tc>
          <w:tcPr>
            <w:tcW w:w="3402" w:type="dxa"/>
            <w:gridSpan w:val="7"/>
            <w:tcBorders>
              <w:top w:val="nil"/>
              <w:left w:val="nil"/>
              <w:bottom w:val="dotted" w:sz="4" w:space="0" w:color="4F81BD" w:themeColor="accent1"/>
              <w:right w:val="single" w:sz="4" w:space="0" w:color="4F81BD" w:themeColor="accent1"/>
            </w:tcBorders>
            <w:shd w:val="clear" w:color="000000" w:fill="FFFFFF"/>
            <w:vAlign w:val="center"/>
            <w:hideMark/>
          </w:tcPr>
          <w:p w14:paraId="0A1E44AB"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1.328</w:t>
            </w:r>
          </w:p>
        </w:tc>
      </w:tr>
      <w:tr w:rsidR="001A38D5" w:rsidRPr="001A38D5" w14:paraId="7B20B4E1" w14:textId="77777777" w:rsidTr="00A20990">
        <w:trPr>
          <w:trHeight w:val="20"/>
          <w:jc w:val="center"/>
        </w:trPr>
        <w:tc>
          <w:tcPr>
            <w:tcW w:w="3397" w:type="dxa"/>
            <w:vMerge/>
            <w:tcBorders>
              <w:left w:val="single" w:sz="4" w:space="0" w:color="4F81BD" w:themeColor="accent1"/>
              <w:right w:val="single" w:sz="4" w:space="0" w:color="4472C4"/>
            </w:tcBorders>
            <w:vAlign w:val="center"/>
            <w:hideMark/>
          </w:tcPr>
          <w:p w14:paraId="30E02427" w14:textId="77777777" w:rsidR="00A20990" w:rsidRPr="001A38D5" w:rsidRDefault="00A20990" w:rsidP="005140E1">
            <w:pPr>
              <w:contextualSpacing/>
              <w:rPr>
                <w:rFonts w:cs="Arial"/>
                <w:lang w:val="es-CO" w:eastAsia="es-CO"/>
              </w:rPr>
            </w:pPr>
          </w:p>
        </w:tc>
        <w:tc>
          <w:tcPr>
            <w:tcW w:w="567" w:type="dxa"/>
            <w:vMerge/>
            <w:tcBorders>
              <w:top w:val="single" w:sz="4" w:space="0" w:color="4472C4"/>
              <w:left w:val="single" w:sz="4" w:space="0" w:color="4472C4"/>
              <w:bottom w:val="nil"/>
              <w:right w:val="nil"/>
            </w:tcBorders>
            <w:vAlign w:val="center"/>
            <w:hideMark/>
          </w:tcPr>
          <w:p w14:paraId="21D7A6B0" w14:textId="77777777" w:rsidR="00A20990" w:rsidRPr="001A38D5" w:rsidRDefault="00A20990" w:rsidP="005140E1">
            <w:pPr>
              <w:contextualSpacing/>
              <w:rPr>
                <w:rFonts w:cs="Arial"/>
                <w:lang w:val="es-CO" w:eastAsia="es-CO"/>
              </w:rPr>
            </w:pPr>
          </w:p>
        </w:tc>
        <w:tc>
          <w:tcPr>
            <w:tcW w:w="2268" w:type="dxa"/>
            <w:tcBorders>
              <w:top w:val="dotted" w:sz="4" w:space="0" w:color="4F81BD" w:themeColor="accent1"/>
              <w:left w:val="nil"/>
              <w:bottom w:val="single" w:sz="4" w:space="0" w:color="4472C4"/>
              <w:right w:val="single" w:sz="4" w:space="0" w:color="4472C4"/>
            </w:tcBorders>
            <w:shd w:val="clear" w:color="000000" w:fill="FFFFFF"/>
            <w:vAlign w:val="center"/>
            <w:hideMark/>
          </w:tcPr>
          <w:p w14:paraId="69228274" w14:textId="77777777" w:rsidR="00A20990" w:rsidRPr="001A38D5" w:rsidRDefault="00A20990" w:rsidP="005140E1">
            <w:pPr>
              <w:contextualSpacing/>
              <w:rPr>
                <w:rFonts w:cs="Arial"/>
                <w:b/>
                <w:bCs/>
                <w:sz w:val="16"/>
                <w:szCs w:val="16"/>
                <w:lang w:val="es-CO" w:eastAsia="es-CO"/>
              </w:rPr>
            </w:pPr>
            <w:r w:rsidRPr="001A38D5">
              <w:rPr>
                <w:rFonts w:cs="Arial"/>
                <w:b/>
                <w:bCs/>
                <w:sz w:val="16"/>
                <w:szCs w:val="16"/>
                <w:lang w:val="es-CO" w:eastAsia="es-CO"/>
              </w:rPr>
              <w:t>Número de resguardos indígenas:</w:t>
            </w:r>
          </w:p>
        </w:tc>
        <w:tc>
          <w:tcPr>
            <w:tcW w:w="3402" w:type="dxa"/>
            <w:gridSpan w:val="7"/>
            <w:tcBorders>
              <w:top w:val="dotted" w:sz="4" w:space="0" w:color="4F81BD" w:themeColor="accent1"/>
              <w:left w:val="nil"/>
              <w:bottom w:val="single" w:sz="4" w:space="0" w:color="4472C4"/>
              <w:right w:val="single" w:sz="4" w:space="0" w:color="4F81BD" w:themeColor="accent1"/>
            </w:tcBorders>
            <w:shd w:val="clear" w:color="000000" w:fill="FFFFFF"/>
            <w:vAlign w:val="center"/>
            <w:hideMark/>
          </w:tcPr>
          <w:p w14:paraId="6BF39825"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1</w:t>
            </w:r>
          </w:p>
        </w:tc>
      </w:tr>
      <w:tr w:rsidR="001A38D5" w:rsidRPr="001A38D5" w14:paraId="4AFFD64E" w14:textId="77777777" w:rsidTr="00A20990">
        <w:trPr>
          <w:trHeight w:val="20"/>
          <w:jc w:val="center"/>
        </w:trPr>
        <w:tc>
          <w:tcPr>
            <w:tcW w:w="3397" w:type="dxa"/>
            <w:vMerge/>
            <w:tcBorders>
              <w:left w:val="single" w:sz="4" w:space="0" w:color="4F81BD" w:themeColor="accent1"/>
              <w:right w:val="single" w:sz="4" w:space="0" w:color="4472C4"/>
            </w:tcBorders>
            <w:vAlign w:val="center"/>
            <w:hideMark/>
          </w:tcPr>
          <w:p w14:paraId="30C81C3E" w14:textId="77777777" w:rsidR="00A20990" w:rsidRPr="001A38D5" w:rsidRDefault="00A20990" w:rsidP="005140E1">
            <w:pPr>
              <w:contextualSpacing/>
              <w:rPr>
                <w:rFonts w:cs="Arial"/>
                <w:lang w:val="es-CO" w:eastAsia="es-CO"/>
              </w:rPr>
            </w:pPr>
          </w:p>
        </w:tc>
        <w:tc>
          <w:tcPr>
            <w:tcW w:w="567" w:type="dxa"/>
            <w:vMerge w:val="restart"/>
            <w:tcBorders>
              <w:top w:val="single" w:sz="4" w:space="0" w:color="4472C4"/>
              <w:left w:val="single" w:sz="4" w:space="0" w:color="4472C4"/>
              <w:bottom w:val="nil"/>
              <w:right w:val="nil"/>
            </w:tcBorders>
            <w:shd w:val="clear" w:color="000000" w:fill="FFFFFF"/>
            <w:vAlign w:val="center"/>
            <w:hideMark/>
          </w:tcPr>
          <w:p w14:paraId="07F03DC9" w14:textId="77777777" w:rsidR="00A20990" w:rsidRPr="001A38D5" w:rsidRDefault="003E1C4E" w:rsidP="005140E1">
            <w:pPr>
              <w:contextualSpacing/>
              <w:rPr>
                <w:rFonts w:cs="Arial"/>
                <w:lang w:val="es-CO" w:eastAsia="es-CO"/>
              </w:rPr>
            </w:pPr>
            <w:r>
              <w:rPr>
                <w:rFonts w:cs="Arial"/>
                <w:noProof/>
                <w:lang w:val="es-CO" w:eastAsia="es-CO"/>
              </w:rPr>
              <w:drawing>
                <wp:anchor distT="0" distB="0" distL="114300" distR="114300" simplePos="0" relativeHeight="251658240" behindDoc="0" locked="0" layoutInCell="1" allowOverlap="1" wp14:anchorId="5DA06BB6" wp14:editId="7F8B170B">
                  <wp:simplePos x="0" y="0"/>
                  <wp:positionH relativeFrom="column">
                    <wp:posOffset>-21590</wp:posOffset>
                  </wp:positionH>
                  <wp:positionV relativeFrom="paragraph">
                    <wp:posOffset>-25400</wp:posOffset>
                  </wp:positionV>
                  <wp:extent cx="313690" cy="299720"/>
                  <wp:effectExtent l="0" t="0" r="0" b="5080"/>
                  <wp:wrapNone/>
                  <wp:docPr id="10" name="Imagen 7">
                    <a:extLst xmlns:a="http://schemas.openxmlformats.org/drawingml/2006/main">
                      <a:ext uri="{FF2B5EF4-FFF2-40B4-BE49-F238E27FC236}">
                        <a16:creationId xmlns:a16="http://schemas.microsoft.com/office/drawing/2014/main" id="{49E0B2C9-1D83-4DF6-82A6-AE24B38BDA84}"/>
                      </a:ext>
                    </a:extLst>
                  </wp:docPr>
                  <wp:cNvGraphicFramePr/>
                  <a:graphic xmlns:a="http://schemas.openxmlformats.org/drawingml/2006/main">
                    <a:graphicData uri="http://schemas.openxmlformats.org/drawingml/2006/picture">
                      <pic:pic xmlns:pic="http://schemas.openxmlformats.org/drawingml/2006/picture">
                        <pic:nvPicPr>
                          <pic:cNvPr id="10" name="Imagen 10">
                            <a:extLst>
                              <a:ext uri="{FF2B5EF4-FFF2-40B4-BE49-F238E27FC236}">
                                <a16:creationId xmlns:a16="http://schemas.microsoft.com/office/drawing/2014/main" id="{49E0B2C9-1D83-4DF6-82A6-AE24B38BDA84}"/>
                              </a:ext>
                            </a:extLst>
                          </pic:cNvPr>
                          <pic:cNvPicPr/>
                        </pic:nvPicPr>
                        <pic:blipFill rotWithShape="1">
                          <a:blip r:embed="rId13" cstate="print">
                            <a:extLst>
                              <a:ext uri="{28A0092B-C50C-407E-A947-70E740481C1C}">
                                <a14:useLocalDpi xmlns:a14="http://schemas.microsoft.com/office/drawing/2010/main" val="0"/>
                              </a:ext>
                            </a:extLst>
                          </a:blip>
                          <a:srcRect l="30041" t="26553" r="42634" b="25166"/>
                          <a:stretch/>
                        </pic:blipFill>
                        <pic:spPr bwMode="auto">
                          <a:xfrm>
                            <a:off x="0" y="0"/>
                            <a:ext cx="313690" cy="299720"/>
                          </a:xfrm>
                          <a:prstGeom prst="ellipse">
                            <a:avLst/>
                          </a:prstGeom>
                          <a:ln>
                            <a:noFill/>
                          </a:ln>
                          <a:extLst>
                            <a:ext uri="{53640926-AAD7-44D8-BBD7-CCE9431645EC}">
                              <a14:shadowObscured xmlns:a14="http://schemas.microsoft.com/office/drawing/2010/main"/>
                            </a:ext>
                          </a:extLst>
                        </pic:spPr>
                      </pic:pic>
                    </a:graphicData>
                  </a:graphic>
                </wp:anchor>
              </w:drawing>
            </w:r>
            <w:r w:rsidR="00A20990" w:rsidRPr="001A38D5">
              <w:rPr>
                <w:rFonts w:cs="Arial"/>
                <w:lang w:val="es-CO" w:eastAsia="es-CO"/>
              </w:rPr>
              <w:t> </w:t>
            </w:r>
          </w:p>
        </w:tc>
        <w:tc>
          <w:tcPr>
            <w:tcW w:w="2268" w:type="dxa"/>
            <w:tcBorders>
              <w:top w:val="nil"/>
              <w:left w:val="nil"/>
              <w:bottom w:val="dotted" w:sz="4" w:space="0" w:color="4F81BD" w:themeColor="accent1"/>
              <w:right w:val="nil"/>
            </w:tcBorders>
            <w:shd w:val="clear" w:color="000000" w:fill="FFFFFF"/>
            <w:noWrap/>
            <w:vAlign w:val="bottom"/>
            <w:hideMark/>
          </w:tcPr>
          <w:p w14:paraId="267EF188" w14:textId="77777777" w:rsidR="00A20990" w:rsidRPr="001A38D5" w:rsidRDefault="00A20990" w:rsidP="005140E1">
            <w:pPr>
              <w:contextualSpacing/>
              <w:rPr>
                <w:rFonts w:cs="Arial"/>
                <w:b/>
                <w:bCs/>
                <w:sz w:val="16"/>
                <w:szCs w:val="16"/>
                <w:lang w:val="es-CO" w:eastAsia="es-CO"/>
              </w:rPr>
            </w:pPr>
          </w:p>
        </w:tc>
        <w:tc>
          <w:tcPr>
            <w:tcW w:w="1134" w:type="dxa"/>
            <w:gridSpan w:val="2"/>
            <w:tcBorders>
              <w:top w:val="nil"/>
              <w:left w:val="single" w:sz="4" w:space="0" w:color="4472C4"/>
              <w:bottom w:val="dotted" w:sz="4" w:space="0" w:color="4472C4"/>
              <w:right w:val="dotted" w:sz="4" w:space="0" w:color="4472C4"/>
            </w:tcBorders>
            <w:shd w:val="clear" w:color="000000" w:fill="FFFFFF"/>
            <w:vAlign w:val="center"/>
            <w:hideMark/>
          </w:tcPr>
          <w:p w14:paraId="6F04BA02"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Total</w:t>
            </w:r>
          </w:p>
        </w:tc>
        <w:tc>
          <w:tcPr>
            <w:tcW w:w="1134" w:type="dxa"/>
            <w:gridSpan w:val="3"/>
            <w:tcBorders>
              <w:top w:val="single" w:sz="4" w:space="0" w:color="4472C4"/>
              <w:left w:val="nil"/>
              <w:bottom w:val="dotted" w:sz="4" w:space="0" w:color="4472C4"/>
              <w:right w:val="dotted" w:sz="4" w:space="0" w:color="4472C4"/>
            </w:tcBorders>
            <w:shd w:val="clear" w:color="000000" w:fill="FFFFFF"/>
            <w:vAlign w:val="center"/>
            <w:hideMark/>
          </w:tcPr>
          <w:p w14:paraId="2360C322"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Urbana</w:t>
            </w:r>
          </w:p>
        </w:tc>
        <w:tc>
          <w:tcPr>
            <w:tcW w:w="1134" w:type="dxa"/>
            <w:gridSpan w:val="2"/>
            <w:tcBorders>
              <w:top w:val="single" w:sz="4" w:space="0" w:color="4472C4"/>
              <w:left w:val="nil"/>
              <w:bottom w:val="dotted" w:sz="4" w:space="0" w:color="4472C4"/>
              <w:right w:val="single" w:sz="4" w:space="0" w:color="4F81BD" w:themeColor="accent1"/>
            </w:tcBorders>
            <w:shd w:val="clear" w:color="000000" w:fill="FFFFFF"/>
            <w:vAlign w:val="center"/>
            <w:hideMark/>
          </w:tcPr>
          <w:p w14:paraId="522AB21D"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Rural</w:t>
            </w:r>
          </w:p>
        </w:tc>
      </w:tr>
      <w:tr w:rsidR="001A38D5" w:rsidRPr="001A38D5" w14:paraId="45FC0A74" w14:textId="77777777" w:rsidTr="00A20990">
        <w:trPr>
          <w:trHeight w:val="20"/>
          <w:jc w:val="center"/>
        </w:trPr>
        <w:tc>
          <w:tcPr>
            <w:tcW w:w="3397" w:type="dxa"/>
            <w:vMerge/>
            <w:tcBorders>
              <w:left w:val="single" w:sz="4" w:space="0" w:color="4F81BD" w:themeColor="accent1"/>
              <w:right w:val="single" w:sz="4" w:space="0" w:color="4472C4"/>
            </w:tcBorders>
            <w:vAlign w:val="center"/>
            <w:hideMark/>
          </w:tcPr>
          <w:p w14:paraId="53CD4B05" w14:textId="77777777" w:rsidR="00A20990" w:rsidRPr="001A38D5" w:rsidRDefault="00A20990" w:rsidP="005140E1">
            <w:pPr>
              <w:contextualSpacing/>
              <w:rPr>
                <w:rFonts w:cs="Arial"/>
                <w:lang w:val="es-CO" w:eastAsia="es-CO"/>
              </w:rPr>
            </w:pPr>
          </w:p>
        </w:tc>
        <w:tc>
          <w:tcPr>
            <w:tcW w:w="567" w:type="dxa"/>
            <w:vMerge/>
            <w:tcBorders>
              <w:top w:val="single" w:sz="4" w:space="0" w:color="4472C4"/>
              <w:left w:val="single" w:sz="4" w:space="0" w:color="4472C4"/>
              <w:bottom w:val="nil"/>
              <w:right w:val="nil"/>
            </w:tcBorders>
            <w:vAlign w:val="center"/>
            <w:hideMark/>
          </w:tcPr>
          <w:p w14:paraId="05C3F31C" w14:textId="77777777" w:rsidR="00A20990" w:rsidRPr="001A38D5" w:rsidRDefault="00A20990" w:rsidP="005140E1">
            <w:pPr>
              <w:contextualSpacing/>
              <w:rPr>
                <w:rFonts w:cs="Arial"/>
                <w:lang w:val="es-CO" w:eastAsia="es-CO"/>
              </w:rPr>
            </w:pPr>
          </w:p>
        </w:tc>
        <w:tc>
          <w:tcPr>
            <w:tcW w:w="2268" w:type="dxa"/>
            <w:tcBorders>
              <w:top w:val="dotted" w:sz="4" w:space="0" w:color="4F81BD" w:themeColor="accent1"/>
              <w:left w:val="nil"/>
              <w:bottom w:val="dotted" w:sz="4" w:space="0" w:color="4F81BD" w:themeColor="accent1"/>
              <w:right w:val="single" w:sz="4" w:space="0" w:color="4472C4"/>
            </w:tcBorders>
            <w:shd w:val="clear" w:color="000000" w:fill="FFFFFF"/>
            <w:vAlign w:val="center"/>
            <w:hideMark/>
          </w:tcPr>
          <w:p w14:paraId="4952290D" w14:textId="77777777" w:rsidR="00A20990" w:rsidRPr="001A38D5" w:rsidRDefault="00A20990" w:rsidP="005140E1">
            <w:pPr>
              <w:contextualSpacing/>
              <w:rPr>
                <w:rFonts w:cs="Arial"/>
                <w:b/>
                <w:bCs/>
                <w:sz w:val="16"/>
                <w:szCs w:val="16"/>
                <w:lang w:val="es-CO" w:eastAsia="es-CO"/>
              </w:rPr>
            </w:pPr>
            <w:r w:rsidRPr="001A38D5">
              <w:rPr>
                <w:rFonts w:cs="Arial"/>
                <w:b/>
                <w:bCs/>
                <w:sz w:val="16"/>
                <w:szCs w:val="16"/>
                <w:lang w:val="es-CO" w:eastAsia="es-CO"/>
              </w:rPr>
              <w:t>Población 2022:</w:t>
            </w:r>
          </w:p>
        </w:tc>
        <w:tc>
          <w:tcPr>
            <w:tcW w:w="1134" w:type="dxa"/>
            <w:gridSpan w:val="2"/>
            <w:tcBorders>
              <w:top w:val="nil"/>
              <w:left w:val="nil"/>
              <w:bottom w:val="dotted" w:sz="4" w:space="0" w:color="4472C4"/>
              <w:right w:val="dotted" w:sz="4" w:space="0" w:color="4472C4"/>
            </w:tcBorders>
            <w:shd w:val="clear" w:color="000000" w:fill="FFFFFF"/>
            <w:vAlign w:val="center"/>
            <w:hideMark/>
          </w:tcPr>
          <w:p w14:paraId="6FFDB42E"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554.173</w:t>
            </w:r>
          </w:p>
        </w:tc>
        <w:tc>
          <w:tcPr>
            <w:tcW w:w="1134" w:type="dxa"/>
            <w:gridSpan w:val="3"/>
            <w:tcBorders>
              <w:top w:val="dotted" w:sz="4" w:space="0" w:color="4472C4"/>
              <w:left w:val="nil"/>
              <w:bottom w:val="dotted" w:sz="4" w:space="0" w:color="4472C4"/>
              <w:right w:val="dotted" w:sz="4" w:space="0" w:color="4472C4"/>
            </w:tcBorders>
            <w:shd w:val="clear" w:color="000000" w:fill="FFFFFF"/>
            <w:vAlign w:val="center"/>
            <w:hideMark/>
          </w:tcPr>
          <w:p w14:paraId="72F64E75"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509.910</w:t>
            </w:r>
          </w:p>
        </w:tc>
        <w:tc>
          <w:tcPr>
            <w:tcW w:w="1134" w:type="dxa"/>
            <w:gridSpan w:val="2"/>
            <w:tcBorders>
              <w:top w:val="dotted" w:sz="4" w:space="0" w:color="4472C4"/>
              <w:left w:val="nil"/>
              <w:bottom w:val="dotted" w:sz="4" w:space="0" w:color="4472C4"/>
              <w:right w:val="single" w:sz="4" w:space="0" w:color="4F81BD" w:themeColor="accent1"/>
            </w:tcBorders>
            <w:shd w:val="clear" w:color="000000" w:fill="FFFFFF"/>
            <w:vAlign w:val="center"/>
            <w:hideMark/>
          </w:tcPr>
          <w:p w14:paraId="6E2CC12F"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44.263</w:t>
            </w:r>
          </w:p>
        </w:tc>
      </w:tr>
      <w:tr w:rsidR="001A38D5" w:rsidRPr="001A38D5" w14:paraId="344B1536" w14:textId="77777777" w:rsidTr="00A20990">
        <w:trPr>
          <w:trHeight w:val="405"/>
          <w:jc w:val="center"/>
        </w:trPr>
        <w:tc>
          <w:tcPr>
            <w:tcW w:w="3397" w:type="dxa"/>
            <w:vMerge/>
            <w:tcBorders>
              <w:left w:val="single" w:sz="4" w:space="0" w:color="4F81BD" w:themeColor="accent1"/>
              <w:right w:val="single" w:sz="4" w:space="0" w:color="4472C4"/>
            </w:tcBorders>
            <w:vAlign w:val="center"/>
            <w:hideMark/>
          </w:tcPr>
          <w:p w14:paraId="7129F102" w14:textId="77777777" w:rsidR="00A20990" w:rsidRPr="001A38D5" w:rsidRDefault="00A20990" w:rsidP="005140E1">
            <w:pPr>
              <w:contextualSpacing/>
              <w:rPr>
                <w:rFonts w:cs="Arial"/>
                <w:lang w:val="es-CO" w:eastAsia="es-CO"/>
              </w:rPr>
            </w:pPr>
          </w:p>
        </w:tc>
        <w:tc>
          <w:tcPr>
            <w:tcW w:w="567" w:type="dxa"/>
            <w:vMerge/>
            <w:tcBorders>
              <w:top w:val="single" w:sz="4" w:space="0" w:color="4472C4"/>
              <w:left w:val="single" w:sz="4" w:space="0" w:color="4472C4"/>
              <w:bottom w:val="nil"/>
              <w:right w:val="nil"/>
            </w:tcBorders>
            <w:vAlign w:val="center"/>
            <w:hideMark/>
          </w:tcPr>
          <w:p w14:paraId="710FD701" w14:textId="77777777" w:rsidR="00A20990" w:rsidRPr="001A38D5" w:rsidRDefault="00A20990" w:rsidP="005140E1">
            <w:pPr>
              <w:contextualSpacing/>
              <w:rPr>
                <w:rFonts w:cs="Arial"/>
                <w:lang w:val="es-CO" w:eastAsia="es-CO"/>
              </w:rPr>
            </w:pPr>
          </w:p>
        </w:tc>
        <w:tc>
          <w:tcPr>
            <w:tcW w:w="2268" w:type="dxa"/>
            <w:tcBorders>
              <w:top w:val="dotted" w:sz="4" w:space="0" w:color="4F81BD" w:themeColor="accent1"/>
              <w:left w:val="nil"/>
              <w:bottom w:val="nil"/>
              <w:right w:val="single" w:sz="4" w:space="0" w:color="4472C4"/>
            </w:tcBorders>
            <w:shd w:val="clear" w:color="000000" w:fill="FFFFFF"/>
            <w:vAlign w:val="center"/>
            <w:hideMark/>
          </w:tcPr>
          <w:p w14:paraId="07B8362E" w14:textId="77777777" w:rsidR="00A20990" w:rsidRPr="001A38D5" w:rsidRDefault="00A20990" w:rsidP="005140E1">
            <w:pPr>
              <w:contextualSpacing/>
              <w:rPr>
                <w:rFonts w:cs="Arial"/>
                <w:b/>
                <w:bCs/>
                <w:sz w:val="16"/>
                <w:szCs w:val="16"/>
                <w:lang w:val="es-CO" w:eastAsia="es-CO"/>
              </w:rPr>
            </w:pPr>
            <w:r w:rsidRPr="001A38D5">
              <w:rPr>
                <w:rFonts w:cs="Arial"/>
                <w:b/>
                <w:bCs/>
                <w:sz w:val="16"/>
                <w:szCs w:val="16"/>
                <w:lang w:val="es-CO" w:eastAsia="es-CO"/>
              </w:rPr>
              <w:t>Población 5-17 años 2022:</w:t>
            </w:r>
          </w:p>
        </w:tc>
        <w:tc>
          <w:tcPr>
            <w:tcW w:w="3402" w:type="dxa"/>
            <w:gridSpan w:val="7"/>
            <w:tcBorders>
              <w:top w:val="nil"/>
              <w:left w:val="nil"/>
              <w:bottom w:val="single" w:sz="4" w:space="0" w:color="4472C4"/>
              <w:right w:val="single" w:sz="4" w:space="0" w:color="4F81BD" w:themeColor="accent1"/>
            </w:tcBorders>
            <w:shd w:val="clear" w:color="000000" w:fill="FFFFFF"/>
            <w:vAlign w:val="center"/>
            <w:hideMark/>
          </w:tcPr>
          <w:p w14:paraId="41033D15"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109.431</w:t>
            </w:r>
          </w:p>
        </w:tc>
      </w:tr>
      <w:tr w:rsidR="001A38D5" w:rsidRPr="001A38D5" w14:paraId="438F6125" w14:textId="77777777" w:rsidTr="00A20990">
        <w:trPr>
          <w:trHeight w:val="20"/>
          <w:jc w:val="center"/>
        </w:trPr>
        <w:tc>
          <w:tcPr>
            <w:tcW w:w="3397" w:type="dxa"/>
            <w:vMerge/>
            <w:tcBorders>
              <w:left w:val="single" w:sz="4" w:space="0" w:color="4F81BD" w:themeColor="accent1"/>
              <w:right w:val="single" w:sz="4" w:space="0" w:color="4472C4"/>
            </w:tcBorders>
            <w:vAlign w:val="center"/>
            <w:hideMark/>
          </w:tcPr>
          <w:p w14:paraId="3F799681" w14:textId="77777777" w:rsidR="00A20990" w:rsidRPr="001A38D5" w:rsidRDefault="00A20990" w:rsidP="005140E1">
            <w:pPr>
              <w:contextualSpacing/>
              <w:rPr>
                <w:rFonts w:cs="Arial"/>
                <w:lang w:val="es-CO" w:eastAsia="es-CO"/>
              </w:rPr>
            </w:pPr>
          </w:p>
        </w:tc>
        <w:tc>
          <w:tcPr>
            <w:tcW w:w="567" w:type="dxa"/>
            <w:vMerge w:val="restart"/>
            <w:tcBorders>
              <w:top w:val="single" w:sz="4" w:space="0" w:color="4472C4"/>
              <w:left w:val="nil"/>
              <w:right w:val="nil"/>
            </w:tcBorders>
            <w:shd w:val="clear" w:color="000000" w:fill="FFFFFF"/>
            <w:hideMark/>
          </w:tcPr>
          <w:p w14:paraId="368F9D31" w14:textId="77777777" w:rsidR="00A20990" w:rsidRPr="001A38D5" w:rsidRDefault="003E1C4E" w:rsidP="005140E1">
            <w:pPr>
              <w:contextualSpacing/>
              <w:rPr>
                <w:rFonts w:cs="Arial"/>
                <w:lang w:val="es-CO" w:eastAsia="es-CO"/>
              </w:rPr>
            </w:pPr>
            <w:r>
              <w:rPr>
                <w:noProof/>
                <w:lang w:val="es-CO" w:eastAsia="es-CO"/>
              </w:rPr>
              <w:drawing>
                <wp:anchor distT="0" distB="0" distL="114300" distR="114300" simplePos="0" relativeHeight="251659264" behindDoc="0" locked="0" layoutInCell="1" allowOverlap="1" wp14:anchorId="3800A442" wp14:editId="303F1811">
                  <wp:simplePos x="0" y="0"/>
                  <wp:positionH relativeFrom="column">
                    <wp:posOffset>-27082</wp:posOffset>
                  </wp:positionH>
                  <wp:positionV relativeFrom="paragraph">
                    <wp:posOffset>460375</wp:posOffset>
                  </wp:positionV>
                  <wp:extent cx="313690" cy="299720"/>
                  <wp:effectExtent l="0" t="0" r="0" b="5080"/>
                  <wp:wrapNone/>
                  <wp:docPr id="11" name="Imagen 8">
                    <a:extLst xmlns:a="http://schemas.openxmlformats.org/drawingml/2006/main">
                      <a:ext uri="{FF2B5EF4-FFF2-40B4-BE49-F238E27FC236}">
                        <a16:creationId xmlns:a16="http://schemas.microsoft.com/office/drawing/2014/main" id="{06EEFCF8-6FF5-4C4E-BE93-BBB27A731D83}"/>
                      </a:ext>
                    </a:extLst>
                  </wp:docPr>
                  <wp:cNvGraphicFramePr/>
                  <a:graphic xmlns:a="http://schemas.openxmlformats.org/drawingml/2006/main">
                    <a:graphicData uri="http://schemas.openxmlformats.org/drawingml/2006/picture">
                      <pic:pic xmlns:pic="http://schemas.openxmlformats.org/drawingml/2006/picture">
                        <pic:nvPicPr>
                          <pic:cNvPr id="11" name="Imagen 11">
                            <a:extLst>
                              <a:ext uri="{FF2B5EF4-FFF2-40B4-BE49-F238E27FC236}">
                                <a16:creationId xmlns:a16="http://schemas.microsoft.com/office/drawing/2014/main" id="{06EEFCF8-6FF5-4C4E-BE93-BBB27A731D83}"/>
                              </a:ext>
                            </a:extLst>
                          </pic:cNvPr>
                          <pic:cNvPicPr/>
                        </pic:nvPicPr>
                        <pic:blipFill rotWithShape="1">
                          <a:blip r:embed="rId14" cstate="print">
                            <a:extLst>
                              <a:ext uri="{28A0092B-C50C-407E-A947-70E740481C1C}">
                                <a14:useLocalDpi xmlns:a14="http://schemas.microsoft.com/office/drawing/2010/main" val="0"/>
                              </a:ext>
                            </a:extLst>
                          </a:blip>
                          <a:srcRect l="30210" t="26252" r="42805" b="25769"/>
                          <a:stretch/>
                        </pic:blipFill>
                        <pic:spPr bwMode="auto">
                          <a:xfrm>
                            <a:off x="0" y="0"/>
                            <a:ext cx="313690" cy="299720"/>
                          </a:xfrm>
                          <a:prstGeom prst="ellipse">
                            <a:avLst/>
                          </a:prstGeom>
                          <a:ln>
                            <a:noFill/>
                          </a:ln>
                          <a:extLst>
                            <a:ext uri="{53640926-AAD7-44D8-BBD7-CCE9431645EC}">
                              <a14:shadowObscured xmlns:a14="http://schemas.microsoft.com/office/drawing/2010/main"/>
                            </a:ext>
                          </a:extLst>
                        </pic:spPr>
                      </pic:pic>
                    </a:graphicData>
                  </a:graphic>
                </wp:anchor>
              </w:drawing>
            </w:r>
            <w:r w:rsidR="00A20990" w:rsidRPr="001A38D5">
              <w:rPr>
                <w:rFonts w:cs="Arial"/>
                <w:lang w:val="es-CO" w:eastAsia="es-CO"/>
              </w:rPr>
              <w:t> </w:t>
            </w:r>
          </w:p>
        </w:tc>
        <w:tc>
          <w:tcPr>
            <w:tcW w:w="2268" w:type="dxa"/>
            <w:tcBorders>
              <w:top w:val="single" w:sz="4" w:space="0" w:color="4472C4"/>
              <w:left w:val="nil"/>
              <w:bottom w:val="dotted" w:sz="4" w:space="0" w:color="4F81BD" w:themeColor="accent1"/>
              <w:right w:val="single" w:sz="4" w:space="0" w:color="4472C4"/>
            </w:tcBorders>
            <w:shd w:val="clear" w:color="000000" w:fill="FFFFFF"/>
            <w:vAlign w:val="center"/>
            <w:hideMark/>
          </w:tcPr>
          <w:p w14:paraId="3E8E41D5" w14:textId="77777777" w:rsidR="00A20990" w:rsidRPr="001A38D5" w:rsidRDefault="00A20990" w:rsidP="005140E1">
            <w:pPr>
              <w:contextualSpacing/>
              <w:rPr>
                <w:rFonts w:cs="Arial"/>
                <w:b/>
                <w:bCs/>
                <w:sz w:val="16"/>
                <w:szCs w:val="16"/>
                <w:lang w:val="es-CO" w:eastAsia="es-CO"/>
              </w:rPr>
            </w:pPr>
            <w:r w:rsidRPr="001A38D5">
              <w:rPr>
                <w:rFonts w:cs="Arial"/>
                <w:b/>
                <w:bCs/>
                <w:sz w:val="16"/>
                <w:szCs w:val="16"/>
                <w:lang w:val="es-CO" w:eastAsia="es-CO"/>
              </w:rPr>
              <w:t>AESGPAE 2022 (pesos):</w:t>
            </w:r>
          </w:p>
        </w:tc>
        <w:tc>
          <w:tcPr>
            <w:tcW w:w="3402" w:type="dxa"/>
            <w:gridSpan w:val="7"/>
            <w:tcBorders>
              <w:top w:val="single" w:sz="4" w:space="0" w:color="4472C4"/>
              <w:left w:val="nil"/>
              <w:bottom w:val="single" w:sz="4" w:space="0" w:color="4F81BD" w:themeColor="accent1"/>
              <w:right w:val="single" w:sz="4" w:space="0" w:color="4F81BD" w:themeColor="accent1"/>
            </w:tcBorders>
            <w:shd w:val="clear" w:color="000000" w:fill="FFFFFF"/>
            <w:vAlign w:val="center"/>
            <w:hideMark/>
          </w:tcPr>
          <w:p w14:paraId="72806AD5"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$1.103.487.047</w:t>
            </w:r>
          </w:p>
        </w:tc>
      </w:tr>
      <w:tr w:rsidR="001A38D5" w:rsidRPr="001A38D5" w14:paraId="5F7EDEF4" w14:textId="77777777" w:rsidTr="00A20990">
        <w:trPr>
          <w:trHeight w:val="188"/>
          <w:jc w:val="center"/>
        </w:trPr>
        <w:tc>
          <w:tcPr>
            <w:tcW w:w="3397" w:type="dxa"/>
            <w:vMerge/>
            <w:tcBorders>
              <w:left w:val="single" w:sz="4" w:space="0" w:color="4F81BD" w:themeColor="accent1"/>
              <w:right w:val="single" w:sz="4" w:space="0" w:color="4472C4"/>
            </w:tcBorders>
            <w:vAlign w:val="center"/>
            <w:hideMark/>
          </w:tcPr>
          <w:p w14:paraId="6E8E9457" w14:textId="77777777" w:rsidR="00A20990" w:rsidRPr="001A38D5" w:rsidRDefault="00A20990" w:rsidP="005140E1">
            <w:pPr>
              <w:contextualSpacing/>
              <w:rPr>
                <w:rFonts w:cs="Arial"/>
                <w:lang w:val="es-CO" w:eastAsia="es-CO"/>
              </w:rPr>
            </w:pPr>
          </w:p>
        </w:tc>
        <w:tc>
          <w:tcPr>
            <w:tcW w:w="567" w:type="dxa"/>
            <w:vMerge/>
            <w:tcBorders>
              <w:left w:val="nil"/>
              <w:right w:val="nil"/>
            </w:tcBorders>
            <w:vAlign w:val="center"/>
            <w:hideMark/>
          </w:tcPr>
          <w:p w14:paraId="6EDDCDE1" w14:textId="77777777" w:rsidR="00A20990" w:rsidRPr="001A38D5" w:rsidRDefault="00A20990" w:rsidP="005140E1">
            <w:pPr>
              <w:contextualSpacing/>
              <w:rPr>
                <w:rFonts w:cs="Arial"/>
                <w:lang w:val="es-CO" w:eastAsia="es-CO"/>
              </w:rPr>
            </w:pPr>
          </w:p>
        </w:tc>
        <w:tc>
          <w:tcPr>
            <w:tcW w:w="2268" w:type="dxa"/>
            <w:vMerge w:val="restart"/>
            <w:tcBorders>
              <w:top w:val="dotted" w:sz="4" w:space="0" w:color="4F81BD" w:themeColor="accent1"/>
              <w:left w:val="nil"/>
              <w:right w:val="single" w:sz="4" w:space="0" w:color="4472C4"/>
            </w:tcBorders>
            <w:shd w:val="clear" w:color="000000" w:fill="FFFFFF"/>
            <w:vAlign w:val="center"/>
            <w:hideMark/>
          </w:tcPr>
          <w:p w14:paraId="4E302FBE" w14:textId="77777777" w:rsidR="00A20990" w:rsidRPr="001A38D5" w:rsidRDefault="00A20990" w:rsidP="005140E1">
            <w:pPr>
              <w:contextualSpacing/>
              <w:rPr>
                <w:rFonts w:cs="Arial"/>
                <w:b/>
                <w:bCs/>
                <w:sz w:val="16"/>
                <w:szCs w:val="16"/>
                <w:lang w:val="es-CO" w:eastAsia="es-CO"/>
              </w:rPr>
            </w:pPr>
            <w:r w:rsidRPr="001A38D5">
              <w:rPr>
                <w:rFonts w:cs="Arial"/>
                <w:b/>
                <w:bCs/>
                <w:sz w:val="16"/>
                <w:szCs w:val="16"/>
                <w:lang w:val="es-CO" w:eastAsia="es-CO"/>
              </w:rPr>
              <w:t>Inversión AESGPAE 2022 (pesos):</w:t>
            </w:r>
          </w:p>
        </w:tc>
        <w:tc>
          <w:tcPr>
            <w:tcW w:w="1843" w:type="dxa"/>
            <w:gridSpan w:val="4"/>
            <w:tcBorders>
              <w:top w:val="single" w:sz="4" w:space="0" w:color="4F81BD" w:themeColor="accent1"/>
              <w:left w:val="nil"/>
              <w:bottom w:val="dotted" w:sz="4" w:space="0" w:color="4F81BD" w:themeColor="accent1"/>
              <w:right w:val="dotted" w:sz="4" w:space="0" w:color="4F81BD" w:themeColor="accent1"/>
            </w:tcBorders>
            <w:shd w:val="clear" w:color="000000" w:fill="FFFFFF"/>
            <w:vAlign w:val="center"/>
            <w:hideMark/>
          </w:tcPr>
          <w:p w14:paraId="29A4615E" w14:textId="77777777" w:rsidR="00A20990" w:rsidRPr="001A38D5" w:rsidRDefault="00A20990" w:rsidP="005140E1">
            <w:pPr>
              <w:contextualSpacing/>
              <w:rPr>
                <w:rFonts w:cs="Arial"/>
                <w:b/>
                <w:sz w:val="16"/>
                <w:szCs w:val="16"/>
                <w:lang w:val="es-CO" w:eastAsia="es-CO"/>
              </w:rPr>
            </w:pPr>
            <w:r w:rsidRPr="001A38D5">
              <w:rPr>
                <w:rFonts w:cs="Arial"/>
                <w:b/>
                <w:sz w:val="16"/>
                <w:szCs w:val="16"/>
                <w:lang w:val="es-CO" w:eastAsia="es-CO"/>
              </w:rPr>
              <w:t>AESGPAE</w:t>
            </w:r>
          </w:p>
        </w:tc>
        <w:tc>
          <w:tcPr>
            <w:tcW w:w="1559" w:type="dxa"/>
            <w:gridSpan w:val="3"/>
            <w:tcBorders>
              <w:top w:val="single" w:sz="4" w:space="0" w:color="4F81BD" w:themeColor="accent1"/>
              <w:left w:val="dotted" w:sz="4" w:space="0" w:color="4F81BD" w:themeColor="accent1"/>
              <w:bottom w:val="dotted" w:sz="4" w:space="0" w:color="4F81BD" w:themeColor="accent1"/>
              <w:right w:val="single" w:sz="4" w:space="0" w:color="4F81BD" w:themeColor="accent1"/>
            </w:tcBorders>
            <w:shd w:val="clear" w:color="000000" w:fill="FFFFFF"/>
            <w:vAlign w:val="center"/>
          </w:tcPr>
          <w:p w14:paraId="223828B8" w14:textId="77777777" w:rsidR="00A20990" w:rsidRPr="001A38D5" w:rsidRDefault="00A20990" w:rsidP="005140E1">
            <w:pPr>
              <w:contextualSpacing/>
              <w:jc w:val="right"/>
              <w:rPr>
                <w:rFonts w:cs="Arial"/>
                <w:sz w:val="16"/>
                <w:szCs w:val="16"/>
                <w:lang w:val="es-CO" w:eastAsia="es-CO"/>
              </w:rPr>
            </w:pPr>
            <w:r w:rsidRPr="001A38D5">
              <w:rPr>
                <w:rFonts w:cs="Arial"/>
                <w:sz w:val="16"/>
                <w:szCs w:val="16"/>
                <w:lang w:val="es-CO" w:eastAsia="es-CO"/>
              </w:rPr>
              <w:t>$1.103.487.037</w:t>
            </w:r>
          </w:p>
        </w:tc>
      </w:tr>
      <w:tr w:rsidR="001A38D5" w:rsidRPr="001A38D5" w14:paraId="4B70708B" w14:textId="77777777" w:rsidTr="00A20990">
        <w:trPr>
          <w:trHeight w:val="187"/>
          <w:jc w:val="center"/>
        </w:trPr>
        <w:tc>
          <w:tcPr>
            <w:tcW w:w="3397" w:type="dxa"/>
            <w:vMerge/>
            <w:tcBorders>
              <w:left w:val="single" w:sz="4" w:space="0" w:color="4F81BD" w:themeColor="accent1"/>
              <w:right w:val="single" w:sz="4" w:space="0" w:color="4472C4"/>
            </w:tcBorders>
            <w:vAlign w:val="center"/>
          </w:tcPr>
          <w:p w14:paraId="213C14C1" w14:textId="77777777" w:rsidR="00A20990" w:rsidRPr="001A38D5" w:rsidRDefault="00A20990" w:rsidP="005140E1">
            <w:pPr>
              <w:contextualSpacing/>
              <w:rPr>
                <w:rFonts w:cs="Arial"/>
                <w:lang w:val="es-CO" w:eastAsia="es-CO"/>
              </w:rPr>
            </w:pPr>
          </w:p>
        </w:tc>
        <w:tc>
          <w:tcPr>
            <w:tcW w:w="567" w:type="dxa"/>
            <w:vMerge/>
            <w:tcBorders>
              <w:left w:val="nil"/>
              <w:right w:val="nil"/>
            </w:tcBorders>
            <w:vAlign w:val="center"/>
          </w:tcPr>
          <w:p w14:paraId="18F4E8FD" w14:textId="77777777" w:rsidR="00A20990" w:rsidRPr="001A38D5" w:rsidRDefault="00A20990" w:rsidP="005140E1">
            <w:pPr>
              <w:contextualSpacing/>
              <w:rPr>
                <w:rFonts w:cs="Arial"/>
                <w:lang w:val="es-CO" w:eastAsia="es-CO"/>
              </w:rPr>
            </w:pPr>
          </w:p>
        </w:tc>
        <w:tc>
          <w:tcPr>
            <w:tcW w:w="2268" w:type="dxa"/>
            <w:vMerge/>
            <w:tcBorders>
              <w:left w:val="nil"/>
              <w:bottom w:val="dotted" w:sz="4" w:space="0" w:color="4F81BD" w:themeColor="accent1"/>
              <w:right w:val="single" w:sz="4" w:space="0" w:color="4472C4"/>
            </w:tcBorders>
            <w:shd w:val="clear" w:color="000000" w:fill="FFFFFF"/>
            <w:vAlign w:val="center"/>
          </w:tcPr>
          <w:p w14:paraId="069AE038" w14:textId="77777777" w:rsidR="00A20990" w:rsidRPr="001A38D5" w:rsidRDefault="00A20990" w:rsidP="005140E1">
            <w:pPr>
              <w:contextualSpacing/>
              <w:rPr>
                <w:rFonts w:cs="Arial"/>
                <w:b/>
                <w:bCs/>
                <w:sz w:val="16"/>
                <w:szCs w:val="16"/>
                <w:lang w:val="es-CO" w:eastAsia="es-CO"/>
              </w:rPr>
            </w:pPr>
          </w:p>
        </w:tc>
        <w:tc>
          <w:tcPr>
            <w:tcW w:w="1843" w:type="dxa"/>
            <w:gridSpan w:val="4"/>
            <w:tcBorders>
              <w:top w:val="dotted" w:sz="4" w:space="0" w:color="4F81BD" w:themeColor="accent1"/>
              <w:left w:val="nil"/>
              <w:bottom w:val="single" w:sz="4" w:space="0" w:color="4F81BD" w:themeColor="accent1"/>
              <w:right w:val="dotted" w:sz="4" w:space="0" w:color="4F81BD" w:themeColor="accent1"/>
            </w:tcBorders>
            <w:shd w:val="clear" w:color="000000" w:fill="FFFFFF"/>
            <w:vAlign w:val="center"/>
          </w:tcPr>
          <w:p w14:paraId="7E98818F" w14:textId="77777777" w:rsidR="00A20990" w:rsidRPr="001A38D5" w:rsidRDefault="00A20990" w:rsidP="005140E1">
            <w:pPr>
              <w:contextualSpacing/>
              <w:rPr>
                <w:rFonts w:cs="Arial"/>
                <w:b/>
                <w:sz w:val="16"/>
                <w:szCs w:val="16"/>
                <w:lang w:val="es-CO" w:eastAsia="es-CO"/>
              </w:rPr>
            </w:pPr>
            <w:r w:rsidRPr="001A38D5">
              <w:rPr>
                <w:rFonts w:cs="Arial"/>
                <w:b/>
                <w:sz w:val="16"/>
                <w:szCs w:val="16"/>
                <w:lang w:val="es-CO" w:eastAsia="es-CO"/>
              </w:rPr>
              <w:t>Recursos de capital AESGPAE</w:t>
            </w:r>
          </w:p>
        </w:tc>
        <w:tc>
          <w:tcPr>
            <w:tcW w:w="1559" w:type="dxa"/>
            <w:gridSpan w:val="3"/>
            <w:tcBorders>
              <w:top w:val="dotted" w:sz="4" w:space="0" w:color="4F81BD" w:themeColor="accent1"/>
              <w:left w:val="dotted" w:sz="4" w:space="0" w:color="4F81BD" w:themeColor="accent1"/>
              <w:bottom w:val="single" w:sz="4" w:space="0" w:color="4F81BD" w:themeColor="accent1"/>
              <w:right w:val="single" w:sz="4" w:space="0" w:color="4F81BD" w:themeColor="accent1"/>
            </w:tcBorders>
            <w:shd w:val="clear" w:color="000000" w:fill="FFFFFF"/>
            <w:vAlign w:val="center"/>
          </w:tcPr>
          <w:p w14:paraId="3BAF3426" w14:textId="77777777" w:rsidR="00A20990" w:rsidRPr="001A38D5" w:rsidRDefault="00A20990" w:rsidP="005140E1">
            <w:pPr>
              <w:contextualSpacing/>
              <w:jc w:val="right"/>
              <w:rPr>
                <w:rFonts w:cs="Arial"/>
                <w:sz w:val="16"/>
                <w:szCs w:val="16"/>
                <w:lang w:val="es-CO" w:eastAsia="es-CO"/>
              </w:rPr>
            </w:pPr>
            <w:r w:rsidRPr="001A38D5">
              <w:rPr>
                <w:rFonts w:cs="Arial"/>
                <w:sz w:val="16"/>
                <w:szCs w:val="16"/>
                <w:lang w:val="es-CO" w:eastAsia="es-CO"/>
              </w:rPr>
              <w:t>$13.708.533</w:t>
            </w:r>
          </w:p>
        </w:tc>
      </w:tr>
      <w:tr w:rsidR="001A38D5" w:rsidRPr="001A38D5" w14:paraId="204C6B2C" w14:textId="77777777" w:rsidTr="00A20990">
        <w:trPr>
          <w:trHeight w:val="188"/>
          <w:jc w:val="center"/>
        </w:trPr>
        <w:tc>
          <w:tcPr>
            <w:tcW w:w="3397" w:type="dxa"/>
            <w:vMerge/>
            <w:tcBorders>
              <w:left w:val="single" w:sz="4" w:space="0" w:color="4F81BD" w:themeColor="accent1"/>
              <w:right w:val="single" w:sz="4" w:space="0" w:color="4472C4"/>
            </w:tcBorders>
            <w:vAlign w:val="center"/>
            <w:hideMark/>
          </w:tcPr>
          <w:p w14:paraId="339A5D10" w14:textId="77777777" w:rsidR="00A20990" w:rsidRPr="001A38D5" w:rsidRDefault="00A20990" w:rsidP="005140E1">
            <w:pPr>
              <w:contextualSpacing/>
              <w:rPr>
                <w:rFonts w:cs="Arial"/>
                <w:lang w:val="es-CO" w:eastAsia="es-CO"/>
              </w:rPr>
            </w:pPr>
          </w:p>
        </w:tc>
        <w:tc>
          <w:tcPr>
            <w:tcW w:w="567" w:type="dxa"/>
            <w:vMerge/>
            <w:tcBorders>
              <w:left w:val="nil"/>
              <w:right w:val="nil"/>
            </w:tcBorders>
            <w:vAlign w:val="center"/>
            <w:hideMark/>
          </w:tcPr>
          <w:p w14:paraId="43F0FD1D" w14:textId="77777777" w:rsidR="00A20990" w:rsidRPr="001A38D5" w:rsidRDefault="00A20990" w:rsidP="005140E1">
            <w:pPr>
              <w:contextualSpacing/>
              <w:rPr>
                <w:rFonts w:cs="Arial"/>
                <w:lang w:val="es-CO" w:eastAsia="es-CO"/>
              </w:rPr>
            </w:pPr>
          </w:p>
        </w:tc>
        <w:tc>
          <w:tcPr>
            <w:tcW w:w="2268" w:type="dxa"/>
            <w:vMerge w:val="restart"/>
            <w:tcBorders>
              <w:top w:val="dotted" w:sz="4" w:space="0" w:color="4F81BD" w:themeColor="accent1"/>
              <w:left w:val="nil"/>
              <w:right w:val="single" w:sz="4" w:space="0" w:color="4472C4"/>
            </w:tcBorders>
            <w:shd w:val="clear" w:color="000000" w:fill="FFFFFF"/>
            <w:vAlign w:val="center"/>
            <w:hideMark/>
          </w:tcPr>
          <w:p w14:paraId="0F2B1442" w14:textId="77777777" w:rsidR="00C97C4D" w:rsidRDefault="00C97C4D" w:rsidP="005140E1">
            <w:pPr>
              <w:contextualSpacing/>
              <w:rPr>
                <w:rFonts w:cs="Arial"/>
                <w:b/>
                <w:bCs/>
                <w:sz w:val="16"/>
                <w:szCs w:val="16"/>
                <w:lang w:val="es-CO" w:eastAsia="es-CO"/>
              </w:rPr>
            </w:pPr>
          </w:p>
          <w:p w14:paraId="02B4EFD6" w14:textId="77777777" w:rsidR="00C97C4D" w:rsidRDefault="00C97C4D" w:rsidP="005140E1">
            <w:pPr>
              <w:contextualSpacing/>
              <w:rPr>
                <w:rFonts w:cs="Arial"/>
                <w:b/>
                <w:bCs/>
                <w:sz w:val="16"/>
                <w:szCs w:val="16"/>
                <w:lang w:val="es-CO" w:eastAsia="es-CO"/>
              </w:rPr>
            </w:pPr>
          </w:p>
          <w:p w14:paraId="72619FA2" w14:textId="77777777" w:rsidR="00C97C4D" w:rsidRDefault="00C97C4D" w:rsidP="005140E1">
            <w:pPr>
              <w:contextualSpacing/>
              <w:rPr>
                <w:rFonts w:cs="Arial"/>
                <w:b/>
                <w:bCs/>
                <w:sz w:val="16"/>
                <w:szCs w:val="16"/>
                <w:lang w:val="es-CO" w:eastAsia="es-CO"/>
              </w:rPr>
            </w:pPr>
          </w:p>
          <w:p w14:paraId="26360137" w14:textId="77777777" w:rsidR="00C97C4D" w:rsidRDefault="00C97C4D" w:rsidP="005140E1">
            <w:pPr>
              <w:contextualSpacing/>
              <w:rPr>
                <w:rFonts w:cs="Arial"/>
                <w:b/>
                <w:bCs/>
                <w:sz w:val="16"/>
                <w:szCs w:val="16"/>
                <w:lang w:val="es-CO" w:eastAsia="es-CO"/>
              </w:rPr>
            </w:pPr>
          </w:p>
          <w:p w14:paraId="00D97307" w14:textId="77777777" w:rsidR="00C97C4D" w:rsidRDefault="00C97C4D" w:rsidP="005140E1">
            <w:pPr>
              <w:contextualSpacing/>
              <w:rPr>
                <w:rFonts w:cs="Arial"/>
                <w:b/>
                <w:bCs/>
                <w:sz w:val="16"/>
                <w:szCs w:val="16"/>
                <w:lang w:val="es-CO" w:eastAsia="es-CO"/>
              </w:rPr>
            </w:pPr>
            <w:r w:rsidRPr="001A38D5">
              <w:rPr>
                <w:rFonts w:cs="Arial"/>
                <w:b/>
                <w:bCs/>
                <w:sz w:val="16"/>
                <w:szCs w:val="16"/>
                <w:lang w:val="es-CO" w:eastAsia="es-CO"/>
              </w:rPr>
              <w:t>Inversión PAE otras fuentes 2022 (pesos):</w:t>
            </w:r>
          </w:p>
          <w:p w14:paraId="311E7111" w14:textId="77777777" w:rsidR="00C97C4D" w:rsidRDefault="00C97C4D" w:rsidP="005140E1">
            <w:pPr>
              <w:contextualSpacing/>
              <w:rPr>
                <w:rFonts w:cs="Arial"/>
                <w:b/>
                <w:bCs/>
                <w:sz w:val="16"/>
                <w:szCs w:val="16"/>
                <w:lang w:val="es-CO" w:eastAsia="es-CO"/>
              </w:rPr>
            </w:pPr>
          </w:p>
          <w:p w14:paraId="77E46261" w14:textId="77777777" w:rsidR="00C97C4D" w:rsidRDefault="00C97C4D" w:rsidP="005140E1">
            <w:pPr>
              <w:contextualSpacing/>
              <w:rPr>
                <w:rFonts w:cs="Arial"/>
                <w:b/>
                <w:bCs/>
                <w:sz w:val="16"/>
                <w:szCs w:val="16"/>
                <w:lang w:val="es-CO" w:eastAsia="es-CO"/>
              </w:rPr>
            </w:pPr>
          </w:p>
          <w:p w14:paraId="0F9F1A57" w14:textId="77777777" w:rsidR="00C97C4D" w:rsidRDefault="00C97C4D" w:rsidP="005140E1">
            <w:pPr>
              <w:contextualSpacing/>
              <w:rPr>
                <w:rFonts w:cs="Arial"/>
                <w:b/>
                <w:bCs/>
                <w:sz w:val="16"/>
                <w:szCs w:val="16"/>
                <w:lang w:val="es-CO" w:eastAsia="es-CO"/>
              </w:rPr>
            </w:pPr>
          </w:p>
          <w:p w14:paraId="65C23779" w14:textId="77777777" w:rsidR="00C97C4D" w:rsidRDefault="00C97C4D" w:rsidP="005140E1">
            <w:pPr>
              <w:contextualSpacing/>
              <w:rPr>
                <w:rFonts w:cs="Arial"/>
                <w:b/>
                <w:bCs/>
                <w:sz w:val="16"/>
                <w:szCs w:val="16"/>
                <w:lang w:val="es-CO" w:eastAsia="es-CO"/>
              </w:rPr>
            </w:pPr>
          </w:p>
          <w:p w14:paraId="66D6FBD0" w14:textId="77777777" w:rsidR="00C97C4D" w:rsidRPr="001A38D5" w:rsidRDefault="00C97C4D" w:rsidP="005140E1">
            <w:pPr>
              <w:contextualSpacing/>
              <w:rPr>
                <w:rFonts w:cs="Arial"/>
                <w:b/>
                <w:bCs/>
                <w:sz w:val="16"/>
                <w:szCs w:val="16"/>
                <w:lang w:val="es-CO" w:eastAsia="es-CO"/>
              </w:rPr>
            </w:pPr>
          </w:p>
        </w:tc>
        <w:tc>
          <w:tcPr>
            <w:tcW w:w="1843" w:type="dxa"/>
            <w:gridSpan w:val="4"/>
            <w:tcBorders>
              <w:top w:val="single" w:sz="4" w:space="0" w:color="4F81BD" w:themeColor="accent1"/>
              <w:left w:val="nil"/>
              <w:bottom w:val="dotted" w:sz="4" w:space="0" w:color="4F81BD" w:themeColor="accent1"/>
              <w:right w:val="dotted" w:sz="4" w:space="0" w:color="4F81BD" w:themeColor="accent1"/>
            </w:tcBorders>
            <w:shd w:val="clear" w:color="000000" w:fill="FFFFFF"/>
            <w:vAlign w:val="center"/>
            <w:hideMark/>
          </w:tcPr>
          <w:p w14:paraId="6087591D" w14:textId="77777777" w:rsidR="00A20990" w:rsidRPr="001A38D5" w:rsidRDefault="00A20990" w:rsidP="005140E1">
            <w:pPr>
              <w:contextualSpacing/>
              <w:rPr>
                <w:rFonts w:cs="Arial"/>
                <w:b/>
                <w:sz w:val="14"/>
                <w:szCs w:val="16"/>
                <w:lang w:val="es-CO" w:eastAsia="es-CO"/>
              </w:rPr>
            </w:pPr>
            <w:r w:rsidRPr="001A38D5">
              <w:rPr>
                <w:rFonts w:cs="Arial"/>
                <w:b/>
                <w:sz w:val="14"/>
                <w:szCs w:val="16"/>
                <w:lang w:val="es-CO" w:eastAsia="es-CO"/>
              </w:rPr>
              <w:t>SGR</w:t>
            </w:r>
          </w:p>
        </w:tc>
        <w:tc>
          <w:tcPr>
            <w:tcW w:w="1559" w:type="dxa"/>
            <w:gridSpan w:val="3"/>
            <w:tcBorders>
              <w:top w:val="single" w:sz="4" w:space="0" w:color="4F81BD" w:themeColor="accent1"/>
              <w:left w:val="dotted" w:sz="4" w:space="0" w:color="4F81BD" w:themeColor="accent1"/>
              <w:bottom w:val="dotted" w:sz="4" w:space="0" w:color="4F81BD" w:themeColor="accent1"/>
              <w:right w:val="single" w:sz="4" w:space="0" w:color="4F81BD" w:themeColor="accent1"/>
            </w:tcBorders>
            <w:shd w:val="clear" w:color="000000" w:fill="FFFFFF"/>
            <w:vAlign w:val="center"/>
          </w:tcPr>
          <w:p w14:paraId="4372A5B8" w14:textId="77777777" w:rsidR="00A20990" w:rsidRPr="001A38D5" w:rsidRDefault="00A20990" w:rsidP="005140E1">
            <w:pPr>
              <w:contextualSpacing/>
              <w:jc w:val="right"/>
              <w:rPr>
                <w:rFonts w:cs="Arial"/>
                <w:sz w:val="16"/>
                <w:szCs w:val="16"/>
                <w:lang w:val="es-CO" w:eastAsia="es-CO"/>
              </w:rPr>
            </w:pPr>
            <w:r w:rsidRPr="001A38D5">
              <w:rPr>
                <w:rFonts w:cs="Arial"/>
                <w:sz w:val="16"/>
                <w:szCs w:val="16"/>
                <w:lang w:val="es-CO" w:eastAsia="es-CO"/>
              </w:rPr>
              <w:t>$6.840.757.129</w:t>
            </w:r>
          </w:p>
        </w:tc>
      </w:tr>
      <w:tr w:rsidR="001A38D5" w:rsidRPr="001A38D5" w14:paraId="09E87A24" w14:textId="77777777" w:rsidTr="00A20990">
        <w:trPr>
          <w:trHeight w:val="187"/>
          <w:jc w:val="center"/>
        </w:trPr>
        <w:tc>
          <w:tcPr>
            <w:tcW w:w="3397" w:type="dxa"/>
            <w:vMerge/>
            <w:tcBorders>
              <w:left w:val="single" w:sz="4" w:space="0" w:color="4F81BD" w:themeColor="accent1"/>
              <w:right w:val="single" w:sz="4" w:space="0" w:color="4472C4"/>
            </w:tcBorders>
            <w:vAlign w:val="center"/>
          </w:tcPr>
          <w:p w14:paraId="2EB83CF8" w14:textId="77777777" w:rsidR="00A20990" w:rsidRPr="001A38D5" w:rsidRDefault="00A20990" w:rsidP="005140E1">
            <w:pPr>
              <w:contextualSpacing/>
              <w:rPr>
                <w:rFonts w:cs="Arial"/>
                <w:lang w:val="es-CO" w:eastAsia="es-CO"/>
              </w:rPr>
            </w:pPr>
          </w:p>
        </w:tc>
        <w:tc>
          <w:tcPr>
            <w:tcW w:w="567" w:type="dxa"/>
            <w:vMerge/>
            <w:tcBorders>
              <w:left w:val="nil"/>
              <w:bottom w:val="nil"/>
              <w:right w:val="nil"/>
            </w:tcBorders>
            <w:vAlign w:val="center"/>
          </w:tcPr>
          <w:p w14:paraId="6D07C298" w14:textId="77777777" w:rsidR="00A20990" w:rsidRPr="001A38D5" w:rsidRDefault="00A20990" w:rsidP="005140E1">
            <w:pPr>
              <w:contextualSpacing/>
              <w:rPr>
                <w:rFonts w:cs="Arial"/>
                <w:lang w:val="es-CO" w:eastAsia="es-CO"/>
              </w:rPr>
            </w:pPr>
          </w:p>
        </w:tc>
        <w:tc>
          <w:tcPr>
            <w:tcW w:w="2268" w:type="dxa"/>
            <w:vMerge/>
            <w:tcBorders>
              <w:left w:val="nil"/>
              <w:bottom w:val="single" w:sz="4" w:space="0" w:color="4472C4"/>
              <w:right w:val="single" w:sz="4" w:space="0" w:color="4472C4"/>
            </w:tcBorders>
            <w:shd w:val="clear" w:color="000000" w:fill="FFFFFF"/>
            <w:vAlign w:val="center"/>
          </w:tcPr>
          <w:p w14:paraId="5DC12C84" w14:textId="77777777" w:rsidR="00A20990" w:rsidRPr="001A38D5" w:rsidRDefault="00A20990" w:rsidP="005140E1">
            <w:pPr>
              <w:contextualSpacing/>
              <w:rPr>
                <w:rFonts w:cs="Arial"/>
                <w:b/>
                <w:bCs/>
                <w:sz w:val="16"/>
                <w:szCs w:val="16"/>
                <w:lang w:val="es-CO" w:eastAsia="es-CO"/>
              </w:rPr>
            </w:pPr>
          </w:p>
        </w:tc>
        <w:tc>
          <w:tcPr>
            <w:tcW w:w="1843" w:type="dxa"/>
            <w:gridSpan w:val="4"/>
            <w:tcBorders>
              <w:top w:val="dotted" w:sz="4" w:space="0" w:color="4F81BD" w:themeColor="accent1"/>
              <w:left w:val="nil"/>
              <w:bottom w:val="nil"/>
              <w:right w:val="dotted" w:sz="4" w:space="0" w:color="4F81BD" w:themeColor="accent1"/>
            </w:tcBorders>
            <w:shd w:val="clear" w:color="000000" w:fill="FFFFFF"/>
            <w:vAlign w:val="center"/>
          </w:tcPr>
          <w:p w14:paraId="56D5A1FD" w14:textId="77777777" w:rsidR="00A20990" w:rsidRPr="001A38D5" w:rsidRDefault="00A20990" w:rsidP="005140E1">
            <w:pPr>
              <w:contextualSpacing/>
              <w:rPr>
                <w:rFonts w:cs="Arial"/>
                <w:b/>
                <w:sz w:val="14"/>
                <w:szCs w:val="16"/>
                <w:lang w:val="es-CO" w:eastAsia="es-CO"/>
              </w:rPr>
            </w:pPr>
            <w:r w:rsidRPr="001A38D5">
              <w:rPr>
                <w:rFonts w:cs="Arial"/>
                <w:b/>
                <w:sz w:val="14"/>
                <w:szCs w:val="16"/>
                <w:lang w:val="es-CO" w:eastAsia="es-CO"/>
              </w:rPr>
              <w:t>PGN</w:t>
            </w:r>
          </w:p>
        </w:tc>
        <w:tc>
          <w:tcPr>
            <w:tcW w:w="1559" w:type="dxa"/>
            <w:gridSpan w:val="3"/>
            <w:tcBorders>
              <w:top w:val="dotted" w:sz="4" w:space="0" w:color="4F81BD" w:themeColor="accent1"/>
              <w:left w:val="dotted" w:sz="4" w:space="0" w:color="4F81BD" w:themeColor="accent1"/>
              <w:bottom w:val="nil"/>
              <w:right w:val="single" w:sz="4" w:space="0" w:color="4F81BD" w:themeColor="accent1"/>
            </w:tcBorders>
            <w:shd w:val="clear" w:color="000000" w:fill="FFFFFF"/>
            <w:vAlign w:val="center"/>
          </w:tcPr>
          <w:p w14:paraId="5CB43F2D" w14:textId="77777777" w:rsidR="00A20990" w:rsidRPr="001A38D5" w:rsidRDefault="00A20990" w:rsidP="005140E1">
            <w:pPr>
              <w:contextualSpacing/>
              <w:jc w:val="right"/>
              <w:rPr>
                <w:rFonts w:cs="Arial"/>
                <w:sz w:val="16"/>
                <w:szCs w:val="16"/>
                <w:lang w:val="es-CO" w:eastAsia="es-CO"/>
              </w:rPr>
            </w:pPr>
            <w:r w:rsidRPr="001A38D5">
              <w:rPr>
                <w:rFonts w:cs="Arial"/>
                <w:sz w:val="16"/>
                <w:szCs w:val="16"/>
                <w:lang w:val="es-CO" w:eastAsia="es-CO"/>
              </w:rPr>
              <w:t>$11.042.439.876</w:t>
            </w:r>
          </w:p>
        </w:tc>
      </w:tr>
      <w:tr w:rsidR="001A38D5" w:rsidRPr="001A38D5" w14:paraId="0C6B8DC6" w14:textId="77777777" w:rsidTr="00A20990">
        <w:trPr>
          <w:trHeight w:val="187"/>
          <w:jc w:val="center"/>
        </w:trPr>
        <w:tc>
          <w:tcPr>
            <w:tcW w:w="3397" w:type="dxa"/>
            <w:vMerge/>
            <w:tcBorders>
              <w:left w:val="single" w:sz="4" w:space="0" w:color="4F81BD" w:themeColor="accent1"/>
              <w:right w:val="single" w:sz="4" w:space="0" w:color="4472C4"/>
            </w:tcBorders>
            <w:vAlign w:val="center"/>
          </w:tcPr>
          <w:p w14:paraId="36A273EC" w14:textId="77777777" w:rsidR="00A20990" w:rsidRPr="001A38D5" w:rsidRDefault="00A20990" w:rsidP="005140E1">
            <w:pPr>
              <w:contextualSpacing/>
              <w:rPr>
                <w:rFonts w:cs="Arial"/>
                <w:lang w:val="es-CO" w:eastAsia="es-CO"/>
              </w:rPr>
            </w:pPr>
          </w:p>
        </w:tc>
        <w:tc>
          <w:tcPr>
            <w:tcW w:w="567" w:type="dxa"/>
            <w:vMerge/>
            <w:tcBorders>
              <w:left w:val="nil"/>
              <w:bottom w:val="nil"/>
              <w:right w:val="nil"/>
            </w:tcBorders>
            <w:vAlign w:val="center"/>
          </w:tcPr>
          <w:p w14:paraId="1145EB18" w14:textId="77777777" w:rsidR="00A20990" w:rsidRPr="001A38D5" w:rsidRDefault="00A20990" w:rsidP="005140E1">
            <w:pPr>
              <w:contextualSpacing/>
              <w:rPr>
                <w:rFonts w:cs="Arial"/>
                <w:lang w:val="es-CO" w:eastAsia="es-CO"/>
              </w:rPr>
            </w:pPr>
          </w:p>
        </w:tc>
        <w:tc>
          <w:tcPr>
            <w:tcW w:w="2268" w:type="dxa"/>
            <w:vMerge/>
            <w:tcBorders>
              <w:left w:val="nil"/>
              <w:bottom w:val="single" w:sz="4" w:space="0" w:color="4472C4"/>
              <w:right w:val="single" w:sz="4" w:space="0" w:color="4472C4"/>
            </w:tcBorders>
            <w:shd w:val="clear" w:color="000000" w:fill="FFFFFF"/>
            <w:vAlign w:val="center"/>
          </w:tcPr>
          <w:p w14:paraId="4258C0B3" w14:textId="77777777" w:rsidR="00A20990" w:rsidRPr="001A38D5" w:rsidRDefault="00A20990" w:rsidP="005140E1">
            <w:pPr>
              <w:contextualSpacing/>
              <w:rPr>
                <w:rFonts w:cs="Arial"/>
                <w:b/>
                <w:bCs/>
                <w:sz w:val="16"/>
                <w:szCs w:val="16"/>
                <w:lang w:val="es-CO" w:eastAsia="es-CO"/>
              </w:rPr>
            </w:pPr>
          </w:p>
        </w:tc>
        <w:tc>
          <w:tcPr>
            <w:tcW w:w="1843" w:type="dxa"/>
            <w:gridSpan w:val="4"/>
            <w:tcBorders>
              <w:top w:val="dotted" w:sz="4" w:space="0" w:color="4F81BD" w:themeColor="accent1"/>
              <w:left w:val="nil"/>
              <w:bottom w:val="nil"/>
              <w:right w:val="dotted" w:sz="4" w:space="0" w:color="4F81BD" w:themeColor="accent1"/>
            </w:tcBorders>
            <w:shd w:val="clear" w:color="000000" w:fill="FFFFFF"/>
            <w:vAlign w:val="center"/>
          </w:tcPr>
          <w:p w14:paraId="61E569B8" w14:textId="77777777" w:rsidR="00A20990" w:rsidRPr="001A38D5" w:rsidRDefault="00A20990" w:rsidP="005140E1">
            <w:pPr>
              <w:contextualSpacing/>
              <w:rPr>
                <w:rFonts w:cs="Arial"/>
                <w:b/>
                <w:sz w:val="14"/>
                <w:szCs w:val="16"/>
                <w:lang w:val="es-CO" w:eastAsia="es-CO"/>
              </w:rPr>
            </w:pPr>
            <w:r w:rsidRPr="001A38D5">
              <w:rPr>
                <w:rFonts w:cs="Arial"/>
                <w:b/>
                <w:sz w:val="14"/>
                <w:szCs w:val="16"/>
                <w:lang w:val="es-CO" w:eastAsia="es-CO"/>
              </w:rPr>
              <w:t>Recursos propios</w:t>
            </w:r>
          </w:p>
        </w:tc>
        <w:tc>
          <w:tcPr>
            <w:tcW w:w="1559" w:type="dxa"/>
            <w:gridSpan w:val="3"/>
            <w:tcBorders>
              <w:top w:val="dotted" w:sz="4" w:space="0" w:color="4F81BD" w:themeColor="accent1"/>
              <w:left w:val="dotted" w:sz="4" w:space="0" w:color="4F81BD" w:themeColor="accent1"/>
              <w:bottom w:val="nil"/>
              <w:right w:val="single" w:sz="4" w:space="0" w:color="4F81BD" w:themeColor="accent1"/>
            </w:tcBorders>
            <w:shd w:val="clear" w:color="000000" w:fill="FFFFFF"/>
            <w:vAlign w:val="center"/>
          </w:tcPr>
          <w:p w14:paraId="391597C1" w14:textId="77777777" w:rsidR="00A20990" w:rsidRPr="001A38D5" w:rsidRDefault="00A20990" w:rsidP="005140E1">
            <w:pPr>
              <w:contextualSpacing/>
              <w:jc w:val="right"/>
              <w:rPr>
                <w:rFonts w:cs="Arial"/>
                <w:sz w:val="16"/>
                <w:szCs w:val="16"/>
                <w:lang w:val="es-CO" w:eastAsia="es-CO"/>
              </w:rPr>
            </w:pPr>
            <w:r w:rsidRPr="001A38D5">
              <w:rPr>
                <w:rFonts w:cs="Arial"/>
                <w:sz w:val="16"/>
                <w:szCs w:val="16"/>
                <w:lang w:val="es-CO" w:eastAsia="es-CO"/>
              </w:rPr>
              <w:t>$3.707.963.742</w:t>
            </w:r>
          </w:p>
        </w:tc>
      </w:tr>
      <w:tr w:rsidR="001A38D5" w:rsidRPr="001A38D5" w14:paraId="4F22B867" w14:textId="77777777" w:rsidTr="00A20990">
        <w:trPr>
          <w:trHeight w:val="187"/>
          <w:jc w:val="center"/>
        </w:trPr>
        <w:tc>
          <w:tcPr>
            <w:tcW w:w="3397" w:type="dxa"/>
            <w:vMerge/>
            <w:tcBorders>
              <w:left w:val="single" w:sz="4" w:space="0" w:color="4F81BD" w:themeColor="accent1"/>
              <w:right w:val="single" w:sz="4" w:space="0" w:color="4472C4"/>
            </w:tcBorders>
            <w:vAlign w:val="center"/>
          </w:tcPr>
          <w:p w14:paraId="152AA36C" w14:textId="77777777" w:rsidR="00A20990" w:rsidRPr="001A38D5" w:rsidRDefault="00A20990" w:rsidP="005140E1">
            <w:pPr>
              <w:contextualSpacing/>
              <w:rPr>
                <w:rFonts w:cs="Arial"/>
                <w:lang w:val="es-CO" w:eastAsia="es-CO"/>
              </w:rPr>
            </w:pPr>
          </w:p>
        </w:tc>
        <w:tc>
          <w:tcPr>
            <w:tcW w:w="567" w:type="dxa"/>
            <w:vMerge/>
            <w:tcBorders>
              <w:left w:val="nil"/>
              <w:bottom w:val="nil"/>
              <w:right w:val="nil"/>
            </w:tcBorders>
            <w:vAlign w:val="center"/>
          </w:tcPr>
          <w:p w14:paraId="1FCC2C72" w14:textId="77777777" w:rsidR="00A20990" w:rsidRPr="001A38D5" w:rsidRDefault="00A20990" w:rsidP="005140E1">
            <w:pPr>
              <w:contextualSpacing/>
              <w:rPr>
                <w:rFonts w:cs="Arial"/>
                <w:lang w:val="es-CO" w:eastAsia="es-CO"/>
              </w:rPr>
            </w:pPr>
          </w:p>
        </w:tc>
        <w:tc>
          <w:tcPr>
            <w:tcW w:w="2268" w:type="dxa"/>
            <w:vMerge/>
            <w:tcBorders>
              <w:left w:val="nil"/>
              <w:bottom w:val="single" w:sz="4" w:space="0" w:color="4472C4"/>
              <w:right w:val="single" w:sz="4" w:space="0" w:color="4472C4"/>
            </w:tcBorders>
            <w:shd w:val="clear" w:color="000000" w:fill="FFFFFF"/>
            <w:vAlign w:val="center"/>
          </w:tcPr>
          <w:p w14:paraId="76D1CC74" w14:textId="77777777" w:rsidR="00A20990" w:rsidRPr="001A38D5" w:rsidRDefault="00A20990" w:rsidP="005140E1">
            <w:pPr>
              <w:contextualSpacing/>
              <w:rPr>
                <w:rFonts w:cs="Arial"/>
                <w:b/>
                <w:bCs/>
                <w:sz w:val="16"/>
                <w:szCs w:val="16"/>
                <w:lang w:val="es-CO" w:eastAsia="es-CO"/>
              </w:rPr>
            </w:pPr>
          </w:p>
        </w:tc>
        <w:tc>
          <w:tcPr>
            <w:tcW w:w="1843" w:type="dxa"/>
            <w:gridSpan w:val="4"/>
            <w:tcBorders>
              <w:top w:val="dotted" w:sz="4" w:space="0" w:color="4F81BD" w:themeColor="accent1"/>
              <w:left w:val="nil"/>
              <w:bottom w:val="nil"/>
              <w:right w:val="dotted" w:sz="4" w:space="0" w:color="4F81BD" w:themeColor="accent1"/>
            </w:tcBorders>
            <w:shd w:val="clear" w:color="000000" w:fill="FFFFFF"/>
            <w:vAlign w:val="center"/>
          </w:tcPr>
          <w:p w14:paraId="699D8370" w14:textId="77777777" w:rsidR="00A20990" w:rsidRPr="001A38D5" w:rsidRDefault="00A20990" w:rsidP="005140E1">
            <w:pPr>
              <w:contextualSpacing/>
              <w:rPr>
                <w:rFonts w:cs="Arial"/>
                <w:sz w:val="16"/>
                <w:szCs w:val="16"/>
                <w:lang w:val="es-CO" w:eastAsia="es-CO"/>
              </w:rPr>
            </w:pPr>
            <w:r w:rsidRPr="001A38D5">
              <w:rPr>
                <w:rFonts w:cs="Arial"/>
                <w:b/>
                <w:sz w:val="14"/>
                <w:szCs w:val="16"/>
                <w:lang w:val="es-CO" w:eastAsia="es-CO"/>
              </w:rPr>
              <w:t>SGP Calidad Matricula</w:t>
            </w:r>
          </w:p>
        </w:tc>
        <w:tc>
          <w:tcPr>
            <w:tcW w:w="1559" w:type="dxa"/>
            <w:gridSpan w:val="3"/>
            <w:tcBorders>
              <w:top w:val="dotted" w:sz="4" w:space="0" w:color="4F81BD" w:themeColor="accent1"/>
              <w:left w:val="dotted" w:sz="4" w:space="0" w:color="4F81BD" w:themeColor="accent1"/>
              <w:bottom w:val="nil"/>
              <w:right w:val="single" w:sz="4" w:space="0" w:color="4F81BD" w:themeColor="accent1"/>
            </w:tcBorders>
            <w:shd w:val="clear" w:color="000000" w:fill="FFFFFF"/>
            <w:vAlign w:val="center"/>
          </w:tcPr>
          <w:p w14:paraId="5AC83EEC" w14:textId="77777777" w:rsidR="00A20990" w:rsidRPr="001A38D5" w:rsidRDefault="00A20990" w:rsidP="005140E1">
            <w:pPr>
              <w:contextualSpacing/>
              <w:jc w:val="right"/>
              <w:rPr>
                <w:rFonts w:cs="Arial"/>
                <w:sz w:val="16"/>
                <w:szCs w:val="16"/>
                <w:lang w:val="es-CO" w:eastAsia="es-CO"/>
              </w:rPr>
            </w:pPr>
            <w:r w:rsidRPr="001A38D5">
              <w:rPr>
                <w:rFonts w:cs="Arial"/>
                <w:sz w:val="16"/>
                <w:szCs w:val="16"/>
                <w:lang w:val="es-CO" w:eastAsia="es-CO"/>
              </w:rPr>
              <w:t>$2.225.523.693</w:t>
            </w:r>
          </w:p>
        </w:tc>
      </w:tr>
      <w:tr w:rsidR="001A38D5" w:rsidRPr="001A38D5" w14:paraId="53772D60" w14:textId="77777777" w:rsidTr="00A20990">
        <w:trPr>
          <w:trHeight w:val="187"/>
          <w:jc w:val="center"/>
        </w:trPr>
        <w:tc>
          <w:tcPr>
            <w:tcW w:w="3397" w:type="dxa"/>
            <w:vMerge/>
            <w:tcBorders>
              <w:left w:val="single" w:sz="4" w:space="0" w:color="4F81BD" w:themeColor="accent1"/>
              <w:right w:val="single" w:sz="4" w:space="0" w:color="4472C4"/>
            </w:tcBorders>
            <w:vAlign w:val="center"/>
          </w:tcPr>
          <w:p w14:paraId="02092B00" w14:textId="77777777" w:rsidR="00A20990" w:rsidRPr="001A38D5" w:rsidRDefault="00A20990" w:rsidP="005140E1">
            <w:pPr>
              <w:contextualSpacing/>
              <w:rPr>
                <w:rFonts w:cs="Arial"/>
                <w:lang w:val="es-CO" w:eastAsia="es-CO"/>
              </w:rPr>
            </w:pPr>
          </w:p>
        </w:tc>
        <w:tc>
          <w:tcPr>
            <w:tcW w:w="567" w:type="dxa"/>
            <w:vMerge/>
            <w:tcBorders>
              <w:left w:val="nil"/>
              <w:bottom w:val="nil"/>
              <w:right w:val="nil"/>
            </w:tcBorders>
            <w:vAlign w:val="center"/>
          </w:tcPr>
          <w:p w14:paraId="34C361D6" w14:textId="77777777" w:rsidR="00A20990" w:rsidRPr="001A38D5" w:rsidRDefault="00A20990" w:rsidP="005140E1">
            <w:pPr>
              <w:contextualSpacing/>
              <w:rPr>
                <w:rFonts w:cs="Arial"/>
                <w:lang w:val="es-CO" w:eastAsia="es-CO"/>
              </w:rPr>
            </w:pPr>
          </w:p>
        </w:tc>
        <w:tc>
          <w:tcPr>
            <w:tcW w:w="2268" w:type="dxa"/>
            <w:vMerge/>
            <w:tcBorders>
              <w:left w:val="nil"/>
              <w:bottom w:val="single" w:sz="4" w:space="0" w:color="4472C4"/>
              <w:right w:val="single" w:sz="4" w:space="0" w:color="4472C4"/>
            </w:tcBorders>
            <w:shd w:val="clear" w:color="000000" w:fill="FFFFFF"/>
            <w:vAlign w:val="center"/>
          </w:tcPr>
          <w:p w14:paraId="468D297C" w14:textId="77777777" w:rsidR="00A20990" w:rsidRPr="001A38D5" w:rsidRDefault="00A20990" w:rsidP="005140E1">
            <w:pPr>
              <w:contextualSpacing/>
              <w:rPr>
                <w:rFonts w:cs="Arial"/>
                <w:b/>
                <w:bCs/>
                <w:sz w:val="16"/>
                <w:szCs w:val="16"/>
                <w:lang w:val="es-CO" w:eastAsia="es-CO"/>
              </w:rPr>
            </w:pPr>
          </w:p>
        </w:tc>
        <w:tc>
          <w:tcPr>
            <w:tcW w:w="1843" w:type="dxa"/>
            <w:gridSpan w:val="4"/>
            <w:tcBorders>
              <w:top w:val="dotted" w:sz="4" w:space="0" w:color="4F81BD" w:themeColor="accent1"/>
              <w:left w:val="nil"/>
              <w:bottom w:val="nil"/>
              <w:right w:val="dotted" w:sz="4" w:space="0" w:color="4F81BD" w:themeColor="accent1"/>
            </w:tcBorders>
            <w:shd w:val="clear" w:color="000000" w:fill="FFFFFF"/>
            <w:vAlign w:val="center"/>
          </w:tcPr>
          <w:p w14:paraId="307D4341" w14:textId="77777777" w:rsidR="00A20990" w:rsidRPr="001A38D5" w:rsidRDefault="00A20990" w:rsidP="005140E1">
            <w:pPr>
              <w:contextualSpacing/>
              <w:rPr>
                <w:rFonts w:cs="Arial"/>
                <w:b/>
                <w:sz w:val="14"/>
                <w:szCs w:val="16"/>
                <w:lang w:val="es-CO" w:eastAsia="es-CO"/>
              </w:rPr>
            </w:pPr>
            <w:r w:rsidRPr="001A38D5">
              <w:rPr>
                <w:rFonts w:cs="Arial"/>
                <w:b/>
                <w:sz w:val="14"/>
                <w:szCs w:val="16"/>
                <w:lang w:val="es-CO" w:eastAsia="es-CO"/>
              </w:rPr>
              <w:t>SGP PG libre inversión</w:t>
            </w:r>
          </w:p>
        </w:tc>
        <w:tc>
          <w:tcPr>
            <w:tcW w:w="1559" w:type="dxa"/>
            <w:gridSpan w:val="3"/>
            <w:tcBorders>
              <w:top w:val="dotted" w:sz="4" w:space="0" w:color="4F81BD" w:themeColor="accent1"/>
              <w:left w:val="dotted" w:sz="4" w:space="0" w:color="4F81BD" w:themeColor="accent1"/>
              <w:bottom w:val="nil"/>
              <w:right w:val="single" w:sz="4" w:space="0" w:color="4F81BD" w:themeColor="accent1"/>
            </w:tcBorders>
            <w:shd w:val="clear" w:color="000000" w:fill="FFFFFF"/>
            <w:vAlign w:val="center"/>
          </w:tcPr>
          <w:p w14:paraId="5089D9D9" w14:textId="77777777" w:rsidR="00A20990" w:rsidRPr="001A38D5" w:rsidRDefault="00A20990" w:rsidP="005140E1">
            <w:pPr>
              <w:contextualSpacing/>
              <w:jc w:val="right"/>
              <w:rPr>
                <w:rFonts w:cs="Arial"/>
                <w:sz w:val="16"/>
                <w:szCs w:val="16"/>
                <w:lang w:val="es-CO" w:eastAsia="es-CO"/>
              </w:rPr>
            </w:pPr>
            <w:r w:rsidRPr="001A38D5">
              <w:rPr>
                <w:rFonts w:cs="Arial"/>
                <w:sz w:val="16"/>
                <w:szCs w:val="16"/>
                <w:lang w:val="es-CO" w:eastAsia="es-CO"/>
              </w:rPr>
              <w:t>$554.000.000</w:t>
            </w:r>
          </w:p>
        </w:tc>
      </w:tr>
      <w:tr w:rsidR="001A38D5" w:rsidRPr="001A38D5" w14:paraId="31FFC738" w14:textId="77777777" w:rsidTr="00A20990">
        <w:trPr>
          <w:trHeight w:val="187"/>
          <w:jc w:val="center"/>
        </w:trPr>
        <w:tc>
          <w:tcPr>
            <w:tcW w:w="3397" w:type="dxa"/>
            <w:vMerge/>
            <w:tcBorders>
              <w:left w:val="single" w:sz="4" w:space="0" w:color="4F81BD" w:themeColor="accent1"/>
              <w:right w:val="single" w:sz="4" w:space="0" w:color="4472C4"/>
            </w:tcBorders>
            <w:vAlign w:val="center"/>
          </w:tcPr>
          <w:p w14:paraId="1E14AA06" w14:textId="77777777" w:rsidR="00A20990" w:rsidRPr="001A38D5" w:rsidRDefault="00A20990" w:rsidP="005140E1">
            <w:pPr>
              <w:contextualSpacing/>
              <w:rPr>
                <w:rFonts w:cs="Arial"/>
                <w:lang w:val="es-CO" w:eastAsia="es-CO"/>
              </w:rPr>
            </w:pPr>
          </w:p>
        </w:tc>
        <w:tc>
          <w:tcPr>
            <w:tcW w:w="567" w:type="dxa"/>
            <w:vMerge/>
            <w:tcBorders>
              <w:left w:val="nil"/>
              <w:bottom w:val="nil"/>
              <w:right w:val="nil"/>
            </w:tcBorders>
            <w:vAlign w:val="center"/>
          </w:tcPr>
          <w:p w14:paraId="19CB5C1C" w14:textId="77777777" w:rsidR="00A20990" w:rsidRPr="001A38D5" w:rsidRDefault="00A20990" w:rsidP="005140E1">
            <w:pPr>
              <w:contextualSpacing/>
              <w:rPr>
                <w:rFonts w:cs="Arial"/>
                <w:lang w:val="es-CO" w:eastAsia="es-CO"/>
              </w:rPr>
            </w:pPr>
          </w:p>
        </w:tc>
        <w:tc>
          <w:tcPr>
            <w:tcW w:w="2268" w:type="dxa"/>
            <w:vMerge/>
            <w:tcBorders>
              <w:left w:val="nil"/>
              <w:bottom w:val="single" w:sz="4" w:space="0" w:color="4472C4"/>
              <w:right w:val="single" w:sz="4" w:space="0" w:color="4472C4"/>
            </w:tcBorders>
            <w:shd w:val="clear" w:color="000000" w:fill="FFFFFF"/>
            <w:vAlign w:val="center"/>
          </w:tcPr>
          <w:p w14:paraId="29994CEE" w14:textId="77777777" w:rsidR="00A20990" w:rsidRPr="001A38D5" w:rsidRDefault="00A20990" w:rsidP="005140E1">
            <w:pPr>
              <w:contextualSpacing/>
              <w:rPr>
                <w:rFonts w:cs="Arial"/>
                <w:b/>
                <w:bCs/>
                <w:sz w:val="16"/>
                <w:szCs w:val="16"/>
                <w:lang w:val="es-CO" w:eastAsia="es-CO"/>
              </w:rPr>
            </w:pPr>
          </w:p>
        </w:tc>
        <w:tc>
          <w:tcPr>
            <w:tcW w:w="1843" w:type="dxa"/>
            <w:gridSpan w:val="4"/>
            <w:tcBorders>
              <w:top w:val="dotted" w:sz="4" w:space="0" w:color="4F81BD" w:themeColor="accent1"/>
              <w:left w:val="nil"/>
              <w:bottom w:val="nil"/>
              <w:right w:val="dotted" w:sz="4" w:space="0" w:color="4F81BD" w:themeColor="accent1"/>
            </w:tcBorders>
            <w:shd w:val="clear" w:color="000000" w:fill="FFFFFF"/>
            <w:vAlign w:val="center"/>
          </w:tcPr>
          <w:p w14:paraId="7929071F" w14:textId="77777777" w:rsidR="00A20990" w:rsidRPr="001A38D5" w:rsidRDefault="00A20990" w:rsidP="005140E1">
            <w:pPr>
              <w:contextualSpacing/>
              <w:rPr>
                <w:rFonts w:cs="Arial"/>
                <w:b/>
                <w:sz w:val="14"/>
                <w:szCs w:val="16"/>
                <w:lang w:val="es-CO" w:eastAsia="es-CO"/>
              </w:rPr>
            </w:pPr>
            <w:r w:rsidRPr="001A38D5">
              <w:rPr>
                <w:rFonts w:cs="Arial"/>
                <w:b/>
                <w:sz w:val="14"/>
                <w:szCs w:val="16"/>
                <w:lang w:val="es-CO" w:eastAsia="es-CO"/>
              </w:rPr>
              <w:t>SGP Prestación del servicio educativo</w:t>
            </w:r>
          </w:p>
        </w:tc>
        <w:tc>
          <w:tcPr>
            <w:tcW w:w="1559" w:type="dxa"/>
            <w:gridSpan w:val="3"/>
            <w:tcBorders>
              <w:top w:val="dotted" w:sz="4" w:space="0" w:color="4F81BD" w:themeColor="accent1"/>
              <w:left w:val="dotted" w:sz="4" w:space="0" w:color="4F81BD" w:themeColor="accent1"/>
              <w:bottom w:val="nil"/>
              <w:right w:val="single" w:sz="4" w:space="0" w:color="4F81BD" w:themeColor="accent1"/>
            </w:tcBorders>
            <w:shd w:val="clear" w:color="000000" w:fill="FFFFFF"/>
            <w:vAlign w:val="center"/>
          </w:tcPr>
          <w:p w14:paraId="36032719" w14:textId="77777777" w:rsidR="00A20990" w:rsidRPr="001A38D5" w:rsidRDefault="00A20990" w:rsidP="005140E1">
            <w:pPr>
              <w:contextualSpacing/>
              <w:jc w:val="right"/>
              <w:rPr>
                <w:rFonts w:eastAsia="Times New Roman" w:cs="Arial"/>
                <w:sz w:val="16"/>
                <w:szCs w:val="16"/>
                <w:lang w:val="es-CO" w:eastAsia="es-CO"/>
              </w:rPr>
            </w:pPr>
            <w:r w:rsidRPr="001A38D5">
              <w:rPr>
                <w:rFonts w:cs="Arial"/>
                <w:sz w:val="16"/>
                <w:szCs w:val="16"/>
              </w:rPr>
              <w:t>$432.849.910</w:t>
            </w:r>
          </w:p>
        </w:tc>
      </w:tr>
      <w:tr w:rsidR="001A38D5" w:rsidRPr="001A38D5" w14:paraId="5E29F116" w14:textId="77777777" w:rsidTr="00A20990">
        <w:trPr>
          <w:trHeight w:val="187"/>
          <w:jc w:val="center"/>
        </w:trPr>
        <w:tc>
          <w:tcPr>
            <w:tcW w:w="3397" w:type="dxa"/>
            <w:vMerge/>
            <w:tcBorders>
              <w:left w:val="single" w:sz="4" w:space="0" w:color="4F81BD" w:themeColor="accent1"/>
              <w:right w:val="single" w:sz="4" w:space="0" w:color="4472C4"/>
            </w:tcBorders>
            <w:vAlign w:val="center"/>
          </w:tcPr>
          <w:p w14:paraId="3C8A80B7" w14:textId="77777777" w:rsidR="00A20990" w:rsidRPr="001A38D5" w:rsidRDefault="00A20990" w:rsidP="005140E1">
            <w:pPr>
              <w:contextualSpacing/>
              <w:rPr>
                <w:rFonts w:cs="Arial"/>
                <w:lang w:val="es-CO" w:eastAsia="es-CO"/>
              </w:rPr>
            </w:pPr>
          </w:p>
        </w:tc>
        <w:tc>
          <w:tcPr>
            <w:tcW w:w="567" w:type="dxa"/>
            <w:vMerge/>
            <w:tcBorders>
              <w:left w:val="nil"/>
              <w:bottom w:val="nil"/>
              <w:right w:val="nil"/>
            </w:tcBorders>
            <w:vAlign w:val="center"/>
          </w:tcPr>
          <w:p w14:paraId="2878D05D" w14:textId="77777777" w:rsidR="00A20990" w:rsidRPr="001A38D5" w:rsidRDefault="00A20990" w:rsidP="005140E1">
            <w:pPr>
              <w:contextualSpacing/>
              <w:rPr>
                <w:rFonts w:cs="Arial"/>
                <w:lang w:val="es-CO" w:eastAsia="es-CO"/>
              </w:rPr>
            </w:pPr>
          </w:p>
        </w:tc>
        <w:tc>
          <w:tcPr>
            <w:tcW w:w="2268" w:type="dxa"/>
            <w:vMerge/>
            <w:tcBorders>
              <w:left w:val="nil"/>
              <w:bottom w:val="single" w:sz="4" w:space="0" w:color="4472C4"/>
              <w:right w:val="single" w:sz="4" w:space="0" w:color="4472C4"/>
            </w:tcBorders>
            <w:shd w:val="clear" w:color="000000" w:fill="FFFFFF"/>
            <w:vAlign w:val="center"/>
          </w:tcPr>
          <w:p w14:paraId="3DDE3822" w14:textId="77777777" w:rsidR="00A20990" w:rsidRPr="001A38D5" w:rsidRDefault="00A20990" w:rsidP="005140E1">
            <w:pPr>
              <w:contextualSpacing/>
              <w:rPr>
                <w:rFonts w:cs="Arial"/>
                <w:b/>
                <w:bCs/>
                <w:sz w:val="16"/>
                <w:szCs w:val="16"/>
                <w:lang w:val="es-CO" w:eastAsia="es-CO"/>
              </w:rPr>
            </w:pPr>
          </w:p>
        </w:tc>
        <w:tc>
          <w:tcPr>
            <w:tcW w:w="1843" w:type="dxa"/>
            <w:gridSpan w:val="4"/>
            <w:tcBorders>
              <w:top w:val="dotted" w:sz="4" w:space="0" w:color="4F81BD" w:themeColor="accent1"/>
              <w:left w:val="nil"/>
              <w:bottom w:val="nil"/>
              <w:right w:val="dotted" w:sz="4" w:space="0" w:color="4F81BD" w:themeColor="accent1"/>
            </w:tcBorders>
            <w:shd w:val="clear" w:color="000000" w:fill="FFFFFF"/>
            <w:vAlign w:val="center"/>
          </w:tcPr>
          <w:p w14:paraId="111C3A9C" w14:textId="77777777" w:rsidR="00A20990" w:rsidRPr="001A38D5" w:rsidRDefault="00A20990" w:rsidP="005140E1">
            <w:pPr>
              <w:contextualSpacing/>
              <w:rPr>
                <w:rFonts w:cs="Arial"/>
                <w:b/>
                <w:sz w:val="14"/>
                <w:szCs w:val="16"/>
                <w:lang w:val="es-CO" w:eastAsia="es-CO"/>
              </w:rPr>
            </w:pPr>
            <w:r w:rsidRPr="001A38D5">
              <w:rPr>
                <w:rFonts w:cs="Arial"/>
                <w:b/>
                <w:sz w:val="14"/>
                <w:szCs w:val="16"/>
                <w:lang w:val="es-CO" w:eastAsia="es-CO"/>
              </w:rPr>
              <w:t>CONPES 151</w:t>
            </w:r>
          </w:p>
        </w:tc>
        <w:tc>
          <w:tcPr>
            <w:tcW w:w="1559" w:type="dxa"/>
            <w:gridSpan w:val="3"/>
            <w:tcBorders>
              <w:top w:val="dotted" w:sz="4" w:space="0" w:color="4F81BD" w:themeColor="accent1"/>
              <w:left w:val="dotted" w:sz="4" w:space="0" w:color="4F81BD" w:themeColor="accent1"/>
              <w:bottom w:val="nil"/>
              <w:right w:val="single" w:sz="4" w:space="0" w:color="4F81BD" w:themeColor="accent1"/>
            </w:tcBorders>
            <w:shd w:val="clear" w:color="000000" w:fill="FFFFFF"/>
            <w:vAlign w:val="center"/>
          </w:tcPr>
          <w:p w14:paraId="03012660" w14:textId="77777777" w:rsidR="00A20990" w:rsidRPr="001A38D5" w:rsidRDefault="00A20990" w:rsidP="005140E1">
            <w:pPr>
              <w:contextualSpacing/>
              <w:jc w:val="right"/>
              <w:rPr>
                <w:rFonts w:cs="Arial"/>
                <w:sz w:val="16"/>
                <w:szCs w:val="16"/>
                <w:lang w:val="es-CO" w:eastAsia="es-CO"/>
              </w:rPr>
            </w:pPr>
            <w:r w:rsidRPr="001A38D5">
              <w:rPr>
                <w:rFonts w:cs="Arial"/>
                <w:sz w:val="16"/>
                <w:szCs w:val="16"/>
                <w:lang w:val="es-CO" w:eastAsia="es-CO"/>
              </w:rPr>
              <w:t>$13.021.821</w:t>
            </w:r>
          </w:p>
        </w:tc>
      </w:tr>
      <w:tr w:rsidR="001A38D5" w:rsidRPr="001A38D5" w14:paraId="0FEC5A27" w14:textId="77777777" w:rsidTr="00A20990">
        <w:trPr>
          <w:trHeight w:val="20"/>
          <w:jc w:val="center"/>
        </w:trPr>
        <w:tc>
          <w:tcPr>
            <w:tcW w:w="3397" w:type="dxa"/>
            <w:vMerge/>
            <w:tcBorders>
              <w:left w:val="single" w:sz="4" w:space="0" w:color="4F81BD" w:themeColor="accent1"/>
              <w:right w:val="single" w:sz="4" w:space="0" w:color="4472C4"/>
            </w:tcBorders>
            <w:vAlign w:val="center"/>
            <w:hideMark/>
          </w:tcPr>
          <w:p w14:paraId="0A12CC63" w14:textId="77777777" w:rsidR="00A20990" w:rsidRPr="001A38D5" w:rsidRDefault="00A20990" w:rsidP="005140E1">
            <w:pPr>
              <w:contextualSpacing/>
              <w:rPr>
                <w:rFonts w:cs="Arial"/>
                <w:lang w:val="es-CO" w:eastAsia="es-CO"/>
              </w:rPr>
            </w:pPr>
          </w:p>
        </w:tc>
        <w:tc>
          <w:tcPr>
            <w:tcW w:w="567" w:type="dxa"/>
            <w:vMerge w:val="restart"/>
            <w:tcBorders>
              <w:top w:val="single" w:sz="4" w:space="0" w:color="4472C4"/>
              <w:left w:val="single" w:sz="4" w:space="0" w:color="4472C4"/>
              <w:bottom w:val="single" w:sz="4" w:space="0" w:color="4472C4"/>
              <w:right w:val="nil"/>
            </w:tcBorders>
            <w:shd w:val="clear" w:color="000000" w:fill="FFFFFF"/>
            <w:hideMark/>
          </w:tcPr>
          <w:p w14:paraId="0E37B1F5" w14:textId="77777777" w:rsidR="00A20990" w:rsidRPr="001A38D5" w:rsidRDefault="003E1C4E" w:rsidP="005140E1">
            <w:pPr>
              <w:contextualSpacing/>
              <w:rPr>
                <w:rFonts w:cs="Arial"/>
                <w:lang w:val="es-CO" w:eastAsia="es-CO"/>
              </w:rPr>
            </w:pPr>
            <w:r>
              <w:rPr>
                <w:noProof/>
                <w:lang w:val="es-CO" w:eastAsia="es-CO"/>
              </w:rPr>
              <w:drawing>
                <wp:anchor distT="0" distB="0" distL="114300" distR="114300" simplePos="0" relativeHeight="251661312" behindDoc="0" locked="0" layoutInCell="1" allowOverlap="1" wp14:anchorId="1EAD20A3" wp14:editId="72C9CC87">
                  <wp:simplePos x="0" y="0"/>
                  <wp:positionH relativeFrom="column">
                    <wp:posOffset>-26258</wp:posOffset>
                  </wp:positionH>
                  <wp:positionV relativeFrom="paragraph">
                    <wp:posOffset>280670</wp:posOffset>
                  </wp:positionV>
                  <wp:extent cx="313771" cy="300155"/>
                  <wp:effectExtent l="0" t="0" r="0" b="5080"/>
                  <wp:wrapNone/>
                  <wp:docPr id="7" name="Imagen 4">
                    <a:extLst xmlns:a="http://schemas.openxmlformats.org/drawingml/2006/main">
                      <a:ext uri="{FF2B5EF4-FFF2-40B4-BE49-F238E27FC236}">
                        <a16:creationId xmlns:a16="http://schemas.microsoft.com/office/drawing/2014/main" id="{2D2B8D87-6439-4A3C-B67C-E0787DAE7263}"/>
                      </a:ext>
                    </a:extLst>
                  </wp:docPr>
                  <wp:cNvGraphicFramePr/>
                  <a:graphic xmlns:a="http://schemas.openxmlformats.org/drawingml/2006/main">
                    <a:graphicData uri="http://schemas.openxmlformats.org/drawingml/2006/picture">
                      <pic:pic xmlns:pic="http://schemas.openxmlformats.org/drawingml/2006/picture">
                        <pic:nvPicPr>
                          <pic:cNvPr id="7" name="Imagen 7">
                            <a:extLst>
                              <a:ext uri="{FF2B5EF4-FFF2-40B4-BE49-F238E27FC236}">
                                <a16:creationId xmlns:a16="http://schemas.microsoft.com/office/drawing/2014/main" id="{2D2B8D87-6439-4A3C-B67C-E0787DAE7263}"/>
                              </a:ext>
                            </a:extLst>
                          </pic:cNvPr>
                          <pic:cNvPicPr/>
                        </pic:nvPicPr>
                        <pic:blipFill rotWithShape="1">
                          <a:blip r:embed="rId15"/>
                          <a:srcRect l="28852" t="23537" r="33980" b="10379"/>
                          <a:stretch/>
                        </pic:blipFill>
                        <pic:spPr bwMode="auto">
                          <a:xfrm>
                            <a:off x="0" y="0"/>
                            <a:ext cx="313771" cy="300155"/>
                          </a:xfrm>
                          <a:prstGeom prst="ellipse">
                            <a:avLst/>
                          </a:prstGeom>
                          <a:ln>
                            <a:noFill/>
                          </a:ln>
                          <a:extLst>
                            <a:ext uri="{53640926-AAD7-44D8-BBD7-CCE9431645EC}">
                              <a14:shadowObscured xmlns:a14="http://schemas.microsoft.com/office/drawing/2010/main"/>
                            </a:ext>
                          </a:extLst>
                        </pic:spPr>
                      </pic:pic>
                    </a:graphicData>
                  </a:graphic>
                </wp:anchor>
              </w:drawing>
            </w:r>
            <w:r w:rsidR="00A20990" w:rsidRPr="001A38D5">
              <w:rPr>
                <w:rFonts w:cs="Arial"/>
                <w:lang w:val="es-CO" w:eastAsia="es-CO"/>
              </w:rPr>
              <w:t> </w:t>
            </w:r>
          </w:p>
        </w:tc>
        <w:tc>
          <w:tcPr>
            <w:tcW w:w="2268" w:type="dxa"/>
            <w:vMerge w:val="restart"/>
            <w:tcBorders>
              <w:top w:val="nil"/>
              <w:left w:val="nil"/>
              <w:bottom w:val="nil"/>
              <w:right w:val="single" w:sz="4" w:space="0" w:color="4472C4"/>
            </w:tcBorders>
            <w:shd w:val="clear" w:color="000000" w:fill="FFFFFF"/>
            <w:vAlign w:val="bottom"/>
            <w:hideMark/>
          </w:tcPr>
          <w:p w14:paraId="09B2BC21" w14:textId="77777777" w:rsidR="00A20990" w:rsidRPr="001A38D5" w:rsidRDefault="00A20990" w:rsidP="005140E1">
            <w:pPr>
              <w:contextualSpacing/>
              <w:rPr>
                <w:rFonts w:cs="Arial"/>
                <w:b/>
                <w:bCs/>
                <w:sz w:val="16"/>
                <w:szCs w:val="16"/>
                <w:lang w:val="es-CO" w:eastAsia="es-CO"/>
              </w:rPr>
            </w:pPr>
            <w:r w:rsidRPr="001A38D5">
              <w:rPr>
                <w:rFonts w:cs="Arial"/>
                <w:b/>
                <w:bCs/>
                <w:sz w:val="16"/>
                <w:szCs w:val="16"/>
                <w:lang w:val="es-CO" w:eastAsia="es-CO"/>
              </w:rPr>
              <w:t xml:space="preserve">Número de </w:t>
            </w:r>
            <w:r w:rsidRPr="001A38D5">
              <w:rPr>
                <w:rFonts w:cs="Arial"/>
                <w:b/>
                <w:bCs/>
                <w:sz w:val="16"/>
                <w:szCs w:val="16"/>
                <w:lang w:val="es-CO" w:eastAsia="es-CO"/>
              </w:rPr>
              <w:lastRenderedPageBreak/>
              <w:t>establecimientos educativos oficiales 2022:</w:t>
            </w:r>
          </w:p>
        </w:tc>
        <w:tc>
          <w:tcPr>
            <w:tcW w:w="850" w:type="dxa"/>
            <w:tcBorders>
              <w:top w:val="single" w:sz="4" w:space="0" w:color="4472C4"/>
              <w:left w:val="nil"/>
              <w:bottom w:val="dotted" w:sz="4" w:space="0" w:color="4472C4"/>
              <w:right w:val="dotted" w:sz="4" w:space="0" w:color="4472C4"/>
            </w:tcBorders>
            <w:shd w:val="clear" w:color="000000" w:fill="FFFFFF"/>
            <w:vAlign w:val="center"/>
            <w:hideMark/>
          </w:tcPr>
          <w:p w14:paraId="28E7F357"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lastRenderedPageBreak/>
              <w:t>Total</w:t>
            </w:r>
          </w:p>
        </w:tc>
        <w:tc>
          <w:tcPr>
            <w:tcW w:w="851" w:type="dxa"/>
            <w:gridSpan w:val="2"/>
            <w:tcBorders>
              <w:top w:val="single" w:sz="4" w:space="0" w:color="4472C4"/>
              <w:left w:val="nil"/>
              <w:bottom w:val="dotted" w:sz="4" w:space="0" w:color="4472C4"/>
              <w:right w:val="dotted" w:sz="4" w:space="0" w:color="4472C4"/>
            </w:tcBorders>
            <w:shd w:val="clear" w:color="000000" w:fill="FFFFFF"/>
            <w:vAlign w:val="center"/>
            <w:hideMark/>
          </w:tcPr>
          <w:p w14:paraId="656F10AB"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Urbana</w:t>
            </w:r>
          </w:p>
        </w:tc>
        <w:tc>
          <w:tcPr>
            <w:tcW w:w="850" w:type="dxa"/>
            <w:gridSpan w:val="3"/>
            <w:tcBorders>
              <w:top w:val="single" w:sz="4" w:space="0" w:color="4472C4"/>
              <w:left w:val="nil"/>
              <w:bottom w:val="dotted" w:sz="4" w:space="0" w:color="4472C4"/>
              <w:right w:val="dotted" w:sz="4" w:space="0" w:color="4472C4"/>
            </w:tcBorders>
            <w:shd w:val="clear" w:color="000000" w:fill="FFFFFF"/>
            <w:vAlign w:val="center"/>
            <w:hideMark/>
          </w:tcPr>
          <w:p w14:paraId="70DF5592"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Rural</w:t>
            </w:r>
          </w:p>
        </w:tc>
        <w:tc>
          <w:tcPr>
            <w:tcW w:w="851" w:type="dxa"/>
            <w:tcBorders>
              <w:top w:val="single" w:sz="4" w:space="0" w:color="4472C4"/>
              <w:left w:val="nil"/>
              <w:bottom w:val="dotted" w:sz="4" w:space="0" w:color="4472C4"/>
              <w:right w:val="single" w:sz="4" w:space="0" w:color="4F81BD" w:themeColor="accent1"/>
            </w:tcBorders>
            <w:shd w:val="clear" w:color="000000" w:fill="FFFFFF"/>
            <w:vAlign w:val="center"/>
            <w:hideMark/>
          </w:tcPr>
          <w:p w14:paraId="42E2BFFE"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 xml:space="preserve">Urbana / </w:t>
            </w:r>
            <w:r w:rsidRPr="001A38D5">
              <w:rPr>
                <w:rFonts w:cs="Arial"/>
                <w:sz w:val="16"/>
                <w:szCs w:val="16"/>
                <w:lang w:val="es-CO" w:eastAsia="es-CO"/>
              </w:rPr>
              <w:lastRenderedPageBreak/>
              <w:t>rural</w:t>
            </w:r>
          </w:p>
        </w:tc>
      </w:tr>
      <w:tr w:rsidR="001A38D5" w:rsidRPr="001A38D5" w14:paraId="02EFCFCD" w14:textId="77777777" w:rsidTr="00A20990">
        <w:trPr>
          <w:trHeight w:val="293"/>
          <w:jc w:val="center"/>
        </w:trPr>
        <w:tc>
          <w:tcPr>
            <w:tcW w:w="3397" w:type="dxa"/>
            <w:vMerge/>
            <w:tcBorders>
              <w:left w:val="single" w:sz="4" w:space="0" w:color="4F81BD" w:themeColor="accent1"/>
              <w:right w:val="single" w:sz="4" w:space="0" w:color="4472C4"/>
            </w:tcBorders>
            <w:vAlign w:val="center"/>
            <w:hideMark/>
          </w:tcPr>
          <w:p w14:paraId="794B4CB3" w14:textId="77777777" w:rsidR="00A20990" w:rsidRPr="001A38D5" w:rsidRDefault="00A20990" w:rsidP="005140E1">
            <w:pPr>
              <w:contextualSpacing/>
              <w:rPr>
                <w:rFonts w:cs="Arial"/>
                <w:lang w:val="es-CO" w:eastAsia="es-CO"/>
              </w:rPr>
            </w:pPr>
          </w:p>
        </w:tc>
        <w:tc>
          <w:tcPr>
            <w:tcW w:w="567" w:type="dxa"/>
            <w:vMerge/>
            <w:tcBorders>
              <w:top w:val="single" w:sz="4" w:space="0" w:color="4472C4"/>
              <w:left w:val="single" w:sz="4" w:space="0" w:color="4472C4"/>
              <w:bottom w:val="single" w:sz="4" w:space="0" w:color="4472C4"/>
              <w:right w:val="nil"/>
            </w:tcBorders>
            <w:vAlign w:val="center"/>
            <w:hideMark/>
          </w:tcPr>
          <w:p w14:paraId="58CA7A9E" w14:textId="77777777" w:rsidR="00A20990" w:rsidRPr="001A38D5" w:rsidRDefault="00A20990" w:rsidP="005140E1">
            <w:pPr>
              <w:contextualSpacing/>
              <w:rPr>
                <w:rFonts w:cs="Arial"/>
                <w:lang w:val="es-CO" w:eastAsia="es-CO"/>
              </w:rPr>
            </w:pPr>
          </w:p>
        </w:tc>
        <w:tc>
          <w:tcPr>
            <w:tcW w:w="2268" w:type="dxa"/>
            <w:vMerge/>
            <w:tcBorders>
              <w:top w:val="nil"/>
              <w:left w:val="nil"/>
              <w:bottom w:val="dotted" w:sz="4" w:space="0" w:color="4F81BD" w:themeColor="accent1"/>
              <w:right w:val="single" w:sz="4" w:space="0" w:color="4472C4"/>
            </w:tcBorders>
            <w:vAlign w:val="center"/>
            <w:hideMark/>
          </w:tcPr>
          <w:p w14:paraId="6ACEE885" w14:textId="77777777" w:rsidR="00A20990" w:rsidRPr="001A38D5" w:rsidRDefault="00A20990" w:rsidP="005140E1">
            <w:pPr>
              <w:contextualSpacing/>
              <w:rPr>
                <w:rFonts w:cs="Arial"/>
                <w:b/>
                <w:bCs/>
                <w:sz w:val="16"/>
                <w:szCs w:val="16"/>
                <w:lang w:val="es-CO" w:eastAsia="es-CO"/>
              </w:rPr>
            </w:pPr>
          </w:p>
        </w:tc>
        <w:tc>
          <w:tcPr>
            <w:tcW w:w="850" w:type="dxa"/>
            <w:tcBorders>
              <w:top w:val="nil"/>
              <w:left w:val="nil"/>
              <w:bottom w:val="dotted" w:sz="4" w:space="0" w:color="4472C4"/>
              <w:right w:val="dotted" w:sz="4" w:space="0" w:color="4472C4"/>
            </w:tcBorders>
            <w:shd w:val="clear" w:color="000000" w:fill="FFFFFF"/>
            <w:vAlign w:val="center"/>
            <w:hideMark/>
          </w:tcPr>
          <w:p w14:paraId="1EBB3074"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62</w:t>
            </w:r>
          </w:p>
        </w:tc>
        <w:tc>
          <w:tcPr>
            <w:tcW w:w="851" w:type="dxa"/>
            <w:gridSpan w:val="2"/>
            <w:tcBorders>
              <w:top w:val="nil"/>
              <w:left w:val="nil"/>
              <w:bottom w:val="dotted" w:sz="4" w:space="0" w:color="4472C4"/>
              <w:right w:val="dotted" w:sz="4" w:space="0" w:color="4472C4"/>
            </w:tcBorders>
            <w:shd w:val="clear" w:color="000000" w:fill="FFFFFF"/>
            <w:vAlign w:val="center"/>
            <w:hideMark/>
          </w:tcPr>
          <w:p w14:paraId="0E3E889E"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48</w:t>
            </w:r>
          </w:p>
        </w:tc>
        <w:tc>
          <w:tcPr>
            <w:tcW w:w="850" w:type="dxa"/>
            <w:gridSpan w:val="3"/>
            <w:tcBorders>
              <w:top w:val="nil"/>
              <w:left w:val="nil"/>
              <w:bottom w:val="dotted" w:sz="4" w:space="0" w:color="4472C4"/>
              <w:right w:val="dotted" w:sz="4" w:space="0" w:color="4472C4"/>
            </w:tcBorders>
            <w:shd w:val="clear" w:color="000000" w:fill="FFFFFF"/>
            <w:vAlign w:val="center"/>
            <w:hideMark/>
          </w:tcPr>
          <w:p w14:paraId="100BCAE7"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10</w:t>
            </w:r>
          </w:p>
        </w:tc>
        <w:tc>
          <w:tcPr>
            <w:tcW w:w="851" w:type="dxa"/>
            <w:tcBorders>
              <w:top w:val="nil"/>
              <w:left w:val="nil"/>
              <w:bottom w:val="dotted" w:sz="4" w:space="0" w:color="4472C4"/>
              <w:right w:val="single" w:sz="4" w:space="0" w:color="4F81BD" w:themeColor="accent1"/>
            </w:tcBorders>
            <w:shd w:val="clear" w:color="000000" w:fill="FFFFFF"/>
            <w:vAlign w:val="center"/>
            <w:hideMark/>
          </w:tcPr>
          <w:p w14:paraId="2F73A78E"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4</w:t>
            </w:r>
          </w:p>
        </w:tc>
      </w:tr>
      <w:tr w:rsidR="001A38D5" w:rsidRPr="001A38D5" w14:paraId="7E7E3E6E" w14:textId="77777777" w:rsidTr="00A20990">
        <w:trPr>
          <w:trHeight w:val="269"/>
          <w:jc w:val="center"/>
        </w:trPr>
        <w:tc>
          <w:tcPr>
            <w:tcW w:w="3397" w:type="dxa"/>
            <w:vMerge/>
            <w:tcBorders>
              <w:left w:val="single" w:sz="4" w:space="0" w:color="4F81BD" w:themeColor="accent1"/>
              <w:bottom w:val="single" w:sz="4" w:space="0" w:color="4F81BD" w:themeColor="accent1"/>
              <w:right w:val="single" w:sz="4" w:space="0" w:color="4472C4"/>
            </w:tcBorders>
            <w:vAlign w:val="center"/>
            <w:hideMark/>
          </w:tcPr>
          <w:p w14:paraId="45039D73" w14:textId="77777777" w:rsidR="00A20990" w:rsidRPr="001A38D5" w:rsidRDefault="00A20990" w:rsidP="005140E1">
            <w:pPr>
              <w:contextualSpacing/>
              <w:rPr>
                <w:rFonts w:cs="Arial"/>
                <w:lang w:val="es-CO" w:eastAsia="es-CO"/>
              </w:rPr>
            </w:pPr>
          </w:p>
        </w:tc>
        <w:tc>
          <w:tcPr>
            <w:tcW w:w="567" w:type="dxa"/>
            <w:vMerge/>
            <w:tcBorders>
              <w:top w:val="single" w:sz="4" w:space="0" w:color="4472C4"/>
              <w:left w:val="single" w:sz="4" w:space="0" w:color="4472C4"/>
              <w:bottom w:val="single" w:sz="4" w:space="0" w:color="4F81BD" w:themeColor="accent1"/>
              <w:right w:val="nil"/>
            </w:tcBorders>
            <w:vAlign w:val="center"/>
            <w:hideMark/>
          </w:tcPr>
          <w:p w14:paraId="36BC248A" w14:textId="77777777" w:rsidR="00A20990" w:rsidRPr="001A38D5" w:rsidRDefault="00A20990" w:rsidP="005140E1">
            <w:pPr>
              <w:contextualSpacing/>
              <w:rPr>
                <w:rFonts w:cs="Arial"/>
                <w:lang w:val="es-CO" w:eastAsia="es-CO"/>
              </w:rPr>
            </w:pPr>
          </w:p>
        </w:tc>
        <w:tc>
          <w:tcPr>
            <w:tcW w:w="2268" w:type="dxa"/>
            <w:tcBorders>
              <w:top w:val="dotted" w:sz="4" w:space="0" w:color="4F81BD" w:themeColor="accent1"/>
              <w:left w:val="nil"/>
              <w:bottom w:val="single" w:sz="4" w:space="0" w:color="4F81BD" w:themeColor="accent1"/>
              <w:right w:val="single" w:sz="4" w:space="0" w:color="4472C4"/>
            </w:tcBorders>
            <w:shd w:val="clear" w:color="000000" w:fill="FFFFFF"/>
            <w:vAlign w:val="center"/>
            <w:hideMark/>
          </w:tcPr>
          <w:p w14:paraId="6AD291DB" w14:textId="77777777" w:rsidR="00A20990" w:rsidRPr="001A38D5" w:rsidRDefault="00A20990" w:rsidP="005140E1">
            <w:pPr>
              <w:contextualSpacing/>
              <w:rPr>
                <w:rFonts w:cs="Arial"/>
                <w:b/>
                <w:bCs/>
                <w:sz w:val="16"/>
                <w:szCs w:val="16"/>
                <w:lang w:val="es-CO" w:eastAsia="es-CO"/>
              </w:rPr>
            </w:pPr>
            <w:r w:rsidRPr="001A38D5">
              <w:rPr>
                <w:rFonts w:cs="Arial"/>
                <w:b/>
                <w:bCs/>
                <w:sz w:val="16"/>
                <w:szCs w:val="16"/>
                <w:lang w:val="es-CO" w:eastAsia="es-CO"/>
              </w:rPr>
              <w:t>Número de sedes 2022:</w:t>
            </w:r>
          </w:p>
        </w:tc>
        <w:tc>
          <w:tcPr>
            <w:tcW w:w="850" w:type="dxa"/>
            <w:tcBorders>
              <w:top w:val="nil"/>
              <w:left w:val="nil"/>
              <w:bottom w:val="single" w:sz="4" w:space="0" w:color="4F81BD" w:themeColor="accent1"/>
              <w:right w:val="dotted" w:sz="4" w:space="0" w:color="4472C4"/>
            </w:tcBorders>
            <w:shd w:val="clear" w:color="000000" w:fill="FFFFFF"/>
            <w:vAlign w:val="center"/>
            <w:hideMark/>
          </w:tcPr>
          <w:p w14:paraId="2B326297"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170</w:t>
            </w:r>
          </w:p>
        </w:tc>
        <w:tc>
          <w:tcPr>
            <w:tcW w:w="851" w:type="dxa"/>
            <w:gridSpan w:val="2"/>
            <w:tcBorders>
              <w:top w:val="nil"/>
              <w:left w:val="nil"/>
              <w:bottom w:val="single" w:sz="4" w:space="0" w:color="4F81BD" w:themeColor="accent1"/>
              <w:right w:val="nil"/>
            </w:tcBorders>
            <w:shd w:val="clear" w:color="000000" w:fill="FFFFFF"/>
            <w:noWrap/>
            <w:vAlign w:val="center"/>
            <w:hideMark/>
          </w:tcPr>
          <w:p w14:paraId="46FD0137"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116</w:t>
            </w:r>
          </w:p>
        </w:tc>
        <w:tc>
          <w:tcPr>
            <w:tcW w:w="850" w:type="dxa"/>
            <w:gridSpan w:val="3"/>
            <w:tcBorders>
              <w:top w:val="nil"/>
              <w:left w:val="dotted" w:sz="4" w:space="0" w:color="4472C4"/>
              <w:bottom w:val="single" w:sz="4" w:space="0" w:color="4F81BD" w:themeColor="accent1"/>
              <w:right w:val="dotted" w:sz="4" w:space="0" w:color="4472C4"/>
            </w:tcBorders>
            <w:shd w:val="clear" w:color="000000" w:fill="FFFFFF"/>
            <w:noWrap/>
            <w:vAlign w:val="center"/>
            <w:hideMark/>
          </w:tcPr>
          <w:p w14:paraId="732463F5" w14:textId="77777777" w:rsidR="00A20990" w:rsidRPr="001A38D5" w:rsidRDefault="00A20990" w:rsidP="005140E1">
            <w:pPr>
              <w:contextualSpacing/>
              <w:jc w:val="center"/>
              <w:rPr>
                <w:rFonts w:cs="Arial"/>
                <w:sz w:val="16"/>
                <w:szCs w:val="16"/>
                <w:lang w:val="es-CO" w:eastAsia="es-CO"/>
              </w:rPr>
            </w:pPr>
            <w:r w:rsidRPr="001A38D5">
              <w:rPr>
                <w:rFonts w:cs="Arial"/>
                <w:sz w:val="16"/>
                <w:szCs w:val="16"/>
                <w:lang w:val="es-CO" w:eastAsia="es-CO"/>
              </w:rPr>
              <w:t>54</w:t>
            </w:r>
          </w:p>
        </w:tc>
        <w:tc>
          <w:tcPr>
            <w:tcW w:w="851" w:type="dxa"/>
            <w:tcBorders>
              <w:top w:val="dotted" w:sz="4" w:space="0" w:color="4472C4"/>
              <w:left w:val="nil"/>
              <w:bottom w:val="single" w:sz="4" w:space="0" w:color="4F81BD" w:themeColor="accent1"/>
              <w:right w:val="single" w:sz="4" w:space="0" w:color="4F81BD" w:themeColor="accent1"/>
            </w:tcBorders>
            <w:shd w:val="clear" w:color="000000" w:fill="D9D9D9"/>
            <w:noWrap/>
            <w:vAlign w:val="center"/>
            <w:hideMark/>
          </w:tcPr>
          <w:p w14:paraId="561BAB0F" w14:textId="77777777" w:rsidR="00A20990" w:rsidRPr="001A38D5" w:rsidRDefault="00A20990" w:rsidP="005140E1">
            <w:pPr>
              <w:contextualSpacing/>
              <w:jc w:val="center"/>
              <w:rPr>
                <w:rFonts w:cs="Arial"/>
                <w:sz w:val="16"/>
                <w:szCs w:val="16"/>
                <w:lang w:val="es-CO" w:eastAsia="es-CO"/>
              </w:rPr>
            </w:pPr>
          </w:p>
        </w:tc>
      </w:tr>
    </w:tbl>
    <w:p w14:paraId="4C2DF5F3" w14:textId="77777777" w:rsidR="00A20990" w:rsidRPr="007A412F" w:rsidRDefault="00A20990" w:rsidP="005140E1">
      <w:pPr>
        <w:contextualSpacing/>
        <w:jc w:val="center"/>
        <w:rPr>
          <w:rFonts w:cs="Arial"/>
          <w:sz w:val="16"/>
          <w:szCs w:val="16"/>
          <w:lang w:val="es-CO"/>
        </w:rPr>
      </w:pPr>
      <w:r w:rsidRPr="007A412F">
        <w:rPr>
          <w:rFonts w:cs="Arial"/>
          <w:sz w:val="16"/>
          <w:szCs w:val="16"/>
          <w:lang w:val="es-CO"/>
        </w:rPr>
        <w:t>Fuente: DAF con base en información de DANE, IGAC, SICODIS, MEN.</w:t>
      </w:r>
    </w:p>
    <w:p w14:paraId="1A414C03" w14:textId="77777777" w:rsidR="00A20990" w:rsidRPr="001A38D5" w:rsidRDefault="00A20990" w:rsidP="005140E1">
      <w:pPr>
        <w:contextualSpacing/>
        <w:rPr>
          <w:rFonts w:cs="Arial"/>
          <w:lang w:val="es-CO"/>
        </w:rPr>
      </w:pPr>
    </w:p>
    <w:p w14:paraId="560DD5AC" w14:textId="77777777" w:rsidR="00A20990" w:rsidRPr="001A38D5" w:rsidRDefault="00A20990" w:rsidP="005140E1">
      <w:pPr>
        <w:contextualSpacing/>
        <w:jc w:val="both"/>
        <w:rPr>
          <w:rFonts w:cs="Arial"/>
        </w:rPr>
      </w:pPr>
      <w:r w:rsidRPr="001A38D5">
        <w:rPr>
          <w:rFonts w:cs="Arial"/>
        </w:rPr>
        <w:t xml:space="preserve">Según las proyecciones de población del Departamento Administrativo Nacional de Estadística </w:t>
      </w:r>
      <w:r w:rsidR="00C32046">
        <w:rPr>
          <w:rFonts w:cs="Arial"/>
        </w:rPr>
        <w:t xml:space="preserve">- </w:t>
      </w:r>
      <w:r w:rsidRPr="001A38D5">
        <w:rPr>
          <w:rFonts w:cs="Arial"/>
        </w:rPr>
        <w:t>DANE para el año 2022, se estimaba una población total de 554.173 habitantes. El 92 % de sus habitantes se ubica en áreas urbanas y el 8 % en zonas rurales. El área urbana de Villavicencio está dividida en diez (10) comunas con quinientos treinta (530) barrios, en su mayoría informales. El área rural equivale a un 96</w:t>
      </w:r>
      <w:r w:rsidR="00C32046">
        <w:rPr>
          <w:rFonts w:cs="Arial"/>
        </w:rPr>
        <w:t xml:space="preserve"> </w:t>
      </w:r>
      <w:r w:rsidRPr="001A38D5">
        <w:rPr>
          <w:rFonts w:cs="Arial"/>
        </w:rPr>
        <w:t>% del área total del Municipio y está dividida políticamente en siete (7) corregimientos con un total de sesenta y siete (67) veredas.</w:t>
      </w:r>
    </w:p>
    <w:p w14:paraId="6BCB055E" w14:textId="77777777" w:rsidR="00A20990" w:rsidRPr="001A38D5" w:rsidRDefault="00A20990" w:rsidP="005140E1">
      <w:pPr>
        <w:contextualSpacing/>
        <w:jc w:val="both"/>
        <w:rPr>
          <w:rFonts w:cs="Arial"/>
        </w:rPr>
      </w:pPr>
    </w:p>
    <w:p w14:paraId="6699D7D7" w14:textId="77777777" w:rsidR="00A20990" w:rsidRPr="001A38D5" w:rsidRDefault="00A20990" w:rsidP="005140E1">
      <w:pPr>
        <w:contextualSpacing/>
        <w:jc w:val="both"/>
        <w:rPr>
          <w:rFonts w:cs="Arial"/>
        </w:rPr>
      </w:pPr>
      <w:r w:rsidRPr="001A38D5">
        <w:rPr>
          <w:rFonts w:cs="Arial"/>
        </w:rPr>
        <w:t>La población en edad escolar, de 5 a 17 años, representa el 19,7 % del total de la población del Municipio. La matriculada en establecimientos educativos oficiales en marzo de 2022 fue de 73.880 niños, niñas y adolescentes, lo que representa el 68 % del total de personas en edad escolar.</w:t>
      </w:r>
    </w:p>
    <w:p w14:paraId="36FA3423" w14:textId="77777777" w:rsidR="00A20990" w:rsidRPr="001A38D5" w:rsidRDefault="00A20990" w:rsidP="005140E1">
      <w:pPr>
        <w:contextualSpacing/>
        <w:jc w:val="both"/>
        <w:rPr>
          <w:rFonts w:cs="Arial"/>
        </w:rPr>
      </w:pPr>
    </w:p>
    <w:p w14:paraId="37AF052C" w14:textId="77777777" w:rsidR="00A20990" w:rsidRPr="001A38D5" w:rsidRDefault="00A20990" w:rsidP="005140E1">
      <w:pPr>
        <w:pStyle w:val="Ttulo2"/>
        <w:contextualSpacing/>
        <w:rPr>
          <w:rFonts w:ascii="Verdana" w:hAnsi="Verdana"/>
        </w:rPr>
      </w:pPr>
      <w:r w:rsidRPr="001A38D5">
        <w:rPr>
          <w:rFonts w:ascii="Verdana" w:hAnsi="Verdana"/>
        </w:rPr>
        <w:t>Componentes sectoriales</w:t>
      </w:r>
      <w:r w:rsidR="00C32046">
        <w:rPr>
          <w:rFonts w:ascii="Verdana" w:hAnsi="Verdana"/>
        </w:rPr>
        <w:t>.</w:t>
      </w:r>
    </w:p>
    <w:p w14:paraId="50663662" w14:textId="77777777" w:rsidR="00A20990" w:rsidRPr="001A38D5" w:rsidRDefault="00A20990" w:rsidP="005140E1">
      <w:pPr>
        <w:contextualSpacing/>
        <w:rPr>
          <w:rFonts w:cs="Arial"/>
        </w:rPr>
      </w:pPr>
    </w:p>
    <w:p w14:paraId="7C413FCA" w14:textId="77777777" w:rsidR="00A20990" w:rsidRPr="001A38D5" w:rsidRDefault="00A20990" w:rsidP="005140E1">
      <w:pPr>
        <w:contextualSpacing/>
        <w:jc w:val="both"/>
        <w:rPr>
          <w:rFonts w:cs="Arial"/>
          <w:lang w:val="es-CO"/>
        </w:rPr>
      </w:pPr>
      <w:r w:rsidRPr="001A38D5">
        <w:rPr>
          <w:rFonts w:cs="Arial"/>
          <w:lang w:val="es-CO"/>
        </w:rPr>
        <w:t>Con respecto al componente sectorial, las instituciones educativas del Municipio se organizan en 62 establecimientos educativos y 170 sedes. Para las vigencias 2019 - 2021 en el Municipio la matrícula y la focalización se distribuye en los siguientes establecimientos educativos como se muestra en a continuación:</w:t>
      </w:r>
    </w:p>
    <w:p w14:paraId="6E3921B0" w14:textId="77777777" w:rsidR="00A20990" w:rsidRPr="001A38D5" w:rsidRDefault="00A20990" w:rsidP="005140E1">
      <w:pPr>
        <w:contextualSpacing/>
        <w:jc w:val="both"/>
        <w:rPr>
          <w:rFonts w:cs="Arial"/>
          <w:lang w:val="es-CO"/>
        </w:rPr>
      </w:pPr>
    </w:p>
    <w:p w14:paraId="20CE6024"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1</w:t>
      </w:r>
      <w:r w:rsidRPr="007A412F">
        <w:rPr>
          <w:rFonts w:ascii="Verdana" w:hAnsi="Verdana"/>
          <w:color w:val="auto"/>
          <w:sz w:val="20"/>
          <w:szCs w:val="20"/>
        </w:rPr>
        <w:fldChar w:fldCharType="end"/>
      </w:r>
      <w:r w:rsidRPr="007A412F">
        <w:rPr>
          <w:rFonts w:ascii="Verdana" w:hAnsi="Verdana"/>
          <w:color w:val="auto"/>
          <w:sz w:val="20"/>
          <w:szCs w:val="20"/>
        </w:rPr>
        <w:t xml:space="preserve"> Matrícula reportada y focalización SIMAT del Municipio de Villavicencio - Meta</w:t>
      </w:r>
    </w:p>
    <w:tbl>
      <w:tblPr>
        <w:tblW w:w="6101" w:type="pct"/>
        <w:tblInd w:w="-856" w:type="dxa"/>
        <w:tblLayout w:type="fixed"/>
        <w:tblCellMar>
          <w:left w:w="70" w:type="dxa"/>
          <w:right w:w="70" w:type="dxa"/>
        </w:tblCellMar>
        <w:tblLook w:val="04A0" w:firstRow="1" w:lastRow="0" w:firstColumn="1" w:lastColumn="0" w:noHBand="0" w:noVBand="1"/>
      </w:tblPr>
      <w:tblGrid>
        <w:gridCol w:w="3925"/>
        <w:gridCol w:w="757"/>
        <w:gridCol w:w="1052"/>
        <w:gridCol w:w="1208"/>
        <w:gridCol w:w="1055"/>
        <w:gridCol w:w="1208"/>
        <w:gridCol w:w="1006"/>
        <w:gridCol w:w="1252"/>
      </w:tblGrid>
      <w:tr w:rsidR="00EE1B4D" w:rsidRPr="001A38D5" w14:paraId="00F25F54" w14:textId="77777777" w:rsidTr="00EE1B4D">
        <w:trPr>
          <w:trHeight w:val="20"/>
          <w:tblHeader/>
        </w:trPr>
        <w:tc>
          <w:tcPr>
            <w:tcW w:w="171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84AFAA7"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INSTITUCIÓN EDUCATIVA</w:t>
            </w:r>
          </w:p>
        </w:tc>
        <w:tc>
          <w:tcPr>
            <w:tcW w:w="330" w:type="pct"/>
            <w:tcBorders>
              <w:top w:val="single" w:sz="4" w:space="0" w:color="auto"/>
              <w:left w:val="nil"/>
              <w:bottom w:val="single" w:sz="4" w:space="0" w:color="auto"/>
              <w:right w:val="single" w:sz="4" w:space="0" w:color="auto"/>
            </w:tcBorders>
            <w:shd w:val="clear" w:color="auto" w:fill="FFC000"/>
            <w:vAlign w:val="center"/>
            <w:hideMark/>
          </w:tcPr>
          <w:p w14:paraId="5F7EADA3"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 xml:space="preserve">SEDES </w:t>
            </w:r>
          </w:p>
          <w:p w14:paraId="19D81F4F"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2021</w:t>
            </w:r>
          </w:p>
        </w:tc>
        <w:tc>
          <w:tcPr>
            <w:tcW w:w="459" w:type="pct"/>
            <w:tcBorders>
              <w:top w:val="single" w:sz="4" w:space="0" w:color="auto"/>
              <w:left w:val="nil"/>
              <w:bottom w:val="single" w:sz="4" w:space="0" w:color="auto"/>
              <w:right w:val="single" w:sz="4" w:space="0" w:color="auto"/>
            </w:tcBorders>
            <w:shd w:val="clear" w:color="auto" w:fill="FFC000"/>
            <w:vAlign w:val="center"/>
            <w:hideMark/>
          </w:tcPr>
          <w:p w14:paraId="1335CC0E"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MATRÍCULA REPORTADA 2019</w:t>
            </w:r>
          </w:p>
        </w:tc>
        <w:tc>
          <w:tcPr>
            <w:tcW w:w="527" w:type="pct"/>
            <w:tcBorders>
              <w:top w:val="single" w:sz="4" w:space="0" w:color="auto"/>
              <w:left w:val="nil"/>
              <w:bottom w:val="single" w:sz="4" w:space="0" w:color="auto"/>
              <w:right w:val="single" w:sz="4" w:space="0" w:color="auto"/>
            </w:tcBorders>
            <w:shd w:val="clear" w:color="auto" w:fill="FFC000"/>
            <w:vAlign w:val="center"/>
            <w:hideMark/>
          </w:tcPr>
          <w:p w14:paraId="11E1EAF6"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ESTUDIANTES FOCALIZADOS 2019</w:t>
            </w:r>
          </w:p>
        </w:tc>
        <w:tc>
          <w:tcPr>
            <w:tcW w:w="460" w:type="pct"/>
            <w:tcBorders>
              <w:top w:val="single" w:sz="4" w:space="0" w:color="auto"/>
              <w:left w:val="nil"/>
              <w:bottom w:val="single" w:sz="4" w:space="0" w:color="auto"/>
              <w:right w:val="single" w:sz="4" w:space="0" w:color="auto"/>
            </w:tcBorders>
            <w:shd w:val="clear" w:color="auto" w:fill="FFC000"/>
            <w:vAlign w:val="center"/>
            <w:hideMark/>
          </w:tcPr>
          <w:p w14:paraId="22FFA9D9"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MATRÍCULA REPORTADA 2020</w:t>
            </w:r>
          </w:p>
        </w:tc>
        <w:tc>
          <w:tcPr>
            <w:tcW w:w="527" w:type="pct"/>
            <w:tcBorders>
              <w:top w:val="single" w:sz="4" w:space="0" w:color="auto"/>
              <w:left w:val="nil"/>
              <w:bottom w:val="single" w:sz="4" w:space="0" w:color="auto"/>
              <w:right w:val="single" w:sz="4" w:space="0" w:color="auto"/>
            </w:tcBorders>
            <w:shd w:val="clear" w:color="auto" w:fill="FFC000"/>
            <w:vAlign w:val="center"/>
            <w:hideMark/>
          </w:tcPr>
          <w:p w14:paraId="4523B270"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ESTUDIANTES FOCALIZADOS 2020</w:t>
            </w:r>
          </w:p>
        </w:tc>
        <w:tc>
          <w:tcPr>
            <w:tcW w:w="439" w:type="pct"/>
            <w:tcBorders>
              <w:top w:val="single" w:sz="4" w:space="0" w:color="auto"/>
              <w:left w:val="nil"/>
              <w:bottom w:val="single" w:sz="4" w:space="0" w:color="auto"/>
              <w:right w:val="single" w:sz="4" w:space="0" w:color="auto"/>
            </w:tcBorders>
            <w:shd w:val="clear" w:color="auto" w:fill="FFC000"/>
            <w:vAlign w:val="center"/>
            <w:hideMark/>
          </w:tcPr>
          <w:p w14:paraId="05814CE8"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MATRÍCULA REPORTADA 2021</w:t>
            </w:r>
          </w:p>
        </w:tc>
        <w:tc>
          <w:tcPr>
            <w:tcW w:w="547" w:type="pct"/>
            <w:tcBorders>
              <w:top w:val="single" w:sz="4" w:space="0" w:color="auto"/>
              <w:left w:val="nil"/>
              <w:bottom w:val="single" w:sz="4" w:space="0" w:color="auto"/>
              <w:right w:val="single" w:sz="4" w:space="0" w:color="auto"/>
            </w:tcBorders>
            <w:shd w:val="clear" w:color="auto" w:fill="FFC000"/>
            <w:vAlign w:val="center"/>
            <w:hideMark/>
          </w:tcPr>
          <w:p w14:paraId="4C700811"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ESTUDIANTES FOCALIZADOS 2021</w:t>
            </w:r>
          </w:p>
        </w:tc>
      </w:tr>
      <w:tr w:rsidR="00EE1B4D" w:rsidRPr="001A38D5" w14:paraId="682EE2AB"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6D3FC340"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INSTITUCIÓN EDUCATIVA JUAN PABLO II</w:t>
            </w:r>
          </w:p>
        </w:tc>
        <w:tc>
          <w:tcPr>
            <w:tcW w:w="330" w:type="pct"/>
            <w:tcBorders>
              <w:top w:val="nil"/>
              <w:left w:val="nil"/>
              <w:bottom w:val="single" w:sz="4" w:space="0" w:color="auto"/>
              <w:right w:val="single" w:sz="4" w:space="0" w:color="auto"/>
            </w:tcBorders>
            <w:shd w:val="clear" w:color="auto" w:fill="auto"/>
            <w:vAlign w:val="bottom"/>
            <w:hideMark/>
          </w:tcPr>
          <w:p w14:paraId="42324EC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4</w:t>
            </w:r>
          </w:p>
        </w:tc>
        <w:tc>
          <w:tcPr>
            <w:tcW w:w="459" w:type="pct"/>
            <w:tcBorders>
              <w:top w:val="nil"/>
              <w:left w:val="nil"/>
              <w:bottom w:val="single" w:sz="4" w:space="0" w:color="auto"/>
              <w:right w:val="single" w:sz="4" w:space="0" w:color="auto"/>
            </w:tcBorders>
            <w:shd w:val="clear" w:color="auto" w:fill="auto"/>
            <w:vAlign w:val="bottom"/>
            <w:hideMark/>
          </w:tcPr>
          <w:p w14:paraId="1F044C0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2.079 </w:t>
            </w:r>
          </w:p>
        </w:tc>
        <w:tc>
          <w:tcPr>
            <w:tcW w:w="527" w:type="pct"/>
            <w:tcBorders>
              <w:top w:val="nil"/>
              <w:left w:val="nil"/>
              <w:bottom w:val="single" w:sz="4" w:space="0" w:color="auto"/>
              <w:right w:val="single" w:sz="4" w:space="0" w:color="auto"/>
            </w:tcBorders>
            <w:shd w:val="clear" w:color="auto" w:fill="auto"/>
            <w:vAlign w:val="bottom"/>
            <w:hideMark/>
          </w:tcPr>
          <w:p w14:paraId="02E69E4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497 </w:t>
            </w:r>
          </w:p>
        </w:tc>
        <w:tc>
          <w:tcPr>
            <w:tcW w:w="460" w:type="pct"/>
            <w:tcBorders>
              <w:top w:val="nil"/>
              <w:left w:val="nil"/>
              <w:bottom w:val="single" w:sz="4" w:space="0" w:color="auto"/>
              <w:right w:val="single" w:sz="4" w:space="0" w:color="auto"/>
            </w:tcBorders>
            <w:shd w:val="clear" w:color="auto" w:fill="auto"/>
            <w:vAlign w:val="bottom"/>
            <w:hideMark/>
          </w:tcPr>
          <w:p w14:paraId="6453314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2.053 </w:t>
            </w:r>
          </w:p>
        </w:tc>
        <w:tc>
          <w:tcPr>
            <w:tcW w:w="527" w:type="pct"/>
            <w:tcBorders>
              <w:top w:val="nil"/>
              <w:left w:val="nil"/>
              <w:bottom w:val="single" w:sz="4" w:space="0" w:color="auto"/>
              <w:right w:val="single" w:sz="4" w:space="0" w:color="auto"/>
            </w:tcBorders>
            <w:shd w:val="clear" w:color="auto" w:fill="auto"/>
            <w:vAlign w:val="bottom"/>
            <w:hideMark/>
          </w:tcPr>
          <w:p w14:paraId="6695898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430 </w:t>
            </w:r>
          </w:p>
        </w:tc>
        <w:tc>
          <w:tcPr>
            <w:tcW w:w="439" w:type="pct"/>
            <w:tcBorders>
              <w:top w:val="nil"/>
              <w:left w:val="nil"/>
              <w:bottom w:val="single" w:sz="4" w:space="0" w:color="auto"/>
              <w:right w:val="single" w:sz="4" w:space="0" w:color="auto"/>
            </w:tcBorders>
            <w:shd w:val="clear" w:color="auto" w:fill="auto"/>
            <w:vAlign w:val="bottom"/>
            <w:hideMark/>
          </w:tcPr>
          <w:p w14:paraId="11CA7EC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2.038 </w:t>
            </w:r>
          </w:p>
        </w:tc>
        <w:tc>
          <w:tcPr>
            <w:tcW w:w="547" w:type="pct"/>
            <w:tcBorders>
              <w:top w:val="nil"/>
              <w:left w:val="nil"/>
              <w:bottom w:val="single" w:sz="4" w:space="0" w:color="auto"/>
              <w:right w:val="single" w:sz="4" w:space="0" w:color="auto"/>
            </w:tcBorders>
            <w:shd w:val="clear" w:color="auto" w:fill="auto"/>
            <w:vAlign w:val="bottom"/>
            <w:hideMark/>
          </w:tcPr>
          <w:p w14:paraId="206F482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762 </w:t>
            </w:r>
          </w:p>
        </w:tc>
      </w:tr>
      <w:tr w:rsidR="00EE1B4D" w:rsidRPr="001A38D5" w14:paraId="5BD39F93"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69BA9B4D"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COLEGIO FRANCISCO ARANGO</w:t>
            </w:r>
          </w:p>
        </w:tc>
        <w:tc>
          <w:tcPr>
            <w:tcW w:w="330" w:type="pct"/>
            <w:tcBorders>
              <w:top w:val="nil"/>
              <w:left w:val="nil"/>
              <w:bottom w:val="single" w:sz="4" w:space="0" w:color="auto"/>
              <w:right w:val="single" w:sz="4" w:space="0" w:color="auto"/>
            </w:tcBorders>
            <w:shd w:val="clear" w:color="auto" w:fill="auto"/>
            <w:vAlign w:val="bottom"/>
            <w:hideMark/>
          </w:tcPr>
          <w:p w14:paraId="36E4C95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4</w:t>
            </w:r>
          </w:p>
        </w:tc>
        <w:tc>
          <w:tcPr>
            <w:tcW w:w="459" w:type="pct"/>
            <w:tcBorders>
              <w:top w:val="nil"/>
              <w:left w:val="nil"/>
              <w:bottom w:val="single" w:sz="4" w:space="0" w:color="auto"/>
              <w:right w:val="single" w:sz="4" w:space="0" w:color="auto"/>
            </w:tcBorders>
            <w:shd w:val="clear" w:color="auto" w:fill="auto"/>
            <w:vAlign w:val="bottom"/>
            <w:hideMark/>
          </w:tcPr>
          <w:p w14:paraId="020DE05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1.211 </w:t>
            </w:r>
          </w:p>
        </w:tc>
        <w:tc>
          <w:tcPr>
            <w:tcW w:w="527" w:type="pct"/>
            <w:tcBorders>
              <w:top w:val="nil"/>
              <w:left w:val="nil"/>
              <w:bottom w:val="single" w:sz="4" w:space="0" w:color="auto"/>
              <w:right w:val="single" w:sz="4" w:space="0" w:color="auto"/>
            </w:tcBorders>
            <w:shd w:val="clear" w:color="auto" w:fill="auto"/>
            <w:vAlign w:val="bottom"/>
            <w:hideMark/>
          </w:tcPr>
          <w:p w14:paraId="6963034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511 </w:t>
            </w:r>
          </w:p>
        </w:tc>
        <w:tc>
          <w:tcPr>
            <w:tcW w:w="460" w:type="pct"/>
            <w:tcBorders>
              <w:top w:val="nil"/>
              <w:left w:val="nil"/>
              <w:bottom w:val="single" w:sz="4" w:space="0" w:color="auto"/>
              <w:right w:val="single" w:sz="4" w:space="0" w:color="auto"/>
            </w:tcBorders>
            <w:shd w:val="clear" w:color="auto" w:fill="auto"/>
            <w:vAlign w:val="bottom"/>
            <w:hideMark/>
          </w:tcPr>
          <w:p w14:paraId="168186B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1.147 </w:t>
            </w:r>
          </w:p>
        </w:tc>
        <w:tc>
          <w:tcPr>
            <w:tcW w:w="527" w:type="pct"/>
            <w:tcBorders>
              <w:top w:val="nil"/>
              <w:left w:val="nil"/>
              <w:bottom w:val="single" w:sz="4" w:space="0" w:color="auto"/>
              <w:right w:val="single" w:sz="4" w:space="0" w:color="auto"/>
            </w:tcBorders>
            <w:shd w:val="clear" w:color="auto" w:fill="auto"/>
            <w:vAlign w:val="bottom"/>
            <w:hideMark/>
          </w:tcPr>
          <w:p w14:paraId="02194B9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577 </w:t>
            </w:r>
          </w:p>
        </w:tc>
        <w:tc>
          <w:tcPr>
            <w:tcW w:w="439" w:type="pct"/>
            <w:tcBorders>
              <w:top w:val="nil"/>
              <w:left w:val="nil"/>
              <w:bottom w:val="single" w:sz="4" w:space="0" w:color="auto"/>
              <w:right w:val="single" w:sz="4" w:space="0" w:color="auto"/>
            </w:tcBorders>
            <w:shd w:val="clear" w:color="auto" w:fill="auto"/>
            <w:vAlign w:val="bottom"/>
            <w:hideMark/>
          </w:tcPr>
          <w:p w14:paraId="1F7562B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1.039 </w:t>
            </w:r>
          </w:p>
        </w:tc>
        <w:tc>
          <w:tcPr>
            <w:tcW w:w="547" w:type="pct"/>
            <w:tcBorders>
              <w:top w:val="nil"/>
              <w:left w:val="nil"/>
              <w:bottom w:val="single" w:sz="4" w:space="0" w:color="auto"/>
              <w:right w:val="single" w:sz="4" w:space="0" w:color="auto"/>
            </w:tcBorders>
            <w:shd w:val="clear" w:color="auto" w:fill="auto"/>
            <w:vAlign w:val="bottom"/>
            <w:hideMark/>
          </w:tcPr>
          <w:p w14:paraId="7558697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810 </w:t>
            </w:r>
          </w:p>
        </w:tc>
      </w:tr>
      <w:tr w:rsidR="00EE1B4D" w:rsidRPr="001A38D5" w14:paraId="69D722AE"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609DA909"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COLEGIO DEPARTAMENTAL LUIS CARLOS GALAN SARMIENTO</w:t>
            </w:r>
          </w:p>
        </w:tc>
        <w:tc>
          <w:tcPr>
            <w:tcW w:w="330" w:type="pct"/>
            <w:tcBorders>
              <w:top w:val="nil"/>
              <w:left w:val="nil"/>
              <w:bottom w:val="single" w:sz="4" w:space="0" w:color="auto"/>
              <w:right w:val="single" w:sz="4" w:space="0" w:color="auto"/>
            </w:tcBorders>
            <w:shd w:val="clear" w:color="auto" w:fill="auto"/>
            <w:vAlign w:val="bottom"/>
            <w:hideMark/>
          </w:tcPr>
          <w:p w14:paraId="1B6AA7E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65B8C08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3.120 </w:t>
            </w:r>
          </w:p>
        </w:tc>
        <w:tc>
          <w:tcPr>
            <w:tcW w:w="527" w:type="pct"/>
            <w:tcBorders>
              <w:top w:val="nil"/>
              <w:left w:val="nil"/>
              <w:bottom w:val="single" w:sz="4" w:space="0" w:color="auto"/>
              <w:right w:val="single" w:sz="4" w:space="0" w:color="auto"/>
            </w:tcBorders>
            <w:shd w:val="clear" w:color="auto" w:fill="auto"/>
            <w:vAlign w:val="bottom"/>
            <w:hideMark/>
          </w:tcPr>
          <w:p w14:paraId="7BBFEDC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1.275 </w:t>
            </w:r>
          </w:p>
        </w:tc>
        <w:tc>
          <w:tcPr>
            <w:tcW w:w="460" w:type="pct"/>
            <w:tcBorders>
              <w:top w:val="nil"/>
              <w:left w:val="nil"/>
              <w:bottom w:val="single" w:sz="4" w:space="0" w:color="auto"/>
              <w:right w:val="single" w:sz="4" w:space="0" w:color="auto"/>
            </w:tcBorders>
            <w:shd w:val="clear" w:color="auto" w:fill="auto"/>
            <w:vAlign w:val="bottom"/>
            <w:hideMark/>
          </w:tcPr>
          <w:p w14:paraId="0D122EE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3.107 </w:t>
            </w:r>
          </w:p>
        </w:tc>
        <w:tc>
          <w:tcPr>
            <w:tcW w:w="527" w:type="pct"/>
            <w:tcBorders>
              <w:top w:val="nil"/>
              <w:left w:val="nil"/>
              <w:bottom w:val="single" w:sz="4" w:space="0" w:color="auto"/>
              <w:right w:val="single" w:sz="4" w:space="0" w:color="auto"/>
            </w:tcBorders>
            <w:shd w:val="clear" w:color="auto" w:fill="auto"/>
            <w:vAlign w:val="bottom"/>
            <w:hideMark/>
          </w:tcPr>
          <w:p w14:paraId="0D9F447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1.326 </w:t>
            </w:r>
          </w:p>
        </w:tc>
        <w:tc>
          <w:tcPr>
            <w:tcW w:w="439" w:type="pct"/>
            <w:tcBorders>
              <w:top w:val="nil"/>
              <w:left w:val="nil"/>
              <w:bottom w:val="single" w:sz="4" w:space="0" w:color="auto"/>
              <w:right w:val="single" w:sz="4" w:space="0" w:color="auto"/>
            </w:tcBorders>
            <w:shd w:val="clear" w:color="auto" w:fill="auto"/>
            <w:vAlign w:val="bottom"/>
            <w:hideMark/>
          </w:tcPr>
          <w:p w14:paraId="32135C0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2.956 </w:t>
            </w:r>
          </w:p>
        </w:tc>
        <w:tc>
          <w:tcPr>
            <w:tcW w:w="547" w:type="pct"/>
            <w:tcBorders>
              <w:top w:val="nil"/>
              <w:left w:val="nil"/>
              <w:bottom w:val="single" w:sz="4" w:space="0" w:color="auto"/>
              <w:right w:val="single" w:sz="4" w:space="0" w:color="auto"/>
            </w:tcBorders>
            <w:shd w:val="clear" w:color="auto" w:fill="auto"/>
            <w:vAlign w:val="bottom"/>
            <w:hideMark/>
          </w:tcPr>
          <w:p w14:paraId="2BBF6D7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2.444 </w:t>
            </w:r>
          </w:p>
        </w:tc>
      </w:tr>
      <w:tr w:rsidR="00EE1B4D" w:rsidRPr="001A38D5" w14:paraId="6B5374BF"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7D5A4CBE"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COLEGIO DEPARTAMENTAL CATUMARE</w:t>
            </w:r>
          </w:p>
        </w:tc>
        <w:tc>
          <w:tcPr>
            <w:tcW w:w="330" w:type="pct"/>
            <w:tcBorders>
              <w:top w:val="nil"/>
              <w:left w:val="nil"/>
              <w:bottom w:val="single" w:sz="4" w:space="0" w:color="auto"/>
              <w:right w:val="single" w:sz="4" w:space="0" w:color="auto"/>
            </w:tcBorders>
            <w:shd w:val="clear" w:color="auto" w:fill="auto"/>
            <w:vAlign w:val="bottom"/>
            <w:hideMark/>
          </w:tcPr>
          <w:p w14:paraId="0C3F059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5</w:t>
            </w:r>
          </w:p>
        </w:tc>
        <w:tc>
          <w:tcPr>
            <w:tcW w:w="459" w:type="pct"/>
            <w:tcBorders>
              <w:top w:val="nil"/>
              <w:left w:val="nil"/>
              <w:bottom w:val="single" w:sz="4" w:space="0" w:color="auto"/>
              <w:right w:val="single" w:sz="4" w:space="0" w:color="auto"/>
            </w:tcBorders>
            <w:shd w:val="clear" w:color="auto" w:fill="auto"/>
            <w:vAlign w:val="bottom"/>
            <w:hideMark/>
          </w:tcPr>
          <w:p w14:paraId="68C55EE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3.283 </w:t>
            </w:r>
          </w:p>
        </w:tc>
        <w:tc>
          <w:tcPr>
            <w:tcW w:w="527" w:type="pct"/>
            <w:tcBorders>
              <w:top w:val="nil"/>
              <w:left w:val="nil"/>
              <w:bottom w:val="single" w:sz="4" w:space="0" w:color="auto"/>
              <w:right w:val="single" w:sz="4" w:space="0" w:color="auto"/>
            </w:tcBorders>
            <w:shd w:val="clear" w:color="auto" w:fill="auto"/>
            <w:vAlign w:val="bottom"/>
            <w:hideMark/>
          </w:tcPr>
          <w:p w14:paraId="76D7560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1.432 </w:t>
            </w:r>
          </w:p>
        </w:tc>
        <w:tc>
          <w:tcPr>
            <w:tcW w:w="460" w:type="pct"/>
            <w:tcBorders>
              <w:top w:val="nil"/>
              <w:left w:val="nil"/>
              <w:bottom w:val="single" w:sz="4" w:space="0" w:color="auto"/>
              <w:right w:val="single" w:sz="4" w:space="0" w:color="auto"/>
            </w:tcBorders>
            <w:shd w:val="clear" w:color="auto" w:fill="auto"/>
            <w:vAlign w:val="bottom"/>
            <w:hideMark/>
          </w:tcPr>
          <w:p w14:paraId="3E0B4F2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3.217 </w:t>
            </w:r>
          </w:p>
        </w:tc>
        <w:tc>
          <w:tcPr>
            <w:tcW w:w="527" w:type="pct"/>
            <w:tcBorders>
              <w:top w:val="nil"/>
              <w:left w:val="nil"/>
              <w:bottom w:val="single" w:sz="4" w:space="0" w:color="auto"/>
              <w:right w:val="single" w:sz="4" w:space="0" w:color="auto"/>
            </w:tcBorders>
            <w:shd w:val="clear" w:color="auto" w:fill="auto"/>
            <w:vAlign w:val="bottom"/>
            <w:hideMark/>
          </w:tcPr>
          <w:p w14:paraId="52E7C56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1.556 </w:t>
            </w:r>
          </w:p>
        </w:tc>
        <w:tc>
          <w:tcPr>
            <w:tcW w:w="439" w:type="pct"/>
            <w:tcBorders>
              <w:top w:val="nil"/>
              <w:left w:val="nil"/>
              <w:bottom w:val="single" w:sz="4" w:space="0" w:color="auto"/>
              <w:right w:val="single" w:sz="4" w:space="0" w:color="auto"/>
            </w:tcBorders>
            <w:shd w:val="clear" w:color="auto" w:fill="auto"/>
            <w:vAlign w:val="bottom"/>
            <w:hideMark/>
          </w:tcPr>
          <w:p w14:paraId="208D22D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3.086 </w:t>
            </w:r>
          </w:p>
        </w:tc>
        <w:tc>
          <w:tcPr>
            <w:tcW w:w="547" w:type="pct"/>
            <w:tcBorders>
              <w:top w:val="nil"/>
              <w:left w:val="nil"/>
              <w:bottom w:val="single" w:sz="4" w:space="0" w:color="auto"/>
              <w:right w:val="single" w:sz="4" w:space="0" w:color="auto"/>
            </w:tcBorders>
            <w:shd w:val="clear" w:color="auto" w:fill="auto"/>
            <w:vAlign w:val="bottom"/>
            <w:hideMark/>
          </w:tcPr>
          <w:p w14:paraId="617F4A5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2.336 </w:t>
            </w:r>
          </w:p>
        </w:tc>
      </w:tr>
      <w:tr w:rsidR="00EE1B4D" w:rsidRPr="001A38D5" w14:paraId="31189E67"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7BB2A35E"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COLEGIO RODOLFO LLINÁS</w:t>
            </w:r>
          </w:p>
        </w:tc>
        <w:tc>
          <w:tcPr>
            <w:tcW w:w="330" w:type="pct"/>
            <w:tcBorders>
              <w:top w:val="nil"/>
              <w:left w:val="nil"/>
              <w:bottom w:val="single" w:sz="4" w:space="0" w:color="auto"/>
              <w:right w:val="single" w:sz="4" w:space="0" w:color="auto"/>
            </w:tcBorders>
            <w:shd w:val="clear" w:color="auto" w:fill="auto"/>
            <w:vAlign w:val="bottom"/>
            <w:hideMark/>
          </w:tcPr>
          <w:p w14:paraId="0F32413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15FC9C6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1.422 </w:t>
            </w:r>
          </w:p>
        </w:tc>
        <w:tc>
          <w:tcPr>
            <w:tcW w:w="527" w:type="pct"/>
            <w:tcBorders>
              <w:top w:val="nil"/>
              <w:left w:val="nil"/>
              <w:bottom w:val="single" w:sz="4" w:space="0" w:color="auto"/>
              <w:right w:val="single" w:sz="4" w:space="0" w:color="auto"/>
            </w:tcBorders>
            <w:shd w:val="clear" w:color="auto" w:fill="auto"/>
            <w:vAlign w:val="bottom"/>
            <w:hideMark/>
          </w:tcPr>
          <w:p w14:paraId="1708982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1.359 </w:t>
            </w:r>
          </w:p>
        </w:tc>
        <w:tc>
          <w:tcPr>
            <w:tcW w:w="460" w:type="pct"/>
            <w:tcBorders>
              <w:top w:val="nil"/>
              <w:left w:val="nil"/>
              <w:bottom w:val="single" w:sz="4" w:space="0" w:color="auto"/>
              <w:right w:val="single" w:sz="4" w:space="0" w:color="auto"/>
            </w:tcBorders>
            <w:shd w:val="clear" w:color="auto" w:fill="auto"/>
            <w:vAlign w:val="bottom"/>
            <w:hideMark/>
          </w:tcPr>
          <w:p w14:paraId="3FC0B76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1.479 </w:t>
            </w:r>
          </w:p>
        </w:tc>
        <w:tc>
          <w:tcPr>
            <w:tcW w:w="527" w:type="pct"/>
            <w:tcBorders>
              <w:top w:val="nil"/>
              <w:left w:val="nil"/>
              <w:bottom w:val="single" w:sz="4" w:space="0" w:color="auto"/>
              <w:right w:val="single" w:sz="4" w:space="0" w:color="auto"/>
            </w:tcBorders>
            <w:shd w:val="clear" w:color="auto" w:fill="auto"/>
            <w:vAlign w:val="bottom"/>
            <w:hideMark/>
          </w:tcPr>
          <w:p w14:paraId="5F48B19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1.400 </w:t>
            </w:r>
          </w:p>
        </w:tc>
        <w:tc>
          <w:tcPr>
            <w:tcW w:w="439" w:type="pct"/>
            <w:tcBorders>
              <w:top w:val="nil"/>
              <w:left w:val="nil"/>
              <w:bottom w:val="single" w:sz="4" w:space="0" w:color="auto"/>
              <w:right w:val="single" w:sz="4" w:space="0" w:color="auto"/>
            </w:tcBorders>
            <w:shd w:val="clear" w:color="auto" w:fill="auto"/>
            <w:vAlign w:val="bottom"/>
            <w:hideMark/>
          </w:tcPr>
          <w:p w14:paraId="02D229D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1.482 </w:t>
            </w:r>
          </w:p>
        </w:tc>
        <w:tc>
          <w:tcPr>
            <w:tcW w:w="547" w:type="pct"/>
            <w:tcBorders>
              <w:top w:val="nil"/>
              <w:left w:val="nil"/>
              <w:bottom w:val="single" w:sz="4" w:space="0" w:color="auto"/>
              <w:right w:val="single" w:sz="4" w:space="0" w:color="auto"/>
            </w:tcBorders>
            <w:shd w:val="clear" w:color="auto" w:fill="auto"/>
            <w:vAlign w:val="bottom"/>
            <w:hideMark/>
          </w:tcPr>
          <w:p w14:paraId="539C5FE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1.480 </w:t>
            </w:r>
          </w:p>
        </w:tc>
      </w:tr>
      <w:tr w:rsidR="00EE1B4D" w:rsidRPr="001A38D5" w14:paraId="101CF7A3"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1881B2B5"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UNIDAD EDUCATIVA ARNULFO BRICEÑO CONTRERAS</w:t>
            </w:r>
          </w:p>
        </w:tc>
        <w:tc>
          <w:tcPr>
            <w:tcW w:w="330" w:type="pct"/>
            <w:tcBorders>
              <w:top w:val="nil"/>
              <w:left w:val="nil"/>
              <w:bottom w:val="single" w:sz="4" w:space="0" w:color="auto"/>
              <w:right w:val="single" w:sz="4" w:space="0" w:color="auto"/>
            </w:tcBorders>
            <w:shd w:val="clear" w:color="auto" w:fill="auto"/>
            <w:vAlign w:val="bottom"/>
            <w:hideMark/>
          </w:tcPr>
          <w:p w14:paraId="42B182B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4</w:t>
            </w:r>
          </w:p>
        </w:tc>
        <w:tc>
          <w:tcPr>
            <w:tcW w:w="459" w:type="pct"/>
            <w:tcBorders>
              <w:top w:val="nil"/>
              <w:left w:val="nil"/>
              <w:bottom w:val="single" w:sz="4" w:space="0" w:color="auto"/>
              <w:right w:val="single" w:sz="4" w:space="0" w:color="auto"/>
            </w:tcBorders>
            <w:shd w:val="clear" w:color="auto" w:fill="auto"/>
            <w:vAlign w:val="bottom"/>
            <w:hideMark/>
          </w:tcPr>
          <w:p w14:paraId="2EEFE8A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1.989 </w:t>
            </w:r>
          </w:p>
        </w:tc>
        <w:tc>
          <w:tcPr>
            <w:tcW w:w="527" w:type="pct"/>
            <w:tcBorders>
              <w:top w:val="nil"/>
              <w:left w:val="nil"/>
              <w:bottom w:val="single" w:sz="4" w:space="0" w:color="auto"/>
              <w:right w:val="single" w:sz="4" w:space="0" w:color="auto"/>
            </w:tcBorders>
            <w:shd w:val="clear" w:color="auto" w:fill="auto"/>
            <w:vAlign w:val="bottom"/>
            <w:hideMark/>
          </w:tcPr>
          <w:p w14:paraId="44BDA13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251 </w:t>
            </w:r>
          </w:p>
        </w:tc>
        <w:tc>
          <w:tcPr>
            <w:tcW w:w="460" w:type="pct"/>
            <w:tcBorders>
              <w:top w:val="nil"/>
              <w:left w:val="nil"/>
              <w:bottom w:val="single" w:sz="4" w:space="0" w:color="auto"/>
              <w:right w:val="single" w:sz="4" w:space="0" w:color="auto"/>
            </w:tcBorders>
            <w:shd w:val="clear" w:color="auto" w:fill="auto"/>
            <w:vAlign w:val="bottom"/>
            <w:hideMark/>
          </w:tcPr>
          <w:p w14:paraId="39DEA48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1.993 </w:t>
            </w:r>
          </w:p>
        </w:tc>
        <w:tc>
          <w:tcPr>
            <w:tcW w:w="527" w:type="pct"/>
            <w:tcBorders>
              <w:top w:val="nil"/>
              <w:left w:val="nil"/>
              <w:bottom w:val="single" w:sz="4" w:space="0" w:color="auto"/>
              <w:right w:val="single" w:sz="4" w:space="0" w:color="auto"/>
            </w:tcBorders>
            <w:shd w:val="clear" w:color="auto" w:fill="auto"/>
            <w:vAlign w:val="bottom"/>
            <w:hideMark/>
          </w:tcPr>
          <w:p w14:paraId="2D5BB2C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697 </w:t>
            </w:r>
          </w:p>
        </w:tc>
        <w:tc>
          <w:tcPr>
            <w:tcW w:w="439" w:type="pct"/>
            <w:tcBorders>
              <w:top w:val="nil"/>
              <w:left w:val="nil"/>
              <w:bottom w:val="single" w:sz="4" w:space="0" w:color="auto"/>
              <w:right w:val="single" w:sz="4" w:space="0" w:color="auto"/>
            </w:tcBorders>
            <w:shd w:val="clear" w:color="auto" w:fill="auto"/>
            <w:vAlign w:val="bottom"/>
            <w:hideMark/>
          </w:tcPr>
          <w:p w14:paraId="31E74CC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1.877 </w:t>
            </w:r>
          </w:p>
        </w:tc>
        <w:tc>
          <w:tcPr>
            <w:tcW w:w="547" w:type="pct"/>
            <w:tcBorders>
              <w:top w:val="nil"/>
              <w:left w:val="nil"/>
              <w:bottom w:val="single" w:sz="4" w:space="0" w:color="auto"/>
              <w:right w:val="single" w:sz="4" w:space="0" w:color="auto"/>
            </w:tcBorders>
            <w:shd w:val="clear" w:color="auto" w:fill="auto"/>
            <w:vAlign w:val="bottom"/>
            <w:hideMark/>
          </w:tcPr>
          <w:p w14:paraId="1179FE4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1.513 </w:t>
            </w:r>
          </w:p>
        </w:tc>
      </w:tr>
      <w:tr w:rsidR="00EE1B4D" w:rsidRPr="001A38D5" w14:paraId="09A473B8"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254D5C5"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UNIDAD EDUCATIVA FELICIDAD BARRIOS HERNANDEZ</w:t>
            </w:r>
          </w:p>
        </w:tc>
        <w:tc>
          <w:tcPr>
            <w:tcW w:w="330" w:type="pct"/>
            <w:tcBorders>
              <w:top w:val="nil"/>
              <w:left w:val="nil"/>
              <w:bottom w:val="single" w:sz="4" w:space="0" w:color="auto"/>
              <w:right w:val="single" w:sz="4" w:space="0" w:color="auto"/>
            </w:tcBorders>
            <w:shd w:val="clear" w:color="auto" w:fill="auto"/>
            <w:vAlign w:val="bottom"/>
            <w:hideMark/>
          </w:tcPr>
          <w:p w14:paraId="4B99D13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66FB0A7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273 </w:t>
            </w:r>
          </w:p>
        </w:tc>
        <w:tc>
          <w:tcPr>
            <w:tcW w:w="527" w:type="pct"/>
            <w:tcBorders>
              <w:top w:val="nil"/>
              <w:left w:val="nil"/>
              <w:bottom w:val="single" w:sz="4" w:space="0" w:color="auto"/>
              <w:right w:val="single" w:sz="4" w:space="0" w:color="auto"/>
            </w:tcBorders>
            <w:shd w:val="clear" w:color="auto" w:fill="auto"/>
            <w:vAlign w:val="bottom"/>
            <w:hideMark/>
          </w:tcPr>
          <w:p w14:paraId="47CE0E0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255 </w:t>
            </w:r>
          </w:p>
        </w:tc>
        <w:tc>
          <w:tcPr>
            <w:tcW w:w="460" w:type="pct"/>
            <w:tcBorders>
              <w:top w:val="nil"/>
              <w:left w:val="nil"/>
              <w:bottom w:val="single" w:sz="4" w:space="0" w:color="auto"/>
              <w:right w:val="single" w:sz="4" w:space="0" w:color="auto"/>
            </w:tcBorders>
            <w:shd w:val="clear" w:color="auto" w:fill="auto"/>
            <w:vAlign w:val="bottom"/>
            <w:hideMark/>
          </w:tcPr>
          <w:p w14:paraId="46FD6B0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300 </w:t>
            </w:r>
          </w:p>
        </w:tc>
        <w:tc>
          <w:tcPr>
            <w:tcW w:w="527" w:type="pct"/>
            <w:tcBorders>
              <w:top w:val="nil"/>
              <w:left w:val="nil"/>
              <w:bottom w:val="single" w:sz="4" w:space="0" w:color="auto"/>
              <w:right w:val="single" w:sz="4" w:space="0" w:color="auto"/>
            </w:tcBorders>
            <w:shd w:val="clear" w:color="auto" w:fill="auto"/>
            <w:vAlign w:val="bottom"/>
            <w:hideMark/>
          </w:tcPr>
          <w:p w14:paraId="0300AE4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271 </w:t>
            </w:r>
          </w:p>
        </w:tc>
        <w:tc>
          <w:tcPr>
            <w:tcW w:w="439" w:type="pct"/>
            <w:tcBorders>
              <w:top w:val="nil"/>
              <w:left w:val="nil"/>
              <w:bottom w:val="single" w:sz="4" w:space="0" w:color="auto"/>
              <w:right w:val="single" w:sz="4" w:space="0" w:color="auto"/>
            </w:tcBorders>
            <w:shd w:val="clear" w:color="auto" w:fill="auto"/>
            <w:vAlign w:val="bottom"/>
            <w:hideMark/>
          </w:tcPr>
          <w:p w14:paraId="4C2A005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319 </w:t>
            </w:r>
          </w:p>
        </w:tc>
        <w:tc>
          <w:tcPr>
            <w:tcW w:w="547" w:type="pct"/>
            <w:tcBorders>
              <w:top w:val="nil"/>
              <w:left w:val="nil"/>
              <w:bottom w:val="single" w:sz="4" w:space="0" w:color="auto"/>
              <w:right w:val="single" w:sz="4" w:space="0" w:color="auto"/>
            </w:tcBorders>
            <w:shd w:val="clear" w:color="auto" w:fill="auto"/>
            <w:vAlign w:val="bottom"/>
            <w:hideMark/>
          </w:tcPr>
          <w:p w14:paraId="025B750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312 </w:t>
            </w:r>
          </w:p>
        </w:tc>
      </w:tr>
      <w:tr w:rsidR="00EE1B4D" w:rsidRPr="001A38D5" w14:paraId="15557761"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04F810D9"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GIMNASIO MILITAR FUERZA AEREA LUIS F. GOMEZ NIÑO</w:t>
            </w:r>
          </w:p>
        </w:tc>
        <w:tc>
          <w:tcPr>
            <w:tcW w:w="330" w:type="pct"/>
            <w:tcBorders>
              <w:top w:val="nil"/>
              <w:left w:val="nil"/>
              <w:bottom w:val="single" w:sz="4" w:space="0" w:color="auto"/>
              <w:right w:val="single" w:sz="4" w:space="0" w:color="auto"/>
            </w:tcBorders>
            <w:shd w:val="clear" w:color="auto" w:fill="auto"/>
            <w:vAlign w:val="bottom"/>
            <w:hideMark/>
          </w:tcPr>
          <w:p w14:paraId="3BAB056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2AFA196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324 </w:t>
            </w:r>
          </w:p>
        </w:tc>
        <w:tc>
          <w:tcPr>
            <w:tcW w:w="527" w:type="pct"/>
            <w:tcBorders>
              <w:top w:val="nil"/>
              <w:left w:val="nil"/>
              <w:bottom w:val="single" w:sz="4" w:space="0" w:color="auto"/>
              <w:right w:val="single" w:sz="4" w:space="0" w:color="auto"/>
            </w:tcBorders>
            <w:shd w:val="clear" w:color="auto" w:fill="auto"/>
            <w:vAlign w:val="bottom"/>
            <w:hideMark/>
          </w:tcPr>
          <w:p w14:paraId="57AE76F0"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5B15B73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343 </w:t>
            </w:r>
          </w:p>
        </w:tc>
        <w:tc>
          <w:tcPr>
            <w:tcW w:w="527" w:type="pct"/>
            <w:tcBorders>
              <w:top w:val="nil"/>
              <w:left w:val="nil"/>
              <w:bottom w:val="single" w:sz="4" w:space="0" w:color="auto"/>
              <w:right w:val="single" w:sz="4" w:space="0" w:color="auto"/>
            </w:tcBorders>
            <w:shd w:val="clear" w:color="auto" w:fill="auto"/>
            <w:vAlign w:val="bottom"/>
            <w:hideMark/>
          </w:tcPr>
          <w:p w14:paraId="6B21C31E"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39" w:type="pct"/>
            <w:tcBorders>
              <w:top w:val="nil"/>
              <w:left w:val="nil"/>
              <w:bottom w:val="single" w:sz="4" w:space="0" w:color="auto"/>
              <w:right w:val="single" w:sz="4" w:space="0" w:color="auto"/>
            </w:tcBorders>
            <w:shd w:val="clear" w:color="auto" w:fill="auto"/>
            <w:vAlign w:val="bottom"/>
            <w:hideMark/>
          </w:tcPr>
          <w:p w14:paraId="09473A7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367 </w:t>
            </w:r>
          </w:p>
        </w:tc>
        <w:tc>
          <w:tcPr>
            <w:tcW w:w="547" w:type="pct"/>
            <w:tcBorders>
              <w:top w:val="nil"/>
              <w:left w:val="nil"/>
              <w:bottom w:val="single" w:sz="4" w:space="0" w:color="auto"/>
              <w:right w:val="single" w:sz="4" w:space="0" w:color="auto"/>
            </w:tcBorders>
            <w:shd w:val="clear" w:color="auto" w:fill="auto"/>
            <w:vAlign w:val="bottom"/>
            <w:hideMark/>
          </w:tcPr>
          <w:p w14:paraId="0C9A44FE"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r>
      <w:tr w:rsidR="00EE1B4D" w:rsidRPr="001A38D5" w14:paraId="59E8E60D"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0AD17312"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INEM LUIS LOPEZ DE MESA</w:t>
            </w:r>
          </w:p>
        </w:tc>
        <w:tc>
          <w:tcPr>
            <w:tcW w:w="330" w:type="pct"/>
            <w:tcBorders>
              <w:top w:val="nil"/>
              <w:left w:val="nil"/>
              <w:bottom w:val="single" w:sz="4" w:space="0" w:color="auto"/>
              <w:right w:val="single" w:sz="4" w:space="0" w:color="auto"/>
            </w:tcBorders>
            <w:shd w:val="clear" w:color="auto" w:fill="auto"/>
            <w:vAlign w:val="bottom"/>
            <w:hideMark/>
          </w:tcPr>
          <w:p w14:paraId="2038412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6</w:t>
            </w:r>
          </w:p>
        </w:tc>
        <w:tc>
          <w:tcPr>
            <w:tcW w:w="459" w:type="pct"/>
            <w:tcBorders>
              <w:top w:val="nil"/>
              <w:left w:val="nil"/>
              <w:bottom w:val="single" w:sz="4" w:space="0" w:color="auto"/>
              <w:right w:val="single" w:sz="4" w:space="0" w:color="auto"/>
            </w:tcBorders>
            <w:shd w:val="clear" w:color="auto" w:fill="auto"/>
            <w:vAlign w:val="bottom"/>
            <w:hideMark/>
          </w:tcPr>
          <w:p w14:paraId="2929015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2.762 </w:t>
            </w:r>
          </w:p>
        </w:tc>
        <w:tc>
          <w:tcPr>
            <w:tcW w:w="527" w:type="pct"/>
            <w:tcBorders>
              <w:top w:val="nil"/>
              <w:left w:val="nil"/>
              <w:bottom w:val="single" w:sz="4" w:space="0" w:color="auto"/>
              <w:right w:val="single" w:sz="4" w:space="0" w:color="auto"/>
            </w:tcBorders>
            <w:shd w:val="clear" w:color="auto" w:fill="auto"/>
            <w:vAlign w:val="bottom"/>
            <w:hideMark/>
          </w:tcPr>
          <w:p w14:paraId="25251D9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947 </w:t>
            </w:r>
          </w:p>
        </w:tc>
        <w:tc>
          <w:tcPr>
            <w:tcW w:w="460" w:type="pct"/>
            <w:tcBorders>
              <w:top w:val="nil"/>
              <w:left w:val="nil"/>
              <w:bottom w:val="single" w:sz="4" w:space="0" w:color="auto"/>
              <w:right w:val="single" w:sz="4" w:space="0" w:color="auto"/>
            </w:tcBorders>
            <w:shd w:val="clear" w:color="auto" w:fill="auto"/>
            <w:vAlign w:val="bottom"/>
            <w:hideMark/>
          </w:tcPr>
          <w:p w14:paraId="1BED833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3.155 </w:t>
            </w:r>
          </w:p>
        </w:tc>
        <w:tc>
          <w:tcPr>
            <w:tcW w:w="527" w:type="pct"/>
            <w:tcBorders>
              <w:top w:val="nil"/>
              <w:left w:val="nil"/>
              <w:bottom w:val="single" w:sz="4" w:space="0" w:color="auto"/>
              <w:right w:val="single" w:sz="4" w:space="0" w:color="auto"/>
            </w:tcBorders>
            <w:shd w:val="clear" w:color="auto" w:fill="auto"/>
            <w:vAlign w:val="bottom"/>
            <w:hideMark/>
          </w:tcPr>
          <w:p w14:paraId="01CFF93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1.475 </w:t>
            </w:r>
          </w:p>
        </w:tc>
        <w:tc>
          <w:tcPr>
            <w:tcW w:w="439" w:type="pct"/>
            <w:tcBorders>
              <w:top w:val="nil"/>
              <w:left w:val="nil"/>
              <w:bottom w:val="single" w:sz="4" w:space="0" w:color="auto"/>
              <w:right w:val="single" w:sz="4" w:space="0" w:color="auto"/>
            </w:tcBorders>
            <w:shd w:val="clear" w:color="auto" w:fill="auto"/>
            <w:vAlign w:val="bottom"/>
            <w:hideMark/>
          </w:tcPr>
          <w:p w14:paraId="2298DF8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2.933 </w:t>
            </w:r>
          </w:p>
        </w:tc>
        <w:tc>
          <w:tcPr>
            <w:tcW w:w="547" w:type="pct"/>
            <w:tcBorders>
              <w:top w:val="nil"/>
              <w:left w:val="nil"/>
              <w:bottom w:val="single" w:sz="4" w:space="0" w:color="auto"/>
              <w:right w:val="single" w:sz="4" w:space="0" w:color="auto"/>
            </w:tcBorders>
            <w:shd w:val="clear" w:color="auto" w:fill="auto"/>
            <w:vAlign w:val="bottom"/>
            <w:hideMark/>
          </w:tcPr>
          <w:p w14:paraId="5DC4973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2.026 </w:t>
            </w:r>
          </w:p>
        </w:tc>
      </w:tr>
      <w:tr w:rsidR="00EE1B4D" w:rsidRPr="001A38D5" w14:paraId="5B4D67C9"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56CE63DA"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ESCUELA NORMAL SUPERIOR DE VILLAVICENCIO</w:t>
            </w:r>
          </w:p>
        </w:tc>
        <w:tc>
          <w:tcPr>
            <w:tcW w:w="330" w:type="pct"/>
            <w:tcBorders>
              <w:top w:val="nil"/>
              <w:left w:val="nil"/>
              <w:bottom w:val="single" w:sz="4" w:space="0" w:color="auto"/>
              <w:right w:val="single" w:sz="4" w:space="0" w:color="auto"/>
            </w:tcBorders>
            <w:shd w:val="clear" w:color="auto" w:fill="auto"/>
            <w:vAlign w:val="bottom"/>
            <w:hideMark/>
          </w:tcPr>
          <w:p w14:paraId="46D987F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2241426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2.199 </w:t>
            </w:r>
          </w:p>
        </w:tc>
        <w:tc>
          <w:tcPr>
            <w:tcW w:w="527" w:type="pct"/>
            <w:tcBorders>
              <w:top w:val="nil"/>
              <w:left w:val="nil"/>
              <w:bottom w:val="single" w:sz="4" w:space="0" w:color="auto"/>
              <w:right w:val="single" w:sz="4" w:space="0" w:color="auto"/>
            </w:tcBorders>
            <w:shd w:val="clear" w:color="auto" w:fill="auto"/>
            <w:vAlign w:val="bottom"/>
            <w:hideMark/>
          </w:tcPr>
          <w:p w14:paraId="3C9C598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390 </w:t>
            </w:r>
          </w:p>
        </w:tc>
        <w:tc>
          <w:tcPr>
            <w:tcW w:w="460" w:type="pct"/>
            <w:tcBorders>
              <w:top w:val="nil"/>
              <w:left w:val="nil"/>
              <w:bottom w:val="single" w:sz="4" w:space="0" w:color="auto"/>
              <w:right w:val="single" w:sz="4" w:space="0" w:color="auto"/>
            </w:tcBorders>
            <w:shd w:val="clear" w:color="auto" w:fill="auto"/>
            <w:vAlign w:val="bottom"/>
            <w:hideMark/>
          </w:tcPr>
          <w:p w14:paraId="5524800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2.168 </w:t>
            </w:r>
          </w:p>
        </w:tc>
        <w:tc>
          <w:tcPr>
            <w:tcW w:w="527" w:type="pct"/>
            <w:tcBorders>
              <w:top w:val="nil"/>
              <w:left w:val="nil"/>
              <w:bottom w:val="single" w:sz="4" w:space="0" w:color="auto"/>
              <w:right w:val="single" w:sz="4" w:space="0" w:color="auto"/>
            </w:tcBorders>
            <w:shd w:val="clear" w:color="auto" w:fill="auto"/>
            <w:vAlign w:val="bottom"/>
            <w:hideMark/>
          </w:tcPr>
          <w:p w14:paraId="744FF4B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423 </w:t>
            </w:r>
          </w:p>
        </w:tc>
        <w:tc>
          <w:tcPr>
            <w:tcW w:w="439" w:type="pct"/>
            <w:tcBorders>
              <w:top w:val="nil"/>
              <w:left w:val="nil"/>
              <w:bottom w:val="single" w:sz="4" w:space="0" w:color="auto"/>
              <w:right w:val="single" w:sz="4" w:space="0" w:color="auto"/>
            </w:tcBorders>
            <w:shd w:val="clear" w:color="auto" w:fill="auto"/>
            <w:vAlign w:val="bottom"/>
            <w:hideMark/>
          </w:tcPr>
          <w:p w14:paraId="3A6BF37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2.163 </w:t>
            </w:r>
          </w:p>
        </w:tc>
        <w:tc>
          <w:tcPr>
            <w:tcW w:w="547" w:type="pct"/>
            <w:tcBorders>
              <w:top w:val="nil"/>
              <w:left w:val="nil"/>
              <w:bottom w:val="single" w:sz="4" w:space="0" w:color="auto"/>
              <w:right w:val="single" w:sz="4" w:space="0" w:color="auto"/>
            </w:tcBorders>
            <w:shd w:val="clear" w:color="auto" w:fill="auto"/>
            <w:vAlign w:val="bottom"/>
            <w:hideMark/>
          </w:tcPr>
          <w:p w14:paraId="5A67CDC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1.166 </w:t>
            </w:r>
          </w:p>
        </w:tc>
      </w:tr>
      <w:tr w:rsidR="00EE1B4D" w:rsidRPr="001A38D5" w14:paraId="132E14B3"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39381D4"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COLEGIO GUATIQUIA</w:t>
            </w:r>
          </w:p>
        </w:tc>
        <w:tc>
          <w:tcPr>
            <w:tcW w:w="330" w:type="pct"/>
            <w:tcBorders>
              <w:top w:val="nil"/>
              <w:left w:val="nil"/>
              <w:bottom w:val="single" w:sz="4" w:space="0" w:color="auto"/>
              <w:right w:val="single" w:sz="4" w:space="0" w:color="auto"/>
            </w:tcBorders>
            <w:shd w:val="clear" w:color="auto" w:fill="auto"/>
            <w:vAlign w:val="bottom"/>
            <w:hideMark/>
          </w:tcPr>
          <w:p w14:paraId="0CE88CD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5070D4D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1.278 </w:t>
            </w:r>
          </w:p>
        </w:tc>
        <w:tc>
          <w:tcPr>
            <w:tcW w:w="527" w:type="pct"/>
            <w:tcBorders>
              <w:top w:val="nil"/>
              <w:left w:val="nil"/>
              <w:bottom w:val="single" w:sz="4" w:space="0" w:color="auto"/>
              <w:right w:val="single" w:sz="4" w:space="0" w:color="auto"/>
            </w:tcBorders>
            <w:shd w:val="clear" w:color="auto" w:fill="auto"/>
            <w:vAlign w:val="bottom"/>
            <w:hideMark/>
          </w:tcPr>
          <w:p w14:paraId="13A36002"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7DA6DCE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1.286 </w:t>
            </w:r>
          </w:p>
        </w:tc>
        <w:tc>
          <w:tcPr>
            <w:tcW w:w="527" w:type="pct"/>
            <w:tcBorders>
              <w:top w:val="nil"/>
              <w:left w:val="nil"/>
              <w:bottom w:val="single" w:sz="4" w:space="0" w:color="auto"/>
              <w:right w:val="single" w:sz="4" w:space="0" w:color="auto"/>
            </w:tcBorders>
            <w:shd w:val="clear" w:color="auto" w:fill="auto"/>
            <w:vAlign w:val="bottom"/>
            <w:hideMark/>
          </w:tcPr>
          <w:p w14:paraId="0575824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0 </w:t>
            </w:r>
          </w:p>
        </w:tc>
        <w:tc>
          <w:tcPr>
            <w:tcW w:w="439" w:type="pct"/>
            <w:tcBorders>
              <w:top w:val="nil"/>
              <w:left w:val="nil"/>
              <w:bottom w:val="single" w:sz="4" w:space="0" w:color="auto"/>
              <w:right w:val="single" w:sz="4" w:space="0" w:color="auto"/>
            </w:tcBorders>
            <w:shd w:val="clear" w:color="auto" w:fill="auto"/>
            <w:vAlign w:val="bottom"/>
            <w:hideMark/>
          </w:tcPr>
          <w:p w14:paraId="0812C6A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1.228 </w:t>
            </w:r>
          </w:p>
        </w:tc>
        <w:tc>
          <w:tcPr>
            <w:tcW w:w="547" w:type="pct"/>
            <w:tcBorders>
              <w:top w:val="nil"/>
              <w:left w:val="nil"/>
              <w:bottom w:val="single" w:sz="4" w:space="0" w:color="auto"/>
              <w:right w:val="single" w:sz="4" w:space="0" w:color="auto"/>
            </w:tcBorders>
            <w:shd w:val="clear" w:color="auto" w:fill="auto"/>
            <w:vAlign w:val="bottom"/>
            <w:hideMark/>
          </w:tcPr>
          <w:p w14:paraId="535C336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410 </w:t>
            </w:r>
          </w:p>
        </w:tc>
      </w:tr>
      <w:tr w:rsidR="00EE1B4D" w:rsidRPr="001A38D5" w14:paraId="00ADB76F"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69DCD5AA"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COLEGIO DEPARTAMENTAL SAN FRANCISCO DE ASIS</w:t>
            </w:r>
          </w:p>
        </w:tc>
        <w:tc>
          <w:tcPr>
            <w:tcW w:w="330" w:type="pct"/>
            <w:tcBorders>
              <w:top w:val="nil"/>
              <w:left w:val="nil"/>
              <w:bottom w:val="single" w:sz="4" w:space="0" w:color="auto"/>
              <w:right w:val="single" w:sz="4" w:space="0" w:color="auto"/>
            </w:tcBorders>
            <w:shd w:val="clear" w:color="auto" w:fill="auto"/>
            <w:vAlign w:val="bottom"/>
            <w:hideMark/>
          </w:tcPr>
          <w:p w14:paraId="57FDD54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3</w:t>
            </w:r>
          </w:p>
        </w:tc>
        <w:tc>
          <w:tcPr>
            <w:tcW w:w="459" w:type="pct"/>
            <w:tcBorders>
              <w:top w:val="nil"/>
              <w:left w:val="nil"/>
              <w:bottom w:val="single" w:sz="4" w:space="0" w:color="auto"/>
              <w:right w:val="single" w:sz="4" w:space="0" w:color="auto"/>
            </w:tcBorders>
            <w:shd w:val="clear" w:color="auto" w:fill="auto"/>
            <w:vAlign w:val="bottom"/>
            <w:hideMark/>
          </w:tcPr>
          <w:p w14:paraId="3FEB6AD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1.170 </w:t>
            </w:r>
          </w:p>
        </w:tc>
        <w:tc>
          <w:tcPr>
            <w:tcW w:w="527" w:type="pct"/>
            <w:tcBorders>
              <w:top w:val="nil"/>
              <w:left w:val="nil"/>
              <w:bottom w:val="single" w:sz="4" w:space="0" w:color="auto"/>
              <w:right w:val="single" w:sz="4" w:space="0" w:color="auto"/>
            </w:tcBorders>
            <w:shd w:val="clear" w:color="auto" w:fill="auto"/>
            <w:vAlign w:val="bottom"/>
            <w:hideMark/>
          </w:tcPr>
          <w:p w14:paraId="456FA65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185 </w:t>
            </w:r>
          </w:p>
        </w:tc>
        <w:tc>
          <w:tcPr>
            <w:tcW w:w="460" w:type="pct"/>
            <w:tcBorders>
              <w:top w:val="nil"/>
              <w:left w:val="nil"/>
              <w:bottom w:val="single" w:sz="4" w:space="0" w:color="auto"/>
              <w:right w:val="single" w:sz="4" w:space="0" w:color="auto"/>
            </w:tcBorders>
            <w:shd w:val="clear" w:color="auto" w:fill="auto"/>
            <w:vAlign w:val="bottom"/>
            <w:hideMark/>
          </w:tcPr>
          <w:p w14:paraId="674CE2F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1.103 </w:t>
            </w:r>
          </w:p>
        </w:tc>
        <w:tc>
          <w:tcPr>
            <w:tcW w:w="527" w:type="pct"/>
            <w:tcBorders>
              <w:top w:val="nil"/>
              <w:left w:val="nil"/>
              <w:bottom w:val="single" w:sz="4" w:space="0" w:color="auto"/>
              <w:right w:val="single" w:sz="4" w:space="0" w:color="auto"/>
            </w:tcBorders>
            <w:shd w:val="clear" w:color="auto" w:fill="auto"/>
            <w:vAlign w:val="bottom"/>
            <w:hideMark/>
          </w:tcPr>
          <w:p w14:paraId="0BAD1B7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449 </w:t>
            </w:r>
          </w:p>
        </w:tc>
        <w:tc>
          <w:tcPr>
            <w:tcW w:w="439" w:type="pct"/>
            <w:tcBorders>
              <w:top w:val="nil"/>
              <w:left w:val="nil"/>
              <w:bottom w:val="single" w:sz="4" w:space="0" w:color="auto"/>
              <w:right w:val="single" w:sz="4" w:space="0" w:color="auto"/>
            </w:tcBorders>
            <w:shd w:val="clear" w:color="auto" w:fill="auto"/>
            <w:vAlign w:val="bottom"/>
            <w:hideMark/>
          </w:tcPr>
          <w:p w14:paraId="0B0475D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1.070 </w:t>
            </w:r>
          </w:p>
        </w:tc>
        <w:tc>
          <w:tcPr>
            <w:tcW w:w="547" w:type="pct"/>
            <w:tcBorders>
              <w:top w:val="nil"/>
              <w:left w:val="nil"/>
              <w:bottom w:val="single" w:sz="4" w:space="0" w:color="auto"/>
              <w:right w:val="single" w:sz="4" w:space="0" w:color="auto"/>
            </w:tcBorders>
            <w:shd w:val="clear" w:color="auto" w:fill="auto"/>
            <w:vAlign w:val="bottom"/>
            <w:hideMark/>
          </w:tcPr>
          <w:p w14:paraId="452A3E8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854 </w:t>
            </w:r>
          </w:p>
        </w:tc>
      </w:tr>
      <w:tr w:rsidR="00EE1B4D" w:rsidRPr="001A38D5" w14:paraId="2A384E45"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2362D081"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JARD INF COLORES MAGICOS</w:t>
            </w:r>
          </w:p>
        </w:tc>
        <w:tc>
          <w:tcPr>
            <w:tcW w:w="330" w:type="pct"/>
            <w:tcBorders>
              <w:top w:val="nil"/>
              <w:left w:val="nil"/>
              <w:bottom w:val="single" w:sz="4" w:space="0" w:color="auto"/>
              <w:right w:val="single" w:sz="4" w:space="0" w:color="auto"/>
            </w:tcBorders>
            <w:shd w:val="clear" w:color="auto" w:fill="auto"/>
            <w:vAlign w:val="bottom"/>
            <w:hideMark/>
          </w:tcPr>
          <w:p w14:paraId="20E59AA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236B3AC6"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27" w:type="pct"/>
            <w:tcBorders>
              <w:top w:val="nil"/>
              <w:left w:val="nil"/>
              <w:bottom w:val="single" w:sz="4" w:space="0" w:color="auto"/>
              <w:right w:val="single" w:sz="4" w:space="0" w:color="auto"/>
            </w:tcBorders>
            <w:shd w:val="clear" w:color="auto" w:fill="auto"/>
            <w:vAlign w:val="bottom"/>
            <w:hideMark/>
          </w:tcPr>
          <w:p w14:paraId="63BA72F1"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02D861CE"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27" w:type="pct"/>
            <w:tcBorders>
              <w:top w:val="nil"/>
              <w:left w:val="nil"/>
              <w:bottom w:val="single" w:sz="4" w:space="0" w:color="auto"/>
              <w:right w:val="single" w:sz="4" w:space="0" w:color="auto"/>
            </w:tcBorders>
            <w:shd w:val="clear" w:color="auto" w:fill="auto"/>
            <w:vAlign w:val="bottom"/>
            <w:hideMark/>
          </w:tcPr>
          <w:p w14:paraId="422CDA54"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39" w:type="pct"/>
            <w:tcBorders>
              <w:top w:val="nil"/>
              <w:left w:val="nil"/>
              <w:bottom w:val="single" w:sz="4" w:space="0" w:color="auto"/>
              <w:right w:val="single" w:sz="4" w:space="0" w:color="auto"/>
            </w:tcBorders>
            <w:shd w:val="clear" w:color="auto" w:fill="auto"/>
            <w:vAlign w:val="bottom"/>
            <w:hideMark/>
          </w:tcPr>
          <w:p w14:paraId="4DC08EBA"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47" w:type="pct"/>
            <w:tcBorders>
              <w:top w:val="nil"/>
              <w:left w:val="nil"/>
              <w:bottom w:val="single" w:sz="4" w:space="0" w:color="auto"/>
              <w:right w:val="single" w:sz="4" w:space="0" w:color="auto"/>
            </w:tcBorders>
            <w:shd w:val="clear" w:color="auto" w:fill="auto"/>
            <w:vAlign w:val="bottom"/>
            <w:hideMark/>
          </w:tcPr>
          <w:p w14:paraId="6F30479D"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r>
      <w:tr w:rsidR="00EE1B4D" w:rsidRPr="001A38D5" w14:paraId="4C0D0ABB"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D1F66D6"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ANTONIO NARIÑO</w:t>
            </w:r>
          </w:p>
        </w:tc>
        <w:tc>
          <w:tcPr>
            <w:tcW w:w="330" w:type="pct"/>
            <w:tcBorders>
              <w:top w:val="nil"/>
              <w:left w:val="nil"/>
              <w:bottom w:val="single" w:sz="4" w:space="0" w:color="auto"/>
              <w:right w:val="single" w:sz="4" w:space="0" w:color="auto"/>
            </w:tcBorders>
            <w:shd w:val="clear" w:color="auto" w:fill="auto"/>
            <w:vAlign w:val="bottom"/>
            <w:hideMark/>
          </w:tcPr>
          <w:p w14:paraId="48B8FB4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7B8DB7D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1.101 </w:t>
            </w:r>
          </w:p>
        </w:tc>
        <w:tc>
          <w:tcPr>
            <w:tcW w:w="527" w:type="pct"/>
            <w:tcBorders>
              <w:top w:val="nil"/>
              <w:left w:val="nil"/>
              <w:bottom w:val="single" w:sz="4" w:space="0" w:color="auto"/>
              <w:right w:val="single" w:sz="4" w:space="0" w:color="auto"/>
            </w:tcBorders>
            <w:shd w:val="clear" w:color="auto" w:fill="auto"/>
            <w:vAlign w:val="bottom"/>
            <w:hideMark/>
          </w:tcPr>
          <w:p w14:paraId="06D2075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 </w:t>
            </w:r>
          </w:p>
        </w:tc>
        <w:tc>
          <w:tcPr>
            <w:tcW w:w="460" w:type="pct"/>
            <w:tcBorders>
              <w:top w:val="nil"/>
              <w:left w:val="nil"/>
              <w:bottom w:val="single" w:sz="4" w:space="0" w:color="auto"/>
              <w:right w:val="single" w:sz="4" w:space="0" w:color="auto"/>
            </w:tcBorders>
            <w:shd w:val="clear" w:color="auto" w:fill="auto"/>
            <w:vAlign w:val="bottom"/>
            <w:hideMark/>
          </w:tcPr>
          <w:p w14:paraId="4270B82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1.051 </w:t>
            </w:r>
          </w:p>
        </w:tc>
        <w:tc>
          <w:tcPr>
            <w:tcW w:w="527" w:type="pct"/>
            <w:tcBorders>
              <w:top w:val="nil"/>
              <w:left w:val="nil"/>
              <w:bottom w:val="single" w:sz="4" w:space="0" w:color="auto"/>
              <w:right w:val="single" w:sz="4" w:space="0" w:color="auto"/>
            </w:tcBorders>
            <w:shd w:val="clear" w:color="auto" w:fill="auto"/>
            <w:vAlign w:val="bottom"/>
            <w:hideMark/>
          </w:tcPr>
          <w:p w14:paraId="79565DD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0 </w:t>
            </w:r>
          </w:p>
        </w:tc>
        <w:tc>
          <w:tcPr>
            <w:tcW w:w="439" w:type="pct"/>
            <w:tcBorders>
              <w:top w:val="nil"/>
              <w:left w:val="nil"/>
              <w:bottom w:val="single" w:sz="4" w:space="0" w:color="auto"/>
              <w:right w:val="single" w:sz="4" w:space="0" w:color="auto"/>
            </w:tcBorders>
            <w:shd w:val="clear" w:color="auto" w:fill="auto"/>
            <w:vAlign w:val="bottom"/>
            <w:hideMark/>
          </w:tcPr>
          <w:p w14:paraId="015A72C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1.017 </w:t>
            </w:r>
          </w:p>
        </w:tc>
        <w:tc>
          <w:tcPr>
            <w:tcW w:w="547" w:type="pct"/>
            <w:tcBorders>
              <w:top w:val="nil"/>
              <w:left w:val="nil"/>
              <w:bottom w:val="single" w:sz="4" w:space="0" w:color="auto"/>
              <w:right w:val="single" w:sz="4" w:space="0" w:color="auto"/>
            </w:tcBorders>
            <w:shd w:val="clear" w:color="auto" w:fill="auto"/>
            <w:vAlign w:val="bottom"/>
            <w:hideMark/>
          </w:tcPr>
          <w:p w14:paraId="05F2BB6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396 </w:t>
            </w:r>
          </w:p>
        </w:tc>
      </w:tr>
      <w:tr w:rsidR="00EE1B4D" w:rsidRPr="001A38D5" w14:paraId="503C821F"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2B618DDF"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ALFREDO MOLANO BRAVO</w:t>
            </w:r>
          </w:p>
        </w:tc>
        <w:tc>
          <w:tcPr>
            <w:tcW w:w="330" w:type="pct"/>
            <w:tcBorders>
              <w:top w:val="nil"/>
              <w:left w:val="nil"/>
              <w:bottom w:val="single" w:sz="4" w:space="0" w:color="auto"/>
              <w:right w:val="single" w:sz="4" w:space="0" w:color="auto"/>
            </w:tcBorders>
            <w:shd w:val="clear" w:color="auto" w:fill="auto"/>
            <w:vAlign w:val="bottom"/>
            <w:hideMark/>
          </w:tcPr>
          <w:p w14:paraId="588C67B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1D74EC05"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27" w:type="pct"/>
            <w:tcBorders>
              <w:top w:val="nil"/>
              <w:left w:val="nil"/>
              <w:bottom w:val="single" w:sz="4" w:space="0" w:color="auto"/>
              <w:right w:val="single" w:sz="4" w:space="0" w:color="auto"/>
            </w:tcBorders>
            <w:shd w:val="clear" w:color="auto" w:fill="auto"/>
            <w:vAlign w:val="bottom"/>
            <w:hideMark/>
          </w:tcPr>
          <w:p w14:paraId="298F494B"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78FB950A"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27" w:type="pct"/>
            <w:tcBorders>
              <w:top w:val="nil"/>
              <w:left w:val="nil"/>
              <w:bottom w:val="single" w:sz="4" w:space="0" w:color="auto"/>
              <w:right w:val="single" w:sz="4" w:space="0" w:color="auto"/>
            </w:tcBorders>
            <w:shd w:val="clear" w:color="auto" w:fill="auto"/>
            <w:vAlign w:val="bottom"/>
            <w:hideMark/>
          </w:tcPr>
          <w:p w14:paraId="669195D2"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39" w:type="pct"/>
            <w:tcBorders>
              <w:top w:val="nil"/>
              <w:left w:val="nil"/>
              <w:bottom w:val="single" w:sz="4" w:space="0" w:color="auto"/>
              <w:right w:val="single" w:sz="4" w:space="0" w:color="auto"/>
            </w:tcBorders>
            <w:shd w:val="clear" w:color="auto" w:fill="auto"/>
            <w:vAlign w:val="bottom"/>
            <w:hideMark/>
          </w:tcPr>
          <w:p w14:paraId="7A2D766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442 </w:t>
            </w:r>
          </w:p>
        </w:tc>
        <w:tc>
          <w:tcPr>
            <w:tcW w:w="547" w:type="pct"/>
            <w:tcBorders>
              <w:top w:val="nil"/>
              <w:left w:val="nil"/>
              <w:bottom w:val="single" w:sz="4" w:space="0" w:color="auto"/>
              <w:right w:val="single" w:sz="4" w:space="0" w:color="auto"/>
            </w:tcBorders>
            <w:shd w:val="clear" w:color="auto" w:fill="auto"/>
            <w:vAlign w:val="bottom"/>
            <w:hideMark/>
          </w:tcPr>
          <w:p w14:paraId="3D2504F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301 </w:t>
            </w:r>
          </w:p>
        </w:tc>
      </w:tr>
      <w:tr w:rsidR="00EE1B4D" w:rsidRPr="001A38D5" w14:paraId="27C54467"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3C58CBE9"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JARD INF SUEÑOS DE APRENDER</w:t>
            </w:r>
          </w:p>
        </w:tc>
        <w:tc>
          <w:tcPr>
            <w:tcW w:w="330" w:type="pct"/>
            <w:tcBorders>
              <w:top w:val="nil"/>
              <w:left w:val="nil"/>
              <w:bottom w:val="single" w:sz="4" w:space="0" w:color="auto"/>
              <w:right w:val="single" w:sz="4" w:space="0" w:color="auto"/>
            </w:tcBorders>
            <w:shd w:val="clear" w:color="auto" w:fill="auto"/>
            <w:vAlign w:val="bottom"/>
            <w:hideMark/>
          </w:tcPr>
          <w:p w14:paraId="35936BA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7395E6D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25 </w:t>
            </w:r>
          </w:p>
        </w:tc>
        <w:tc>
          <w:tcPr>
            <w:tcW w:w="527" w:type="pct"/>
            <w:tcBorders>
              <w:top w:val="nil"/>
              <w:left w:val="nil"/>
              <w:bottom w:val="single" w:sz="4" w:space="0" w:color="auto"/>
              <w:right w:val="single" w:sz="4" w:space="0" w:color="auto"/>
            </w:tcBorders>
            <w:shd w:val="clear" w:color="auto" w:fill="auto"/>
            <w:vAlign w:val="bottom"/>
            <w:hideMark/>
          </w:tcPr>
          <w:p w14:paraId="58C5CC00"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37300C9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 </w:t>
            </w:r>
          </w:p>
        </w:tc>
        <w:tc>
          <w:tcPr>
            <w:tcW w:w="527" w:type="pct"/>
            <w:tcBorders>
              <w:top w:val="nil"/>
              <w:left w:val="nil"/>
              <w:bottom w:val="single" w:sz="4" w:space="0" w:color="auto"/>
              <w:right w:val="single" w:sz="4" w:space="0" w:color="auto"/>
            </w:tcBorders>
            <w:shd w:val="clear" w:color="auto" w:fill="auto"/>
            <w:vAlign w:val="bottom"/>
            <w:hideMark/>
          </w:tcPr>
          <w:p w14:paraId="4960E37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0 </w:t>
            </w:r>
          </w:p>
        </w:tc>
        <w:tc>
          <w:tcPr>
            <w:tcW w:w="439" w:type="pct"/>
            <w:tcBorders>
              <w:top w:val="nil"/>
              <w:left w:val="nil"/>
              <w:bottom w:val="single" w:sz="4" w:space="0" w:color="auto"/>
              <w:right w:val="single" w:sz="4" w:space="0" w:color="auto"/>
            </w:tcBorders>
            <w:shd w:val="clear" w:color="auto" w:fill="auto"/>
            <w:vAlign w:val="bottom"/>
            <w:hideMark/>
          </w:tcPr>
          <w:p w14:paraId="25030C7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71 </w:t>
            </w:r>
          </w:p>
        </w:tc>
        <w:tc>
          <w:tcPr>
            <w:tcW w:w="547" w:type="pct"/>
            <w:tcBorders>
              <w:top w:val="nil"/>
              <w:left w:val="nil"/>
              <w:bottom w:val="single" w:sz="4" w:space="0" w:color="auto"/>
              <w:right w:val="single" w:sz="4" w:space="0" w:color="auto"/>
            </w:tcBorders>
            <w:shd w:val="clear" w:color="auto" w:fill="auto"/>
            <w:vAlign w:val="bottom"/>
            <w:hideMark/>
          </w:tcPr>
          <w:p w14:paraId="01013E72"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r>
      <w:tr w:rsidR="00EE1B4D" w:rsidRPr="001A38D5" w14:paraId="649F40FB"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55DDE49B"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INSTITUCIÓN EDUCATIVA SEIS DE ABRIL</w:t>
            </w:r>
          </w:p>
        </w:tc>
        <w:tc>
          <w:tcPr>
            <w:tcW w:w="330" w:type="pct"/>
            <w:tcBorders>
              <w:top w:val="nil"/>
              <w:left w:val="nil"/>
              <w:bottom w:val="single" w:sz="4" w:space="0" w:color="auto"/>
              <w:right w:val="single" w:sz="4" w:space="0" w:color="auto"/>
            </w:tcBorders>
            <w:shd w:val="clear" w:color="auto" w:fill="auto"/>
            <w:vAlign w:val="bottom"/>
            <w:hideMark/>
          </w:tcPr>
          <w:p w14:paraId="3C97F4B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2C9345D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804 </w:t>
            </w:r>
          </w:p>
        </w:tc>
        <w:tc>
          <w:tcPr>
            <w:tcW w:w="527" w:type="pct"/>
            <w:tcBorders>
              <w:top w:val="nil"/>
              <w:left w:val="nil"/>
              <w:bottom w:val="single" w:sz="4" w:space="0" w:color="auto"/>
              <w:right w:val="single" w:sz="4" w:space="0" w:color="auto"/>
            </w:tcBorders>
            <w:shd w:val="clear" w:color="auto" w:fill="auto"/>
            <w:vAlign w:val="bottom"/>
            <w:hideMark/>
          </w:tcPr>
          <w:p w14:paraId="28EB995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71 </w:t>
            </w:r>
          </w:p>
        </w:tc>
        <w:tc>
          <w:tcPr>
            <w:tcW w:w="460" w:type="pct"/>
            <w:tcBorders>
              <w:top w:val="nil"/>
              <w:left w:val="nil"/>
              <w:bottom w:val="single" w:sz="4" w:space="0" w:color="auto"/>
              <w:right w:val="single" w:sz="4" w:space="0" w:color="auto"/>
            </w:tcBorders>
            <w:shd w:val="clear" w:color="auto" w:fill="auto"/>
            <w:vAlign w:val="bottom"/>
            <w:hideMark/>
          </w:tcPr>
          <w:p w14:paraId="7166234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806 </w:t>
            </w:r>
          </w:p>
        </w:tc>
        <w:tc>
          <w:tcPr>
            <w:tcW w:w="527" w:type="pct"/>
            <w:tcBorders>
              <w:top w:val="nil"/>
              <w:left w:val="nil"/>
              <w:bottom w:val="single" w:sz="4" w:space="0" w:color="auto"/>
              <w:right w:val="single" w:sz="4" w:space="0" w:color="auto"/>
            </w:tcBorders>
            <w:shd w:val="clear" w:color="auto" w:fill="auto"/>
            <w:vAlign w:val="bottom"/>
            <w:hideMark/>
          </w:tcPr>
          <w:p w14:paraId="7663322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291 </w:t>
            </w:r>
          </w:p>
        </w:tc>
        <w:tc>
          <w:tcPr>
            <w:tcW w:w="439" w:type="pct"/>
            <w:tcBorders>
              <w:top w:val="nil"/>
              <w:left w:val="nil"/>
              <w:bottom w:val="single" w:sz="4" w:space="0" w:color="auto"/>
              <w:right w:val="single" w:sz="4" w:space="0" w:color="auto"/>
            </w:tcBorders>
            <w:shd w:val="clear" w:color="auto" w:fill="auto"/>
            <w:vAlign w:val="bottom"/>
            <w:hideMark/>
          </w:tcPr>
          <w:p w14:paraId="5686FAC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777 </w:t>
            </w:r>
          </w:p>
        </w:tc>
        <w:tc>
          <w:tcPr>
            <w:tcW w:w="547" w:type="pct"/>
            <w:tcBorders>
              <w:top w:val="nil"/>
              <w:left w:val="nil"/>
              <w:bottom w:val="single" w:sz="4" w:space="0" w:color="auto"/>
              <w:right w:val="single" w:sz="4" w:space="0" w:color="auto"/>
            </w:tcBorders>
            <w:shd w:val="clear" w:color="auto" w:fill="auto"/>
            <w:vAlign w:val="bottom"/>
            <w:hideMark/>
          </w:tcPr>
          <w:p w14:paraId="134F4F3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637 </w:t>
            </w:r>
          </w:p>
        </w:tc>
      </w:tr>
      <w:tr w:rsidR="00EE1B4D" w:rsidRPr="001A38D5" w14:paraId="16EAB6E2"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C8CC003"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JARDIN INFANTIL PEQUEÑAS IDEAS</w:t>
            </w:r>
          </w:p>
        </w:tc>
        <w:tc>
          <w:tcPr>
            <w:tcW w:w="330" w:type="pct"/>
            <w:tcBorders>
              <w:top w:val="nil"/>
              <w:left w:val="nil"/>
              <w:bottom w:val="single" w:sz="4" w:space="0" w:color="auto"/>
              <w:right w:val="single" w:sz="4" w:space="0" w:color="auto"/>
            </w:tcBorders>
            <w:shd w:val="clear" w:color="auto" w:fill="auto"/>
            <w:vAlign w:val="bottom"/>
            <w:hideMark/>
          </w:tcPr>
          <w:p w14:paraId="4EAF235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2FEB5177"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27" w:type="pct"/>
            <w:tcBorders>
              <w:top w:val="nil"/>
              <w:left w:val="nil"/>
              <w:bottom w:val="single" w:sz="4" w:space="0" w:color="auto"/>
              <w:right w:val="single" w:sz="4" w:space="0" w:color="auto"/>
            </w:tcBorders>
            <w:shd w:val="clear" w:color="auto" w:fill="auto"/>
            <w:vAlign w:val="bottom"/>
            <w:hideMark/>
          </w:tcPr>
          <w:p w14:paraId="71A1170C"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4BFE18E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30 </w:t>
            </w:r>
          </w:p>
        </w:tc>
        <w:tc>
          <w:tcPr>
            <w:tcW w:w="527" w:type="pct"/>
            <w:tcBorders>
              <w:top w:val="nil"/>
              <w:left w:val="nil"/>
              <w:bottom w:val="single" w:sz="4" w:space="0" w:color="auto"/>
              <w:right w:val="single" w:sz="4" w:space="0" w:color="auto"/>
            </w:tcBorders>
            <w:shd w:val="clear" w:color="auto" w:fill="auto"/>
            <w:vAlign w:val="bottom"/>
            <w:hideMark/>
          </w:tcPr>
          <w:p w14:paraId="6E0D2A6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0 </w:t>
            </w:r>
          </w:p>
        </w:tc>
        <w:tc>
          <w:tcPr>
            <w:tcW w:w="439" w:type="pct"/>
            <w:tcBorders>
              <w:top w:val="nil"/>
              <w:left w:val="nil"/>
              <w:bottom w:val="single" w:sz="4" w:space="0" w:color="auto"/>
              <w:right w:val="single" w:sz="4" w:space="0" w:color="auto"/>
            </w:tcBorders>
            <w:shd w:val="clear" w:color="auto" w:fill="auto"/>
            <w:vAlign w:val="bottom"/>
            <w:hideMark/>
          </w:tcPr>
          <w:p w14:paraId="0A20BA3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34 </w:t>
            </w:r>
          </w:p>
        </w:tc>
        <w:tc>
          <w:tcPr>
            <w:tcW w:w="547" w:type="pct"/>
            <w:tcBorders>
              <w:top w:val="nil"/>
              <w:left w:val="nil"/>
              <w:bottom w:val="single" w:sz="4" w:space="0" w:color="auto"/>
              <w:right w:val="single" w:sz="4" w:space="0" w:color="auto"/>
            </w:tcBorders>
            <w:shd w:val="clear" w:color="auto" w:fill="auto"/>
            <w:vAlign w:val="bottom"/>
            <w:hideMark/>
          </w:tcPr>
          <w:p w14:paraId="249583B7"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r>
      <w:tr w:rsidR="00EE1B4D" w:rsidRPr="001A38D5" w14:paraId="07CD701C"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576C6CE"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COLEGIO DEPARTAMENTAL GILBERTO ALZATE AVENDA</w:t>
            </w:r>
            <w:r w:rsidR="009D3B70" w:rsidRPr="001A38D5">
              <w:rPr>
                <w:rFonts w:eastAsia="Times New Roman" w:cs="Arial"/>
                <w:sz w:val="12"/>
                <w:szCs w:val="16"/>
                <w:lang w:val="es-CO" w:eastAsia="es-CO"/>
              </w:rPr>
              <w:t>Ñ</w:t>
            </w:r>
            <w:r w:rsidRPr="001A38D5">
              <w:rPr>
                <w:rFonts w:eastAsia="Times New Roman" w:cs="Arial"/>
                <w:sz w:val="12"/>
                <w:szCs w:val="16"/>
                <w:lang w:val="es-CO" w:eastAsia="es-CO"/>
              </w:rPr>
              <w:t>O</w:t>
            </w:r>
          </w:p>
        </w:tc>
        <w:tc>
          <w:tcPr>
            <w:tcW w:w="330" w:type="pct"/>
            <w:tcBorders>
              <w:top w:val="nil"/>
              <w:left w:val="nil"/>
              <w:bottom w:val="single" w:sz="4" w:space="0" w:color="auto"/>
              <w:right w:val="single" w:sz="4" w:space="0" w:color="auto"/>
            </w:tcBorders>
            <w:shd w:val="clear" w:color="auto" w:fill="auto"/>
            <w:vAlign w:val="bottom"/>
            <w:hideMark/>
          </w:tcPr>
          <w:p w14:paraId="78B5AA5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6C54E62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1.105 </w:t>
            </w:r>
          </w:p>
        </w:tc>
        <w:tc>
          <w:tcPr>
            <w:tcW w:w="527" w:type="pct"/>
            <w:tcBorders>
              <w:top w:val="nil"/>
              <w:left w:val="nil"/>
              <w:bottom w:val="single" w:sz="4" w:space="0" w:color="auto"/>
              <w:right w:val="single" w:sz="4" w:space="0" w:color="auto"/>
            </w:tcBorders>
            <w:shd w:val="clear" w:color="auto" w:fill="auto"/>
            <w:vAlign w:val="bottom"/>
            <w:hideMark/>
          </w:tcPr>
          <w:p w14:paraId="100F686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340 </w:t>
            </w:r>
          </w:p>
        </w:tc>
        <w:tc>
          <w:tcPr>
            <w:tcW w:w="460" w:type="pct"/>
            <w:tcBorders>
              <w:top w:val="nil"/>
              <w:left w:val="nil"/>
              <w:bottom w:val="single" w:sz="4" w:space="0" w:color="auto"/>
              <w:right w:val="single" w:sz="4" w:space="0" w:color="auto"/>
            </w:tcBorders>
            <w:shd w:val="clear" w:color="auto" w:fill="auto"/>
            <w:vAlign w:val="bottom"/>
            <w:hideMark/>
          </w:tcPr>
          <w:p w14:paraId="3A25DED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1.092 </w:t>
            </w:r>
          </w:p>
        </w:tc>
        <w:tc>
          <w:tcPr>
            <w:tcW w:w="527" w:type="pct"/>
            <w:tcBorders>
              <w:top w:val="nil"/>
              <w:left w:val="nil"/>
              <w:bottom w:val="single" w:sz="4" w:space="0" w:color="auto"/>
              <w:right w:val="single" w:sz="4" w:space="0" w:color="auto"/>
            </w:tcBorders>
            <w:shd w:val="clear" w:color="auto" w:fill="auto"/>
            <w:vAlign w:val="bottom"/>
            <w:hideMark/>
          </w:tcPr>
          <w:p w14:paraId="59E37FC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321 </w:t>
            </w:r>
          </w:p>
        </w:tc>
        <w:tc>
          <w:tcPr>
            <w:tcW w:w="439" w:type="pct"/>
            <w:tcBorders>
              <w:top w:val="nil"/>
              <w:left w:val="nil"/>
              <w:bottom w:val="single" w:sz="4" w:space="0" w:color="auto"/>
              <w:right w:val="single" w:sz="4" w:space="0" w:color="auto"/>
            </w:tcBorders>
            <w:shd w:val="clear" w:color="auto" w:fill="auto"/>
            <w:vAlign w:val="bottom"/>
            <w:hideMark/>
          </w:tcPr>
          <w:p w14:paraId="07A9D7A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1.017 </w:t>
            </w:r>
          </w:p>
        </w:tc>
        <w:tc>
          <w:tcPr>
            <w:tcW w:w="547" w:type="pct"/>
            <w:tcBorders>
              <w:top w:val="nil"/>
              <w:left w:val="nil"/>
              <w:bottom w:val="single" w:sz="4" w:space="0" w:color="auto"/>
              <w:right w:val="single" w:sz="4" w:space="0" w:color="auto"/>
            </w:tcBorders>
            <w:shd w:val="clear" w:color="auto" w:fill="auto"/>
            <w:vAlign w:val="bottom"/>
            <w:hideMark/>
          </w:tcPr>
          <w:p w14:paraId="19C3CE4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530 </w:t>
            </w:r>
          </w:p>
        </w:tc>
      </w:tr>
      <w:tr w:rsidR="00EE1B4D" w:rsidRPr="001A38D5" w14:paraId="7FD69F96"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6F528E61"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SIMON BOLIVAR</w:t>
            </w:r>
          </w:p>
        </w:tc>
        <w:tc>
          <w:tcPr>
            <w:tcW w:w="330" w:type="pct"/>
            <w:tcBorders>
              <w:top w:val="nil"/>
              <w:left w:val="nil"/>
              <w:bottom w:val="single" w:sz="4" w:space="0" w:color="auto"/>
              <w:right w:val="single" w:sz="4" w:space="0" w:color="auto"/>
            </w:tcBorders>
            <w:shd w:val="clear" w:color="auto" w:fill="auto"/>
            <w:vAlign w:val="bottom"/>
            <w:hideMark/>
          </w:tcPr>
          <w:p w14:paraId="4D2CFF8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4</w:t>
            </w:r>
          </w:p>
        </w:tc>
        <w:tc>
          <w:tcPr>
            <w:tcW w:w="459" w:type="pct"/>
            <w:tcBorders>
              <w:top w:val="nil"/>
              <w:left w:val="nil"/>
              <w:bottom w:val="single" w:sz="4" w:space="0" w:color="auto"/>
              <w:right w:val="single" w:sz="4" w:space="0" w:color="auto"/>
            </w:tcBorders>
            <w:shd w:val="clear" w:color="auto" w:fill="auto"/>
            <w:vAlign w:val="bottom"/>
            <w:hideMark/>
          </w:tcPr>
          <w:p w14:paraId="52537AE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1.091 </w:t>
            </w:r>
          </w:p>
        </w:tc>
        <w:tc>
          <w:tcPr>
            <w:tcW w:w="527" w:type="pct"/>
            <w:tcBorders>
              <w:top w:val="nil"/>
              <w:left w:val="nil"/>
              <w:bottom w:val="single" w:sz="4" w:space="0" w:color="auto"/>
              <w:right w:val="single" w:sz="4" w:space="0" w:color="auto"/>
            </w:tcBorders>
            <w:shd w:val="clear" w:color="auto" w:fill="auto"/>
            <w:vAlign w:val="bottom"/>
            <w:hideMark/>
          </w:tcPr>
          <w:p w14:paraId="679E540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975 </w:t>
            </w:r>
          </w:p>
        </w:tc>
        <w:tc>
          <w:tcPr>
            <w:tcW w:w="460" w:type="pct"/>
            <w:tcBorders>
              <w:top w:val="nil"/>
              <w:left w:val="nil"/>
              <w:bottom w:val="single" w:sz="4" w:space="0" w:color="auto"/>
              <w:right w:val="single" w:sz="4" w:space="0" w:color="auto"/>
            </w:tcBorders>
            <w:shd w:val="clear" w:color="auto" w:fill="auto"/>
            <w:vAlign w:val="bottom"/>
            <w:hideMark/>
          </w:tcPr>
          <w:p w14:paraId="400B145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935 </w:t>
            </w:r>
          </w:p>
        </w:tc>
        <w:tc>
          <w:tcPr>
            <w:tcW w:w="527" w:type="pct"/>
            <w:tcBorders>
              <w:top w:val="nil"/>
              <w:left w:val="nil"/>
              <w:bottom w:val="single" w:sz="4" w:space="0" w:color="auto"/>
              <w:right w:val="single" w:sz="4" w:space="0" w:color="auto"/>
            </w:tcBorders>
            <w:shd w:val="clear" w:color="auto" w:fill="auto"/>
            <w:vAlign w:val="bottom"/>
            <w:hideMark/>
          </w:tcPr>
          <w:p w14:paraId="04175DF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1.088 </w:t>
            </w:r>
          </w:p>
        </w:tc>
        <w:tc>
          <w:tcPr>
            <w:tcW w:w="439" w:type="pct"/>
            <w:tcBorders>
              <w:top w:val="nil"/>
              <w:left w:val="nil"/>
              <w:bottom w:val="single" w:sz="4" w:space="0" w:color="auto"/>
              <w:right w:val="single" w:sz="4" w:space="0" w:color="auto"/>
            </w:tcBorders>
            <w:shd w:val="clear" w:color="auto" w:fill="auto"/>
            <w:vAlign w:val="bottom"/>
            <w:hideMark/>
          </w:tcPr>
          <w:p w14:paraId="0F7C8DD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886 </w:t>
            </w:r>
          </w:p>
        </w:tc>
        <w:tc>
          <w:tcPr>
            <w:tcW w:w="547" w:type="pct"/>
            <w:tcBorders>
              <w:top w:val="nil"/>
              <w:left w:val="nil"/>
              <w:bottom w:val="single" w:sz="4" w:space="0" w:color="auto"/>
              <w:right w:val="single" w:sz="4" w:space="0" w:color="auto"/>
            </w:tcBorders>
            <w:shd w:val="clear" w:color="auto" w:fill="auto"/>
            <w:vAlign w:val="bottom"/>
            <w:hideMark/>
          </w:tcPr>
          <w:p w14:paraId="385A6B6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870 </w:t>
            </w:r>
          </w:p>
        </w:tc>
      </w:tr>
      <w:tr w:rsidR="00EE1B4D" w:rsidRPr="001A38D5" w14:paraId="1078A39A"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67B52989"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COLEGIO SILVIA APONTE RODRIGUEZ</w:t>
            </w:r>
          </w:p>
        </w:tc>
        <w:tc>
          <w:tcPr>
            <w:tcW w:w="330" w:type="pct"/>
            <w:tcBorders>
              <w:top w:val="nil"/>
              <w:left w:val="nil"/>
              <w:bottom w:val="single" w:sz="4" w:space="0" w:color="auto"/>
              <w:right w:val="single" w:sz="4" w:space="0" w:color="auto"/>
            </w:tcBorders>
            <w:shd w:val="clear" w:color="auto" w:fill="auto"/>
            <w:vAlign w:val="bottom"/>
            <w:hideMark/>
          </w:tcPr>
          <w:p w14:paraId="2C076A4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3384E2C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1.138 </w:t>
            </w:r>
          </w:p>
        </w:tc>
        <w:tc>
          <w:tcPr>
            <w:tcW w:w="527" w:type="pct"/>
            <w:tcBorders>
              <w:top w:val="nil"/>
              <w:left w:val="nil"/>
              <w:bottom w:val="single" w:sz="4" w:space="0" w:color="auto"/>
              <w:right w:val="single" w:sz="4" w:space="0" w:color="auto"/>
            </w:tcBorders>
            <w:shd w:val="clear" w:color="auto" w:fill="auto"/>
            <w:vAlign w:val="bottom"/>
            <w:hideMark/>
          </w:tcPr>
          <w:p w14:paraId="0BFD0D5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301 </w:t>
            </w:r>
          </w:p>
        </w:tc>
        <w:tc>
          <w:tcPr>
            <w:tcW w:w="460" w:type="pct"/>
            <w:tcBorders>
              <w:top w:val="nil"/>
              <w:left w:val="nil"/>
              <w:bottom w:val="single" w:sz="4" w:space="0" w:color="auto"/>
              <w:right w:val="single" w:sz="4" w:space="0" w:color="auto"/>
            </w:tcBorders>
            <w:shd w:val="clear" w:color="auto" w:fill="auto"/>
            <w:vAlign w:val="bottom"/>
            <w:hideMark/>
          </w:tcPr>
          <w:p w14:paraId="05F49D2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1.216 </w:t>
            </w:r>
          </w:p>
        </w:tc>
        <w:tc>
          <w:tcPr>
            <w:tcW w:w="527" w:type="pct"/>
            <w:tcBorders>
              <w:top w:val="nil"/>
              <w:left w:val="nil"/>
              <w:bottom w:val="single" w:sz="4" w:space="0" w:color="auto"/>
              <w:right w:val="single" w:sz="4" w:space="0" w:color="auto"/>
            </w:tcBorders>
            <w:shd w:val="clear" w:color="auto" w:fill="auto"/>
            <w:vAlign w:val="bottom"/>
            <w:hideMark/>
          </w:tcPr>
          <w:p w14:paraId="143E2BB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280 </w:t>
            </w:r>
          </w:p>
        </w:tc>
        <w:tc>
          <w:tcPr>
            <w:tcW w:w="439" w:type="pct"/>
            <w:tcBorders>
              <w:top w:val="nil"/>
              <w:left w:val="nil"/>
              <w:bottom w:val="single" w:sz="4" w:space="0" w:color="auto"/>
              <w:right w:val="single" w:sz="4" w:space="0" w:color="auto"/>
            </w:tcBorders>
            <w:shd w:val="clear" w:color="auto" w:fill="auto"/>
            <w:vAlign w:val="bottom"/>
            <w:hideMark/>
          </w:tcPr>
          <w:p w14:paraId="301F4AE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1.196 </w:t>
            </w:r>
          </w:p>
        </w:tc>
        <w:tc>
          <w:tcPr>
            <w:tcW w:w="547" w:type="pct"/>
            <w:tcBorders>
              <w:top w:val="nil"/>
              <w:left w:val="nil"/>
              <w:bottom w:val="single" w:sz="4" w:space="0" w:color="auto"/>
              <w:right w:val="single" w:sz="4" w:space="0" w:color="auto"/>
            </w:tcBorders>
            <w:shd w:val="clear" w:color="auto" w:fill="auto"/>
            <w:vAlign w:val="bottom"/>
            <w:hideMark/>
          </w:tcPr>
          <w:p w14:paraId="3B88F70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784 </w:t>
            </w:r>
          </w:p>
        </w:tc>
      </w:tr>
      <w:tr w:rsidR="00EE1B4D" w:rsidRPr="001A38D5" w14:paraId="4529839F"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7F29144C"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COLEGIO NACIONALIZADO FEMENINO DE BACHILLERATO</w:t>
            </w:r>
          </w:p>
        </w:tc>
        <w:tc>
          <w:tcPr>
            <w:tcW w:w="330" w:type="pct"/>
            <w:tcBorders>
              <w:top w:val="nil"/>
              <w:left w:val="nil"/>
              <w:bottom w:val="single" w:sz="4" w:space="0" w:color="auto"/>
              <w:right w:val="single" w:sz="4" w:space="0" w:color="auto"/>
            </w:tcBorders>
            <w:shd w:val="clear" w:color="auto" w:fill="auto"/>
            <w:vAlign w:val="bottom"/>
            <w:hideMark/>
          </w:tcPr>
          <w:p w14:paraId="65FCA12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27BED3E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1.805 </w:t>
            </w:r>
          </w:p>
        </w:tc>
        <w:tc>
          <w:tcPr>
            <w:tcW w:w="527" w:type="pct"/>
            <w:tcBorders>
              <w:top w:val="nil"/>
              <w:left w:val="nil"/>
              <w:bottom w:val="single" w:sz="4" w:space="0" w:color="auto"/>
              <w:right w:val="single" w:sz="4" w:space="0" w:color="auto"/>
            </w:tcBorders>
            <w:shd w:val="clear" w:color="auto" w:fill="auto"/>
            <w:vAlign w:val="bottom"/>
            <w:hideMark/>
          </w:tcPr>
          <w:p w14:paraId="5ED3CEA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267 </w:t>
            </w:r>
          </w:p>
        </w:tc>
        <w:tc>
          <w:tcPr>
            <w:tcW w:w="460" w:type="pct"/>
            <w:tcBorders>
              <w:top w:val="nil"/>
              <w:left w:val="nil"/>
              <w:bottom w:val="single" w:sz="4" w:space="0" w:color="auto"/>
              <w:right w:val="single" w:sz="4" w:space="0" w:color="auto"/>
            </w:tcBorders>
            <w:shd w:val="clear" w:color="auto" w:fill="auto"/>
            <w:vAlign w:val="bottom"/>
            <w:hideMark/>
          </w:tcPr>
          <w:p w14:paraId="7EABF46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1.657 </w:t>
            </w:r>
          </w:p>
        </w:tc>
        <w:tc>
          <w:tcPr>
            <w:tcW w:w="527" w:type="pct"/>
            <w:tcBorders>
              <w:top w:val="nil"/>
              <w:left w:val="nil"/>
              <w:bottom w:val="single" w:sz="4" w:space="0" w:color="auto"/>
              <w:right w:val="single" w:sz="4" w:space="0" w:color="auto"/>
            </w:tcBorders>
            <w:shd w:val="clear" w:color="auto" w:fill="auto"/>
            <w:vAlign w:val="bottom"/>
            <w:hideMark/>
          </w:tcPr>
          <w:p w14:paraId="25CBC01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283 </w:t>
            </w:r>
          </w:p>
        </w:tc>
        <w:tc>
          <w:tcPr>
            <w:tcW w:w="439" w:type="pct"/>
            <w:tcBorders>
              <w:top w:val="nil"/>
              <w:left w:val="nil"/>
              <w:bottom w:val="single" w:sz="4" w:space="0" w:color="auto"/>
              <w:right w:val="single" w:sz="4" w:space="0" w:color="auto"/>
            </w:tcBorders>
            <w:shd w:val="clear" w:color="auto" w:fill="auto"/>
            <w:vAlign w:val="bottom"/>
            <w:hideMark/>
          </w:tcPr>
          <w:p w14:paraId="14947CA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1.612 </w:t>
            </w:r>
          </w:p>
        </w:tc>
        <w:tc>
          <w:tcPr>
            <w:tcW w:w="547" w:type="pct"/>
            <w:tcBorders>
              <w:top w:val="nil"/>
              <w:left w:val="nil"/>
              <w:bottom w:val="single" w:sz="4" w:space="0" w:color="auto"/>
              <w:right w:val="single" w:sz="4" w:space="0" w:color="auto"/>
            </w:tcBorders>
            <w:shd w:val="clear" w:color="auto" w:fill="auto"/>
            <w:vAlign w:val="bottom"/>
            <w:hideMark/>
          </w:tcPr>
          <w:p w14:paraId="1F7E23A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776 </w:t>
            </w:r>
          </w:p>
        </w:tc>
      </w:tr>
      <w:tr w:rsidR="00EE1B4D" w:rsidRPr="001A38D5" w14:paraId="1B436810"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64AB4413"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JARDIN INFANTIL MIS PRIMERAS ILUSIONES</w:t>
            </w:r>
          </w:p>
        </w:tc>
        <w:tc>
          <w:tcPr>
            <w:tcW w:w="330" w:type="pct"/>
            <w:tcBorders>
              <w:top w:val="nil"/>
              <w:left w:val="nil"/>
              <w:bottom w:val="single" w:sz="4" w:space="0" w:color="auto"/>
              <w:right w:val="single" w:sz="4" w:space="0" w:color="auto"/>
            </w:tcBorders>
            <w:shd w:val="clear" w:color="auto" w:fill="auto"/>
            <w:vAlign w:val="bottom"/>
            <w:hideMark/>
          </w:tcPr>
          <w:p w14:paraId="195F7A8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7EEC368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32 </w:t>
            </w:r>
          </w:p>
        </w:tc>
        <w:tc>
          <w:tcPr>
            <w:tcW w:w="527" w:type="pct"/>
            <w:tcBorders>
              <w:top w:val="nil"/>
              <w:left w:val="nil"/>
              <w:bottom w:val="single" w:sz="4" w:space="0" w:color="auto"/>
              <w:right w:val="single" w:sz="4" w:space="0" w:color="auto"/>
            </w:tcBorders>
            <w:shd w:val="clear" w:color="auto" w:fill="auto"/>
            <w:vAlign w:val="bottom"/>
            <w:hideMark/>
          </w:tcPr>
          <w:p w14:paraId="46F5B130"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5A9B62E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37 </w:t>
            </w:r>
          </w:p>
        </w:tc>
        <w:tc>
          <w:tcPr>
            <w:tcW w:w="527" w:type="pct"/>
            <w:tcBorders>
              <w:top w:val="nil"/>
              <w:left w:val="nil"/>
              <w:bottom w:val="single" w:sz="4" w:space="0" w:color="auto"/>
              <w:right w:val="single" w:sz="4" w:space="0" w:color="auto"/>
            </w:tcBorders>
            <w:shd w:val="clear" w:color="auto" w:fill="auto"/>
            <w:vAlign w:val="bottom"/>
            <w:hideMark/>
          </w:tcPr>
          <w:p w14:paraId="162E9B1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0 </w:t>
            </w:r>
          </w:p>
        </w:tc>
        <w:tc>
          <w:tcPr>
            <w:tcW w:w="439" w:type="pct"/>
            <w:tcBorders>
              <w:top w:val="nil"/>
              <w:left w:val="nil"/>
              <w:bottom w:val="single" w:sz="4" w:space="0" w:color="auto"/>
              <w:right w:val="single" w:sz="4" w:space="0" w:color="auto"/>
            </w:tcBorders>
            <w:shd w:val="clear" w:color="auto" w:fill="auto"/>
            <w:vAlign w:val="bottom"/>
            <w:hideMark/>
          </w:tcPr>
          <w:p w14:paraId="15010419"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47" w:type="pct"/>
            <w:tcBorders>
              <w:top w:val="nil"/>
              <w:left w:val="nil"/>
              <w:bottom w:val="single" w:sz="4" w:space="0" w:color="auto"/>
              <w:right w:val="single" w:sz="4" w:space="0" w:color="auto"/>
            </w:tcBorders>
            <w:shd w:val="clear" w:color="auto" w:fill="auto"/>
            <w:vAlign w:val="bottom"/>
            <w:hideMark/>
          </w:tcPr>
          <w:p w14:paraId="6306E9C7"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r>
      <w:tr w:rsidR="00EE1B4D" w:rsidRPr="001A38D5" w14:paraId="4BA61191"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03FBEF74"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COLEGIO DEPARTAMENTAL LA ESPERANZA</w:t>
            </w:r>
          </w:p>
        </w:tc>
        <w:tc>
          <w:tcPr>
            <w:tcW w:w="330" w:type="pct"/>
            <w:tcBorders>
              <w:top w:val="nil"/>
              <w:left w:val="nil"/>
              <w:bottom w:val="single" w:sz="4" w:space="0" w:color="auto"/>
              <w:right w:val="single" w:sz="4" w:space="0" w:color="auto"/>
            </w:tcBorders>
            <w:shd w:val="clear" w:color="auto" w:fill="auto"/>
            <w:vAlign w:val="bottom"/>
            <w:hideMark/>
          </w:tcPr>
          <w:p w14:paraId="731DED1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3</w:t>
            </w:r>
          </w:p>
        </w:tc>
        <w:tc>
          <w:tcPr>
            <w:tcW w:w="459" w:type="pct"/>
            <w:tcBorders>
              <w:top w:val="nil"/>
              <w:left w:val="nil"/>
              <w:bottom w:val="single" w:sz="4" w:space="0" w:color="auto"/>
              <w:right w:val="single" w:sz="4" w:space="0" w:color="auto"/>
            </w:tcBorders>
            <w:shd w:val="clear" w:color="auto" w:fill="auto"/>
            <w:vAlign w:val="bottom"/>
            <w:hideMark/>
          </w:tcPr>
          <w:p w14:paraId="5E1E3F4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2.400 </w:t>
            </w:r>
          </w:p>
        </w:tc>
        <w:tc>
          <w:tcPr>
            <w:tcW w:w="527" w:type="pct"/>
            <w:tcBorders>
              <w:top w:val="nil"/>
              <w:left w:val="nil"/>
              <w:bottom w:val="single" w:sz="4" w:space="0" w:color="auto"/>
              <w:right w:val="single" w:sz="4" w:space="0" w:color="auto"/>
            </w:tcBorders>
            <w:shd w:val="clear" w:color="auto" w:fill="auto"/>
            <w:vAlign w:val="bottom"/>
            <w:hideMark/>
          </w:tcPr>
          <w:p w14:paraId="496FA88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428 </w:t>
            </w:r>
          </w:p>
        </w:tc>
        <w:tc>
          <w:tcPr>
            <w:tcW w:w="460" w:type="pct"/>
            <w:tcBorders>
              <w:top w:val="nil"/>
              <w:left w:val="nil"/>
              <w:bottom w:val="single" w:sz="4" w:space="0" w:color="auto"/>
              <w:right w:val="single" w:sz="4" w:space="0" w:color="auto"/>
            </w:tcBorders>
            <w:shd w:val="clear" w:color="auto" w:fill="auto"/>
            <w:vAlign w:val="bottom"/>
            <w:hideMark/>
          </w:tcPr>
          <w:p w14:paraId="5BA0C29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2.395 </w:t>
            </w:r>
          </w:p>
        </w:tc>
        <w:tc>
          <w:tcPr>
            <w:tcW w:w="527" w:type="pct"/>
            <w:tcBorders>
              <w:top w:val="nil"/>
              <w:left w:val="nil"/>
              <w:bottom w:val="single" w:sz="4" w:space="0" w:color="auto"/>
              <w:right w:val="single" w:sz="4" w:space="0" w:color="auto"/>
            </w:tcBorders>
            <w:shd w:val="clear" w:color="auto" w:fill="auto"/>
            <w:vAlign w:val="bottom"/>
            <w:hideMark/>
          </w:tcPr>
          <w:p w14:paraId="4156179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467 </w:t>
            </w:r>
          </w:p>
        </w:tc>
        <w:tc>
          <w:tcPr>
            <w:tcW w:w="439" w:type="pct"/>
            <w:tcBorders>
              <w:top w:val="nil"/>
              <w:left w:val="nil"/>
              <w:bottom w:val="single" w:sz="4" w:space="0" w:color="auto"/>
              <w:right w:val="single" w:sz="4" w:space="0" w:color="auto"/>
            </w:tcBorders>
            <w:shd w:val="clear" w:color="auto" w:fill="auto"/>
            <w:vAlign w:val="bottom"/>
            <w:hideMark/>
          </w:tcPr>
          <w:p w14:paraId="1ED4A61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2.383 </w:t>
            </w:r>
          </w:p>
        </w:tc>
        <w:tc>
          <w:tcPr>
            <w:tcW w:w="547" w:type="pct"/>
            <w:tcBorders>
              <w:top w:val="nil"/>
              <w:left w:val="nil"/>
              <w:bottom w:val="single" w:sz="4" w:space="0" w:color="auto"/>
              <w:right w:val="single" w:sz="4" w:space="0" w:color="auto"/>
            </w:tcBorders>
            <w:shd w:val="clear" w:color="auto" w:fill="auto"/>
            <w:vAlign w:val="bottom"/>
            <w:hideMark/>
          </w:tcPr>
          <w:p w14:paraId="5EF3D7A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957 </w:t>
            </w:r>
          </w:p>
        </w:tc>
      </w:tr>
      <w:tr w:rsidR="00EE1B4D" w:rsidRPr="001A38D5" w14:paraId="44516B67"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3CFCBBF8"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EDUARDO CARRANZA</w:t>
            </w:r>
          </w:p>
        </w:tc>
        <w:tc>
          <w:tcPr>
            <w:tcW w:w="330" w:type="pct"/>
            <w:tcBorders>
              <w:top w:val="nil"/>
              <w:left w:val="nil"/>
              <w:bottom w:val="single" w:sz="4" w:space="0" w:color="auto"/>
              <w:right w:val="single" w:sz="4" w:space="0" w:color="auto"/>
            </w:tcBorders>
            <w:shd w:val="clear" w:color="auto" w:fill="auto"/>
            <w:vAlign w:val="bottom"/>
            <w:hideMark/>
          </w:tcPr>
          <w:p w14:paraId="46C4003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3</w:t>
            </w:r>
          </w:p>
        </w:tc>
        <w:tc>
          <w:tcPr>
            <w:tcW w:w="459" w:type="pct"/>
            <w:tcBorders>
              <w:top w:val="nil"/>
              <w:left w:val="nil"/>
              <w:bottom w:val="single" w:sz="4" w:space="0" w:color="auto"/>
              <w:right w:val="single" w:sz="4" w:space="0" w:color="auto"/>
            </w:tcBorders>
            <w:shd w:val="clear" w:color="auto" w:fill="auto"/>
            <w:vAlign w:val="bottom"/>
            <w:hideMark/>
          </w:tcPr>
          <w:p w14:paraId="6848559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1.805 </w:t>
            </w:r>
          </w:p>
        </w:tc>
        <w:tc>
          <w:tcPr>
            <w:tcW w:w="527" w:type="pct"/>
            <w:tcBorders>
              <w:top w:val="nil"/>
              <w:left w:val="nil"/>
              <w:bottom w:val="single" w:sz="4" w:space="0" w:color="auto"/>
              <w:right w:val="single" w:sz="4" w:space="0" w:color="auto"/>
            </w:tcBorders>
            <w:shd w:val="clear" w:color="auto" w:fill="auto"/>
            <w:vAlign w:val="bottom"/>
            <w:hideMark/>
          </w:tcPr>
          <w:p w14:paraId="3A08F42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224 </w:t>
            </w:r>
          </w:p>
        </w:tc>
        <w:tc>
          <w:tcPr>
            <w:tcW w:w="460" w:type="pct"/>
            <w:tcBorders>
              <w:top w:val="nil"/>
              <w:left w:val="nil"/>
              <w:bottom w:val="single" w:sz="4" w:space="0" w:color="auto"/>
              <w:right w:val="single" w:sz="4" w:space="0" w:color="auto"/>
            </w:tcBorders>
            <w:shd w:val="clear" w:color="auto" w:fill="auto"/>
            <w:vAlign w:val="bottom"/>
            <w:hideMark/>
          </w:tcPr>
          <w:p w14:paraId="048C262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1.599 </w:t>
            </w:r>
          </w:p>
        </w:tc>
        <w:tc>
          <w:tcPr>
            <w:tcW w:w="527" w:type="pct"/>
            <w:tcBorders>
              <w:top w:val="nil"/>
              <w:left w:val="nil"/>
              <w:bottom w:val="single" w:sz="4" w:space="0" w:color="auto"/>
              <w:right w:val="single" w:sz="4" w:space="0" w:color="auto"/>
            </w:tcBorders>
            <w:shd w:val="clear" w:color="auto" w:fill="auto"/>
            <w:vAlign w:val="bottom"/>
            <w:hideMark/>
          </w:tcPr>
          <w:p w14:paraId="0FA0B52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479 </w:t>
            </w:r>
          </w:p>
        </w:tc>
        <w:tc>
          <w:tcPr>
            <w:tcW w:w="439" w:type="pct"/>
            <w:tcBorders>
              <w:top w:val="nil"/>
              <w:left w:val="nil"/>
              <w:bottom w:val="single" w:sz="4" w:space="0" w:color="auto"/>
              <w:right w:val="single" w:sz="4" w:space="0" w:color="auto"/>
            </w:tcBorders>
            <w:shd w:val="clear" w:color="auto" w:fill="auto"/>
            <w:vAlign w:val="bottom"/>
            <w:hideMark/>
          </w:tcPr>
          <w:p w14:paraId="2351A2B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1.558 </w:t>
            </w:r>
          </w:p>
        </w:tc>
        <w:tc>
          <w:tcPr>
            <w:tcW w:w="547" w:type="pct"/>
            <w:tcBorders>
              <w:top w:val="nil"/>
              <w:left w:val="nil"/>
              <w:bottom w:val="single" w:sz="4" w:space="0" w:color="auto"/>
              <w:right w:val="single" w:sz="4" w:space="0" w:color="auto"/>
            </w:tcBorders>
            <w:shd w:val="clear" w:color="auto" w:fill="auto"/>
            <w:vAlign w:val="bottom"/>
            <w:hideMark/>
          </w:tcPr>
          <w:p w14:paraId="0DDBCCE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821 </w:t>
            </w:r>
          </w:p>
        </w:tc>
      </w:tr>
      <w:tr w:rsidR="00EE1B4D" w:rsidRPr="001A38D5" w14:paraId="31AEA6EA"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029216F4"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lastRenderedPageBreak/>
              <w:t>COLEGIO AGROPECUARIO LAS MERCEDES</w:t>
            </w:r>
          </w:p>
        </w:tc>
        <w:tc>
          <w:tcPr>
            <w:tcW w:w="330" w:type="pct"/>
            <w:tcBorders>
              <w:top w:val="nil"/>
              <w:left w:val="nil"/>
              <w:bottom w:val="single" w:sz="4" w:space="0" w:color="auto"/>
              <w:right w:val="single" w:sz="4" w:space="0" w:color="auto"/>
            </w:tcBorders>
            <w:shd w:val="clear" w:color="auto" w:fill="auto"/>
            <w:vAlign w:val="bottom"/>
            <w:hideMark/>
          </w:tcPr>
          <w:p w14:paraId="39873B8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140355F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429 </w:t>
            </w:r>
          </w:p>
        </w:tc>
        <w:tc>
          <w:tcPr>
            <w:tcW w:w="527" w:type="pct"/>
            <w:tcBorders>
              <w:top w:val="nil"/>
              <w:left w:val="nil"/>
              <w:bottom w:val="single" w:sz="4" w:space="0" w:color="auto"/>
              <w:right w:val="single" w:sz="4" w:space="0" w:color="auto"/>
            </w:tcBorders>
            <w:shd w:val="clear" w:color="auto" w:fill="auto"/>
            <w:vAlign w:val="bottom"/>
            <w:hideMark/>
          </w:tcPr>
          <w:p w14:paraId="5F054D0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403 </w:t>
            </w:r>
          </w:p>
        </w:tc>
        <w:tc>
          <w:tcPr>
            <w:tcW w:w="460" w:type="pct"/>
            <w:tcBorders>
              <w:top w:val="nil"/>
              <w:left w:val="nil"/>
              <w:bottom w:val="single" w:sz="4" w:space="0" w:color="auto"/>
              <w:right w:val="single" w:sz="4" w:space="0" w:color="auto"/>
            </w:tcBorders>
            <w:shd w:val="clear" w:color="auto" w:fill="auto"/>
            <w:vAlign w:val="bottom"/>
            <w:hideMark/>
          </w:tcPr>
          <w:p w14:paraId="6969DCA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442 </w:t>
            </w:r>
          </w:p>
        </w:tc>
        <w:tc>
          <w:tcPr>
            <w:tcW w:w="527" w:type="pct"/>
            <w:tcBorders>
              <w:top w:val="nil"/>
              <w:left w:val="nil"/>
              <w:bottom w:val="single" w:sz="4" w:space="0" w:color="auto"/>
              <w:right w:val="single" w:sz="4" w:space="0" w:color="auto"/>
            </w:tcBorders>
            <w:shd w:val="clear" w:color="auto" w:fill="auto"/>
            <w:vAlign w:val="bottom"/>
            <w:hideMark/>
          </w:tcPr>
          <w:p w14:paraId="1D424F2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436 </w:t>
            </w:r>
          </w:p>
        </w:tc>
        <w:tc>
          <w:tcPr>
            <w:tcW w:w="439" w:type="pct"/>
            <w:tcBorders>
              <w:top w:val="nil"/>
              <w:left w:val="nil"/>
              <w:bottom w:val="single" w:sz="4" w:space="0" w:color="auto"/>
              <w:right w:val="single" w:sz="4" w:space="0" w:color="auto"/>
            </w:tcBorders>
            <w:shd w:val="clear" w:color="auto" w:fill="auto"/>
            <w:vAlign w:val="bottom"/>
            <w:hideMark/>
          </w:tcPr>
          <w:p w14:paraId="13E3614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473 </w:t>
            </w:r>
          </w:p>
        </w:tc>
        <w:tc>
          <w:tcPr>
            <w:tcW w:w="547" w:type="pct"/>
            <w:tcBorders>
              <w:top w:val="nil"/>
              <w:left w:val="nil"/>
              <w:bottom w:val="single" w:sz="4" w:space="0" w:color="auto"/>
              <w:right w:val="single" w:sz="4" w:space="0" w:color="auto"/>
            </w:tcBorders>
            <w:shd w:val="clear" w:color="auto" w:fill="auto"/>
            <w:vAlign w:val="bottom"/>
            <w:hideMark/>
          </w:tcPr>
          <w:p w14:paraId="151715D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449 </w:t>
            </w:r>
          </w:p>
        </w:tc>
      </w:tr>
      <w:tr w:rsidR="00EE1B4D" w:rsidRPr="001A38D5" w14:paraId="6DA510D9"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14461A81"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I.E. LAS PALMAS</w:t>
            </w:r>
          </w:p>
        </w:tc>
        <w:tc>
          <w:tcPr>
            <w:tcW w:w="330" w:type="pct"/>
            <w:tcBorders>
              <w:top w:val="nil"/>
              <w:left w:val="nil"/>
              <w:bottom w:val="single" w:sz="4" w:space="0" w:color="auto"/>
              <w:right w:val="single" w:sz="4" w:space="0" w:color="auto"/>
            </w:tcBorders>
            <w:shd w:val="clear" w:color="auto" w:fill="auto"/>
            <w:vAlign w:val="bottom"/>
            <w:hideMark/>
          </w:tcPr>
          <w:p w14:paraId="607382E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3</w:t>
            </w:r>
          </w:p>
        </w:tc>
        <w:tc>
          <w:tcPr>
            <w:tcW w:w="459" w:type="pct"/>
            <w:tcBorders>
              <w:top w:val="nil"/>
              <w:left w:val="nil"/>
              <w:bottom w:val="single" w:sz="4" w:space="0" w:color="auto"/>
              <w:right w:val="single" w:sz="4" w:space="0" w:color="auto"/>
            </w:tcBorders>
            <w:shd w:val="clear" w:color="auto" w:fill="auto"/>
            <w:vAlign w:val="bottom"/>
            <w:hideMark/>
          </w:tcPr>
          <w:p w14:paraId="4A70DE8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2.227 </w:t>
            </w:r>
          </w:p>
        </w:tc>
        <w:tc>
          <w:tcPr>
            <w:tcW w:w="527" w:type="pct"/>
            <w:tcBorders>
              <w:top w:val="nil"/>
              <w:left w:val="nil"/>
              <w:bottom w:val="single" w:sz="4" w:space="0" w:color="auto"/>
              <w:right w:val="single" w:sz="4" w:space="0" w:color="auto"/>
            </w:tcBorders>
            <w:shd w:val="clear" w:color="auto" w:fill="auto"/>
            <w:vAlign w:val="bottom"/>
            <w:hideMark/>
          </w:tcPr>
          <w:p w14:paraId="6715FDB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1.639 </w:t>
            </w:r>
          </w:p>
        </w:tc>
        <w:tc>
          <w:tcPr>
            <w:tcW w:w="460" w:type="pct"/>
            <w:tcBorders>
              <w:top w:val="nil"/>
              <w:left w:val="nil"/>
              <w:bottom w:val="single" w:sz="4" w:space="0" w:color="auto"/>
              <w:right w:val="single" w:sz="4" w:space="0" w:color="auto"/>
            </w:tcBorders>
            <w:shd w:val="clear" w:color="auto" w:fill="auto"/>
            <w:vAlign w:val="bottom"/>
            <w:hideMark/>
          </w:tcPr>
          <w:p w14:paraId="51B34E6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2.311 </w:t>
            </w:r>
          </w:p>
        </w:tc>
        <w:tc>
          <w:tcPr>
            <w:tcW w:w="527" w:type="pct"/>
            <w:tcBorders>
              <w:top w:val="nil"/>
              <w:left w:val="nil"/>
              <w:bottom w:val="single" w:sz="4" w:space="0" w:color="auto"/>
              <w:right w:val="single" w:sz="4" w:space="0" w:color="auto"/>
            </w:tcBorders>
            <w:shd w:val="clear" w:color="auto" w:fill="auto"/>
            <w:vAlign w:val="bottom"/>
            <w:hideMark/>
          </w:tcPr>
          <w:p w14:paraId="66D418C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896 </w:t>
            </w:r>
          </w:p>
        </w:tc>
        <w:tc>
          <w:tcPr>
            <w:tcW w:w="439" w:type="pct"/>
            <w:tcBorders>
              <w:top w:val="nil"/>
              <w:left w:val="nil"/>
              <w:bottom w:val="single" w:sz="4" w:space="0" w:color="auto"/>
              <w:right w:val="single" w:sz="4" w:space="0" w:color="auto"/>
            </w:tcBorders>
            <w:shd w:val="clear" w:color="auto" w:fill="auto"/>
            <w:vAlign w:val="bottom"/>
            <w:hideMark/>
          </w:tcPr>
          <w:p w14:paraId="71C7E6E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1.303 </w:t>
            </w:r>
          </w:p>
        </w:tc>
        <w:tc>
          <w:tcPr>
            <w:tcW w:w="547" w:type="pct"/>
            <w:tcBorders>
              <w:top w:val="nil"/>
              <w:left w:val="nil"/>
              <w:bottom w:val="single" w:sz="4" w:space="0" w:color="auto"/>
              <w:right w:val="single" w:sz="4" w:space="0" w:color="auto"/>
            </w:tcBorders>
            <w:shd w:val="clear" w:color="auto" w:fill="auto"/>
            <w:vAlign w:val="bottom"/>
            <w:hideMark/>
          </w:tcPr>
          <w:p w14:paraId="1CF13C5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934 </w:t>
            </w:r>
          </w:p>
        </w:tc>
      </w:tr>
      <w:tr w:rsidR="00EE1B4D" w:rsidRPr="001A38D5" w14:paraId="2A782360"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708451F6"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UNIDAD EDUCATIVA APIAY</w:t>
            </w:r>
          </w:p>
        </w:tc>
        <w:tc>
          <w:tcPr>
            <w:tcW w:w="330" w:type="pct"/>
            <w:tcBorders>
              <w:top w:val="nil"/>
              <w:left w:val="nil"/>
              <w:bottom w:val="single" w:sz="4" w:space="0" w:color="auto"/>
              <w:right w:val="single" w:sz="4" w:space="0" w:color="auto"/>
            </w:tcBorders>
            <w:shd w:val="clear" w:color="auto" w:fill="auto"/>
            <w:vAlign w:val="bottom"/>
            <w:hideMark/>
          </w:tcPr>
          <w:p w14:paraId="1F49316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6</w:t>
            </w:r>
          </w:p>
        </w:tc>
        <w:tc>
          <w:tcPr>
            <w:tcW w:w="459" w:type="pct"/>
            <w:tcBorders>
              <w:top w:val="nil"/>
              <w:left w:val="nil"/>
              <w:bottom w:val="single" w:sz="4" w:space="0" w:color="auto"/>
              <w:right w:val="single" w:sz="4" w:space="0" w:color="auto"/>
            </w:tcBorders>
            <w:shd w:val="clear" w:color="auto" w:fill="auto"/>
            <w:vAlign w:val="bottom"/>
            <w:hideMark/>
          </w:tcPr>
          <w:p w14:paraId="55F8C03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912 </w:t>
            </w:r>
          </w:p>
        </w:tc>
        <w:tc>
          <w:tcPr>
            <w:tcW w:w="527" w:type="pct"/>
            <w:tcBorders>
              <w:top w:val="nil"/>
              <w:left w:val="nil"/>
              <w:bottom w:val="single" w:sz="4" w:space="0" w:color="auto"/>
              <w:right w:val="single" w:sz="4" w:space="0" w:color="auto"/>
            </w:tcBorders>
            <w:shd w:val="clear" w:color="auto" w:fill="auto"/>
            <w:vAlign w:val="bottom"/>
            <w:hideMark/>
          </w:tcPr>
          <w:p w14:paraId="42F3C81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778 </w:t>
            </w:r>
          </w:p>
        </w:tc>
        <w:tc>
          <w:tcPr>
            <w:tcW w:w="460" w:type="pct"/>
            <w:tcBorders>
              <w:top w:val="nil"/>
              <w:left w:val="nil"/>
              <w:bottom w:val="single" w:sz="4" w:space="0" w:color="auto"/>
              <w:right w:val="single" w:sz="4" w:space="0" w:color="auto"/>
            </w:tcBorders>
            <w:shd w:val="clear" w:color="auto" w:fill="auto"/>
            <w:vAlign w:val="bottom"/>
            <w:hideMark/>
          </w:tcPr>
          <w:p w14:paraId="1D50E63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907 </w:t>
            </w:r>
          </w:p>
        </w:tc>
        <w:tc>
          <w:tcPr>
            <w:tcW w:w="527" w:type="pct"/>
            <w:tcBorders>
              <w:top w:val="nil"/>
              <w:left w:val="nil"/>
              <w:bottom w:val="single" w:sz="4" w:space="0" w:color="auto"/>
              <w:right w:val="single" w:sz="4" w:space="0" w:color="auto"/>
            </w:tcBorders>
            <w:shd w:val="clear" w:color="auto" w:fill="auto"/>
            <w:vAlign w:val="bottom"/>
            <w:hideMark/>
          </w:tcPr>
          <w:p w14:paraId="439C921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917 </w:t>
            </w:r>
          </w:p>
        </w:tc>
        <w:tc>
          <w:tcPr>
            <w:tcW w:w="439" w:type="pct"/>
            <w:tcBorders>
              <w:top w:val="nil"/>
              <w:left w:val="nil"/>
              <w:bottom w:val="single" w:sz="4" w:space="0" w:color="auto"/>
              <w:right w:val="single" w:sz="4" w:space="0" w:color="auto"/>
            </w:tcBorders>
            <w:shd w:val="clear" w:color="auto" w:fill="auto"/>
            <w:vAlign w:val="bottom"/>
            <w:hideMark/>
          </w:tcPr>
          <w:p w14:paraId="689E3CF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936 </w:t>
            </w:r>
          </w:p>
        </w:tc>
        <w:tc>
          <w:tcPr>
            <w:tcW w:w="547" w:type="pct"/>
            <w:tcBorders>
              <w:top w:val="nil"/>
              <w:left w:val="nil"/>
              <w:bottom w:val="single" w:sz="4" w:space="0" w:color="auto"/>
              <w:right w:val="single" w:sz="4" w:space="0" w:color="auto"/>
            </w:tcBorders>
            <w:shd w:val="clear" w:color="auto" w:fill="auto"/>
            <w:vAlign w:val="bottom"/>
            <w:hideMark/>
          </w:tcPr>
          <w:p w14:paraId="1995FF8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908 </w:t>
            </w:r>
          </w:p>
        </w:tc>
      </w:tr>
      <w:tr w:rsidR="00EE1B4D" w:rsidRPr="001A38D5" w14:paraId="1ABB37C4"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5DF1EB19"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ANTONIO RICAURTE CASD</w:t>
            </w:r>
          </w:p>
        </w:tc>
        <w:tc>
          <w:tcPr>
            <w:tcW w:w="330" w:type="pct"/>
            <w:tcBorders>
              <w:top w:val="nil"/>
              <w:left w:val="nil"/>
              <w:bottom w:val="single" w:sz="4" w:space="0" w:color="auto"/>
              <w:right w:val="single" w:sz="4" w:space="0" w:color="auto"/>
            </w:tcBorders>
            <w:shd w:val="clear" w:color="auto" w:fill="auto"/>
            <w:vAlign w:val="bottom"/>
            <w:hideMark/>
          </w:tcPr>
          <w:p w14:paraId="24D4F40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18A2712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1.278 </w:t>
            </w:r>
          </w:p>
        </w:tc>
        <w:tc>
          <w:tcPr>
            <w:tcW w:w="527" w:type="pct"/>
            <w:tcBorders>
              <w:top w:val="nil"/>
              <w:left w:val="nil"/>
              <w:bottom w:val="single" w:sz="4" w:space="0" w:color="auto"/>
              <w:right w:val="single" w:sz="4" w:space="0" w:color="auto"/>
            </w:tcBorders>
            <w:shd w:val="clear" w:color="auto" w:fill="auto"/>
            <w:vAlign w:val="bottom"/>
            <w:hideMark/>
          </w:tcPr>
          <w:p w14:paraId="2ADAEED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497 </w:t>
            </w:r>
          </w:p>
        </w:tc>
        <w:tc>
          <w:tcPr>
            <w:tcW w:w="460" w:type="pct"/>
            <w:tcBorders>
              <w:top w:val="nil"/>
              <w:left w:val="nil"/>
              <w:bottom w:val="single" w:sz="4" w:space="0" w:color="auto"/>
              <w:right w:val="single" w:sz="4" w:space="0" w:color="auto"/>
            </w:tcBorders>
            <w:shd w:val="clear" w:color="auto" w:fill="auto"/>
            <w:vAlign w:val="bottom"/>
            <w:hideMark/>
          </w:tcPr>
          <w:p w14:paraId="2C0A28A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1.256 </w:t>
            </w:r>
          </w:p>
        </w:tc>
        <w:tc>
          <w:tcPr>
            <w:tcW w:w="527" w:type="pct"/>
            <w:tcBorders>
              <w:top w:val="nil"/>
              <w:left w:val="nil"/>
              <w:bottom w:val="single" w:sz="4" w:space="0" w:color="auto"/>
              <w:right w:val="single" w:sz="4" w:space="0" w:color="auto"/>
            </w:tcBorders>
            <w:shd w:val="clear" w:color="auto" w:fill="auto"/>
            <w:vAlign w:val="bottom"/>
            <w:hideMark/>
          </w:tcPr>
          <w:p w14:paraId="1CC6EB2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562 </w:t>
            </w:r>
          </w:p>
        </w:tc>
        <w:tc>
          <w:tcPr>
            <w:tcW w:w="439" w:type="pct"/>
            <w:tcBorders>
              <w:top w:val="nil"/>
              <w:left w:val="nil"/>
              <w:bottom w:val="single" w:sz="4" w:space="0" w:color="auto"/>
              <w:right w:val="single" w:sz="4" w:space="0" w:color="auto"/>
            </w:tcBorders>
            <w:shd w:val="clear" w:color="auto" w:fill="auto"/>
            <w:vAlign w:val="bottom"/>
            <w:hideMark/>
          </w:tcPr>
          <w:p w14:paraId="1639335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1.162 </w:t>
            </w:r>
          </w:p>
        </w:tc>
        <w:tc>
          <w:tcPr>
            <w:tcW w:w="547" w:type="pct"/>
            <w:tcBorders>
              <w:top w:val="nil"/>
              <w:left w:val="nil"/>
              <w:bottom w:val="single" w:sz="4" w:space="0" w:color="auto"/>
              <w:right w:val="single" w:sz="4" w:space="0" w:color="auto"/>
            </w:tcBorders>
            <w:shd w:val="clear" w:color="auto" w:fill="auto"/>
            <w:vAlign w:val="bottom"/>
            <w:hideMark/>
          </w:tcPr>
          <w:p w14:paraId="2B73F64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791 </w:t>
            </w:r>
          </w:p>
        </w:tc>
      </w:tr>
      <w:tr w:rsidR="00EE1B4D" w:rsidRPr="001A38D5" w14:paraId="61A79BDA"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1B57225D"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COLEGIO DEPARTAMENTAL NARCISO JOSE MATUS TORRES</w:t>
            </w:r>
          </w:p>
        </w:tc>
        <w:tc>
          <w:tcPr>
            <w:tcW w:w="330" w:type="pct"/>
            <w:tcBorders>
              <w:top w:val="nil"/>
              <w:left w:val="nil"/>
              <w:bottom w:val="single" w:sz="4" w:space="0" w:color="auto"/>
              <w:right w:val="single" w:sz="4" w:space="0" w:color="auto"/>
            </w:tcBorders>
            <w:shd w:val="clear" w:color="auto" w:fill="auto"/>
            <w:vAlign w:val="bottom"/>
            <w:hideMark/>
          </w:tcPr>
          <w:p w14:paraId="78CDFA3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6</w:t>
            </w:r>
          </w:p>
        </w:tc>
        <w:tc>
          <w:tcPr>
            <w:tcW w:w="459" w:type="pct"/>
            <w:tcBorders>
              <w:top w:val="nil"/>
              <w:left w:val="nil"/>
              <w:bottom w:val="single" w:sz="4" w:space="0" w:color="auto"/>
              <w:right w:val="single" w:sz="4" w:space="0" w:color="auto"/>
            </w:tcBorders>
            <w:shd w:val="clear" w:color="auto" w:fill="auto"/>
            <w:vAlign w:val="bottom"/>
            <w:hideMark/>
          </w:tcPr>
          <w:p w14:paraId="1103EA5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2.674 </w:t>
            </w:r>
          </w:p>
        </w:tc>
        <w:tc>
          <w:tcPr>
            <w:tcW w:w="527" w:type="pct"/>
            <w:tcBorders>
              <w:top w:val="nil"/>
              <w:left w:val="nil"/>
              <w:bottom w:val="single" w:sz="4" w:space="0" w:color="auto"/>
              <w:right w:val="single" w:sz="4" w:space="0" w:color="auto"/>
            </w:tcBorders>
            <w:shd w:val="clear" w:color="auto" w:fill="auto"/>
            <w:vAlign w:val="bottom"/>
            <w:hideMark/>
          </w:tcPr>
          <w:p w14:paraId="5E40E80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1.174 </w:t>
            </w:r>
          </w:p>
        </w:tc>
        <w:tc>
          <w:tcPr>
            <w:tcW w:w="460" w:type="pct"/>
            <w:tcBorders>
              <w:top w:val="nil"/>
              <w:left w:val="nil"/>
              <w:bottom w:val="single" w:sz="4" w:space="0" w:color="auto"/>
              <w:right w:val="single" w:sz="4" w:space="0" w:color="auto"/>
            </w:tcBorders>
            <w:shd w:val="clear" w:color="auto" w:fill="auto"/>
            <w:vAlign w:val="bottom"/>
            <w:hideMark/>
          </w:tcPr>
          <w:p w14:paraId="7B128D7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2.499 </w:t>
            </w:r>
          </w:p>
        </w:tc>
        <w:tc>
          <w:tcPr>
            <w:tcW w:w="527" w:type="pct"/>
            <w:tcBorders>
              <w:top w:val="nil"/>
              <w:left w:val="nil"/>
              <w:bottom w:val="single" w:sz="4" w:space="0" w:color="auto"/>
              <w:right w:val="single" w:sz="4" w:space="0" w:color="auto"/>
            </w:tcBorders>
            <w:shd w:val="clear" w:color="auto" w:fill="auto"/>
            <w:vAlign w:val="bottom"/>
            <w:hideMark/>
          </w:tcPr>
          <w:p w14:paraId="11C9F32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1.178 </w:t>
            </w:r>
          </w:p>
        </w:tc>
        <w:tc>
          <w:tcPr>
            <w:tcW w:w="439" w:type="pct"/>
            <w:tcBorders>
              <w:top w:val="nil"/>
              <w:left w:val="nil"/>
              <w:bottom w:val="single" w:sz="4" w:space="0" w:color="auto"/>
              <w:right w:val="single" w:sz="4" w:space="0" w:color="auto"/>
            </w:tcBorders>
            <w:shd w:val="clear" w:color="auto" w:fill="auto"/>
            <w:vAlign w:val="bottom"/>
            <w:hideMark/>
          </w:tcPr>
          <w:p w14:paraId="0B82392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2.366 </w:t>
            </w:r>
          </w:p>
        </w:tc>
        <w:tc>
          <w:tcPr>
            <w:tcW w:w="547" w:type="pct"/>
            <w:tcBorders>
              <w:top w:val="nil"/>
              <w:left w:val="nil"/>
              <w:bottom w:val="single" w:sz="4" w:space="0" w:color="auto"/>
              <w:right w:val="single" w:sz="4" w:space="0" w:color="auto"/>
            </w:tcBorders>
            <w:shd w:val="clear" w:color="auto" w:fill="auto"/>
            <w:vAlign w:val="bottom"/>
            <w:hideMark/>
          </w:tcPr>
          <w:p w14:paraId="1DD724B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1.961 </w:t>
            </w:r>
          </w:p>
        </w:tc>
      </w:tr>
      <w:tr w:rsidR="00EE1B4D" w:rsidRPr="001A38D5" w14:paraId="1E857E61"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7612D634"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ALBERTO LLERAS CAMARGO</w:t>
            </w:r>
          </w:p>
        </w:tc>
        <w:tc>
          <w:tcPr>
            <w:tcW w:w="330" w:type="pct"/>
            <w:tcBorders>
              <w:top w:val="nil"/>
              <w:left w:val="nil"/>
              <w:bottom w:val="single" w:sz="4" w:space="0" w:color="auto"/>
              <w:right w:val="single" w:sz="4" w:space="0" w:color="auto"/>
            </w:tcBorders>
            <w:shd w:val="clear" w:color="auto" w:fill="auto"/>
            <w:vAlign w:val="bottom"/>
            <w:hideMark/>
          </w:tcPr>
          <w:p w14:paraId="4BB08B3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6</w:t>
            </w:r>
          </w:p>
        </w:tc>
        <w:tc>
          <w:tcPr>
            <w:tcW w:w="459" w:type="pct"/>
            <w:tcBorders>
              <w:top w:val="nil"/>
              <w:left w:val="nil"/>
              <w:bottom w:val="single" w:sz="4" w:space="0" w:color="auto"/>
              <w:right w:val="single" w:sz="4" w:space="0" w:color="auto"/>
            </w:tcBorders>
            <w:shd w:val="clear" w:color="auto" w:fill="auto"/>
            <w:vAlign w:val="bottom"/>
            <w:hideMark/>
          </w:tcPr>
          <w:p w14:paraId="4ED8ABD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2.778 </w:t>
            </w:r>
          </w:p>
        </w:tc>
        <w:tc>
          <w:tcPr>
            <w:tcW w:w="527" w:type="pct"/>
            <w:tcBorders>
              <w:top w:val="nil"/>
              <w:left w:val="nil"/>
              <w:bottom w:val="single" w:sz="4" w:space="0" w:color="auto"/>
              <w:right w:val="single" w:sz="4" w:space="0" w:color="auto"/>
            </w:tcBorders>
            <w:shd w:val="clear" w:color="auto" w:fill="auto"/>
            <w:vAlign w:val="bottom"/>
            <w:hideMark/>
          </w:tcPr>
          <w:p w14:paraId="69455D8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1.083 </w:t>
            </w:r>
          </w:p>
        </w:tc>
        <w:tc>
          <w:tcPr>
            <w:tcW w:w="460" w:type="pct"/>
            <w:tcBorders>
              <w:top w:val="nil"/>
              <w:left w:val="nil"/>
              <w:bottom w:val="single" w:sz="4" w:space="0" w:color="auto"/>
              <w:right w:val="single" w:sz="4" w:space="0" w:color="auto"/>
            </w:tcBorders>
            <w:shd w:val="clear" w:color="auto" w:fill="auto"/>
            <w:vAlign w:val="bottom"/>
            <w:hideMark/>
          </w:tcPr>
          <w:p w14:paraId="2521D8A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2.723 </w:t>
            </w:r>
          </w:p>
        </w:tc>
        <w:tc>
          <w:tcPr>
            <w:tcW w:w="527" w:type="pct"/>
            <w:tcBorders>
              <w:top w:val="nil"/>
              <w:left w:val="nil"/>
              <w:bottom w:val="single" w:sz="4" w:space="0" w:color="auto"/>
              <w:right w:val="single" w:sz="4" w:space="0" w:color="auto"/>
            </w:tcBorders>
            <w:shd w:val="clear" w:color="auto" w:fill="auto"/>
            <w:vAlign w:val="bottom"/>
            <w:hideMark/>
          </w:tcPr>
          <w:p w14:paraId="1E80C1D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1.118 </w:t>
            </w:r>
          </w:p>
        </w:tc>
        <w:tc>
          <w:tcPr>
            <w:tcW w:w="439" w:type="pct"/>
            <w:tcBorders>
              <w:top w:val="nil"/>
              <w:left w:val="nil"/>
              <w:bottom w:val="single" w:sz="4" w:space="0" w:color="auto"/>
              <w:right w:val="single" w:sz="4" w:space="0" w:color="auto"/>
            </w:tcBorders>
            <w:shd w:val="clear" w:color="auto" w:fill="auto"/>
            <w:vAlign w:val="bottom"/>
            <w:hideMark/>
          </w:tcPr>
          <w:p w14:paraId="4C98A8F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2.694 </w:t>
            </w:r>
          </w:p>
        </w:tc>
        <w:tc>
          <w:tcPr>
            <w:tcW w:w="547" w:type="pct"/>
            <w:tcBorders>
              <w:top w:val="nil"/>
              <w:left w:val="nil"/>
              <w:bottom w:val="single" w:sz="4" w:space="0" w:color="auto"/>
              <w:right w:val="single" w:sz="4" w:space="0" w:color="auto"/>
            </w:tcBorders>
            <w:shd w:val="clear" w:color="auto" w:fill="auto"/>
            <w:vAlign w:val="bottom"/>
            <w:hideMark/>
          </w:tcPr>
          <w:p w14:paraId="179732D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2.071 </w:t>
            </w:r>
          </w:p>
        </w:tc>
      </w:tr>
      <w:tr w:rsidR="00EE1B4D" w:rsidRPr="001A38D5" w14:paraId="664767EE"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024E0BC9"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JARD INF MIS MEJORES TALENTOS PONAL</w:t>
            </w:r>
          </w:p>
        </w:tc>
        <w:tc>
          <w:tcPr>
            <w:tcW w:w="330" w:type="pct"/>
            <w:tcBorders>
              <w:top w:val="nil"/>
              <w:left w:val="nil"/>
              <w:bottom w:val="single" w:sz="4" w:space="0" w:color="auto"/>
              <w:right w:val="single" w:sz="4" w:space="0" w:color="auto"/>
            </w:tcBorders>
            <w:shd w:val="clear" w:color="auto" w:fill="auto"/>
            <w:vAlign w:val="bottom"/>
            <w:hideMark/>
          </w:tcPr>
          <w:p w14:paraId="0726C88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75E6D65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72 </w:t>
            </w:r>
          </w:p>
        </w:tc>
        <w:tc>
          <w:tcPr>
            <w:tcW w:w="527" w:type="pct"/>
            <w:tcBorders>
              <w:top w:val="nil"/>
              <w:left w:val="nil"/>
              <w:bottom w:val="single" w:sz="4" w:space="0" w:color="auto"/>
              <w:right w:val="single" w:sz="4" w:space="0" w:color="auto"/>
            </w:tcBorders>
            <w:shd w:val="clear" w:color="auto" w:fill="auto"/>
            <w:vAlign w:val="bottom"/>
            <w:hideMark/>
          </w:tcPr>
          <w:p w14:paraId="33B940B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 </w:t>
            </w:r>
          </w:p>
        </w:tc>
        <w:tc>
          <w:tcPr>
            <w:tcW w:w="460" w:type="pct"/>
            <w:tcBorders>
              <w:top w:val="nil"/>
              <w:left w:val="nil"/>
              <w:bottom w:val="single" w:sz="4" w:space="0" w:color="auto"/>
              <w:right w:val="single" w:sz="4" w:space="0" w:color="auto"/>
            </w:tcBorders>
            <w:shd w:val="clear" w:color="auto" w:fill="auto"/>
            <w:vAlign w:val="bottom"/>
            <w:hideMark/>
          </w:tcPr>
          <w:p w14:paraId="64F40F2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 </w:t>
            </w:r>
          </w:p>
        </w:tc>
        <w:tc>
          <w:tcPr>
            <w:tcW w:w="527" w:type="pct"/>
            <w:tcBorders>
              <w:top w:val="nil"/>
              <w:left w:val="nil"/>
              <w:bottom w:val="single" w:sz="4" w:space="0" w:color="auto"/>
              <w:right w:val="single" w:sz="4" w:space="0" w:color="auto"/>
            </w:tcBorders>
            <w:shd w:val="clear" w:color="auto" w:fill="auto"/>
            <w:vAlign w:val="bottom"/>
            <w:hideMark/>
          </w:tcPr>
          <w:p w14:paraId="01F7571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0 </w:t>
            </w:r>
          </w:p>
        </w:tc>
        <w:tc>
          <w:tcPr>
            <w:tcW w:w="439" w:type="pct"/>
            <w:tcBorders>
              <w:top w:val="nil"/>
              <w:left w:val="nil"/>
              <w:bottom w:val="single" w:sz="4" w:space="0" w:color="auto"/>
              <w:right w:val="single" w:sz="4" w:space="0" w:color="auto"/>
            </w:tcBorders>
            <w:shd w:val="clear" w:color="auto" w:fill="auto"/>
            <w:vAlign w:val="bottom"/>
            <w:hideMark/>
          </w:tcPr>
          <w:p w14:paraId="08D4DF1B"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47" w:type="pct"/>
            <w:tcBorders>
              <w:top w:val="nil"/>
              <w:left w:val="nil"/>
              <w:bottom w:val="single" w:sz="4" w:space="0" w:color="auto"/>
              <w:right w:val="single" w:sz="4" w:space="0" w:color="auto"/>
            </w:tcBorders>
            <w:shd w:val="clear" w:color="auto" w:fill="auto"/>
            <w:vAlign w:val="bottom"/>
            <w:hideMark/>
          </w:tcPr>
          <w:p w14:paraId="697FC8CE"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r>
      <w:tr w:rsidR="00EE1B4D" w:rsidRPr="001A38D5" w14:paraId="67386B87"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5C6B15F6"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ISAAC TACHA NIÑO</w:t>
            </w:r>
          </w:p>
        </w:tc>
        <w:tc>
          <w:tcPr>
            <w:tcW w:w="330" w:type="pct"/>
            <w:tcBorders>
              <w:top w:val="nil"/>
              <w:left w:val="nil"/>
              <w:bottom w:val="single" w:sz="4" w:space="0" w:color="auto"/>
              <w:right w:val="single" w:sz="4" w:space="0" w:color="auto"/>
            </w:tcBorders>
            <w:shd w:val="clear" w:color="auto" w:fill="auto"/>
            <w:vAlign w:val="bottom"/>
            <w:hideMark/>
          </w:tcPr>
          <w:p w14:paraId="13366BE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7</w:t>
            </w:r>
          </w:p>
        </w:tc>
        <w:tc>
          <w:tcPr>
            <w:tcW w:w="459" w:type="pct"/>
            <w:tcBorders>
              <w:top w:val="nil"/>
              <w:left w:val="nil"/>
              <w:bottom w:val="single" w:sz="4" w:space="0" w:color="auto"/>
              <w:right w:val="single" w:sz="4" w:space="0" w:color="auto"/>
            </w:tcBorders>
            <w:shd w:val="clear" w:color="auto" w:fill="auto"/>
            <w:vAlign w:val="bottom"/>
            <w:hideMark/>
          </w:tcPr>
          <w:p w14:paraId="29D6B8E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1.375 </w:t>
            </w:r>
          </w:p>
        </w:tc>
        <w:tc>
          <w:tcPr>
            <w:tcW w:w="527" w:type="pct"/>
            <w:tcBorders>
              <w:top w:val="nil"/>
              <w:left w:val="nil"/>
              <w:bottom w:val="single" w:sz="4" w:space="0" w:color="auto"/>
              <w:right w:val="single" w:sz="4" w:space="0" w:color="auto"/>
            </w:tcBorders>
            <w:shd w:val="clear" w:color="auto" w:fill="auto"/>
            <w:vAlign w:val="bottom"/>
            <w:hideMark/>
          </w:tcPr>
          <w:p w14:paraId="2D80B8B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1.278 </w:t>
            </w:r>
          </w:p>
        </w:tc>
        <w:tc>
          <w:tcPr>
            <w:tcW w:w="460" w:type="pct"/>
            <w:tcBorders>
              <w:top w:val="nil"/>
              <w:left w:val="nil"/>
              <w:bottom w:val="single" w:sz="4" w:space="0" w:color="auto"/>
              <w:right w:val="single" w:sz="4" w:space="0" w:color="auto"/>
            </w:tcBorders>
            <w:shd w:val="clear" w:color="auto" w:fill="auto"/>
            <w:vAlign w:val="bottom"/>
            <w:hideMark/>
          </w:tcPr>
          <w:p w14:paraId="3E3BC1F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2.036 </w:t>
            </w:r>
          </w:p>
        </w:tc>
        <w:tc>
          <w:tcPr>
            <w:tcW w:w="527" w:type="pct"/>
            <w:tcBorders>
              <w:top w:val="nil"/>
              <w:left w:val="nil"/>
              <w:bottom w:val="single" w:sz="4" w:space="0" w:color="auto"/>
              <w:right w:val="single" w:sz="4" w:space="0" w:color="auto"/>
            </w:tcBorders>
            <w:shd w:val="clear" w:color="auto" w:fill="auto"/>
            <w:vAlign w:val="bottom"/>
            <w:hideMark/>
          </w:tcPr>
          <w:p w14:paraId="158CE70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1.347 </w:t>
            </w:r>
          </w:p>
        </w:tc>
        <w:tc>
          <w:tcPr>
            <w:tcW w:w="439" w:type="pct"/>
            <w:tcBorders>
              <w:top w:val="nil"/>
              <w:left w:val="nil"/>
              <w:bottom w:val="single" w:sz="4" w:space="0" w:color="auto"/>
              <w:right w:val="single" w:sz="4" w:space="0" w:color="auto"/>
            </w:tcBorders>
            <w:shd w:val="clear" w:color="auto" w:fill="auto"/>
            <w:vAlign w:val="bottom"/>
            <w:hideMark/>
          </w:tcPr>
          <w:p w14:paraId="5987467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1.974 </w:t>
            </w:r>
          </w:p>
        </w:tc>
        <w:tc>
          <w:tcPr>
            <w:tcW w:w="547" w:type="pct"/>
            <w:tcBorders>
              <w:top w:val="nil"/>
              <w:left w:val="nil"/>
              <w:bottom w:val="single" w:sz="4" w:space="0" w:color="auto"/>
              <w:right w:val="single" w:sz="4" w:space="0" w:color="auto"/>
            </w:tcBorders>
            <w:shd w:val="clear" w:color="auto" w:fill="auto"/>
            <w:vAlign w:val="bottom"/>
            <w:hideMark/>
          </w:tcPr>
          <w:p w14:paraId="35A71E0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1.822 </w:t>
            </w:r>
          </w:p>
        </w:tc>
      </w:tr>
      <w:tr w:rsidR="00EE1B4D" w:rsidRPr="001A38D5" w14:paraId="18269275"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7A820A95"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COLEGIO GUILLERMO CANO ISAZA</w:t>
            </w:r>
          </w:p>
        </w:tc>
        <w:tc>
          <w:tcPr>
            <w:tcW w:w="330" w:type="pct"/>
            <w:tcBorders>
              <w:top w:val="nil"/>
              <w:left w:val="nil"/>
              <w:bottom w:val="single" w:sz="4" w:space="0" w:color="auto"/>
              <w:right w:val="single" w:sz="4" w:space="0" w:color="auto"/>
            </w:tcBorders>
            <w:shd w:val="clear" w:color="auto" w:fill="auto"/>
            <w:vAlign w:val="bottom"/>
            <w:hideMark/>
          </w:tcPr>
          <w:p w14:paraId="69DCEF9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6</w:t>
            </w:r>
          </w:p>
        </w:tc>
        <w:tc>
          <w:tcPr>
            <w:tcW w:w="459" w:type="pct"/>
            <w:tcBorders>
              <w:top w:val="nil"/>
              <w:left w:val="nil"/>
              <w:bottom w:val="single" w:sz="4" w:space="0" w:color="auto"/>
              <w:right w:val="single" w:sz="4" w:space="0" w:color="auto"/>
            </w:tcBorders>
            <w:shd w:val="clear" w:color="auto" w:fill="auto"/>
            <w:vAlign w:val="bottom"/>
            <w:hideMark/>
          </w:tcPr>
          <w:p w14:paraId="5BE0384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420 </w:t>
            </w:r>
          </w:p>
        </w:tc>
        <w:tc>
          <w:tcPr>
            <w:tcW w:w="527" w:type="pct"/>
            <w:tcBorders>
              <w:top w:val="nil"/>
              <w:left w:val="nil"/>
              <w:bottom w:val="single" w:sz="4" w:space="0" w:color="auto"/>
              <w:right w:val="single" w:sz="4" w:space="0" w:color="auto"/>
            </w:tcBorders>
            <w:shd w:val="clear" w:color="auto" w:fill="auto"/>
            <w:vAlign w:val="bottom"/>
            <w:hideMark/>
          </w:tcPr>
          <w:p w14:paraId="43DB5C5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396 </w:t>
            </w:r>
          </w:p>
        </w:tc>
        <w:tc>
          <w:tcPr>
            <w:tcW w:w="460" w:type="pct"/>
            <w:tcBorders>
              <w:top w:val="nil"/>
              <w:left w:val="nil"/>
              <w:bottom w:val="single" w:sz="4" w:space="0" w:color="auto"/>
              <w:right w:val="single" w:sz="4" w:space="0" w:color="auto"/>
            </w:tcBorders>
            <w:shd w:val="clear" w:color="auto" w:fill="auto"/>
            <w:vAlign w:val="bottom"/>
            <w:hideMark/>
          </w:tcPr>
          <w:p w14:paraId="5171AAE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421 </w:t>
            </w:r>
          </w:p>
        </w:tc>
        <w:tc>
          <w:tcPr>
            <w:tcW w:w="527" w:type="pct"/>
            <w:tcBorders>
              <w:top w:val="nil"/>
              <w:left w:val="nil"/>
              <w:bottom w:val="single" w:sz="4" w:space="0" w:color="auto"/>
              <w:right w:val="single" w:sz="4" w:space="0" w:color="auto"/>
            </w:tcBorders>
            <w:shd w:val="clear" w:color="auto" w:fill="auto"/>
            <w:vAlign w:val="bottom"/>
            <w:hideMark/>
          </w:tcPr>
          <w:p w14:paraId="10B6361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421 </w:t>
            </w:r>
          </w:p>
        </w:tc>
        <w:tc>
          <w:tcPr>
            <w:tcW w:w="439" w:type="pct"/>
            <w:tcBorders>
              <w:top w:val="nil"/>
              <w:left w:val="nil"/>
              <w:bottom w:val="single" w:sz="4" w:space="0" w:color="auto"/>
              <w:right w:val="single" w:sz="4" w:space="0" w:color="auto"/>
            </w:tcBorders>
            <w:shd w:val="clear" w:color="auto" w:fill="auto"/>
            <w:vAlign w:val="bottom"/>
            <w:hideMark/>
          </w:tcPr>
          <w:p w14:paraId="3945BF7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412 </w:t>
            </w:r>
          </w:p>
        </w:tc>
        <w:tc>
          <w:tcPr>
            <w:tcW w:w="547" w:type="pct"/>
            <w:tcBorders>
              <w:top w:val="nil"/>
              <w:left w:val="nil"/>
              <w:bottom w:val="single" w:sz="4" w:space="0" w:color="auto"/>
              <w:right w:val="single" w:sz="4" w:space="0" w:color="auto"/>
            </w:tcBorders>
            <w:shd w:val="clear" w:color="auto" w:fill="auto"/>
            <w:vAlign w:val="bottom"/>
            <w:hideMark/>
          </w:tcPr>
          <w:p w14:paraId="43CFDB8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405 </w:t>
            </w:r>
          </w:p>
        </w:tc>
      </w:tr>
      <w:tr w:rsidR="00EE1B4D" w:rsidRPr="001A38D5" w14:paraId="15C2B3BD"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1ACD4B01"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COLEGIO NUESTRA SEÑORA DE FATIMA-PONAL</w:t>
            </w:r>
          </w:p>
        </w:tc>
        <w:tc>
          <w:tcPr>
            <w:tcW w:w="330" w:type="pct"/>
            <w:tcBorders>
              <w:top w:val="nil"/>
              <w:left w:val="nil"/>
              <w:bottom w:val="single" w:sz="4" w:space="0" w:color="auto"/>
              <w:right w:val="single" w:sz="4" w:space="0" w:color="auto"/>
            </w:tcBorders>
            <w:shd w:val="clear" w:color="auto" w:fill="auto"/>
            <w:vAlign w:val="bottom"/>
            <w:hideMark/>
          </w:tcPr>
          <w:p w14:paraId="50C3173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675D849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544 </w:t>
            </w:r>
          </w:p>
        </w:tc>
        <w:tc>
          <w:tcPr>
            <w:tcW w:w="527" w:type="pct"/>
            <w:tcBorders>
              <w:top w:val="nil"/>
              <w:left w:val="nil"/>
              <w:bottom w:val="single" w:sz="4" w:space="0" w:color="auto"/>
              <w:right w:val="single" w:sz="4" w:space="0" w:color="auto"/>
            </w:tcBorders>
            <w:shd w:val="clear" w:color="auto" w:fill="auto"/>
            <w:vAlign w:val="bottom"/>
            <w:hideMark/>
          </w:tcPr>
          <w:p w14:paraId="09B5AF17"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1A0ACB5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476 </w:t>
            </w:r>
          </w:p>
        </w:tc>
        <w:tc>
          <w:tcPr>
            <w:tcW w:w="527" w:type="pct"/>
            <w:tcBorders>
              <w:top w:val="nil"/>
              <w:left w:val="nil"/>
              <w:bottom w:val="single" w:sz="4" w:space="0" w:color="auto"/>
              <w:right w:val="single" w:sz="4" w:space="0" w:color="auto"/>
            </w:tcBorders>
            <w:shd w:val="clear" w:color="auto" w:fill="auto"/>
            <w:vAlign w:val="bottom"/>
            <w:hideMark/>
          </w:tcPr>
          <w:p w14:paraId="2B27951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0 </w:t>
            </w:r>
          </w:p>
        </w:tc>
        <w:tc>
          <w:tcPr>
            <w:tcW w:w="439" w:type="pct"/>
            <w:tcBorders>
              <w:top w:val="nil"/>
              <w:left w:val="nil"/>
              <w:bottom w:val="single" w:sz="4" w:space="0" w:color="auto"/>
              <w:right w:val="single" w:sz="4" w:space="0" w:color="auto"/>
            </w:tcBorders>
            <w:shd w:val="clear" w:color="auto" w:fill="auto"/>
            <w:vAlign w:val="bottom"/>
            <w:hideMark/>
          </w:tcPr>
          <w:p w14:paraId="2890181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492 </w:t>
            </w:r>
          </w:p>
        </w:tc>
        <w:tc>
          <w:tcPr>
            <w:tcW w:w="547" w:type="pct"/>
            <w:tcBorders>
              <w:top w:val="nil"/>
              <w:left w:val="nil"/>
              <w:bottom w:val="single" w:sz="4" w:space="0" w:color="auto"/>
              <w:right w:val="single" w:sz="4" w:space="0" w:color="auto"/>
            </w:tcBorders>
            <w:shd w:val="clear" w:color="auto" w:fill="auto"/>
            <w:vAlign w:val="bottom"/>
            <w:hideMark/>
          </w:tcPr>
          <w:p w14:paraId="3AF9A1D8"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r>
      <w:tr w:rsidR="00EE1B4D" w:rsidRPr="001A38D5" w14:paraId="1DDB412D"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69760C16"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NUESTRA SEÑORA DE LA PAZ</w:t>
            </w:r>
          </w:p>
        </w:tc>
        <w:tc>
          <w:tcPr>
            <w:tcW w:w="330" w:type="pct"/>
            <w:tcBorders>
              <w:top w:val="nil"/>
              <w:left w:val="nil"/>
              <w:bottom w:val="single" w:sz="4" w:space="0" w:color="auto"/>
              <w:right w:val="single" w:sz="4" w:space="0" w:color="auto"/>
            </w:tcBorders>
            <w:shd w:val="clear" w:color="auto" w:fill="auto"/>
            <w:vAlign w:val="bottom"/>
            <w:hideMark/>
          </w:tcPr>
          <w:p w14:paraId="70BA8B3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3F7AE9E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744 </w:t>
            </w:r>
          </w:p>
        </w:tc>
        <w:tc>
          <w:tcPr>
            <w:tcW w:w="527" w:type="pct"/>
            <w:tcBorders>
              <w:top w:val="nil"/>
              <w:left w:val="nil"/>
              <w:bottom w:val="single" w:sz="4" w:space="0" w:color="auto"/>
              <w:right w:val="single" w:sz="4" w:space="0" w:color="auto"/>
            </w:tcBorders>
            <w:shd w:val="clear" w:color="auto" w:fill="auto"/>
            <w:vAlign w:val="bottom"/>
            <w:hideMark/>
          </w:tcPr>
          <w:p w14:paraId="696B728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185 </w:t>
            </w:r>
          </w:p>
        </w:tc>
        <w:tc>
          <w:tcPr>
            <w:tcW w:w="460" w:type="pct"/>
            <w:tcBorders>
              <w:top w:val="nil"/>
              <w:left w:val="nil"/>
              <w:bottom w:val="single" w:sz="4" w:space="0" w:color="auto"/>
              <w:right w:val="single" w:sz="4" w:space="0" w:color="auto"/>
            </w:tcBorders>
            <w:shd w:val="clear" w:color="auto" w:fill="auto"/>
            <w:vAlign w:val="bottom"/>
            <w:hideMark/>
          </w:tcPr>
          <w:p w14:paraId="5A1535F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1.094 </w:t>
            </w:r>
          </w:p>
        </w:tc>
        <w:tc>
          <w:tcPr>
            <w:tcW w:w="527" w:type="pct"/>
            <w:tcBorders>
              <w:top w:val="nil"/>
              <w:left w:val="nil"/>
              <w:bottom w:val="single" w:sz="4" w:space="0" w:color="auto"/>
              <w:right w:val="single" w:sz="4" w:space="0" w:color="auto"/>
            </w:tcBorders>
            <w:shd w:val="clear" w:color="auto" w:fill="auto"/>
            <w:vAlign w:val="bottom"/>
            <w:hideMark/>
          </w:tcPr>
          <w:p w14:paraId="7AC4939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230 </w:t>
            </w:r>
          </w:p>
        </w:tc>
        <w:tc>
          <w:tcPr>
            <w:tcW w:w="439" w:type="pct"/>
            <w:tcBorders>
              <w:top w:val="nil"/>
              <w:left w:val="nil"/>
              <w:bottom w:val="single" w:sz="4" w:space="0" w:color="auto"/>
              <w:right w:val="single" w:sz="4" w:space="0" w:color="auto"/>
            </w:tcBorders>
            <w:shd w:val="clear" w:color="auto" w:fill="auto"/>
            <w:vAlign w:val="bottom"/>
            <w:hideMark/>
          </w:tcPr>
          <w:p w14:paraId="625F8EB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1.094 </w:t>
            </w:r>
          </w:p>
        </w:tc>
        <w:tc>
          <w:tcPr>
            <w:tcW w:w="547" w:type="pct"/>
            <w:tcBorders>
              <w:top w:val="nil"/>
              <w:left w:val="nil"/>
              <w:bottom w:val="single" w:sz="4" w:space="0" w:color="auto"/>
              <w:right w:val="single" w:sz="4" w:space="0" w:color="auto"/>
            </w:tcBorders>
            <w:shd w:val="clear" w:color="auto" w:fill="auto"/>
            <w:vAlign w:val="bottom"/>
            <w:hideMark/>
          </w:tcPr>
          <w:p w14:paraId="06F270B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741 </w:t>
            </w:r>
          </w:p>
        </w:tc>
      </w:tr>
      <w:tr w:rsidR="00EE1B4D" w:rsidRPr="001A38D5" w14:paraId="480A39A6"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7F601843"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LA UNIDAD EDUCATIVA COLEGIO DEPARTAMENTAL ALFONSO LOPEZ PUMAREJO</w:t>
            </w:r>
          </w:p>
        </w:tc>
        <w:tc>
          <w:tcPr>
            <w:tcW w:w="330" w:type="pct"/>
            <w:tcBorders>
              <w:top w:val="nil"/>
              <w:left w:val="nil"/>
              <w:bottom w:val="single" w:sz="4" w:space="0" w:color="auto"/>
              <w:right w:val="single" w:sz="4" w:space="0" w:color="auto"/>
            </w:tcBorders>
            <w:shd w:val="clear" w:color="auto" w:fill="auto"/>
            <w:vAlign w:val="bottom"/>
            <w:hideMark/>
          </w:tcPr>
          <w:p w14:paraId="248FB60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9</w:t>
            </w:r>
          </w:p>
        </w:tc>
        <w:tc>
          <w:tcPr>
            <w:tcW w:w="459" w:type="pct"/>
            <w:tcBorders>
              <w:top w:val="nil"/>
              <w:left w:val="nil"/>
              <w:bottom w:val="single" w:sz="4" w:space="0" w:color="auto"/>
              <w:right w:val="single" w:sz="4" w:space="0" w:color="auto"/>
            </w:tcBorders>
            <w:shd w:val="clear" w:color="auto" w:fill="auto"/>
            <w:vAlign w:val="bottom"/>
            <w:hideMark/>
          </w:tcPr>
          <w:p w14:paraId="384715C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1.044 </w:t>
            </w:r>
          </w:p>
        </w:tc>
        <w:tc>
          <w:tcPr>
            <w:tcW w:w="527" w:type="pct"/>
            <w:tcBorders>
              <w:top w:val="nil"/>
              <w:left w:val="nil"/>
              <w:bottom w:val="single" w:sz="4" w:space="0" w:color="auto"/>
              <w:right w:val="single" w:sz="4" w:space="0" w:color="auto"/>
            </w:tcBorders>
            <w:shd w:val="clear" w:color="auto" w:fill="auto"/>
            <w:vAlign w:val="bottom"/>
            <w:hideMark/>
          </w:tcPr>
          <w:p w14:paraId="1A1AD74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981 </w:t>
            </w:r>
          </w:p>
        </w:tc>
        <w:tc>
          <w:tcPr>
            <w:tcW w:w="460" w:type="pct"/>
            <w:tcBorders>
              <w:top w:val="nil"/>
              <w:left w:val="nil"/>
              <w:bottom w:val="single" w:sz="4" w:space="0" w:color="auto"/>
              <w:right w:val="single" w:sz="4" w:space="0" w:color="auto"/>
            </w:tcBorders>
            <w:shd w:val="clear" w:color="auto" w:fill="auto"/>
            <w:vAlign w:val="bottom"/>
            <w:hideMark/>
          </w:tcPr>
          <w:p w14:paraId="12C14E7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1.106 </w:t>
            </w:r>
          </w:p>
        </w:tc>
        <w:tc>
          <w:tcPr>
            <w:tcW w:w="527" w:type="pct"/>
            <w:tcBorders>
              <w:top w:val="nil"/>
              <w:left w:val="nil"/>
              <w:bottom w:val="single" w:sz="4" w:space="0" w:color="auto"/>
              <w:right w:val="single" w:sz="4" w:space="0" w:color="auto"/>
            </w:tcBorders>
            <w:shd w:val="clear" w:color="auto" w:fill="auto"/>
            <w:vAlign w:val="bottom"/>
            <w:hideMark/>
          </w:tcPr>
          <w:p w14:paraId="1CEB908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1.033 </w:t>
            </w:r>
          </w:p>
        </w:tc>
        <w:tc>
          <w:tcPr>
            <w:tcW w:w="439" w:type="pct"/>
            <w:tcBorders>
              <w:top w:val="nil"/>
              <w:left w:val="nil"/>
              <w:bottom w:val="single" w:sz="4" w:space="0" w:color="auto"/>
              <w:right w:val="single" w:sz="4" w:space="0" w:color="auto"/>
            </w:tcBorders>
            <w:shd w:val="clear" w:color="auto" w:fill="auto"/>
            <w:vAlign w:val="bottom"/>
            <w:hideMark/>
          </w:tcPr>
          <w:p w14:paraId="14157E5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1.070 </w:t>
            </w:r>
          </w:p>
        </w:tc>
        <w:tc>
          <w:tcPr>
            <w:tcW w:w="547" w:type="pct"/>
            <w:tcBorders>
              <w:top w:val="nil"/>
              <w:left w:val="nil"/>
              <w:bottom w:val="single" w:sz="4" w:space="0" w:color="auto"/>
              <w:right w:val="single" w:sz="4" w:space="0" w:color="auto"/>
            </w:tcBorders>
            <w:shd w:val="clear" w:color="auto" w:fill="auto"/>
            <w:vAlign w:val="bottom"/>
            <w:hideMark/>
          </w:tcPr>
          <w:p w14:paraId="179B9E0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1.024 </w:t>
            </w:r>
          </w:p>
        </w:tc>
      </w:tr>
      <w:tr w:rsidR="00EE1B4D" w:rsidRPr="001A38D5" w14:paraId="579021AC"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B527D9B"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INSTITUCIÓN EDUCATIVA MARCO ANTONIO FRANCO RODRIGUEZ</w:t>
            </w:r>
          </w:p>
        </w:tc>
        <w:tc>
          <w:tcPr>
            <w:tcW w:w="330" w:type="pct"/>
            <w:tcBorders>
              <w:top w:val="nil"/>
              <w:left w:val="nil"/>
              <w:bottom w:val="single" w:sz="4" w:space="0" w:color="auto"/>
              <w:right w:val="single" w:sz="4" w:space="0" w:color="auto"/>
            </w:tcBorders>
            <w:shd w:val="clear" w:color="auto" w:fill="auto"/>
            <w:vAlign w:val="bottom"/>
            <w:hideMark/>
          </w:tcPr>
          <w:p w14:paraId="36A9772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1E4CF6D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1.555 </w:t>
            </w:r>
          </w:p>
        </w:tc>
        <w:tc>
          <w:tcPr>
            <w:tcW w:w="527" w:type="pct"/>
            <w:tcBorders>
              <w:top w:val="nil"/>
              <w:left w:val="nil"/>
              <w:bottom w:val="single" w:sz="4" w:space="0" w:color="auto"/>
              <w:right w:val="single" w:sz="4" w:space="0" w:color="auto"/>
            </w:tcBorders>
            <w:shd w:val="clear" w:color="auto" w:fill="auto"/>
            <w:vAlign w:val="bottom"/>
            <w:hideMark/>
          </w:tcPr>
          <w:p w14:paraId="09A5C67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567 </w:t>
            </w:r>
          </w:p>
        </w:tc>
        <w:tc>
          <w:tcPr>
            <w:tcW w:w="460" w:type="pct"/>
            <w:tcBorders>
              <w:top w:val="nil"/>
              <w:left w:val="nil"/>
              <w:bottom w:val="single" w:sz="4" w:space="0" w:color="auto"/>
              <w:right w:val="single" w:sz="4" w:space="0" w:color="auto"/>
            </w:tcBorders>
            <w:shd w:val="clear" w:color="auto" w:fill="auto"/>
            <w:vAlign w:val="bottom"/>
            <w:hideMark/>
          </w:tcPr>
          <w:p w14:paraId="37BB4D1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1.449 </w:t>
            </w:r>
          </w:p>
        </w:tc>
        <w:tc>
          <w:tcPr>
            <w:tcW w:w="527" w:type="pct"/>
            <w:tcBorders>
              <w:top w:val="nil"/>
              <w:left w:val="nil"/>
              <w:bottom w:val="single" w:sz="4" w:space="0" w:color="auto"/>
              <w:right w:val="single" w:sz="4" w:space="0" w:color="auto"/>
            </w:tcBorders>
            <w:shd w:val="clear" w:color="auto" w:fill="auto"/>
            <w:vAlign w:val="bottom"/>
            <w:hideMark/>
          </w:tcPr>
          <w:p w14:paraId="278A773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500 </w:t>
            </w:r>
          </w:p>
        </w:tc>
        <w:tc>
          <w:tcPr>
            <w:tcW w:w="439" w:type="pct"/>
            <w:tcBorders>
              <w:top w:val="nil"/>
              <w:left w:val="nil"/>
              <w:bottom w:val="single" w:sz="4" w:space="0" w:color="auto"/>
              <w:right w:val="single" w:sz="4" w:space="0" w:color="auto"/>
            </w:tcBorders>
            <w:shd w:val="clear" w:color="auto" w:fill="auto"/>
            <w:vAlign w:val="bottom"/>
            <w:hideMark/>
          </w:tcPr>
          <w:p w14:paraId="060BD0A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1.435 </w:t>
            </w:r>
          </w:p>
        </w:tc>
        <w:tc>
          <w:tcPr>
            <w:tcW w:w="547" w:type="pct"/>
            <w:tcBorders>
              <w:top w:val="nil"/>
              <w:left w:val="nil"/>
              <w:bottom w:val="single" w:sz="4" w:space="0" w:color="auto"/>
              <w:right w:val="single" w:sz="4" w:space="0" w:color="auto"/>
            </w:tcBorders>
            <w:shd w:val="clear" w:color="auto" w:fill="auto"/>
            <w:vAlign w:val="bottom"/>
            <w:hideMark/>
          </w:tcPr>
          <w:p w14:paraId="0E51149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1.211 </w:t>
            </w:r>
          </w:p>
        </w:tc>
      </w:tr>
      <w:tr w:rsidR="00EE1B4D" w:rsidRPr="001A38D5" w14:paraId="734C4441"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F68B97F"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COLEGIO GUILLERMO NIÑO MEDINA</w:t>
            </w:r>
          </w:p>
        </w:tc>
        <w:tc>
          <w:tcPr>
            <w:tcW w:w="330" w:type="pct"/>
            <w:tcBorders>
              <w:top w:val="nil"/>
              <w:left w:val="nil"/>
              <w:bottom w:val="single" w:sz="4" w:space="0" w:color="auto"/>
              <w:right w:val="single" w:sz="4" w:space="0" w:color="auto"/>
            </w:tcBorders>
            <w:shd w:val="clear" w:color="auto" w:fill="auto"/>
            <w:vAlign w:val="bottom"/>
            <w:hideMark/>
          </w:tcPr>
          <w:p w14:paraId="7FA11A3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6276E0E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1.735 </w:t>
            </w:r>
          </w:p>
        </w:tc>
        <w:tc>
          <w:tcPr>
            <w:tcW w:w="527" w:type="pct"/>
            <w:tcBorders>
              <w:top w:val="nil"/>
              <w:left w:val="nil"/>
              <w:bottom w:val="single" w:sz="4" w:space="0" w:color="auto"/>
              <w:right w:val="single" w:sz="4" w:space="0" w:color="auto"/>
            </w:tcBorders>
            <w:shd w:val="clear" w:color="auto" w:fill="auto"/>
            <w:vAlign w:val="bottom"/>
            <w:hideMark/>
          </w:tcPr>
          <w:p w14:paraId="059FF28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262 </w:t>
            </w:r>
          </w:p>
        </w:tc>
        <w:tc>
          <w:tcPr>
            <w:tcW w:w="460" w:type="pct"/>
            <w:tcBorders>
              <w:top w:val="nil"/>
              <w:left w:val="nil"/>
              <w:bottom w:val="single" w:sz="4" w:space="0" w:color="auto"/>
              <w:right w:val="single" w:sz="4" w:space="0" w:color="auto"/>
            </w:tcBorders>
            <w:shd w:val="clear" w:color="auto" w:fill="auto"/>
            <w:vAlign w:val="bottom"/>
            <w:hideMark/>
          </w:tcPr>
          <w:p w14:paraId="6428571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1.683 </w:t>
            </w:r>
          </w:p>
        </w:tc>
        <w:tc>
          <w:tcPr>
            <w:tcW w:w="527" w:type="pct"/>
            <w:tcBorders>
              <w:top w:val="nil"/>
              <w:left w:val="nil"/>
              <w:bottom w:val="single" w:sz="4" w:space="0" w:color="auto"/>
              <w:right w:val="single" w:sz="4" w:space="0" w:color="auto"/>
            </w:tcBorders>
            <w:shd w:val="clear" w:color="auto" w:fill="auto"/>
            <w:vAlign w:val="bottom"/>
            <w:hideMark/>
          </w:tcPr>
          <w:p w14:paraId="7AA13D8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450 </w:t>
            </w:r>
          </w:p>
        </w:tc>
        <w:tc>
          <w:tcPr>
            <w:tcW w:w="439" w:type="pct"/>
            <w:tcBorders>
              <w:top w:val="nil"/>
              <w:left w:val="nil"/>
              <w:bottom w:val="single" w:sz="4" w:space="0" w:color="auto"/>
              <w:right w:val="single" w:sz="4" w:space="0" w:color="auto"/>
            </w:tcBorders>
            <w:shd w:val="clear" w:color="auto" w:fill="auto"/>
            <w:vAlign w:val="bottom"/>
            <w:hideMark/>
          </w:tcPr>
          <w:p w14:paraId="16C35FA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1.638 </w:t>
            </w:r>
          </w:p>
        </w:tc>
        <w:tc>
          <w:tcPr>
            <w:tcW w:w="547" w:type="pct"/>
            <w:tcBorders>
              <w:top w:val="nil"/>
              <w:left w:val="nil"/>
              <w:bottom w:val="single" w:sz="4" w:space="0" w:color="auto"/>
              <w:right w:val="single" w:sz="4" w:space="0" w:color="auto"/>
            </w:tcBorders>
            <w:shd w:val="clear" w:color="auto" w:fill="auto"/>
            <w:vAlign w:val="bottom"/>
            <w:hideMark/>
          </w:tcPr>
          <w:p w14:paraId="603884D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890 </w:t>
            </w:r>
          </w:p>
        </w:tc>
      </w:tr>
      <w:tr w:rsidR="00EE1B4D" w:rsidRPr="001A38D5" w14:paraId="03C3DFD5"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FE354E5"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COLEGIO DEPARTAMENTAL JORGE ELIECER GAITAN AYALA</w:t>
            </w:r>
          </w:p>
        </w:tc>
        <w:tc>
          <w:tcPr>
            <w:tcW w:w="330" w:type="pct"/>
            <w:tcBorders>
              <w:top w:val="nil"/>
              <w:left w:val="nil"/>
              <w:bottom w:val="single" w:sz="4" w:space="0" w:color="auto"/>
              <w:right w:val="single" w:sz="4" w:space="0" w:color="auto"/>
            </w:tcBorders>
            <w:shd w:val="clear" w:color="auto" w:fill="auto"/>
            <w:vAlign w:val="bottom"/>
            <w:hideMark/>
          </w:tcPr>
          <w:p w14:paraId="5F3CA29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4</w:t>
            </w:r>
          </w:p>
        </w:tc>
        <w:tc>
          <w:tcPr>
            <w:tcW w:w="459" w:type="pct"/>
            <w:tcBorders>
              <w:top w:val="nil"/>
              <w:left w:val="nil"/>
              <w:bottom w:val="single" w:sz="4" w:space="0" w:color="auto"/>
              <w:right w:val="single" w:sz="4" w:space="0" w:color="auto"/>
            </w:tcBorders>
            <w:shd w:val="clear" w:color="auto" w:fill="auto"/>
            <w:vAlign w:val="bottom"/>
            <w:hideMark/>
          </w:tcPr>
          <w:p w14:paraId="34366D0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4.552 </w:t>
            </w:r>
          </w:p>
        </w:tc>
        <w:tc>
          <w:tcPr>
            <w:tcW w:w="527" w:type="pct"/>
            <w:tcBorders>
              <w:top w:val="nil"/>
              <w:left w:val="nil"/>
              <w:bottom w:val="single" w:sz="4" w:space="0" w:color="auto"/>
              <w:right w:val="single" w:sz="4" w:space="0" w:color="auto"/>
            </w:tcBorders>
            <w:shd w:val="clear" w:color="auto" w:fill="auto"/>
            <w:vAlign w:val="bottom"/>
            <w:hideMark/>
          </w:tcPr>
          <w:p w14:paraId="2702384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1.898 </w:t>
            </w:r>
          </w:p>
        </w:tc>
        <w:tc>
          <w:tcPr>
            <w:tcW w:w="460" w:type="pct"/>
            <w:tcBorders>
              <w:top w:val="nil"/>
              <w:left w:val="nil"/>
              <w:bottom w:val="single" w:sz="4" w:space="0" w:color="auto"/>
              <w:right w:val="single" w:sz="4" w:space="0" w:color="auto"/>
            </w:tcBorders>
            <w:shd w:val="clear" w:color="auto" w:fill="auto"/>
            <w:vAlign w:val="bottom"/>
            <w:hideMark/>
          </w:tcPr>
          <w:p w14:paraId="1B36E51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4.492 </w:t>
            </w:r>
          </w:p>
        </w:tc>
        <w:tc>
          <w:tcPr>
            <w:tcW w:w="527" w:type="pct"/>
            <w:tcBorders>
              <w:top w:val="nil"/>
              <w:left w:val="nil"/>
              <w:bottom w:val="single" w:sz="4" w:space="0" w:color="auto"/>
              <w:right w:val="single" w:sz="4" w:space="0" w:color="auto"/>
            </w:tcBorders>
            <w:shd w:val="clear" w:color="auto" w:fill="auto"/>
            <w:vAlign w:val="bottom"/>
            <w:hideMark/>
          </w:tcPr>
          <w:p w14:paraId="23FFC4F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2.042 </w:t>
            </w:r>
          </w:p>
        </w:tc>
        <w:tc>
          <w:tcPr>
            <w:tcW w:w="439" w:type="pct"/>
            <w:tcBorders>
              <w:top w:val="nil"/>
              <w:left w:val="nil"/>
              <w:bottom w:val="single" w:sz="4" w:space="0" w:color="auto"/>
              <w:right w:val="single" w:sz="4" w:space="0" w:color="auto"/>
            </w:tcBorders>
            <w:shd w:val="clear" w:color="auto" w:fill="auto"/>
            <w:vAlign w:val="bottom"/>
            <w:hideMark/>
          </w:tcPr>
          <w:p w14:paraId="26347CF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4.180 </w:t>
            </w:r>
          </w:p>
        </w:tc>
        <w:tc>
          <w:tcPr>
            <w:tcW w:w="547" w:type="pct"/>
            <w:tcBorders>
              <w:top w:val="nil"/>
              <w:left w:val="nil"/>
              <w:bottom w:val="single" w:sz="4" w:space="0" w:color="auto"/>
              <w:right w:val="single" w:sz="4" w:space="0" w:color="auto"/>
            </w:tcBorders>
            <w:shd w:val="clear" w:color="auto" w:fill="auto"/>
            <w:vAlign w:val="bottom"/>
            <w:hideMark/>
          </w:tcPr>
          <w:p w14:paraId="46AA066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3.905 </w:t>
            </w:r>
          </w:p>
        </w:tc>
      </w:tr>
      <w:tr w:rsidR="00EE1B4D" w:rsidRPr="001A38D5" w14:paraId="58FC8319"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0C6E9605"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COLEGIO BUENOS AIRES</w:t>
            </w:r>
          </w:p>
        </w:tc>
        <w:tc>
          <w:tcPr>
            <w:tcW w:w="330" w:type="pct"/>
            <w:tcBorders>
              <w:top w:val="nil"/>
              <w:left w:val="nil"/>
              <w:bottom w:val="single" w:sz="4" w:space="0" w:color="auto"/>
              <w:right w:val="single" w:sz="4" w:space="0" w:color="auto"/>
            </w:tcBorders>
            <w:shd w:val="clear" w:color="auto" w:fill="auto"/>
            <w:vAlign w:val="bottom"/>
            <w:hideMark/>
          </w:tcPr>
          <w:p w14:paraId="097DF4A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401FF61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583 </w:t>
            </w:r>
          </w:p>
        </w:tc>
        <w:tc>
          <w:tcPr>
            <w:tcW w:w="527" w:type="pct"/>
            <w:tcBorders>
              <w:top w:val="nil"/>
              <w:left w:val="nil"/>
              <w:bottom w:val="single" w:sz="4" w:space="0" w:color="auto"/>
              <w:right w:val="single" w:sz="4" w:space="0" w:color="auto"/>
            </w:tcBorders>
            <w:shd w:val="clear" w:color="auto" w:fill="auto"/>
            <w:vAlign w:val="bottom"/>
            <w:hideMark/>
          </w:tcPr>
          <w:p w14:paraId="2530FCD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517 </w:t>
            </w:r>
          </w:p>
        </w:tc>
        <w:tc>
          <w:tcPr>
            <w:tcW w:w="460" w:type="pct"/>
            <w:tcBorders>
              <w:top w:val="nil"/>
              <w:left w:val="nil"/>
              <w:bottom w:val="single" w:sz="4" w:space="0" w:color="auto"/>
              <w:right w:val="single" w:sz="4" w:space="0" w:color="auto"/>
            </w:tcBorders>
            <w:shd w:val="clear" w:color="auto" w:fill="auto"/>
            <w:vAlign w:val="bottom"/>
            <w:hideMark/>
          </w:tcPr>
          <w:p w14:paraId="6360A33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563 </w:t>
            </w:r>
          </w:p>
        </w:tc>
        <w:tc>
          <w:tcPr>
            <w:tcW w:w="527" w:type="pct"/>
            <w:tcBorders>
              <w:top w:val="nil"/>
              <w:left w:val="nil"/>
              <w:bottom w:val="single" w:sz="4" w:space="0" w:color="auto"/>
              <w:right w:val="single" w:sz="4" w:space="0" w:color="auto"/>
            </w:tcBorders>
            <w:shd w:val="clear" w:color="auto" w:fill="auto"/>
            <w:vAlign w:val="bottom"/>
            <w:hideMark/>
          </w:tcPr>
          <w:p w14:paraId="0D61558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578 </w:t>
            </w:r>
          </w:p>
        </w:tc>
        <w:tc>
          <w:tcPr>
            <w:tcW w:w="439" w:type="pct"/>
            <w:tcBorders>
              <w:top w:val="nil"/>
              <w:left w:val="nil"/>
              <w:bottom w:val="single" w:sz="4" w:space="0" w:color="auto"/>
              <w:right w:val="single" w:sz="4" w:space="0" w:color="auto"/>
            </w:tcBorders>
            <w:shd w:val="clear" w:color="auto" w:fill="auto"/>
            <w:vAlign w:val="bottom"/>
            <w:hideMark/>
          </w:tcPr>
          <w:p w14:paraId="6A1B2E3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567 </w:t>
            </w:r>
          </w:p>
        </w:tc>
        <w:tc>
          <w:tcPr>
            <w:tcW w:w="547" w:type="pct"/>
            <w:tcBorders>
              <w:top w:val="nil"/>
              <w:left w:val="nil"/>
              <w:bottom w:val="single" w:sz="4" w:space="0" w:color="auto"/>
              <w:right w:val="single" w:sz="4" w:space="0" w:color="auto"/>
            </w:tcBorders>
            <w:shd w:val="clear" w:color="auto" w:fill="auto"/>
            <w:vAlign w:val="bottom"/>
            <w:hideMark/>
          </w:tcPr>
          <w:p w14:paraId="2FC94F8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558 </w:t>
            </w:r>
          </w:p>
        </w:tc>
      </w:tr>
      <w:tr w:rsidR="00EE1B4D" w:rsidRPr="001A38D5" w14:paraId="06C6A391"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6A3E317E"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TECNICA MARCO FIDEL SUAREZ</w:t>
            </w:r>
          </w:p>
        </w:tc>
        <w:tc>
          <w:tcPr>
            <w:tcW w:w="330" w:type="pct"/>
            <w:tcBorders>
              <w:top w:val="nil"/>
              <w:left w:val="nil"/>
              <w:bottom w:val="single" w:sz="4" w:space="0" w:color="auto"/>
              <w:right w:val="single" w:sz="4" w:space="0" w:color="auto"/>
            </w:tcBorders>
            <w:shd w:val="clear" w:color="auto" w:fill="auto"/>
            <w:vAlign w:val="bottom"/>
            <w:hideMark/>
          </w:tcPr>
          <w:p w14:paraId="6EFD9FB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12E418E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818 </w:t>
            </w:r>
          </w:p>
        </w:tc>
        <w:tc>
          <w:tcPr>
            <w:tcW w:w="527" w:type="pct"/>
            <w:tcBorders>
              <w:top w:val="nil"/>
              <w:left w:val="nil"/>
              <w:bottom w:val="single" w:sz="4" w:space="0" w:color="auto"/>
              <w:right w:val="single" w:sz="4" w:space="0" w:color="auto"/>
            </w:tcBorders>
            <w:shd w:val="clear" w:color="auto" w:fill="auto"/>
            <w:vAlign w:val="bottom"/>
            <w:hideMark/>
          </w:tcPr>
          <w:p w14:paraId="539B1F9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510 </w:t>
            </w:r>
          </w:p>
        </w:tc>
        <w:tc>
          <w:tcPr>
            <w:tcW w:w="460" w:type="pct"/>
            <w:tcBorders>
              <w:top w:val="nil"/>
              <w:left w:val="nil"/>
              <w:bottom w:val="single" w:sz="4" w:space="0" w:color="auto"/>
              <w:right w:val="single" w:sz="4" w:space="0" w:color="auto"/>
            </w:tcBorders>
            <w:shd w:val="clear" w:color="auto" w:fill="auto"/>
            <w:vAlign w:val="bottom"/>
            <w:hideMark/>
          </w:tcPr>
          <w:p w14:paraId="0118CCD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828 </w:t>
            </w:r>
          </w:p>
        </w:tc>
        <w:tc>
          <w:tcPr>
            <w:tcW w:w="527" w:type="pct"/>
            <w:tcBorders>
              <w:top w:val="nil"/>
              <w:left w:val="nil"/>
              <w:bottom w:val="single" w:sz="4" w:space="0" w:color="auto"/>
              <w:right w:val="single" w:sz="4" w:space="0" w:color="auto"/>
            </w:tcBorders>
            <w:shd w:val="clear" w:color="auto" w:fill="auto"/>
            <w:vAlign w:val="bottom"/>
            <w:hideMark/>
          </w:tcPr>
          <w:p w14:paraId="2F77F34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468 </w:t>
            </w:r>
          </w:p>
        </w:tc>
        <w:tc>
          <w:tcPr>
            <w:tcW w:w="439" w:type="pct"/>
            <w:tcBorders>
              <w:top w:val="nil"/>
              <w:left w:val="nil"/>
              <w:bottom w:val="single" w:sz="4" w:space="0" w:color="auto"/>
              <w:right w:val="single" w:sz="4" w:space="0" w:color="auto"/>
            </w:tcBorders>
            <w:shd w:val="clear" w:color="auto" w:fill="auto"/>
            <w:vAlign w:val="bottom"/>
            <w:hideMark/>
          </w:tcPr>
          <w:p w14:paraId="27BDD9F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899 </w:t>
            </w:r>
          </w:p>
        </w:tc>
        <w:tc>
          <w:tcPr>
            <w:tcW w:w="547" w:type="pct"/>
            <w:tcBorders>
              <w:top w:val="nil"/>
              <w:left w:val="nil"/>
              <w:bottom w:val="single" w:sz="4" w:space="0" w:color="auto"/>
              <w:right w:val="single" w:sz="4" w:space="0" w:color="auto"/>
            </w:tcBorders>
            <w:shd w:val="clear" w:color="auto" w:fill="auto"/>
            <w:vAlign w:val="bottom"/>
            <w:hideMark/>
          </w:tcPr>
          <w:p w14:paraId="395ED96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800 </w:t>
            </w:r>
          </w:p>
        </w:tc>
      </w:tr>
      <w:tr w:rsidR="00EE1B4D" w:rsidRPr="001A38D5" w14:paraId="36429E11"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0D7D9F63"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COLEGIO CHAMPAGNAT PINARES DE ORIENTE</w:t>
            </w:r>
          </w:p>
        </w:tc>
        <w:tc>
          <w:tcPr>
            <w:tcW w:w="330" w:type="pct"/>
            <w:tcBorders>
              <w:top w:val="nil"/>
              <w:left w:val="nil"/>
              <w:bottom w:val="single" w:sz="4" w:space="0" w:color="auto"/>
              <w:right w:val="single" w:sz="4" w:space="0" w:color="auto"/>
            </w:tcBorders>
            <w:shd w:val="clear" w:color="auto" w:fill="auto"/>
            <w:vAlign w:val="bottom"/>
            <w:hideMark/>
          </w:tcPr>
          <w:p w14:paraId="275844C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005429E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1.459 </w:t>
            </w:r>
          </w:p>
        </w:tc>
        <w:tc>
          <w:tcPr>
            <w:tcW w:w="527" w:type="pct"/>
            <w:tcBorders>
              <w:top w:val="nil"/>
              <w:left w:val="nil"/>
              <w:bottom w:val="single" w:sz="4" w:space="0" w:color="auto"/>
              <w:right w:val="single" w:sz="4" w:space="0" w:color="auto"/>
            </w:tcBorders>
            <w:shd w:val="clear" w:color="auto" w:fill="auto"/>
            <w:vAlign w:val="bottom"/>
            <w:hideMark/>
          </w:tcPr>
          <w:p w14:paraId="37D8CDC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1.425 </w:t>
            </w:r>
          </w:p>
        </w:tc>
        <w:tc>
          <w:tcPr>
            <w:tcW w:w="460" w:type="pct"/>
            <w:tcBorders>
              <w:top w:val="nil"/>
              <w:left w:val="nil"/>
              <w:bottom w:val="single" w:sz="4" w:space="0" w:color="auto"/>
              <w:right w:val="single" w:sz="4" w:space="0" w:color="auto"/>
            </w:tcBorders>
            <w:shd w:val="clear" w:color="auto" w:fill="auto"/>
            <w:vAlign w:val="bottom"/>
            <w:hideMark/>
          </w:tcPr>
          <w:p w14:paraId="135A0D2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1.446 </w:t>
            </w:r>
          </w:p>
        </w:tc>
        <w:tc>
          <w:tcPr>
            <w:tcW w:w="527" w:type="pct"/>
            <w:tcBorders>
              <w:top w:val="nil"/>
              <w:left w:val="nil"/>
              <w:bottom w:val="single" w:sz="4" w:space="0" w:color="auto"/>
              <w:right w:val="single" w:sz="4" w:space="0" w:color="auto"/>
            </w:tcBorders>
            <w:shd w:val="clear" w:color="auto" w:fill="auto"/>
            <w:vAlign w:val="bottom"/>
            <w:hideMark/>
          </w:tcPr>
          <w:p w14:paraId="00B66CB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1.440 </w:t>
            </w:r>
          </w:p>
        </w:tc>
        <w:tc>
          <w:tcPr>
            <w:tcW w:w="439" w:type="pct"/>
            <w:tcBorders>
              <w:top w:val="nil"/>
              <w:left w:val="nil"/>
              <w:bottom w:val="single" w:sz="4" w:space="0" w:color="auto"/>
              <w:right w:val="single" w:sz="4" w:space="0" w:color="auto"/>
            </w:tcBorders>
            <w:shd w:val="clear" w:color="auto" w:fill="auto"/>
            <w:vAlign w:val="bottom"/>
            <w:hideMark/>
          </w:tcPr>
          <w:p w14:paraId="7174F45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1.454 </w:t>
            </w:r>
          </w:p>
        </w:tc>
        <w:tc>
          <w:tcPr>
            <w:tcW w:w="547" w:type="pct"/>
            <w:tcBorders>
              <w:top w:val="nil"/>
              <w:left w:val="nil"/>
              <w:bottom w:val="single" w:sz="4" w:space="0" w:color="auto"/>
              <w:right w:val="single" w:sz="4" w:space="0" w:color="auto"/>
            </w:tcBorders>
            <w:shd w:val="clear" w:color="auto" w:fill="auto"/>
            <w:vAlign w:val="bottom"/>
            <w:hideMark/>
          </w:tcPr>
          <w:p w14:paraId="2ECE2A8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1.452 </w:t>
            </w:r>
          </w:p>
        </w:tc>
      </w:tr>
      <w:tr w:rsidR="00EE1B4D" w:rsidRPr="001A38D5" w14:paraId="473E26B5"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34B6B2EA"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GERMAN ARCINIEGAS</w:t>
            </w:r>
          </w:p>
        </w:tc>
        <w:tc>
          <w:tcPr>
            <w:tcW w:w="330" w:type="pct"/>
            <w:tcBorders>
              <w:top w:val="nil"/>
              <w:left w:val="nil"/>
              <w:bottom w:val="single" w:sz="4" w:space="0" w:color="auto"/>
              <w:right w:val="single" w:sz="4" w:space="0" w:color="auto"/>
            </w:tcBorders>
            <w:shd w:val="clear" w:color="auto" w:fill="auto"/>
            <w:vAlign w:val="bottom"/>
            <w:hideMark/>
          </w:tcPr>
          <w:p w14:paraId="5FFA927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2AD11EA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1.143 </w:t>
            </w:r>
          </w:p>
        </w:tc>
        <w:tc>
          <w:tcPr>
            <w:tcW w:w="527" w:type="pct"/>
            <w:tcBorders>
              <w:top w:val="nil"/>
              <w:left w:val="nil"/>
              <w:bottom w:val="single" w:sz="4" w:space="0" w:color="auto"/>
              <w:right w:val="single" w:sz="4" w:space="0" w:color="auto"/>
            </w:tcBorders>
            <w:shd w:val="clear" w:color="auto" w:fill="auto"/>
            <w:vAlign w:val="bottom"/>
            <w:hideMark/>
          </w:tcPr>
          <w:p w14:paraId="339163C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470 </w:t>
            </w:r>
          </w:p>
        </w:tc>
        <w:tc>
          <w:tcPr>
            <w:tcW w:w="460" w:type="pct"/>
            <w:tcBorders>
              <w:top w:val="nil"/>
              <w:left w:val="nil"/>
              <w:bottom w:val="single" w:sz="4" w:space="0" w:color="auto"/>
              <w:right w:val="single" w:sz="4" w:space="0" w:color="auto"/>
            </w:tcBorders>
            <w:shd w:val="clear" w:color="auto" w:fill="auto"/>
            <w:vAlign w:val="bottom"/>
            <w:hideMark/>
          </w:tcPr>
          <w:p w14:paraId="6BACA55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1.068 </w:t>
            </w:r>
          </w:p>
        </w:tc>
        <w:tc>
          <w:tcPr>
            <w:tcW w:w="527" w:type="pct"/>
            <w:tcBorders>
              <w:top w:val="nil"/>
              <w:left w:val="nil"/>
              <w:bottom w:val="single" w:sz="4" w:space="0" w:color="auto"/>
              <w:right w:val="single" w:sz="4" w:space="0" w:color="auto"/>
            </w:tcBorders>
            <w:shd w:val="clear" w:color="auto" w:fill="auto"/>
            <w:vAlign w:val="bottom"/>
            <w:hideMark/>
          </w:tcPr>
          <w:p w14:paraId="5950370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374 </w:t>
            </w:r>
          </w:p>
        </w:tc>
        <w:tc>
          <w:tcPr>
            <w:tcW w:w="439" w:type="pct"/>
            <w:tcBorders>
              <w:top w:val="nil"/>
              <w:left w:val="nil"/>
              <w:bottom w:val="single" w:sz="4" w:space="0" w:color="auto"/>
              <w:right w:val="single" w:sz="4" w:space="0" w:color="auto"/>
            </w:tcBorders>
            <w:shd w:val="clear" w:color="auto" w:fill="auto"/>
            <w:vAlign w:val="bottom"/>
            <w:hideMark/>
          </w:tcPr>
          <w:p w14:paraId="755CC0F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1.047 </w:t>
            </w:r>
          </w:p>
        </w:tc>
        <w:tc>
          <w:tcPr>
            <w:tcW w:w="547" w:type="pct"/>
            <w:tcBorders>
              <w:top w:val="nil"/>
              <w:left w:val="nil"/>
              <w:bottom w:val="single" w:sz="4" w:space="0" w:color="auto"/>
              <w:right w:val="single" w:sz="4" w:space="0" w:color="auto"/>
            </w:tcBorders>
            <w:shd w:val="clear" w:color="auto" w:fill="auto"/>
            <w:vAlign w:val="bottom"/>
            <w:hideMark/>
          </w:tcPr>
          <w:p w14:paraId="0263BC5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581 </w:t>
            </w:r>
          </w:p>
        </w:tc>
      </w:tr>
      <w:tr w:rsidR="00EE1B4D" w:rsidRPr="001A38D5" w14:paraId="0CE8EF18"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365FCF50"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GENERAL CARLOS ALBAN</w:t>
            </w:r>
          </w:p>
        </w:tc>
        <w:tc>
          <w:tcPr>
            <w:tcW w:w="330" w:type="pct"/>
            <w:tcBorders>
              <w:top w:val="nil"/>
              <w:left w:val="nil"/>
              <w:bottom w:val="single" w:sz="4" w:space="0" w:color="auto"/>
              <w:right w:val="single" w:sz="4" w:space="0" w:color="auto"/>
            </w:tcBorders>
            <w:shd w:val="clear" w:color="auto" w:fill="auto"/>
            <w:vAlign w:val="bottom"/>
            <w:hideMark/>
          </w:tcPr>
          <w:p w14:paraId="14A10D9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01928E4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1.358 </w:t>
            </w:r>
          </w:p>
        </w:tc>
        <w:tc>
          <w:tcPr>
            <w:tcW w:w="527" w:type="pct"/>
            <w:tcBorders>
              <w:top w:val="nil"/>
              <w:left w:val="nil"/>
              <w:bottom w:val="single" w:sz="4" w:space="0" w:color="auto"/>
              <w:right w:val="single" w:sz="4" w:space="0" w:color="auto"/>
            </w:tcBorders>
            <w:shd w:val="clear" w:color="auto" w:fill="auto"/>
            <w:vAlign w:val="bottom"/>
            <w:hideMark/>
          </w:tcPr>
          <w:p w14:paraId="6E6822E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1.130 </w:t>
            </w:r>
          </w:p>
        </w:tc>
        <w:tc>
          <w:tcPr>
            <w:tcW w:w="460" w:type="pct"/>
            <w:tcBorders>
              <w:top w:val="nil"/>
              <w:left w:val="nil"/>
              <w:bottom w:val="single" w:sz="4" w:space="0" w:color="auto"/>
              <w:right w:val="single" w:sz="4" w:space="0" w:color="auto"/>
            </w:tcBorders>
            <w:shd w:val="clear" w:color="auto" w:fill="auto"/>
            <w:vAlign w:val="bottom"/>
            <w:hideMark/>
          </w:tcPr>
          <w:p w14:paraId="2C0F3F0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1.363 </w:t>
            </w:r>
          </w:p>
        </w:tc>
        <w:tc>
          <w:tcPr>
            <w:tcW w:w="527" w:type="pct"/>
            <w:tcBorders>
              <w:top w:val="nil"/>
              <w:left w:val="nil"/>
              <w:bottom w:val="single" w:sz="4" w:space="0" w:color="auto"/>
              <w:right w:val="single" w:sz="4" w:space="0" w:color="auto"/>
            </w:tcBorders>
            <w:shd w:val="clear" w:color="auto" w:fill="auto"/>
            <w:vAlign w:val="bottom"/>
            <w:hideMark/>
          </w:tcPr>
          <w:p w14:paraId="5FF299F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850 </w:t>
            </w:r>
          </w:p>
        </w:tc>
        <w:tc>
          <w:tcPr>
            <w:tcW w:w="439" w:type="pct"/>
            <w:tcBorders>
              <w:top w:val="nil"/>
              <w:left w:val="nil"/>
              <w:bottom w:val="single" w:sz="4" w:space="0" w:color="auto"/>
              <w:right w:val="single" w:sz="4" w:space="0" w:color="auto"/>
            </w:tcBorders>
            <w:shd w:val="clear" w:color="auto" w:fill="auto"/>
            <w:vAlign w:val="bottom"/>
            <w:hideMark/>
          </w:tcPr>
          <w:p w14:paraId="790A1E3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1.294 </w:t>
            </w:r>
          </w:p>
        </w:tc>
        <w:tc>
          <w:tcPr>
            <w:tcW w:w="547" w:type="pct"/>
            <w:tcBorders>
              <w:top w:val="nil"/>
              <w:left w:val="nil"/>
              <w:bottom w:val="single" w:sz="4" w:space="0" w:color="auto"/>
              <w:right w:val="single" w:sz="4" w:space="0" w:color="auto"/>
            </w:tcBorders>
            <w:shd w:val="clear" w:color="auto" w:fill="auto"/>
            <w:vAlign w:val="bottom"/>
            <w:hideMark/>
          </w:tcPr>
          <w:p w14:paraId="1436946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1.129 </w:t>
            </w:r>
          </w:p>
        </w:tc>
      </w:tr>
      <w:tr w:rsidR="00EE1B4D" w:rsidRPr="001A38D5" w14:paraId="266B5EDE"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5F2928DC"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LIC MAYOR DE VILLAVICENCIO JAIME TRIANA RESTREPO</w:t>
            </w:r>
          </w:p>
        </w:tc>
        <w:tc>
          <w:tcPr>
            <w:tcW w:w="330" w:type="pct"/>
            <w:tcBorders>
              <w:top w:val="nil"/>
              <w:left w:val="nil"/>
              <w:bottom w:val="single" w:sz="4" w:space="0" w:color="auto"/>
              <w:right w:val="single" w:sz="4" w:space="0" w:color="auto"/>
            </w:tcBorders>
            <w:shd w:val="clear" w:color="auto" w:fill="auto"/>
            <w:vAlign w:val="bottom"/>
            <w:hideMark/>
          </w:tcPr>
          <w:p w14:paraId="4911622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3AEF510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1.482 </w:t>
            </w:r>
          </w:p>
        </w:tc>
        <w:tc>
          <w:tcPr>
            <w:tcW w:w="527" w:type="pct"/>
            <w:tcBorders>
              <w:top w:val="nil"/>
              <w:left w:val="nil"/>
              <w:bottom w:val="single" w:sz="4" w:space="0" w:color="auto"/>
              <w:right w:val="single" w:sz="4" w:space="0" w:color="auto"/>
            </w:tcBorders>
            <w:shd w:val="clear" w:color="auto" w:fill="auto"/>
            <w:vAlign w:val="bottom"/>
            <w:hideMark/>
          </w:tcPr>
          <w:p w14:paraId="0A0451B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1.425 </w:t>
            </w:r>
          </w:p>
        </w:tc>
        <w:tc>
          <w:tcPr>
            <w:tcW w:w="460" w:type="pct"/>
            <w:tcBorders>
              <w:top w:val="nil"/>
              <w:left w:val="nil"/>
              <w:bottom w:val="single" w:sz="4" w:space="0" w:color="auto"/>
              <w:right w:val="single" w:sz="4" w:space="0" w:color="auto"/>
            </w:tcBorders>
            <w:shd w:val="clear" w:color="auto" w:fill="auto"/>
            <w:vAlign w:val="bottom"/>
            <w:hideMark/>
          </w:tcPr>
          <w:p w14:paraId="62C06B1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1.487 </w:t>
            </w:r>
          </w:p>
        </w:tc>
        <w:tc>
          <w:tcPr>
            <w:tcW w:w="527" w:type="pct"/>
            <w:tcBorders>
              <w:top w:val="nil"/>
              <w:left w:val="nil"/>
              <w:bottom w:val="single" w:sz="4" w:space="0" w:color="auto"/>
              <w:right w:val="single" w:sz="4" w:space="0" w:color="auto"/>
            </w:tcBorders>
            <w:shd w:val="clear" w:color="auto" w:fill="auto"/>
            <w:vAlign w:val="bottom"/>
            <w:hideMark/>
          </w:tcPr>
          <w:p w14:paraId="0ADA453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1.440 </w:t>
            </w:r>
          </w:p>
        </w:tc>
        <w:tc>
          <w:tcPr>
            <w:tcW w:w="439" w:type="pct"/>
            <w:tcBorders>
              <w:top w:val="nil"/>
              <w:left w:val="nil"/>
              <w:bottom w:val="single" w:sz="4" w:space="0" w:color="auto"/>
              <w:right w:val="single" w:sz="4" w:space="0" w:color="auto"/>
            </w:tcBorders>
            <w:shd w:val="clear" w:color="auto" w:fill="auto"/>
            <w:vAlign w:val="bottom"/>
            <w:hideMark/>
          </w:tcPr>
          <w:p w14:paraId="729E880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1.465 </w:t>
            </w:r>
          </w:p>
        </w:tc>
        <w:tc>
          <w:tcPr>
            <w:tcW w:w="547" w:type="pct"/>
            <w:tcBorders>
              <w:top w:val="nil"/>
              <w:left w:val="nil"/>
              <w:bottom w:val="single" w:sz="4" w:space="0" w:color="auto"/>
              <w:right w:val="single" w:sz="4" w:space="0" w:color="auto"/>
            </w:tcBorders>
            <w:shd w:val="clear" w:color="auto" w:fill="auto"/>
            <w:vAlign w:val="bottom"/>
            <w:hideMark/>
          </w:tcPr>
          <w:p w14:paraId="46D64D9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1.455 </w:t>
            </w:r>
          </w:p>
        </w:tc>
      </w:tr>
      <w:tr w:rsidR="00EE1B4D" w:rsidRPr="001A38D5" w14:paraId="796FA489"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0023294B"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LICEO GENERAL SERVIEZ</w:t>
            </w:r>
          </w:p>
        </w:tc>
        <w:tc>
          <w:tcPr>
            <w:tcW w:w="330" w:type="pct"/>
            <w:tcBorders>
              <w:top w:val="nil"/>
              <w:left w:val="nil"/>
              <w:bottom w:val="single" w:sz="4" w:space="0" w:color="auto"/>
              <w:right w:val="single" w:sz="4" w:space="0" w:color="auto"/>
            </w:tcBorders>
            <w:shd w:val="clear" w:color="auto" w:fill="auto"/>
            <w:vAlign w:val="bottom"/>
            <w:hideMark/>
          </w:tcPr>
          <w:p w14:paraId="5FF3D00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278075B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375 </w:t>
            </w:r>
          </w:p>
        </w:tc>
        <w:tc>
          <w:tcPr>
            <w:tcW w:w="527" w:type="pct"/>
            <w:tcBorders>
              <w:top w:val="nil"/>
              <w:left w:val="nil"/>
              <w:bottom w:val="single" w:sz="4" w:space="0" w:color="auto"/>
              <w:right w:val="single" w:sz="4" w:space="0" w:color="auto"/>
            </w:tcBorders>
            <w:shd w:val="clear" w:color="auto" w:fill="auto"/>
            <w:vAlign w:val="bottom"/>
            <w:hideMark/>
          </w:tcPr>
          <w:p w14:paraId="06308ED4"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0FE407F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354 </w:t>
            </w:r>
          </w:p>
        </w:tc>
        <w:tc>
          <w:tcPr>
            <w:tcW w:w="527" w:type="pct"/>
            <w:tcBorders>
              <w:top w:val="nil"/>
              <w:left w:val="nil"/>
              <w:bottom w:val="single" w:sz="4" w:space="0" w:color="auto"/>
              <w:right w:val="single" w:sz="4" w:space="0" w:color="auto"/>
            </w:tcBorders>
            <w:shd w:val="clear" w:color="auto" w:fill="auto"/>
            <w:vAlign w:val="bottom"/>
            <w:hideMark/>
          </w:tcPr>
          <w:p w14:paraId="3A12B4B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0 </w:t>
            </w:r>
          </w:p>
        </w:tc>
        <w:tc>
          <w:tcPr>
            <w:tcW w:w="439" w:type="pct"/>
            <w:tcBorders>
              <w:top w:val="nil"/>
              <w:left w:val="nil"/>
              <w:bottom w:val="single" w:sz="4" w:space="0" w:color="auto"/>
              <w:right w:val="single" w:sz="4" w:space="0" w:color="auto"/>
            </w:tcBorders>
            <w:shd w:val="clear" w:color="auto" w:fill="auto"/>
            <w:vAlign w:val="bottom"/>
            <w:hideMark/>
          </w:tcPr>
          <w:p w14:paraId="7AAAF75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349 </w:t>
            </w:r>
          </w:p>
        </w:tc>
        <w:tc>
          <w:tcPr>
            <w:tcW w:w="547" w:type="pct"/>
            <w:tcBorders>
              <w:top w:val="nil"/>
              <w:left w:val="nil"/>
              <w:bottom w:val="single" w:sz="4" w:space="0" w:color="auto"/>
              <w:right w:val="single" w:sz="4" w:space="0" w:color="auto"/>
            </w:tcBorders>
            <w:shd w:val="clear" w:color="auto" w:fill="auto"/>
            <w:vAlign w:val="bottom"/>
            <w:hideMark/>
          </w:tcPr>
          <w:p w14:paraId="0BDEB26D"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r>
      <w:tr w:rsidR="00EE1B4D" w:rsidRPr="001A38D5" w14:paraId="611CF017"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B080AAA"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ANTHONY A PHIPPS</w:t>
            </w:r>
          </w:p>
        </w:tc>
        <w:tc>
          <w:tcPr>
            <w:tcW w:w="330" w:type="pct"/>
            <w:tcBorders>
              <w:top w:val="nil"/>
              <w:left w:val="nil"/>
              <w:bottom w:val="single" w:sz="4" w:space="0" w:color="auto"/>
              <w:right w:val="single" w:sz="4" w:space="0" w:color="auto"/>
            </w:tcBorders>
            <w:shd w:val="clear" w:color="auto" w:fill="auto"/>
            <w:vAlign w:val="bottom"/>
            <w:hideMark/>
          </w:tcPr>
          <w:p w14:paraId="0E8DEF0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7616CBA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1.013 </w:t>
            </w:r>
          </w:p>
        </w:tc>
        <w:tc>
          <w:tcPr>
            <w:tcW w:w="527" w:type="pct"/>
            <w:tcBorders>
              <w:top w:val="nil"/>
              <w:left w:val="nil"/>
              <w:bottom w:val="single" w:sz="4" w:space="0" w:color="auto"/>
              <w:right w:val="single" w:sz="4" w:space="0" w:color="auto"/>
            </w:tcBorders>
            <w:shd w:val="clear" w:color="auto" w:fill="auto"/>
            <w:vAlign w:val="bottom"/>
            <w:hideMark/>
          </w:tcPr>
          <w:p w14:paraId="638EF09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87 </w:t>
            </w:r>
          </w:p>
        </w:tc>
        <w:tc>
          <w:tcPr>
            <w:tcW w:w="460" w:type="pct"/>
            <w:tcBorders>
              <w:top w:val="nil"/>
              <w:left w:val="nil"/>
              <w:bottom w:val="single" w:sz="4" w:space="0" w:color="auto"/>
              <w:right w:val="single" w:sz="4" w:space="0" w:color="auto"/>
            </w:tcBorders>
            <w:shd w:val="clear" w:color="auto" w:fill="auto"/>
            <w:vAlign w:val="bottom"/>
            <w:hideMark/>
          </w:tcPr>
          <w:p w14:paraId="7DB1FDD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976 </w:t>
            </w:r>
          </w:p>
        </w:tc>
        <w:tc>
          <w:tcPr>
            <w:tcW w:w="527" w:type="pct"/>
            <w:tcBorders>
              <w:top w:val="nil"/>
              <w:left w:val="nil"/>
              <w:bottom w:val="single" w:sz="4" w:space="0" w:color="auto"/>
              <w:right w:val="single" w:sz="4" w:space="0" w:color="auto"/>
            </w:tcBorders>
            <w:shd w:val="clear" w:color="auto" w:fill="auto"/>
            <w:vAlign w:val="bottom"/>
            <w:hideMark/>
          </w:tcPr>
          <w:p w14:paraId="3063370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286 </w:t>
            </w:r>
          </w:p>
        </w:tc>
        <w:tc>
          <w:tcPr>
            <w:tcW w:w="439" w:type="pct"/>
            <w:tcBorders>
              <w:top w:val="nil"/>
              <w:left w:val="nil"/>
              <w:bottom w:val="single" w:sz="4" w:space="0" w:color="auto"/>
              <w:right w:val="single" w:sz="4" w:space="0" w:color="auto"/>
            </w:tcBorders>
            <w:shd w:val="clear" w:color="auto" w:fill="auto"/>
            <w:vAlign w:val="bottom"/>
            <w:hideMark/>
          </w:tcPr>
          <w:p w14:paraId="694219C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1.011 </w:t>
            </w:r>
          </w:p>
        </w:tc>
        <w:tc>
          <w:tcPr>
            <w:tcW w:w="547" w:type="pct"/>
            <w:tcBorders>
              <w:top w:val="nil"/>
              <w:left w:val="nil"/>
              <w:bottom w:val="single" w:sz="4" w:space="0" w:color="auto"/>
              <w:right w:val="single" w:sz="4" w:space="0" w:color="auto"/>
            </w:tcBorders>
            <w:shd w:val="clear" w:color="auto" w:fill="auto"/>
            <w:vAlign w:val="bottom"/>
            <w:hideMark/>
          </w:tcPr>
          <w:p w14:paraId="27E396C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591 </w:t>
            </w:r>
          </w:p>
        </w:tc>
      </w:tr>
      <w:tr w:rsidR="00EE1B4D" w:rsidRPr="001A38D5" w14:paraId="5F3D574F"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2E339659"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COLEGIO MIGUEL ANGEL MARTIN</w:t>
            </w:r>
          </w:p>
        </w:tc>
        <w:tc>
          <w:tcPr>
            <w:tcW w:w="330" w:type="pct"/>
            <w:tcBorders>
              <w:top w:val="nil"/>
              <w:left w:val="nil"/>
              <w:bottom w:val="single" w:sz="4" w:space="0" w:color="auto"/>
              <w:right w:val="single" w:sz="4" w:space="0" w:color="auto"/>
            </w:tcBorders>
            <w:shd w:val="clear" w:color="auto" w:fill="auto"/>
            <w:vAlign w:val="bottom"/>
            <w:hideMark/>
          </w:tcPr>
          <w:p w14:paraId="0C1B8EB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183E55F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704 </w:t>
            </w:r>
          </w:p>
        </w:tc>
        <w:tc>
          <w:tcPr>
            <w:tcW w:w="527" w:type="pct"/>
            <w:tcBorders>
              <w:top w:val="nil"/>
              <w:left w:val="nil"/>
              <w:bottom w:val="single" w:sz="4" w:space="0" w:color="auto"/>
              <w:right w:val="single" w:sz="4" w:space="0" w:color="auto"/>
            </w:tcBorders>
            <w:shd w:val="clear" w:color="auto" w:fill="auto"/>
            <w:vAlign w:val="bottom"/>
            <w:hideMark/>
          </w:tcPr>
          <w:p w14:paraId="2A750F5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264 </w:t>
            </w:r>
          </w:p>
        </w:tc>
        <w:tc>
          <w:tcPr>
            <w:tcW w:w="460" w:type="pct"/>
            <w:tcBorders>
              <w:top w:val="nil"/>
              <w:left w:val="nil"/>
              <w:bottom w:val="single" w:sz="4" w:space="0" w:color="auto"/>
              <w:right w:val="single" w:sz="4" w:space="0" w:color="auto"/>
            </w:tcBorders>
            <w:shd w:val="clear" w:color="auto" w:fill="auto"/>
            <w:vAlign w:val="bottom"/>
            <w:hideMark/>
          </w:tcPr>
          <w:p w14:paraId="67DA6D4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645 </w:t>
            </w:r>
          </w:p>
        </w:tc>
        <w:tc>
          <w:tcPr>
            <w:tcW w:w="527" w:type="pct"/>
            <w:tcBorders>
              <w:top w:val="nil"/>
              <w:left w:val="nil"/>
              <w:bottom w:val="single" w:sz="4" w:space="0" w:color="auto"/>
              <w:right w:val="single" w:sz="4" w:space="0" w:color="auto"/>
            </w:tcBorders>
            <w:shd w:val="clear" w:color="auto" w:fill="auto"/>
            <w:vAlign w:val="bottom"/>
            <w:hideMark/>
          </w:tcPr>
          <w:p w14:paraId="419FDDA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160 </w:t>
            </w:r>
          </w:p>
        </w:tc>
        <w:tc>
          <w:tcPr>
            <w:tcW w:w="439" w:type="pct"/>
            <w:tcBorders>
              <w:top w:val="nil"/>
              <w:left w:val="nil"/>
              <w:bottom w:val="single" w:sz="4" w:space="0" w:color="auto"/>
              <w:right w:val="single" w:sz="4" w:space="0" w:color="auto"/>
            </w:tcBorders>
            <w:shd w:val="clear" w:color="auto" w:fill="auto"/>
            <w:vAlign w:val="bottom"/>
            <w:hideMark/>
          </w:tcPr>
          <w:p w14:paraId="2D06BF0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655 </w:t>
            </w:r>
          </w:p>
        </w:tc>
        <w:tc>
          <w:tcPr>
            <w:tcW w:w="547" w:type="pct"/>
            <w:tcBorders>
              <w:top w:val="nil"/>
              <w:left w:val="nil"/>
              <w:bottom w:val="single" w:sz="4" w:space="0" w:color="auto"/>
              <w:right w:val="single" w:sz="4" w:space="0" w:color="auto"/>
            </w:tcBorders>
            <w:shd w:val="clear" w:color="auto" w:fill="auto"/>
            <w:vAlign w:val="bottom"/>
            <w:hideMark/>
          </w:tcPr>
          <w:p w14:paraId="76DB89A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243 </w:t>
            </w:r>
          </w:p>
        </w:tc>
      </w:tr>
      <w:tr w:rsidR="00EE1B4D" w:rsidRPr="001A38D5" w14:paraId="4584B94D"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F4B6B02"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INSTITUTO NACIONAL FRANCISCO JOSE DE CALDAS</w:t>
            </w:r>
          </w:p>
        </w:tc>
        <w:tc>
          <w:tcPr>
            <w:tcW w:w="330" w:type="pct"/>
            <w:tcBorders>
              <w:top w:val="nil"/>
              <w:left w:val="nil"/>
              <w:bottom w:val="single" w:sz="4" w:space="0" w:color="auto"/>
              <w:right w:val="single" w:sz="4" w:space="0" w:color="auto"/>
            </w:tcBorders>
            <w:shd w:val="clear" w:color="auto" w:fill="auto"/>
            <w:vAlign w:val="bottom"/>
            <w:hideMark/>
          </w:tcPr>
          <w:p w14:paraId="1B55087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4</w:t>
            </w:r>
          </w:p>
        </w:tc>
        <w:tc>
          <w:tcPr>
            <w:tcW w:w="459" w:type="pct"/>
            <w:tcBorders>
              <w:top w:val="nil"/>
              <w:left w:val="nil"/>
              <w:bottom w:val="single" w:sz="4" w:space="0" w:color="auto"/>
              <w:right w:val="single" w:sz="4" w:space="0" w:color="auto"/>
            </w:tcBorders>
            <w:shd w:val="clear" w:color="auto" w:fill="auto"/>
            <w:vAlign w:val="bottom"/>
            <w:hideMark/>
          </w:tcPr>
          <w:p w14:paraId="2833784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2.473 </w:t>
            </w:r>
          </w:p>
        </w:tc>
        <w:tc>
          <w:tcPr>
            <w:tcW w:w="527" w:type="pct"/>
            <w:tcBorders>
              <w:top w:val="nil"/>
              <w:left w:val="nil"/>
              <w:bottom w:val="single" w:sz="4" w:space="0" w:color="auto"/>
              <w:right w:val="single" w:sz="4" w:space="0" w:color="auto"/>
            </w:tcBorders>
            <w:shd w:val="clear" w:color="auto" w:fill="auto"/>
            <w:vAlign w:val="bottom"/>
            <w:hideMark/>
          </w:tcPr>
          <w:p w14:paraId="599B1A7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529 </w:t>
            </w:r>
          </w:p>
        </w:tc>
        <w:tc>
          <w:tcPr>
            <w:tcW w:w="460" w:type="pct"/>
            <w:tcBorders>
              <w:top w:val="nil"/>
              <w:left w:val="nil"/>
              <w:bottom w:val="single" w:sz="4" w:space="0" w:color="auto"/>
              <w:right w:val="single" w:sz="4" w:space="0" w:color="auto"/>
            </w:tcBorders>
            <w:shd w:val="clear" w:color="auto" w:fill="auto"/>
            <w:vAlign w:val="bottom"/>
            <w:hideMark/>
          </w:tcPr>
          <w:p w14:paraId="2E52D75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2.693 </w:t>
            </w:r>
          </w:p>
        </w:tc>
        <w:tc>
          <w:tcPr>
            <w:tcW w:w="527" w:type="pct"/>
            <w:tcBorders>
              <w:top w:val="nil"/>
              <w:left w:val="nil"/>
              <w:bottom w:val="single" w:sz="4" w:space="0" w:color="auto"/>
              <w:right w:val="single" w:sz="4" w:space="0" w:color="auto"/>
            </w:tcBorders>
            <w:shd w:val="clear" w:color="auto" w:fill="auto"/>
            <w:vAlign w:val="bottom"/>
            <w:hideMark/>
          </w:tcPr>
          <w:p w14:paraId="3B1C007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795 </w:t>
            </w:r>
          </w:p>
        </w:tc>
        <w:tc>
          <w:tcPr>
            <w:tcW w:w="439" w:type="pct"/>
            <w:tcBorders>
              <w:top w:val="nil"/>
              <w:left w:val="nil"/>
              <w:bottom w:val="single" w:sz="4" w:space="0" w:color="auto"/>
              <w:right w:val="single" w:sz="4" w:space="0" w:color="auto"/>
            </w:tcBorders>
            <w:shd w:val="clear" w:color="auto" w:fill="auto"/>
            <w:vAlign w:val="bottom"/>
            <w:hideMark/>
          </w:tcPr>
          <w:p w14:paraId="3C4AC99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2.598 </w:t>
            </w:r>
          </w:p>
        </w:tc>
        <w:tc>
          <w:tcPr>
            <w:tcW w:w="547" w:type="pct"/>
            <w:tcBorders>
              <w:top w:val="nil"/>
              <w:left w:val="nil"/>
              <w:bottom w:val="single" w:sz="4" w:space="0" w:color="auto"/>
              <w:right w:val="single" w:sz="4" w:space="0" w:color="auto"/>
            </w:tcBorders>
            <w:shd w:val="clear" w:color="auto" w:fill="auto"/>
            <w:vAlign w:val="bottom"/>
            <w:hideMark/>
          </w:tcPr>
          <w:p w14:paraId="1C24A96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1.711 </w:t>
            </w:r>
          </w:p>
        </w:tc>
      </w:tr>
      <w:tr w:rsidR="00EE1B4D" w:rsidRPr="001A38D5" w14:paraId="673A4943"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0FC59EBC"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INSTITUCIÓN EDUCATIVA COLEGIO DEPARTAMENTAL JUAN B CABALLERO MEDINA</w:t>
            </w:r>
          </w:p>
        </w:tc>
        <w:tc>
          <w:tcPr>
            <w:tcW w:w="330" w:type="pct"/>
            <w:tcBorders>
              <w:top w:val="nil"/>
              <w:left w:val="nil"/>
              <w:bottom w:val="single" w:sz="4" w:space="0" w:color="auto"/>
              <w:right w:val="single" w:sz="4" w:space="0" w:color="auto"/>
            </w:tcBorders>
            <w:shd w:val="clear" w:color="auto" w:fill="auto"/>
            <w:vAlign w:val="bottom"/>
            <w:hideMark/>
          </w:tcPr>
          <w:p w14:paraId="2B674B0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34B5C58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583 </w:t>
            </w:r>
          </w:p>
        </w:tc>
        <w:tc>
          <w:tcPr>
            <w:tcW w:w="527" w:type="pct"/>
            <w:tcBorders>
              <w:top w:val="nil"/>
              <w:left w:val="nil"/>
              <w:bottom w:val="single" w:sz="4" w:space="0" w:color="auto"/>
              <w:right w:val="single" w:sz="4" w:space="0" w:color="auto"/>
            </w:tcBorders>
            <w:shd w:val="clear" w:color="auto" w:fill="auto"/>
            <w:vAlign w:val="bottom"/>
            <w:hideMark/>
          </w:tcPr>
          <w:p w14:paraId="3C6877A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117 </w:t>
            </w:r>
          </w:p>
        </w:tc>
        <w:tc>
          <w:tcPr>
            <w:tcW w:w="460" w:type="pct"/>
            <w:tcBorders>
              <w:top w:val="nil"/>
              <w:left w:val="nil"/>
              <w:bottom w:val="single" w:sz="4" w:space="0" w:color="auto"/>
              <w:right w:val="single" w:sz="4" w:space="0" w:color="auto"/>
            </w:tcBorders>
            <w:shd w:val="clear" w:color="auto" w:fill="auto"/>
            <w:vAlign w:val="bottom"/>
            <w:hideMark/>
          </w:tcPr>
          <w:p w14:paraId="0EC436A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603 </w:t>
            </w:r>
          </w:p>
        </w:tc>
        <w:tc>
          <w:tcPr>
            <w:tcW w:w="527" w:type="pct"/>
            <w:tcBorders>
              <w:top w:val="nil"/>
              <w:left w:val="nil"/>
              <w:bottom w:val="single" w:sz="4" w:space="0" w:color="auto"/>
              <w:right w:val="single" w:sz="4" w:space="0" w:color="auto"/>
            </w:tcBorders>
            <w:shd w:val="clear" w:color="auto" w:fill="auto"/>
            <w:vAlign w:val="bottom"/>
            <w:hideMark/>
          </w:tcPr>
          <w:p w14:paraId="1871D32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140 </w:t>
            </w:r>
          </w:p>
        </w:tc>
        <w:tc>
          <w:tcPr>
            <w:tcW w:w="439" w:type="pct"/>
            <w:tcBorders>
              <w:top w:val="nil"/>
              <w:left w:val="nil"/>
              <w:bottom w:val="single" w:sz="4" w:space="0" w:color="auto"/>
              <w:right w:val="single" w:sz="4" w:space="0" w:color="auto"/>
            </w:tcBorders>
            <w:shd w:val="clear" w:color="auto" w:fill="auto"/>
            <w:vAlign w:val="bottom"/>
            <w:hideMark/>
          </w:tcPr>
          <w:p w14:paraId="61BF40C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594 </w:t>
            </w:r>
          </w:p>
        </w:tc>
        <w:tc>
          <w:tcPr>
            <w:tcW w:w="547" w:type="pct"/>
            <w:tcBorders>
              <w:top w:val="nil"/>
              <w:left w:val="nil"/>
              <w:bottom w:val="single" w:sz="4" w:space="0" w:color="auto"/>
              <w:right w:val="single" w:sz="4" w:space="0" w:color="auto"/>
            </w:tcBorders>
            <w:shd w:val="clear" w:color="auto" w:fill="auto"/>
            <w:vAlign w:val="bottom"/>
            <w:hideMark/>
          </w:tcPr>
          <w:p w14:paraId="0124436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281 </w:t>
            </w:r>
          </w:p>
        </w:tc>
      </w:tr>
      <w:tr w:rsidR="00EE1B4D" w:rsidRPr="001A38D5" w14:paraId="67C7E130"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2198BCC"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COLEGIO TECNICO FRANCISCO DE PAULA SANTANDER</w:t>
            </w:r>
          </w:p>
        </w:tc>
        <w:tc>
          <w:tcPr>
            <w:tcW w:w="330" w:type="pct"/>
            <w:tcBorders>
              <w:top w:val="nil"/>
              <w:left w:val="nil"/>
              <w:bottom w:val="single" w:sz="4" w:space="0" w:color="auto"/>
              <w:right w:val="single" w:sz="4" w:space="0" w:color="auto"/>
            </w:tcBorders>
            <w:shd w:val="clear" w:color="auto" w:fill="auto"/>
            <w:vAlign w:val="bottom"/>
            <w:hideMark/>
          </w:tcPr>
          <w:p w14:paraId="6914EB1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628BFDB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874 </w:t>
            </w:r>
          </w:p>
        </w:tc>
        <w:tc>
          <w:tcPr>
            <w:tcW w:w="527" w:type="pct"/>
            <w:tcBorders>
              <w:top w:val="nil"/>
              <w:left w:val="nil"/>
              <w:bottom w:val="single" w:sz="4" w:space="0" w:color="auto"/>
              <w:right w:val="single" w:sz="4" w:space="0" w:color="auto"/>
            </w:tcBorders>
            <w:shd w:val="clear" w:color="auto" w:fill="auto"/>
            <w:vAlign w:val="bottom"/>
            <w:hideMark/>
          </w:tcPr>
          <w:p w14:paraId="2F90407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306 </w:t>
            </w:r>
          </w:p>
        </w:tc>
        <w:tc>
          <w:tcPr>
            <w:tcW w:w="460" w:type="pct"/>
            <w:tcBorders>
              <w:top w:val="nil"/>
              <w:left w:val="nil"/>
              <w:bottom w:val="single" w:sz="4" w:space="0" w:color="auto"/>
              <w:right w:val="single" w:sz="4" w:space="0" w:color="auto"/>
            </w:tcBorders>
            <w:shd w:val="clear" w:color="auto" w:fill="auto"/>
            <w:vAlign w:val="bottom"/>
            <w:hideMark/>
          </w:tcPr>
          <w:p w14:paraId="4C054AC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891 </w:t>
            </w:r>
          </w:p>
        </w:tc>
        <w:tc>
          <w:tcPr>
            <w:tcW w:w="527" w:type="pct"/>
            <w:tcBorders>
              <w:top w:val="nil"/>
              <w:left w:val="nil"/>
              <w:bottom w:val="single" w:sz="4" w:space="0" w:color="auto"/>
              <w:right w:val="single" w:sz="4" w:space="0" w:color="auto"/>
            </w:tcBorders>
            <w:shd w:val="clear" w:color="auto" w:fill="auto"/>
            <w:vAlign w:val="bottom"/>
            <w:hideMark/>
          </w:tcPr>
          <w:p w14:paraId="021192D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416 </w:t>
            </w:r>
          </w:p>
        </w:tc>
        <w:tc>
          <w:tcPr>
            <w:tcW w:w="439" w:type="pct"/>
            <w:tcBorders>
              <w:top w:val="nil"/>
              <w:left w:val="nil"/>
              <w:bottom w:val="single" w:sz="4" w:space="0" w:color="auto"/>
              <w:right w:val="single" w:sz="4" w:space="0" w:color="auto"/>
            </w:tcBorders>
            <w:shd w:val="clear" w:color="auto" w:fill="auto"/>
            <w:vAlign w:val="bottom"/>
            <w:hideMark/>
          </w:tcPr>
          <w:p w14:paraId="773A71C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886 </w:t>
            </w:r>
          </w:p>
        </w:tc>
        <w:tc>
          <w:tcPr>
            <w:tcW w:w="547" w:type="pct"/>
            <w:tcBorders>
              <w:top w:val="nil"/>
              <w:left w:val="nil"/>
              <w:bottom w:val="single" w:sz="4" w:space="0" w:color="auto"/>
              <w:right w:val="single" w:sz="4" w:space="0" w:color="auto"/>
            </w:tcBorders>
            <w:shd w:val="clear" w:color="auto" w:fill="auto"/>
            <w:vAlign w:val="bottom"/>
            <w:hideMark/>
          </w:tcPr>
          <w:p w14:paraId="182BEA4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604 </w:t>
            </w:r>
          </w:p>
        </w:tc>
      </w:tr>
      <w:tr w:rsidR="00EE1B4D" w:rsidRPr="001A38D5" w14:paraId="70BC8A10"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7A16D323"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LA MADRID</w:t>
            </w:r>
          </w:p>
        </w:tc>
        <w:tc>
          <w:tcPr>
            <w:tcW w:w="330" w:type="pct"/>
            <w:tcBorders>
              <w:top w:val="nil"/>
              <w:left w:val="nil"/>
              <w:bottom w:val="single" w:sz="4" w:space="0" w:color="auto"/>
              <w:right w:val="single" w:sz="4" w:space="0" w:color="auto"/>
            </w:tcBorders>
            <w:shd w:val="clear" w:color="auto" w:fill="auto"/>
            <w:vAlign w:val="bottom"/>
            <w:hideMark/>
          </w:tcPr>
          <w:p w14:paraId="58AEEAB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496F31D7"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27" w:type="pct"/>
            <w:tcBorders>
              <w:top w:val="nil"/>
              <w:left w:val="nil"/>
              <w:bottom w:val="single" w:sz="4" w:space="0" w:color="auto"/>
              <w:right w:val="single" w:sz="4" w:space="0" w:color="auto"/>
            </w:tcBorders>
            <w:shd w:val="clear" w:color="auto" w:fill="auto"/>
            <w:vAlign w:val="bottom"/>
            <w:hideMark/>
          </w:tcPr>
          <w:p w14:paraId="49D7EA42"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7B42C80E"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27" w:type="pct"/>
            <w:tcBorders>
              <w:top w:val="nil"/>
              <w:left w:val="nil"/>
              <w:bottom w:val="single" w:sz="4" w:space="0" w:color="auto"/>
              <w:right w:val="single" w:sz="4" w:space="0" w:color="auto"/>
            </w:tcBorders>
            <w:shd w:val="clear" w:color="auto" w:fill="auto"/>
            <w:vAlign w:val="bottom"/>
            <w:hideMark/>
          </w:tcPr>
          <w:p w14:paraId="4C01B85F"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39" w:type="pct"/>
            <w:tcBorders>
              <w:top w:val="nil"/>
              <w:left w:val="nil"/>
              <w:bottom w:val="single" w:sz="4" w:space="0" w:color="auto"/>
              <w:right w:val="single" w:sz="4" w:space="0" w:color="auto"/>
            </w:tcBorders>
            <w:shd w:val="clear" w:color="auto" w:fill="auto"/>
            <w:vAlign w:val="bottom"/>
            <w:hideMark/>
          </w:tcPr>
          <w:p w14:paraId="790AF4F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1.192 </w:t>
            </w:r>
          </w:p>
        </w:tc>
        <w:tc>
          <w:tcPr>
            <w:tcW w:w="547" w:type="pct"/>
            <w:tcBorders>
              <w:top w:val="nil"/>
              <w:left w:val="nil"/>
              <w:bottom w:val="single" w:sz="4" w:space="0" w:color="auto"/>
              <w:right w:val="single" w:sz="4" w:space="0" w:color="auto"/>
            </w:tcBorders>
            <w:shd w:val="clear" w:color="auto" w:fill="auto"/>
            <w:vAlign w:val="bottom"/>
            <w:hideMark/>
          </w:tcPr>
          <w:p w14:paraId="3463B8F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824 </w:t>
            </w:r>
          </w:p>
        </w:tc>
      </w:tr>
      <w:tr w:rsidR="00EE1B4D" w:rsidRPr="001A38D5" w14:paraId="7F74FAD0"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0C0984F2"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UNIDAD EDUCATIVA PLAYA RICA</w:t>
            </w:r>
          </w:p>
        </w:tc>
        <w:tc>
          <w:tcPr>
            <w:tcW w:w="330" w:type="pct"/>
            <w:tcBorders>
              <w:top w:val="nil"/>
              <w:left w:val="nil"/>
              <w:bottom w:val="single" w:sz="4" w:space="0" w:color="auto"/>
              <w:right w:val="single" w:sz="4" w:space="0" w:color="auto"/>
            </w:tcBorders>
            <w:shd w:val="clear" w:color="auto" w:fill="auto"/>
            <w:vAlign w:val="bottom"/>
            <w:hideMark/>
          </w:tcPr>
          <w:p w14:paraId="643DF89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3</w:t>
            </w:r>
          </w:p>
        </w:tc>
        <w:tc>
          <w:tcPr>
            <w:tcW w:w="459" w:type="pct"/>
            <w:tcBorders>
              <w:top w:val="nil"/>
              <w:left w:val="nil"/>
              <w:bottom w:val="single" w:sz="4" w:space="0" w:color="auto"/>
              <w:right w:val="single" w:sz="4" w:space="0" w:color="auto"/>
            </w:tcBorders>
            <w:shd w:val="clear" w:color="auto" w:fill="auto"/>
            <w:vAlign w:val="bottom"/>
            <w:hideMark/>
          </w:tcPr>
          <w:p w14:paraId="3876163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899 </w:t>
            </w:r>
          </w:p>
        </w:tc>
        <w:tc>
          <w:tcPr>
            <w:tcW w:w="527" w:type="pct"/>
            <w:tcBorders>
              <w:top w:val="nil"/>
              <w:left w:val="nil"/>
              <w:bottom w:val="single" w:sz="4" w:space="0" w:color="auto"/>
              <w:right w:val="single" w:sz="4" w:space="0" w:color="auto"/>
            </w:tcBorders>
            <w:shd w:val="clear" w:color="auto" w:fill="auto"/>
            <w:vAlign w:val="bottom"/>
            <w:hideMark/>
          </w:tcPr>
          <w:p w14:paraId="253FFF2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360 </w:t>
            </w:r>
          </w:p>
        </w:tc>
        <w:tc>
          <w:tcPr>
            <w:tcW w:w="460" w:type="pct"/>
            <w:tcBorders>
              <w:top w:val="nil"/>
              <w:left w:val="nil"/>
              <w:bottom w:val="single" w:sz="4" w:space="0" w:color="auto"/>
              <w:right w:val="single" w:sz="4" w:space="0" w:color="auto"/>
            </w:tcBorders>
            <w:shd w:val="clear" w:color="auto" w:fill="auto"/>
            <w:vAlign w:val="bottom"/>
            <w:hideMark/>
          </w:tcPr>
          <w:p w14:paraId="232C183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927 </w:t>
            </w:r>
          </w:p>
        </w:tc>
        <w:tc>
          <w:tcPr>
            <w:tcW w:w="527" w:type="pct"/>
            <w:tcBorders>
              <w:top w:val="nil"/>
              <w:left w:val="nil"/>
              <w:bottom w:val="single" w:sz="4" w:space="0" w:color="auto"/>
              <w:right w:val="single" w:sz="4" w:space="0" w:color="auto"/>
            </w:tcBorders>
            <w:shd w:val="clear" w:color="auto" w:fill="auto"/>
            <w:vAlign w:val="bottom"/>
            <w:hideMark/>
          </w:tcPr>
          <w:p w14:paraId="6DAAC84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261 </w:t>
            </w:r>
          </w:p>
        </w:tc>
        <w:tc>
          <w:tcPr>
            <w:tcW w:w="439" w:type="pct"/>
            <w:tcBorders>
              <w:top w:val="nil"/>
              <w:left w:val="nil"/>
              <w:bottom w:val="single" w:sz="4" w:space="0" w:color="auto"/>
              <w:right w:val="single" w:sz="4" w:space="0" w:color="auto"/>
            </w:tcBorders>
            <w:shd w:val="clear" w:color="auto" w:fill="auto"/>
            <w:vAlign w:val="bottom"/>
            <w:hideMark/>
          </w:tcPr>
          <w:p w14:paraId="4BD2501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895 </w:t>
            </w:r>
          </w:p>
        </w:tc>
        <w:tc>
          <w:tcPr>
            <w:tcW w:w="547" w:type="pct"/>
            <w:tcBorders>
              <w:top w:val="nil"/>
              <w:left w:val="nil"/>
              <w:bottom w:val="single" w:sz="4" w:space="0" w:color="auto"/>
              <w:right w:val="single" w:sz="4" w:space="0" w:color="auto"/>
            </w:tcBorders>
            <w:shd w:val="clear" w:color="auto" w:fill="auto"/>
            <w:vAlign w:val="bottom"/>
            <w:hideMark/>
          </w:tcPr>
          <w:p w14:paraId="5E58605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774 </w:t>
            </w:r>
          </w:p>
        </w:tc>
      </w:tr>
      <w:tr w:rsidR="00EE1B4D" w:rsidRPr="001A38D5" w14:paraId="5B87AFA9"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45C6FE84"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COLEGIO ABRAHAM LINCOLN</w:t>
            </w:r>
          </w:p>
        </w:tc>
        <w:tc>
          <w:tcPr>
            <w:tcW w:w="330" w:type="pct"/>
            <w:tcBorders>
              <w:top w:val="nil"/>
              <w:left w:val="nil"/>
              <w:bottom w:val="single" w:sz="4" w:space="0" w:color="auto"/>
              <w:right w:val="single" w:sz="4" w:space="0" w:color="auto"/>
            </w:tcBorders>
            <w:shd w:val="clear" w:color="auto" w:fill="auto"/>
            <w:vAlign w:val="bottom"/>
            <w:hideMark/>
          </w:tcPr>
          <w:p w14:paraId="7E1ED8A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006A828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1.044 </w:t>
            </w:r>
          </w:p>
        </w:tc>
        <w:tc>
          <w:tcPr>
            <w:tcW w:w="527" w:type="pct"/>
            <w:tcBorders>
              <w:top w:val="nil"/>
              <w:left w:val="nil"/>
              <w:bottom w:val="single" w:sz="4" w:space="0" w:color="auto"/>
              <w:right w:val="single" w:sz="4" w:space="0" w:color="auto"/>
            </w:tcBorders>
            <w:shd w:val="clear" w:color="auto" w:fill="auto"/>
            <w:vAlign w:val="bottom"/>
            <w:hideMark/>
          </w:tcPr>
          <w:p w14:paraId="111EDC5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460 </w:t>
            </w:r>
          </w:p>
        </w:tc>
        <w:tc>
          <w:tcPr>
            <w:tcW w:w="460" w:type="pct"/>
            <w:tcBorders>
              <w:top w:val="nil"/>
              <w:left w:val="nil"/>
              <w:bottom w:val="single" w:sz="4" w:space="0" w:color="auto"/>
              <w:right w:val="single" w:sz="4" w:space="0" w:color="auto"/>
            </w:tcBorders>
            <w:shd w:val="clear" w:color="auto" w:fill="auto"/>
            <w:vAlign w:val="bottom"/>
            <w:hideMark/>
          </w:tcPr>
          <w:p w14:paraId="67F8119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907 </w:t>
            </w:r>
          </w:p>
        </w:tc>
        <w:tc>
          <w:tcPr>
            <w:tcW w:w="527" w:type="pct"/>
            <w:tcBorders>
              <w:top w:val="nil"/>
              <w:left w:val="nil"/>
              <w:bottom w:val="single" w:sz="4" w:space="0" w:color="auto"/>
              <w:right w:val="single" w:sz="4" w:space="0" w:color="auto"/>
            </w:tcBorders>
            <w:shd w:val="clear" w:color="auto" w:fill="auto"/>
            <w:vAlign w:val="bottom"/>
            <w:hideMark/>
          </w:tcPr>
          <w:p w14:paraId="32C8536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510 </w:t>
            </w:r>
          </w:p>
        </w:tc>
        <w:tc>
          <w:tcPr>
            <w:tcW w:w="439" w:type="pct"/>
            <w:tcBorders>
              <w:top w:val="nil"/>
              <w:left w:val="nil"/>
              <w:bottom w:val="single" w:sz="4" w:space="0" w:color="auto"/>
              <w:right w:val="single" w:sz="4" w:space="0" w:color="auto"/>
            </w:tcBorders>
            <w:shd w:val="clear" w:color="auto" w:fill="auto"/>
            <w:vAlign w:val="bottom"/>
            <w:hideMark/>
          </w:tcPr>
          <w:p w14:paraId="4A34110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1.084 </w:t>
            </w:r>
          </w:p>
        </w:tc>
        <w:tc>
          <w:tcPr>
            <w:tcW w:w="547" w:type="pct"/>
            <w:tcBorders>
              <w:top w:val="nil"/>
              <w:left w:val="nil"/>
              <w:bottom w:val="single" w:sz="4" w:space="0" w:color="auto"/>
              <w:right w:val="single" w:sz="4" w:space="0" w:color="auto"/>
            </w:tcBorders>
            <w:shd w:val="clear" w:color="auto" w:fill="auto"/>
            <w:vAlign w:val="bottom"/>
            <w:hideMark/>
          </w:tcPr>
          <w:p w14:paraId="4A7DEA0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738 </w:t>
            </w:r>
          </w:p>
        </w:tc>
      </w:tr>
      <w:tr w:rsidR="00EE1B4D" w:rsidRPr="001A38D5" w14:paraId="203758A5"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7F6ACB2B"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JARD INF PERSONITAS DEL MAÑANA</w:t>
            </w:r>
          </w:p>
        </w:tc>
        <w:tc>
          <w:tcPr>
            <w:tcW w:w="330" w:type="pct"/>
            <w:tcBorders>
              <w:top w:val="nil"/>
              <w:left w:val="nil"/>
              <w:bottom w:val="single" w:sz="4" w:space="0" w:color="auto"/>
              <w:right w:val="single" w:sz="4" w:space="0" w:color="auto"/>
            </w:tcBorders>
            <w:shd w:val="clear" w:color="auto" w:fill="auto"/>
            <w:vAlign w:val="bottom"/>
            <w:hideMark/>
          </w:tcPr>
          <w:p w14:paraId="3F013C9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2D7E2C05"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65 </w:t>
            </w:r>
          </w:p>
        </w:tc>
        <w:tc>
          <w:tcPr>
            <w:tcW w:w="527" w:type="pct"/>
            <w:tcBorders>
              <w:top w:val="nil"/>
              <w:left w:val="nil"/>
              <w:bottom w:val="single" w:sz="4" w:space="0" w:color="auto"/>
              <w:right w:val="single" w:sz="4" w:space="0" w:color="auto"/>
            </w:tcBorders>
            <w:shd w:val="clear" w:color="auto" w:fill="auto"/>
            <w:vAlign w:val="bottom"/>
            <w:hideMark/>
          </w:tcPr>
          <w:p w14:paraId="5C6B9A60"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270E378F"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27" w:type="pct"/>
            <w:tcBorders>
              <w:top w:val="nil"/>
              <w:left w:val="nil"/>
              <w:bottom w:val="single" w:sz="4" w:space="0" w:color="auto"/>
              <w:right w:val="single" w:sz="4" w:space="0" w:color="auto"/>
            </w:tcBorders>
            <w:shd w:val="clear" w:color="auto" w:fill="auto"/>
            <w:vAlign w:val="bottom"/>
            <w:hideMark/>
          </w:tcPr>
          <w:p w14:paraId="677624E4"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39" w:type="pct"/>
            <w:tcBorders>
              <w:top w:val="nil"/>
              <w:left w:val="nil"/>
              <w:bottom w:val="single" w:sz="4" w:space="0" w:color="auto"/>
              <w:right w:val="single" w:sz="4" w:space="0" w:color="auto"/>
            </w:tcBorders>
            <w:shd w:val="clear" w:color="auto" w:fill="auto"/>
            <w:vAlign w:val="bottom"/>
            <w:hideMark/>
          </w:tcPr>
          <w:p w14:paraId="3A7224A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38 </w:t>
            </w:r>
          </w:p>
        </w:tc>
        <w:tc>
          <w:tcPr>
            <w:tcW w:w="547" w:type="pct"/>
            <w:tcBorders>
              <w:top w:val="nil"/>
              <w:left w:val="nil"/>
              <w:bottom w:val="single" w:sz="4" w:space="0" w:color="auto"/>
              <w:right w:val="single" w:sz="4" w:space="0" w:color="auto"/>
            </w:tcBorders>
            <w:shd w:val="clear" w:color="auto" w:fill="auto"/>
            <w:vAlign w:val="bottom"/>
            <w:hideMark/>
          </w:tcPr>
          <w:p w14:paraId="47F5151A"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r>
      <w:tr w:rsidR="00EE1B4D" w:rsidRPr="001A38D5" w14:paraId="09EC8199"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06506F63"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RURAL VANGUARDIA</w:t>
            </w:r>
          </w:p>
        </w:tc>
        <w:tc>
          <w:tcPr>
            <w:tcW w:w="330" w:type="pct"/>
            <w:tcBorders>
              <w:top w:val="nil"/>
              <w:left w:val="nil"/>
              <w:bottom w:val="single" w:sz="4" w:space="0" w:color="auto"/>
              <w:right w:val="single" w:sz="4" w:space="0" w:color="auto"/>
            </w:tcBorders>
            <w:shd w:val="clear" w:color="auto" w:fill="auto"/>
            <w:vAlign w:val="bottom"/>
            <w:hideMark/>
          </w:tcPr>
          <w:p w14:paraId="56CDDA5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15</w:t>
            </w:r>
          </w:p>
        </w:tc>
        <w:tc>
          <w:tcPr>
            <w:tcW w:w="459" w:type="pct"/>
            <w:tcBorders>
              <w:top w:val="nil"/>
              <w:left w:val="nil"/>
              <w:bottom w:val="single" w:sz="4" w:space="0" w:color="auto"/>
              <w:right w:val="single" w:sz="4" w:space="0" w:color="auto"/>
            </w:tcBorders>
            <w:shd w:val="clear" w:color="auto" w:fill="auto"/>
            <w:vAlign w:val="bottom"/>
            <w:hideMark/>
          </w:tcPr>
          <w:p w14:paraId="323E305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855 </w:t>
            </w:r>
          </w:p>
        </w:tc>
        <w:tc>
          <w:tcPr>
            <w:tcW w:w="527" w:type="pct"/>
            <w:tcBorders>
              <w:top w:val="nil"/>
              <w:left w:val="nil"/>
              <w:bottom w:val="single" w:sz="4" w:space="0" w:color="auto"/>
              <w:right w:val="single" w:sz="4" w:space="0" w:color="auto"/>
            </w:tcBorders>
            <w:shd w:val="clear" w:color="auto" w:fill="auto"/>
            <w:vAlign w:val="bottom"/>
            <w:hideMark/>
          </w:tcPr>
          <w:p w14:paraId="16D179A9"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823 </w:t>
            </w:r>
          </w:p>
        </w:tc>
        <w:tc>
          <w:tcPr>
            <w:tcW w:w="460" w:type="pct"/>
            <w:tcBorders>
              <w:top w:val="nil"/>
              <w:left w:val="nil"/>
              <w:bottom w:val="single" w:sz="4" w:space="0" w:color="auto"/>
              <w:right w:val="single" w:sz="4" w:space="0" w:color="auto"/>
            </w:tcBorders>
            <w:shd w:val="clear" w:color="auto" w:fill="auto"/>
            <w:vAlign w:val="bottom"/>
            <w:hideMark/>
          </w:tcPr>
          <w:p w14:paraId="7D350C2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857 </w:t>
            </w:r>
          </w:p>
        </w:tc>
        <w:tc>
          <w:tcPr>
            <w:tcW w:w="527" w:type="pct"/>
            <w:tcBorders>
              <w:top w:val="nil"/>
              <w:left w:val="nil"/>
              <w:bottom w:val="single" w:sz="4" w:space="0" w:color="auto"/>
              <w:right w:val="single" w:sz="4" w:space="0" w:color="auto"/>
            </w:tcBorders>
            <w:shd w:val="clear" w:color="auto" w:fill="auto"/>
            <w:vAlign w:val="bottom"/>
            <w:hideMark/>
          </w:tcPr>
          <w:p w14:paraId="771F2F9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852 </w:t>
            </w:r>
          </w:p>
        </w:tc>
        <w:tc>
          <w:tcPr>
            <w:tcW w:w="439" w:type="pct"/>
            <w:tcBorders>
              <w:top w:val="nil"/>
              <w:left w:val="nil"/>
              <w:bottom w:val="single" w:sz="4" w:space="0" w:color="auto"/>
              <w:right w:val="single" w:sz="4" w:space="0" w:color="auto"/>
            </w:tcBorders>
            <w:shd w:val="clear" w:color="auto" w:fill="auto"/>
            <w:vAlign w:val="bottom"/>
            <w:hideMark/>
          </w:tcPr>
          <w:p w14:paraId="0272B45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862 </w:t>
            </w:r>
          </w:p>
        </w:tc>
        <w:tc>
          <w:tcPr>
            <w:tcW w:w="547" w:type="pct"/>
            <w:tcBorders>
              <w:top w:val="nil"/>
              <w:left w:val="nil"/>
              <w:bottom w:val="single" w:sz="4" w:space="0" w:color="auto"/>
              <w:right w:val="single" w:sz="4" w:space="0" w:color="auto"/>
            </w:tcBorders>
            <w:shd w:val="clear" w:color="auto" w:fill="auto"/>
            <w:vAlign w:val="bottom"/>
            <w:hideMark/>
          </w:tcPr>
          <w:p w14:paraId="057C3AE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837 </w:t>
            </w:r>
          </w:p>
        </w:tc>
      </w:tr>
      <w:tr w:rsidR="00EE1B4D" w:rsidRPr="001A38D5" w14:paraId="5CC2FAF9"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51346E3D"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JARDIN INFANTIL EL MUNDO DEL SABER</w:t>
            </w:r>
          </w:p>
        </w:tc>
        <w:tc>
          <w:tcPr>
            <w:tcW w:w="330" w:type="pct"/>
            <w:tcBorders>
              <w:top w:val="nil"/>
              <w:left w:val="nil"/>
              <w:bottom w:val="single" w:sz="4" w:space="0" w:color="auto"/>
              <w:right w:val="single" w:sz="4" w:space="0" w:color="auto"/>
            </w:tcBorders>
            <w:shd w:val="clear" w:color="auto" w:fill="auto"/>
            <w:vAlign w:val="bottom"/>
            <w:hideMark/>
          </w:tcPr>
          <w:p w14:paraId="6375F66C"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1</w:t>
            </w:r>
          </w:p>
        </w:tc>
        <w:tc>
          <w:tcPr>
            <w:tcW w:w="459" w:type="pct"/>
            <w:tcBorders>
              <w:top w:val="nil"/>
              <w:left w:val="nil"/>
              <w:bottom w:val="single" w:sz="4" w:space="0" w:color="auto"/>
              <w:right w:val="single" w:sz="4" w:space="0" w:color="auto"/>
            </w:tcBorders>
            <w:shd w:val="clear" w:color="auto" w:fill="auto"/>
            <w:vAlign w:val="bottom"/>
            <w:hideMark/>
          </w:tcPr>
          <w:p w14:paraId="3F7B857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79 </w:t>
            </w:r>
          </w:p>
        </w:tc>
        <w:tc>
          <w:tcPr>
            <w:tcW w:w="527" w:type="pct"/>
            <w:tcBorders>
              <w:top w:val="nil"/>
              <w:left w:val="nil"/>
              <w:bottom w:val="single" w:sz="4" w:space="0" w:color="auto"/>
              <w:right w:val="single" w:sz="4" w:space="0" w:color="auto"/>
            </w:tcBorders>
            <w:shd w:val="clear" w:color="auto" w:fill="auto"/>
            <w:vAlign w:val="bottom"/>
            <w:hideMark/>
          </w:tcPr>
          <w:p w14:paraId="00BD2112"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460" w:type="pct"/>
            <w:tcBorders>
              <w:top w:val="nil"/>
              <w:left w:val="nil"/>
              <w:bottom w:val="single" w:sz="4" w:space="0" w:color="auto"/>
              <w:right w:val="single" w:sz="4" w:space="0" w:color="auto"/>
            </w:tcBorders>
            <w:shd w:val="clear" w:color="auto" w:fill="auto"/>
            <w:vAlign w:val="bottom"/>
            <w:hideMark/>
          </w:tcPr>
          <w:p w14:paraId="72AA716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69 </w:t>
            </w:r>
          </w:p>
        </w:tc>
        <w:tc>
          <w:tcPr>
            <w:tcW w:w="527" w:type="pct"/>
            <w:tcBorders>
              <w:top w:val="nil"/>
              <w:left w:val="nil"/>
              <w:bottom w:val="single" w:sz="4" w:space="0" w:color="auto"/>
              <w:right w:val="single" w:sz="4" w:space="0" w:color="auto"/>
            </w:tcBorders>
            <w:shd w:val="clear" w:color="auto" w:fill="auto"/>
            <w:vAlign w:val="bottom"/>
            <w:hideMark/>
          </w:tcPr>
          <w:p w14:paraId="0FCD494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0 </w:t>
            </w:r>
          </w:p>
        </w:tc>
        <w:tc>
          <w:tcPr>
            <w:tcW w:w="439" w:type="pct"/>
            <w:tcBorders>
              <w:top w:val="nil"/>
              <w:left w:val="nil"/>
              <w:bottom w:val="single" w:sz="4" w:space="0" w:color="auto"/>
              <w:right w:val="single" w:sz="4" w:space="0" w:color="auto"/>
            </w:tcBorders>
            <w:shd w:val="clear" w:color="auto" w:fill="auto"/>
            <w:vAlign w:val="bottom"/>
            <w:hideMark/>
          </w:tcPr>
          <w:p w14:paraId="5181B58F"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c>
          <w:tcPr>
            <w:tcW w:w="547" w:type="pct"/>
            <w:tcBorders>
              <w:top w:val="nil"/>
              <w:left w:val="nil"/>
              <w:bottom w:val="single" w:sz="4" w:space="0" w:color="auto"/>
              <w:right w:val="single" w:sz="4" w:space="0" w:color="auto"/>
            </w:tcBorders>
            <w:shd w:val="clear" w:color="auto" w:fill="auto"/>
            <w:vAlign w:val="bottom"/>
            <w:hideMark/>
          </w:tcPr>
          <w:p w14:paraId="781F1DB1" w14:textId="77777777" w:rsidR="00A20990" w:rsidRPr="001A38D5" w:rsidRDefault="00A20990" w:rsidP="005140E1">
            <w:pPr>
              <w:contextualSpacing/>
              <w:rPr>
                <w:rFonts w:eastAsia="Times New Roman" w:cs="Arial"/>
                <w:sz w:val="14"/>
                <w:szCs w:val="16"/>
                <w:lang w:val="es-CO" w:eastAsia="es-CO"/>
              </w:rPr>
            </w:pPr>
            <w:r w:rsidRPr="001A38D5">
              <w:rPr>
                <w:rFonts w:eastAsia="Times New Roman" w:cs="Arial"/>
                <w:sz w:val="14"/>
                <w:szCs w:val="16"/>
                <w:lang w:val="es-CO" w:eastAsia="es-CO"/>
              </w:rPr>
              <w:t> </w:t>
            </w:r>
          </w:p>
        </w:tc>
      </w:tr>
      <w:tr w:rsidR="00EE1B4D" w:rsidRPr="001A38D5" w14:paraId="05F88A34"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3F22FD0C"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INSTITUCION EDUCATIVA COLEGIO JHON F. KENNEDY</w:t>
            </w:r>
          </w:p>
        </w:tc>
        <w:tc>
          <w:tcPr>
            <w:tcW w:w="330" w:type="pct"/>
            <w:tcBorders>
              <w:top w:val="nil"/>
              <w:left w:val="nil"/>
              <w:bottom w:val="single" w:sz="4" w:space="0" w:color="auto"/>
              <w:right w:val="single" w:sz="4" w:space="0" w:color="auto"/>
            </w:tcBorders>
            <w:shd w:val="clear" w:color="auto" w:fill="auto"/>
            <w:vAlign w:val="bottom"/>
            <w:hideMark/>
          </w:tcPr>
          <w:p w14:paraId="3C527FF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4404E37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1.307 </w:t>
            </w:r>
          </w:p>
        </w:tc>
        <w:tc>
          <w:tcPr>
            <w:tcW w:w="527" w:type="pct"/>
            <w:tcBorders>
              <w:top w:val="nil"/>
              <w:left w:val="nil"/>
              <w:bottom w:val="single" w:sz="4" w:space="0" w:color="auto"/>
              <w:right w:val="single" w:sz="4" w:space="0" w:color="auto"/>
            </w:tcBorders>
            <w:shd w:val="clear" w:color="auto" w:fill="auto"/>
            <w:vAlign w:val="bottom"/>
            <w:hideMark/>
          </w:tcPr>
          <w:p w14:paraId="0A96AB1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57 </w:t>
            </w:r>
          </w:p>
        </w:tc>
        <w:tc>
          <w:tcPr>
            <w:tcW w:w="460" w:type="pct"/>
            <w:tcBorders>
              <w:top w:val="nil"/>
              <w:left w:val="nil"/>
              <w:bottom w:val="single" w:sz="4" w:space="0" w:color="auto"/>
              <w:right w:val="single" w:sz="4" w:space="0" w:color="auto"/>
            </w:tcBorders>
            <w:shd w:val="clear" w:color="auto" w:fill="auto"/>
            <w:vAlign w:val="bottom"/>
            <w:hideMark/>
          </w:tcPr>
          <w:p w14:paraId="512F466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1.275 </w:t>
            </w:r>
          </w:p>
        </w:tc>
        <w:tc>
          <w:tcPr>
            <w:tcW w:w="527" w:type="pct"/>
            <w:tcBorders>
              <w:top w:val="nil"/>
              <w:left w:val="nil"/>
              <w:bottom w:val="single" w:sz="4" w:space="0" w:color="auto"/>
              <w:right w:val="single" w:sz="4" w:space="0" w:color="auto"/>
            </w:tcBorders>
            <w:shd w:val="clear" w:color="auto" w:fill="auto"/>
            <w:vAlign w:val="bottom"/>
            <w:hideMark/>
          </w:tcPr>
          <w:p w14:paraId="1DADF46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462 </w:t>
            </w:r>
          </w:p>
        </w:tc>
        <w:tc>
          <w:tcPr>
            <w:tcW w:w="439" w:type="pct"/>
            <w:tcBorders>
              <w:top w:val="nil"/>
              <w:left w:val="nil"/>
              <w:bottom w:val="single" w:sz="4" w:space="0" w:color="auto"/>
              <w:right w:val="single" w:sz="4" w:space="0" w:color="auto"/>
            </w:tcBorders>
            <w:shd w:val="clear" w:color="auto" w:fill="auto"/>
            <w:vAlign w:val="bottom"/>
            <w:hideMark/>
          </w:tcPr>
          <w:p w14:paraId="3586ED37"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1.246 </w:t>
            </w:r>
          </w:p>
        </w:tc>
        <w:tc>
          <w:tcPr>
            <w:tcW w:w="547" w:type="pct"/>
            <w:tcBorders>
              <w:top w:val="nil"/>
              <w:left w:val="nil"/>
              <w:bottom w:val="single" w:sz="4" w:space="0" w:color="auto"/>
              <w:right w:val="single" w:sz="4" w:space="0" w:color="auto"/>
            </w:tcBorders>
            <w:shd w:val="clear" w:color="auto" w:fill="auto"/>
            <w:vAlign w:val="bottom"/>
            <w:hideMark/>
          </w:tcPr>
          <w:p w14:paraId="144714E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730 </w:t>
            </w:r>
          </w:p>
        </w:tc>
      </w:tr>
      <w:tr w:rsidR="00EE1B4D" w:rsidRPr="001A38D5" w14:paraId="3E0CF7AE"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2ADAA28A"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COLEGIO CENTAUROS</w:t>
            </w:r>
          </w:p>
        </w:tc>
        <w:tc>
          <w:tcPr>
            <w:tcW w:w="330" w:type="pct"/>
            <w:tcBorders>
              <w:top w:val="nil"/>
              <w:left w:val="nil"/>
              <w:bottom w:val="single" w:sz="4" w:space="0" w:color="auto"/>
              <w:right w:val="single" w:sz="4" w:space="0" w:color="auto"/>
            </w:tcBorders>
            <w:shd w:val="clear" w:color="auto" w:fill="auto"/>
            <w:vAlign w:val="bottom"/>
            <w:hideMark/>
          </w:tcPr>
          <w:p w14:paraId="209A641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6</w:t>
            </w:r>
          </w:p>
        </w:tc>
        <w:tc>
          <w:tcPr>
            <w:tcW w:w="459" w:type="pct"/>
            <w:tcBorders>
              <w:top w:val="nil"/>
              <w:left w:val="nil"/>
              <w:bottom w:val="single" w:sz="4" w:space="0" w:color="auto"/>
              <w:right w:val="single" w:sz="4" w:space="0" w:color="auto"/>
            </w:tcBorders>
            <w:shd w:val="clear" w:color="auto" w:fill="auto"/>
            <w:vAlign w:val="bottom"/>
            <w:hideMark/>
          </w:tcPr>
          <w:p w14:paraId="5DFDDB8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1.079 </w:t>
            </w:r>
          </w:p>
        </w:tc>
        <w:tc>
          <w:tcPr>
            <w:tcW w:w="527" w:type="pct"/>
            <w:tcBorders>
              <w:top w:val="nil"/>
              <w:left w:val="nil"/>
              <w:bottom w:val="single" w:sz="4" w:space="0" w:color="auto"/>
              <w:right w:val="single" w:sz="4" w:space="0" w:color="auto"/>
            </w:tcBorders>
            <w:shd w:val="clear" w:color="auto" w:fill="auto"/>
            <w:vAlign w:val="bottom"/>
            <w:hideMark/>
          </w:tcPr>
          <w:p w14:paraId="6EDAE35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484 </w:t>
            </w:r>
          </w:p>
        </w:tc>
        <w:tc>
          <w:tcPr>
            <w:tcW w:w="460" w:type="pct"/>
            <w:tcBorders>
              <w:top w:val="nil"/>
              <w:left w:val="nil"/>
              <w:bottom w:val="single" w:sz="4" w:space="0" w:color="auto"/>
              <w:right w:val="single" w:sz="4" w:space="0" w:color="auto"/>
            </w:tcBorders>
            <w:shd w:val="clear" w:color="auto" w:fill="auto"/>
            <w:vAlign w:val="bottom"/>
            <w:hideMark/>
          </w:tcPr>
          <w:p w14:paraId="5E4F732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1.172 </w:t>
            </w:r>
          </w:p>
        </w:tc>
        <w:tc>
          <w:tcPr>
            <w:tcW w:w="527" w:type="pct"/>
            <w:tcBorders>
              <w:top w:val="nil"/>
              <w:left w:val="nil"/>
              <w:bottom w:val="single" w:sz="4" w:space="0" w:color="auto"/>
              <w:right w:val="single" w:sz="4" w:space="0" w:color="auto"/>
            </w:tcBorders>
            <w:shd w:val="clear" w:color="auto" w:fill="auto"/>
            <w:vAlign w:val="bottom"/>
            <w:hideMark/>
          </w:tcPr>
          <w:p w14:paraId="29010851"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588 </w:t>
            </w:r>
          </w:p>
        </w:tc>
        <w:tc>
          <w:tcPr>
            <w:tcW w:w="439" w:type="pct"/>
            <w:tcBorders>
              <w:top w:val="nil"/>
              <w:left w:val="nil"/>
              <w:bottom w:val="single" w:sz="4" w:space="0" w:color="auto"/>
              <w:right w:val="single" w:sz="4" w:space="0" w:color="auto"/>
            </w:tcBorders>
            <w:shd w:val="clear" w:color="auto" w:fill="auto"/>
            <w:vAlign w:val="bottom"/>
            <w:hideMark/>
          </w:tcPr>
          <w:p w14:paraId="27A8D5E8"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1.109 </w:t>
            </w:r>
          </w:p>
        </w:tc>
        <w:tc>
          <w:tcPr>
            <w:tcW w:w="547" w:type="pct"/>
            <w:tcBorders>
              <w:top w:val="nil"/>
              <w:left w:val="nil"/>
              <w:bottom w:val="single" w:sz="4" w:space="0" w:color="auto"/>
              <w:right w:val="single" w:sz="4" w:space="0" w:color="auto"/>
            </w:tcBorders>
            <w:shd w:val="clear" w:color="auto" w:fill="auto"/>
            <w:vAlign w:val="bottom"/>
            <w:hideMark/>
          </w:tcPr>
          <w:p w14:paraId="1322EDE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887 </w:t>
            </w:r>
          </w:p>
        </w:tc>
      </w:tr>
      <w:tr w:rsidR="00EE1B4D" w:rsidRPr="001A38D5" w14:paraId="17DF6093" w14:textId="77777777" w:rsidTr="00EE1B4D">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12869C5D"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IE INST TEC INDUSTRIAL</w:t>
            </w:r>
          </w:p>
        </w:tc>
        <w:tc>
          <w:tcPr>
            <w:tcW w:w="330" w:type="pct"/>
            <w:tcBorders>
              <w:top w:val="nil"/>
              <w:left w:val="nil"/>
              <w:bottom w:val="single" w:sz="4" w:space="0" w:color="auto"/>
              <w:right w:val="single" w:sz="4" w:space="0" w:color="auto"/>
            </w:tcBorders>
            <w:shd w:val="clear" w:color="auto" w:fill="auto"/>
            <w:vAlign w:val="bottom"/>
            <w:hideMark/>
          </w:tcPr>
          <w:p w14:paraId="51296092"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4</w:t>
            </w:r>
          </w:p>
        </w:tc>
        <w:tc>
          <w:tcPr>
            <w:tcW w:w="459" w:type="pct"/>
            <w:tcBorders>
              <w:top w:val="nil"/>
              <w:left w:val="nil"/>
              <w:bottom w:val="single" w:sz="4" w:space="0" w:color="auto"/>
              <w:right w:val="single" w:sz="4" w:space="0" w:color="auto"/>
            </w:tcBorders>
            <w:shd w:val="clear" w:color="auto" w:fill="auto"/>
            <w:vAlign w:val="bottom"/>
            <w:hideMark/>
          </w:tcPr>
          <w:p w14:paraId="3B6A912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2.002 </w:t>
            </w:r>
          </w:p>
        </w:tc>
        <w:tc>
          <w:tcPr>
            <w:tcW w:w="527" w:type="pct"/>
            <w:tcBorders>
              <w:top w:val="nil"/>
              <w:left w:val="nil"/>
              <w:bottom w:val="single" w:sz="4" w:space="0" w:color="auto"/>
              <w:right w:val="single" w:sz="4" w:space="0" w:color="auto"/>
            </w:tcBorders>
            <w:shd w:val="clear" w:color="auto" w:fill="auto"/>
            <w:vAlign w:val="bottom"/>
            <w:hideMark/>
          </w:tcPr>
          <w:p w14:paraId="024ECC3A"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862 </w:t>
            </w:r>
          </w:p>
        </w:tc>
        <w:tc>
          <w:tcPr>
            <w:tcW w:w="460" w:type="pct"/>
            <w:tcBorders>
              <w:top w:val="nil"/>
              <w:left w:val="nil"/>
              <w:bottom w:val="single" w:sz="4" w:space="0" w:color="auto"/>
              <w:right w:val="single" w:sz="4" w:space="0" w:color="auto"/>
            </w:tcBorders>
            <w:shd w:val="clear" w:color="auto" w:fill="auto"/>
            <w:vAlign w:val="bottom"/>
            <w:hideMark/>
          </w:tcPr>
          <w:p w14:paraId="23FD7EC0"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1.958 </w:t>
            </w:r>
          </w:p>
        </w:tc>
        <w:tc>
          <w:tcPr>
            <w:tcW w:w="527" w:type="pct"/>
            <w:tcBorders>
              <w:top w:val="nil"/>
              <w:left w:val="nil"/>
              <w:bottom w:val="single" w:sz="4" w:space="0" w:color="auto"/>
              <w:right w:val="single" w:sz="4" w:space="0" w:color="auto"/>
            </w:tcBorders>
            <w:shd w:val="clear" w:color="auto" w:fill="auto"/>
            <w:vAlign w:val="bottom"/>
            <w:hideMark/>
          </w:tcPr>
          <w:p w14:paraId="4EF44FA3"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840 </w:t>
            </w:r>
          </w:p>
        </w:tc>
        <w:tc>
          <w:tcPr>
            <w:tcW w:w="439" w:type="pct"/>
            <w:tcBorders>
              <w:top w:val="nil"/>
              <w:left w:val="nil"/>
              <w:bottom w:val="single" w:sz="4" w:space="0" w:color="auto"/>
              <w:right w:val="single" w:sz="4" w:space="0" w:color="auto"/>
            </w:tcBorders>
            <w:shd w:val="clear" w:color="auto" w:fill="auto"/>
            <w:vAlign w:val="bottom"/>
            <w:hideMark/>
          </w:tcPr>
          <w:p w14:paraId="0DA0006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1.832 </w:t>
            </w:r>
          </w:p>
        </w:tc>
        <w:tc>
          <w:tcPr>
            <w:tcW w:w="547" w:type="pct"/>
            <w:tcBorders>
              <w:top w:val="nil"/>
              <w:left w:val="nil"/>
              <w:bottom w:val="single" w:sz="4" w:space="0" w:color="auto"/>
              <w:right w:val="single" w:sz="4" w:space="0" w:color="auto"/>
            </w:tcBorders>
            <w:shd w:val="clear" w:color="auto" w:fill="auto"/>
            <w:vAlign w:val="bottom"/>
            <w:hideMark/>
          </w:tcPr>
          <w:p w14:paraId="4E3D11C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1.241 </w:t>
            </w:r>
          </w:p>
        </w:tc>
      </w:tr>
      <w:tr w:rsidR="00EE1B4D" w:rsidRPr="001A38D5" w14:paraId="2221B18C" w14:textId="77777777" w:rsidTr="00ED1623">
        <w:trPr>
          <w:trHeight w:val="20"/>
        </w:trPr>
        <w:tc>
          <w:tcPr>
            <w:tcW w:w="1712" w:type="pct"/>
            <w:tcBorders>
              <w:top w:val="nil"/>
              <w:left w:val="single" w:sz="4" w:space="0" w:color="auto"/>
              <w:bottom w:val="single" w:sz="4" w:space="0" w:color="auto"/>
              <w:right w:val="single" w:sz="4" w:space="0" w:color="auto"/>
            </w:tcBorders>
            <w:shd w:val="clear" w:color="auto" w:fill="auto"/>
            <w:vAlign w:val="bottom"/>
            <w:hideMark/>
          </w:tcPr>
          <w:p w14:paraId="6F88AF1B" w14:textId="77777777" w:rsidR="00A20990" w:rsidRPr="001A38D5" w:rsidRDefault="00A20990" w:rsidP="005140E1">
            <w:pPr>
              <w:contextualSpacing/>
              <w:rPr>
                <w:rFonts w:eastAsia="Times New Roman" w:cs="Arial"/>
                <w:sz w:val="12"/>
                <w:szCs w:val="16"/>
                <w:lang w:val="es-CO" w:eastAsia="es-CO"/>
              </w:rPr>
            </w:pPr>
            <w:r w:rsidRPr="001A38D5">
              <w:rPr>
                <w:rFonts w:eastAsia="Times New Roman" w:cs="Arial"/>
                <w:sz w:val="12"/>
                <w:szCs w:val="16"/>
                <w:lang w:val="es-CO" w:eastAsia="es-CO"/>
              </w:rPr>
              <w:t>I. E. MANUELA BELTRAN</w:t>
            </w:r>
          </w:p>
        </w:tc>
        <w:tc>
          <w:tcPr>
            <w:tcW w:w="330" w:type="pct"/>
            <w:tcBorders>
              <w:top w:val="nil"/>
              <w:left w:val="nil"/>
              <w:bottom w:val="single" w:sz="4" w:space="0" w:color="auto"/>
              <w:right w:val="single" w:sz="4" w:space="0" w:color="auto"/>
            </w:tcBorders>
            <w:shd w:val="clear" w:color="auto" w:fill="auto"/>
            <w:vAlign w:val="bottom"/>
            <w:hideMark/>
          </w:tcPr>
          <w:p w14:paraId="69B2987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2</w:t>
            </w:r>
          </w:p>
        </w:tc>
        <w:tc>
          <w:tcPr>
            <w:tcW w:w="459" w:type="pct"/>
            <w:tcBorders>
              <w:top w:val="nil"/>
              <w:left w:val="nil"/>
              <w:bottom w:val="single" w:sz="4" w:space="0" w:color="auto"/>
              <w:right w:val="single" w:sz="4" w:space="0" w:color="auto"/>
            </w:tcBorders>
            <w:shd w:val="clear" w:color="auto" w:fill="auto"/>
            <w:vAlign w:val="bottom"/>
            <w:hideMark/>
          </w:tcPr>
          <w:p w14:paraId="0390F304"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1.528 </w:t>
            </w:r>
          </w:p>
        </w:tc>
        <w:tc>
          <w:tcPr>
            <w:tcW w:w="527" w:type="pct"/>
            <w:tcBorders>
              <w:top w:val="nil"/>
              <w:left w:val="nil"/>
              <w:bottom w:val="single" w:sz="4" w:space="0" w:color="auto"/>
              <w:right w:val="single" w:sz="4" w:space="0" w:color="auto"/>
            </w:tcBorders>
            <w:shd w:val="clear" w:color="auto" w:fill="auto"/>
            <w:vAlign w:val="bottom"/>
            <w:hideMark/>
          </w:tcPr>
          <w:p w14:paraId="6AC7A0BD"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498 </w:t>
            </w:r>
          </w:p>
        </w:tc>
        <w:tc>
          <w:tcPr>
            <w:tcW w:w="460" w:type="pct"/>
            <w:tcBorders>
              <w:top w:val="nil"/>
              <w:left w:val="nil"/>
              <w:bottom w:val="single" w:sz="4" w:space="0" w:color="auto"/>
              <w:right w:val="single" w:sz="4" w:space="0" w:color="auto"/>
            </w:tcBorders>
            <w:shd w:val="clear" w:color="auto" w:fill="auto"/>
            <w:vAlign w:val="bottom"/>
            <w:hideMark/>
          </w:tcPr>
          <w:p w14:paraId="076E6D06"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1.413 </w:t>
            </w:r>
          </w:p>
        </w:tc>
        <w:tc>
          <w:tcPr>
            <w:tcW w:w="527" w:type="pct"/>
            <w:tcBorders>
              <w:top w:val="nil"/>
              <w:left w:val="nil"/>
              <w:bottom w:val="single" w:sz="4" w:space="0" w:color="auto"/>
              <w:right w:val="single" w:sz="4" w:space="0" w:color="auto"/>
            </w:tcBorders>
            <w:shd w:val="clear" w:color="auto" w:fill="auto"/>
            <w:vAlign w:val="bottom"/>
            <w:hideMark/>
          </w:tcPr>
          <w:p w14:paraId="3259241F"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420 </w:t>
            </w:r>
          </w:p>
        </w:tc>
        <w:tc>
          <w:tcPr>
            <w:tcW w:w="439" w:type="pct"/>
            <w:tcBorders>
              <w:top w:val="nil"/>
              <w:left w:val="nil"/>
              <w:bottom w:val="single" w:sz="4" w:space="0" w:color="auto"/>
              <w:right w:val="single" w:sz="4" w:space="0" w:color="auto"/>
            </w:tcBorders>
            <w:shd w:val="clear" w:color="auto" w:fill="auto"/>
            <w:vAlign w:val="bottom"/>
            <w:hideMark/>
          </w:tcPr>
          <w:p w14:paraId="20CB81CB"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1.416 </w:t>
            </w:r>
          </w:p>
        </w:tc>
        <w:tc>
          <w:tcPr>
            <w:tcW w:w="547" w:type="pct"/>
            <w:tcBorders>
              <w:top w:val="nil"/>
              <w:left w:val="nil"/>
              <w:bottom w:val="single" w:sz="4" w:space="0" w:color="auto"/>
              <w:right w:val="single" w:sz="4" w:space="0" w:color="auto"/>
            </w:tcBorders>
            <w:shd w:val="clear" w:color="auto" w:fill="auto"/>
            <w:vAlign w:val="bottom"/>
            <w:hideMark/>
          </w:tcPr>
          <w:p w14:paraId="3A3F1BFE" w14:textId="77777777" w:rsidR="00A20990" w:rsidRPr="001A38D5" w:rsidRDefault="00A20990" w:rsidP="005140E1">
            <w:pPr>
              <w:contextualSpacing/>
              <w:jc w:val="right"/>
              <w:rPr>
                <w:rFonts w:eastAsia="Times New Roman" w:cs="Arial"/>
                <w:sz w:val="14"/>
                <w:szCs w:val="16"/>
                <w:lang w:val="es-CO" w:eastAsia="es-CO"/>
              </w:rPr>
            </w:pPr>
            <w:r w:rsidRPr="001A38D5">
              <w:rPr>
                <w:rFonts w:eastAsia="Times New Roman" w:cs="Arial"/>
                <w:sz w:val="14"/>
                <w:szCs w:val="16"/>
                <w:lang w:val="es-CO" w:eastAsia="es-CO"/>
              </w:rPr>
              <w:t xml:space="preserve">948 </w:t>
            </w:r>
          </w:p>
        </w:tc>
      </w:tr>
      <w:tr w:rsidR="00EE1B4D" w:rsidRPr="001A38D5" w14:paraId="6467CDA4" w14:textId="77777777" w:rsidTr="00ED1623">
        <w:trPr>
          <w:trHeight w:val="20"/>
        </w:trPr>
        <w:tc>
          <w:tcPr>
            <w:tcW w:w="1712" w:type="pct"/>
            <w:tcBorders>
              <w:top w:val="single" w:sz="4" w:space="0" w:color="auto"/>
              <w:left w:val="single" w:sz="4" w:space="0" w:color="auto"/>
              <w:bottom w:val="single" w:sz="4" w:space="0" w:color="auto"/>
              <w:right w:val="single" w:sz="4" w:space="0" w:color="auto"/>
            </w:tcBorders>
            <w:shd w:val="clear" w:color="auto" w:fill="FFC000"/>
            <w:vAlign w:val="bottom"/>
          </w:tcPr>
          <w:p w14:paraId="01A50C46"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8"/>
                <w:szCs w:val="12"/>
                <w:lang w:val="es-CO" w:eastAsia="es-CO"/>
              </w:rPr>
              <w:t>TOTAL</w:t>
            </w:r>
          </w:p>
        </w:tc>
        <w:tc>
          <w:tcPr>
            <w:tcW w:w="330" w:type="pct"/>
            <w:tcBorders>
              <w:top w:val="single" w:sz="4" w:space="0" w:color="auto"/>
              <w:left w:val="nil"/>
              <w:bottom w:val="single" w:sz="4" w:space="0" w:color="auto"/>
              <w:right w:val="single" w:sz="4" w:space="0" w:color="auto"/>
            </w:tcBorders>
            <w:shd w:val="clear" w:color="auto" w:fill="FFC000"/>
            <w:vAlign w:val="bottom"/>
          </w:tcPr>
          <w:p w14:paraId="33D486B0" w14:textId="77777777" w:rsidR="00A20990" w:rsidRPr="001A38D5" w:rsidRDefault="00A20990" w:rsidP="005140E1">
            <w:pPr>
              <w:contextualSpacing/>
              <w:jc w:val="right"/>
              <w:rPr>
                <w:rFonts w:eastAsia="Times New Roman" w:cs="Arial"/>
                <w:sz w:val="12"/>
                <w:szCs w:val="16"/>
                <w:lang w:val="es-CO" w:eastAsia="es-CO"/>
              </w:rPr>
            </w:pPr>
          </w:p>
        </w:tc>
        <w:tc>
          <w:tcPr>
            <w:tcW w:w="459" w:type="pct"/>
            <w:tcBorders>
              <w:top w:val="single" w:sz="4" w:space="0" w:color="auto"/>
              <w:left w:val="nil"/>
              <w:bottom w:val="single" w:sz="4" w:space="0" w:color="auto"/>
              <w:right w:val="single" w:sz="4" w:space="0" w:color="auto"/>
            </w:tcBorders>
            <w:shd w:val="clear" w:color="auto" w:fill="FFC000"/>
            <w:vAlign w:val="bottom"/>
          </w:tcPr>
          <w:p w14:paraId="7B3FDCAF" w14:textId="77777777" w:rsidR="00A20990" w:rsidRPr="001A38D5" w:rsidRDefault="00A20990" w:rsidP="005140E1">
            <w:pPr>
              <w:contextualSpacing/>
              <w:jc w:val="right"/>
              <w:rPr>
                <w:rFonts w:eastAsia="Times New Roman" w:cs="Arial"/>
                <w:b/>
                <w:sz w:val="18"/>
                <w:szCs w:val="20"/>
                <w:lang w:val="es-CO" w:eastAsia="es-CO"/>
              </w:rPr>
            </w:pPr>
            <w:r w:rsidRPr="001A38D5">
              <w:rPr>
                <w:rFonts w:cs="Arial"/>
                <w:b/>
                <w:sz w:val="18"/>
                <w:szCs w:val="20"/>
              </w:rPr>
              <w:t>76.478</w:t>
            </w:r>
          </w:p>
        </w:tc>
        <w:tc>
          <w:tcPr>
            <w:tcW w:w="527" w:type="pct"/>
            <w:tcBorders>
              <w:top w:val="single" w:sz="4" w:space="0" w:color="auto"/>
              <w:left w:val="nil"/>
              <w:bottom w:val="single" w:sz="4" w:space="0" w:color="auto"/>
              <w:right w:val="single" w:sz="4" w:space="0" w:color="auto"/>
            </w:tcBorders>
            <w:shd w:val="clear" w:color="auto" w:fill="FFC000"/>
            <w:vAlign w:val="bottom"/>
          </w:tcPr>
          <w:p w14:paraId="5C022D9B" w14:textId="77777777" w:rsidR="00A20990" w:rsidRPr="001A38D5" w:rsidRDefault="00A20990" w:rsidP="005140E1">
            <w:pPr>
              <w:contextualSpacing/>
              <w:jc w:val="right"/>
              <w:rPr>
                <w:rFonts w:eastAsia="Times New Roman" w:cs="Arial"/>
                <w:b/>
                <w:sz w:val="18"/>
                <w:szCs w:val="20"/>
                <w:lang w:val="es-CO" w:eastAsia="es-CO"/>
              </w:rPr>
            </w:pPr>
            <w:r w:rsidRPr="001A38D5">
              <w:rPr>
                <w:rFonts w:cs="Arial"/>
                <w:b/>
                <w:sz w:val="18"/>
                <w:szCs w:val="20"/>
              </w:rPr>
              <w:t>31.175</w:t>
            </w:r>
          </w:p>
        </w:tc>
        <w:tc>
          <w:tcPr>
            <w:tcW w:w="460" w:type="pct"/>
            <w:tcBorders>
              <w:top w:val="single" w:sz="4" w:space="0" w:color="auto"/>
              <w:left w:val="nil"/>
              <w:bottom w:val="single" w:sz="4" w:space="0" w:color="auto"/>
              <w:right w:val="single" w:sz="4" w:space="0" w:color="auto"/>
            </w:tcBorders>
            <w:shd w:val="clear" w:color="auto" w:fill="FFC000"/>
            <w:vAlign w:val="bottom"/>
          </w:tcPr>
          <w:p w14:paraId="5A9C777D" w14:textId="77777777" w:rsidR="00A20990" w:rsidRPr="001A38D5" w:rsidRDefault="00A20990" w:rsidP="005140E1">
            <w:pPr>
              <w:contextualSpacing/>
              <w:jc w:val="right"/>
              <w:rPr>
                <w:rFonts w:eastAsia="Times New Roman" w:cs="Arial"/>
                <w:b/>
                <w:sz w:val="18"/>
                <w:szCs w:val="20"/>
                <w:lang w:val="es-CO" w:eastAsia="es-CO"/>
              </w:rPr>
            </w:pPr>
            <w:r w:rsidRPr="001A38D5">
              <w:rPr>
                <w:rFonts w:cs="Arial"/>
                <w:b/>
                <w:sz w:val="18"/>
                <w:szCs w:val="20"/>
              </w:rPr>
              <w:t>76.578</w:t>
            </w:r>
          </w:p>
        </w:tc>
        <w:tc>
          <w:tcPr>
            <w:tcW w:w="527" w:type="pct"/>
            <w:tcBorders>
              <w:top w:val="single" w:sz="4" w:space="0" w:color="auto"/>
              <w:left w:val="nil"/>
              <w:bottom w:val="single" w:sz="4" w:space="0" w:color="auto"/>
              <w:right w:val="single" w:sz="4" w:space="0" w:color="auto"/>
            </w:tcBorders>
            <w:shd w:val="clear" w:color="auto" w:fill="FFC000"/>
            <w:vAlign w:val="bottom"/>
          </w:tcPr>
          <w:p w14:paraId="3FA0CAA1" w14:textId="77777777" w:rsidR="00A20990" w:rsidRPr="001A38D5" w:rsidRDefault="00A20990" w:rsidP="005140E1">
            <w:pPr>
              <w:contextualSpacing/>
              <w:jc w:val="right"/>
              <w:rPr>
                <w:rFonts w:eastAsia="Times New Roman" w:cs="Arial"/>
                <w:b/>
                <w:sz w:val="18"/>
                <w:szCs w:val="20"/>
                <w:lang w:val="es-CO" w:eastAsia="es-CO"/>
              </w:rPr>
            </w:pPr>
            <w:r w:rsidRPr="001A38D5">
              <w:rPr>
                <w:rFonts w:cs="Arial"/>
                <w:b/>
                <w:sz w:val="18"/>
                <w:szCs w:val="20"/>
              </w:rPr>
              <w:t>33.823</w:t>
            </w:r>
          </w:p>
        </w:tc>
        <w:tc>
          <w:tcPr>
            <w:tcW w:w="439" w:type="pct"/>
            <w:tcBorders>
              <w:top w:val="single" w:sz="4" w:space="0" w:color="auto"/>
              <w:left w:val="nil"/>
              <w:bottom w:val="single" w:sz="4" w:space="0" w:color="auto"/>
              <w:right w:val="single" w:sz="4" w:space="0" w:color="auto"/>
            </w:tcBorders>
            <w:shd w:val="clear" w:color="auto" w:fill="FFC000"/>
            <w:vAlign w:val="bottom"/>
          </w:tcPr>
          <w:p w14:paraId="168A62A0" w14:textId="77777777" w:rsidR="00A20990" w:rsidRPr="001A38D5" w:rsidRDefault="00A20990" w:rsidP="005140E1">
            <w:pPr>
              <w:contextualSpacing/>
              <w:jc w:val="right"/>
              <w:rPr>
                <w:rFonts w:eastAsia="Times New Roman" w:cs="Arial"/>
                <w:b/>
                <w:sz w:val="18"/>
                <w:szCs w:val="20"/>
                <w:lang w:val="es-CO" w:eastAsia="es-CO"/>
              </w:rPr>
            </w:pPr>
            <w:r w:rsidRPr="001A38D5">
              <w:rPr>
                <w:rFonts w:cs="Arial"/>
                <w:b/>
                <w:sz w:val="18"/>
                <w:szCs w:val="20"/>
              </w:rPr>
              <w:t>75.273</w:t>
            </w:r>
          </w:p>
        </w:tc>
        <w:tc>
          <w:tcPr>
            <w:tcW w:w="547" w:type="pct"/>
            <w:tcBorders>
              <w:top w:val="single" w:sz="4" w:space="0" w:color="auto"/>
              <w:left w:val="nil"/>
              <w:bottom w:val="single" w:sz="4" w:space="0" w:color="auto"/>
              <w:right w:val="single" w:sz="4" w:space="0" w:color="auto"/>
            </w:tcBorders>
            <w:shd w:val="clear" w:color="auto" w:fill="FFC000"/>
            <w:vAlign w:val="bottom"/>
          </w:tcPr>
          <w:p w14:paraId="55F64953" w14:textId="77777777" w:rsidR="00A20990" w:rsidRPr="001A38D5" w:rsidRDefault="00A20990" w:rsidP="005140E1">
            <w:pPr>
              <w:contextualSpacing/>
              <w:jc w:val="right"/>
              <w:rPr>
                <w:rFonts w:eastAsia="Times New Roman" w:cs="Arial"/>
                <w:b/>
                <w:sz w:val="18"/>
                <w:szCs w:val="20"/>
                <w:lang w:val="es-CO" w:eastAsia="es-CO"/>
              </w:rPr>
            </w:pPr>
            <w:r w:rsidRPr="001A38D5">
              <w:rPr>
                <w:rFonts w:cs="Arial"/>
                <w:b/>
                <w:sz w:val="18"/>
                <w:szCs w:val="20"/>
              </w:rPr>
              <w:t>53.681</w:t>
            </w:r>
          </w:p>
        </w:tc>
      </w:tr>
    </w:tbl>
    <w:p w14:paraId="7D48FA45" w14:textId="77777777" w:rsidR="00A20990" w:rsidRPr="007A412F" w:rsidRDefault="00A20990" w:rsidP="005140E1">
      <w:pPr>
        <w:contextualSpacing/>
        <w:jc w:val="center"/>
        <w:rPr>
          <w:rFonts w:cs="Arial"/>
          <w:sz w:val="16"/>
          <w:szCs w:val="21"/>
          <w:lang w:val="es-CO"/>
        </w:rPr>
      </w:pPr>
      <w:r w:rsidRPr="007A412F">
        <w:rPr>
          <w:rFonts w:cs="Arial"/>
          <w:sz w:val="16"/>
          <w:szCs w:val="21"/>
          <w:lang w:val="es-CO"/>
        </w:rPr>
        <w:t>Fuente: Elaboración DAF según reporte en SIMAT.</w:t>
      </w:r>
    </w:p>
    <w:p w14:paraId="73B62645" w14:textId="77777777" w:rsidR="00A20990" w:rsidRPr="001A38D5" w:rsidRDefault="00A20990" w:rsidP="005140E1">
      <w:pPr>
        <w:contextualSpacing/>
        <w:jc w:val="both"/>
        <w:rPr>
          <w:rFonts w:cs="Arial"/>
        </w:rPr>
      </w:pPr>
    </w:p>
    <w:p w14:paraId="2DE712FD" w14:textId="77777777" w:rsidR="00A20990" w:rsidRPr="001A38D5" w:rsidRDefault="00A20990" w:rsidP="005140E1">
      <w:pPr>
        <w:contextualSpacing/>
        <w:jc w:val="both"/>
        <w:rPr>
          <w:rFonts w:cs="Arial"/>
        </w:rPr>
      </w:pPr>
      <w:r w:rsidRPr="001A38D5">
        <w:rPr>
          <w:rFonts w:cs="Arial"/>
        </w:rPr>
        <w:t>La población matriculada y reportada por la Administración Municipal indica que el 89,8 % de los alumnos se ubicaban en área urbana y el 10,2 % de los alumnos se enc</w:t>
      </w:r>
      <w:r w:rsidR="00DF4737">
        <w:rPr>
          <w:rFonts w:cs="Arial"/>
        </w:rPr>
        <w:t xml:space="preserve">ontraban </w:t>
      </w:r>
      <w:r w:rsidRPr="001A38D5">
        <w:rPr>
          <w:rFonts w:cs="Arial"/>
        </w:rPr>
        <w:t>en zona rural. Por su parte, para la vigencia 2021 la cobertura del programa ascend</w:t>
      </w:r>
      <w:r w:rsidR="00DF4737">
        <w:rPr>
          <w:rFonts w:cs="Arial"/>
        </w:rPr>
        <w:t>ió</w:t>
      </w:r>
      <w:r w:rsidRPr="001A38D5">
        <w:rPr>
          <w:rFonts w:cs="Arial"/>
        </w:rPr>
        <w:t xml:space="preserve"> al 71,3 % de los estudiantes matriculados de los cuales el 87,4 % pertenec</w:t>
      </w:r>
      <w:r w:rsidR="00DF4737">
        <w:rPr>
          <w:rFonts w:cs="Arial"/>
        </w:rPr>
        <w:t>ía</w:t>
      </w:r>
      <w:r w:rsidRPr="001A38D5">
        <w:rPr>
          <w:rFonts w:cs="Arial"/>
        </w:rPr>
        <w:t xml:space="preserve"> a estudiantes de la zona urbana mientras que el 12,6 % restante se enc</w:t>
      </w:r>
      <w:r w:rsidR="00DF4737">
        <w:rPr>
          <w:rFonts w:cs="Arial"/>
        </w:rPr>
        <w:t>o</w:t>
      </w:r>
      <w:r w:rsidRPr="001A38D5">
        <w:rPr>
          <w:rFonts w:cs="Arial"/>
        </w:rPr>
        <w:t>ntra</w:t>
      </w:r>
      <w:r w:rsidR="00DF4737">
        <w:rPr>
          <w:rFonts w:cs="Arial"/>
        </w:rPr>
        <w:t>ba</w:t>
      </w:r>
      <w:r w:rsidRPr="001A38D5">
        <w:rPr>
          <w:rFonts w:cs="Arial"/>
        </w:rPr>
        <w:t xml:space="preserve">n ubicados en la zona rural. De igual manera, se evidencia que, del total de estudiantes focalizados, cerca del 16,8 %, </w:t>
      </w:r>
      <w:r w:rsidR="00DF4737">
        <w:rPr>
          <w:rFonts w:cs="Arial"/>
        </w:rPr>
        <w:t>eran</w:t>
      </w:r>
      <w:r w:rsidR="00DF4737" w:rsidRPr="001A38D5">
        <w:rPr>
          <w:rFonts w:cs="Arial"/>
        </w:rPr>
        <w:t xml:space="preserve"> </w:t>
      </w:r>
      <w:r w:rsidRPr="001A38D5">
        <w:rPr>
          <w:rFonts w:cs="Arial"/>
        </w:rPr>
        <w:t>niñas, niños y jóvenes en la estrategia de jornada única tanto en la zona urbana como rural del Municipio.</w:t>
      </w:r>
    </w:p>
    <w:p w14:paraId="14D0395F" w14:textId="77777777" w:rsidR="00A20990" w:rsidRPr="001A38D5" w:rsidRDefault="00A20990" w:rsidP="005140E1">
      <w:pPr>
        <w:contextualSpacing/>
        <w:jc w:val="both"/>
        <w:rPr>
          <w:rFonts w:cs="Arial"/>
        </w:rPr>
      </w:pPr>
    </w:p>
    <w:p w14:paraId="1335B39A" w14:textId="77777777" w:rsidR="00A20990" w:rsidRPr="001A38D5" w:rsidRDefault="00A20990" w:rsidP="005140E1">
      <w:pPr>
        <w:contextualSpacing/>
        <w:jc w:val="both"/>
        <w:rPr>
          <w:rFonts w:cs="Arial"/>
        </w:rPr>
      </w:pPr>
      <w:r w:rsidRPr="001A38D5">
        <w:rPr>
          <w:rFonts w:cs="Arial"/>
        </w:rPr>
        <w:t xml:space="preserve">Según información </w:t>
      </w:r>
      <w:r w:rsidR="0003175E" w:rsidRPr="001A38D5">
        <w:rPr>
          <w:rFonts w:cs="Arial"/>
        </w:rPr>
        <w:t xml:space="preserve">publicada </w:t>
      </w:r>
      <w:r w:rsidRPr="001A38D5">
        <w:rPr>
          <w:rFonts w:cs="Arial"/>
        </w:rPr>
        <w:t>por la Administración Municipal</w:t>
      </w:r>
      <w:r w:rsidR="0003175E" w:rsidRPr="001A38D5">
        <w:rPr>
          <w:rFonts w:cs="Arial"/>
        </w:rPr>
        <w:t xml:space="preserve"> en el Sistema Electrónico para la Contratación Pública, de los procesos contractuales para la prestación del </w:t>
      </w:r>
      <w:r w:rsidR="00C32046">
        <w:rPr>
          <w:rFonts w:cs="Arial"/>
        </w:rPr>
        <w:t>S</w:t>
      </w:r>
      <w:r w:rsidR="0003175E" w:rsidRPr="001A38D5">
        <w:rPr>
          <w:rFonts w:cs="Arial"/>
        </w:rPr>
        <w:t>ervicio en los establecimientos educativos de su jurisdicción entre</w:t>
      </w:r>
      <w:r w:rsidRPr="001A38D5">
        <w:rPr>
          <w:rFonts w:cs="Arial"/>
        </w:rPr>
        <w:t xml:space="preserve"> 2019 y 202</w:t>
      </w:r>
      <w:r w:rsidR="0003175E" w:rsidRPr="001A38D5">
        <w:rPr>
          <w:rFonts w:cs="Arial"/>
        </w:rPr>
        <w:t>2</w:t>
      </w:r>
      <w:r w:rsidRPr="001A38D5">
        <w:rPr>
          <w:rFonts w:cs="Arial"/>
        </w:rPr>
        <w:t xml:space="preserve"> se presentó un aumento de la cobertura del 23</w:t>
      </w:r>
      <w:r w:rsidR="00C32046">
        <w:rPr>
          <w:rFonts w:cs="Arial"/>
        </w:rPr>
        <w:t xml:space="preserve"> </w:t>
      </w:r>
      <w:r w:rsidRPr="001A38D5">
        <w:rPr>
          <w:rFonts w:cs="Arial"/>
        </w:rPr>
        <w:t xml:space="preserve">%, pasando de beneficiar a 33.823 estudiantes en la vigencia 2019 a beneficiar 56.984 en 2022, lo que implicó </w:t>
      </w:r>
      <w:r w:rsidRPr="001A38D5">
        <w:rPr>
          <w:rFonts w:cs="Arial"/>
        </w:rPr>
        <w:lastRenderedPageBreak/>
        <w:t xml:space="preserve">una mayor inversión, incluyendo ingresos corrientes de libre destinación de la Entidad Territorial. Se destaca el aumento de la cobertura en la modalidad Ración Preparada en Sitio </w:t>
      </w:r>
      <w:r w:rsidR="00C32046">
        <w:rPr>
          <w:rFonts w:cs="Arial"/>
        </w:rPr>
        <w:t xml:space="preserve">– RPS </w:t>
      </w:r>
      <w:r w:rsidRPr="001A38D5">
        <w:rPr>
          <w:rFonts w:cs="Arial"/>
        </w:rPr>
        <w:t>tipo almuerzo, que pasó de 3.190 en 2019 a 8.726 en 2022.</w:t>
      </w:r>
    </w:p>
    <w:p w14:paraId="0E37D65E" w14:textId="77777777" w:rsidR="00A20990" w:rsidRPr="001A38D5" w:rsidRDefault="00A20990" w:rsidP="005140E1">
      <w:pPr>
        <w:contextualSpacing/>
        <w:jc w:val="both"/>
        <w:rPr>
          <w:rFonts w:cs="Arial"/>
        </w:rPr>
      </w:pPr>
    </w:p>
    <w:p w14:paraId="0F278933" w14:textId="77777777" w:rsidR="00A20990" w:rsidRPr="001A38D5" w:rsidRDefault="00A20990" w:rsidP="005140E1">
      <w:pPr>
        <w:pStyle w:val="Ttulo3"/>
        <w:contextualSpacing/>
        <w:rPr>
          <w:rFonts w:ascii="Verdana" w:hAnsi="Verdana"/>
        </w:rPr>
      </w:pPr>
      <w:r w:rsidRPr="001A38D5">
        <w:rPr>
          <w:rFonts w:ascii="Verdana" w:hAnsi="Verdana"/>
        </w:rPr>
        <w:t>Servicio educativo</w:t>
      </w:r>
      <w:r w:rsidR="00C32046">
        <w:rPr>
          <w:rFonts w:ascii="Verdana" w:hAnsi="Verdana"/>
        </w:rPr>
        <w:t>.</w:t>
      </w:r>
    </w:p>
    <w:p w14:paraId="7AC73414" w14:textId="77777777" w:rsidR="00A20990" w:rsidRPr="001A38D5" w:rsidRDefault="00A20990" w:rsidP="005140E1">
      <w:pPr>
        <w:contextualSpacing/>
        <w:rPr>
          <w:rFonts w:cs="Arial"/>
          <w:lang w:val="es-CO"/>
        </w:rPr>
      </w:pPr>
    </w:p>
    <w:p w14:paraId="4725D934" w14:textId="77777777" w:rsidR="00A20990" w:rsidRPr="001A38D5" w:rsidRDefault="00A20990" w:rsidP="005140E1">
      <w:pPr>
        <w:contextualSpacing/>
        <w:jc w:val="both"/>
        <w:rPr>
          <w:rFonts w:cs="Arial"/>
          <w:lang w:val="es-CO"/>
        </w:rPr>
      </w:pPr>
      <w:r w:rsidRPr="001A38D5">
        <w:rPr>
          <w:rFonts w:cs="Arial"/>
          <w:lang w:val="es-CO"/>
        </w:rPr>
        <w:t xml:space="preserve">El Municipio como Entidad Territorial Certificada para la prestación del </w:t>
      </w:r>
      <w:r w:rsidR="00791530">
        <w:rPr>
          <w:rFonts w:cs="Arial"/>
          <w:lang w:val="es-CO"/>
        </w:rPr>
        <w:t>S</w:t>
      </w:r>
      <w:r w:rsidRPr="001A38D5">
        <w:rPr>
          <w:rFonts w:cs="Arial"/>
          <w:lang w:val="es-CO"/>
        </w:rPr>
        <w:t xml:space="preserve">ervicio </w:t>
      </w:r>
      <w:r w:rsidR="00791530">
        <w:rPr>
          <w:rFonts w:cs="Arial"/>
          <w:lang w:val="es-CO"/>
        </w:rPr>
        <w:t>E</w:t>
      </w:r>
      <w:r w:rsidRPr="001A38D5">
        <w:rPr>
          <w:rFonts w:cs="Arial"/>
          <w:lang w:val="es-CO"/>
        </w:rPr>
        <w:t xml:space="preserve">ducativo. Cuenta con sesenta y dos (62) establecimientos educativos oficiales y sus sedes para la prestación del </w:t>
      </w:r>
      <w:r w:rsidR="00791530">
        <w:rPr>
          <w:rFonts w:cs="Arial"/>
          <w:lang w:val="es-CO"/>
        </w:rPr>
        <w:t>S</w:t>
      </w:r>
      <w:r w:rsidRPr="001A38D5">
        <w:rPr>
          <w:rFonts w:cs="Arial"/>
          <w:lang w:val="es-CO"/>
        </w:rPr>
        <w:t xml:space="preserve">ervicio </w:t>
      </w:r>
      <w:r w:rsidR="00791530">
        <w:rPr>
          <w:rFonts w:cs="Arial"/>
          <w:lang w:val="es-CO"/>
        </w:rPr>
        <w:t>E</w:t>
      </w:r>
      <w:r w:rsidRPr="001A38D5">
        <w:rPr>
          <w:rFonts w:cs="Arial"/>
          <w:lang w:val="es-CO"/>
        </w:rPr>
        <w:t xml:space="preserve">ducativo en </w:t>
      </w:r>
      <w:r w:rsidRPr="001A38D5">
        <w:rPr>
          <w:rFonts w:cs="Arial"/>
        </w:rPr>
        <w:t>los niveles de preescolar, básica primaria y secundaria y media, en las jornadas mañana, tarde y única</w:t>
      </w:r>
      <w:r w:rsidRPr="001A38D5">
        <w:rPr>
          <w:rFonts w:cs="Arial"/>
          <w:lang w:val="es-CO"/>
        </w:rPr>
        <w:t>.</w:t>
      </w:r>
    </w:p>
    <w:p w14:paraId="120A7623" w14:textId="77777777" w:rsidR="00A20990" w:rsidRPr="001A38D5" w:rsidRDefault="00A20990" w:rsidP="005140E1">
      <w:pPr>
        <w:contextualSpacing/>
        <w:jc w:val="both"/>
        <w:rPr>
          <w:rFonts w:cs="Arial"/>
          <w:lang w:val="es-CO"/>
        </w:rPr>
      </w:pPr>
    </w:p>
    <w:p w14:paraId="3662D2D0" w14:textId="77777777" w:rsidR="00A20990" w:rsidRPr="001A38D5" w:rsidRDefault="00A20990" w:rsidP="005140E1">
      <w:pPr>
        <w:contextualSpacing/>
        <w:jc w:val="both"/>
        <w:rPr>
          <w:rFonts w:cs="Arial"/>
        </w:rPr>
      </w:pPr>
      <w:r w:rsidRPr="001A38D5">
        <w:rPr>
          <w:rFonts w:cs="Arial"/>
          <w:lang w:val="es-CO"/>
        </w:rPr>
        <w:t xml:space="preserve">Con corte a marzo de 2022, del total de la matrícula del Municipio (104.913) en </w:t>
      </w:r>
      <w:r w:rsidR="00791530">
        <w:rPr>
          <w:rFonts w:cs="Arial"/>
          <w:lang w:val="es-CO"/>
        </w:rPr>
        <w:t>i</w:t>
      </w:r>
      <w:r w:rsidRPr="001A38D5">
        <w:rPr>
          <w:rFonts w:cs="Arial"/>
          <w:lang w:val="es-CO"/>
        </w:rPr>
        <w:t xml:space="preserve">nstituciones </w:t>
      </w:r>
      <w:r w:rsidR="00791530">
        <w:rPr>
          <w:rFonts w:cs="Arial"/>
          <w:lang w:val="es-CO"/>
        </w:rPr>
        <w:t>e</w:t>
      </w:r>
      <w:r w:rsidRPr="001A38D5">
        <w:rPr>
          <w:rFonts w:cs="Arial"/>
          <w:lang w:val="es-CO"/>
        </w:rPr>
        <w:t xml:space="preserve">ducativas, el mayor número de niños, niñas y adolescentes se encuentran en el </w:t>
      </w:r>
      <w:r w:rsidR="00791530">
        <w:rPr>
          <w:rFonts w:cs="Arial"/>
          <w:lang w:val="es-CO"/>
        </w:rPr>
        <w:t>S</w:t>
      </w:r>
      <w:r w:rsidRPr="001A38D5">
        <w:rPr>
          <w:rFonts w:cs="Arial"/>
          <w:lang w:val="es-CO"/>
        </w:rPr>
        <w:t xml:space="preserve">istema </w:t>
      </w:r>
      <w:r w:rsidR="00791530">
        <w:rPr>
          <w:rFonts w:cs="Arial"/>
          <w:lang w:val="es-CO"/>
        </w:rPr>
        <w:t>O</w:t>
      </w:r>
      <w:r w:rsidRPr="001A38D5">
        <w:rPr>
          <w:rFonts w:cs="Arial"/>
          <w:lang w:val="es-CO"/>
        </w:rPr>
        <w:t>ficial, con un total de 73.880 estudiantes que corresponde al 70,4 % del total de estudiantes matriculados. Frente al mismo periodo de 2021 se evidencia una reducción en la matrícula total en los establecimientos educativos oficiales de 1,3 %.</w:t>
      </w:r>
    </w:p>
    <w:p w14:paraId="083E54F3" w14:textId="77777777" w:rsidR="00A20990" w:rsidRPr="001A38D5" w:rsidRDefault="00A20990" w:rsidP="005140E1">
      <w:pPr>
        <w:contextualSpacing/>
        <w:jc w:val="both"/>
        <w:rPr>
          <w:rFonts w:cs="Arial"/>
          <w:lang w:val="es-CO"/>
        </w:rPr>
      </w:pPr>
    </w:p>
    <w:p w14:paraId="5A4DAA85" w14:textId="77777777" w:rsidR="00A20990" w:rsidRPr="001A38D5" w:rsidRDefault="00A20990" w:rsidP="005140E1">
      <w:pPr>
        <w:pStyle w:val="Ttulo3"/>
        <w:contextualSpacing/>
        <w:rPr>
          <w:rFonts w:ascii="Verdana" w:hAnsi="Verdana"/>
        </w:rPr>
      </w:pPr>
      <w:r w:rsidRPr="001A38D5">
        <w:rPr>
          <w:rFonts w:ascii="Verdana" w:hAnsi="Verdana"/>
        </w:rPr>
        <w:t>Plan de Desarrollo</w:t>
      </w:r>
      <w:r w:rsidR="00791530">
        <w:rPr>
          <w:rFonts w:ascii="Verdana" w:hAnsi="Verdana"/>
        </w:rPr>
        <w:t>.</w:t>
      </w:r>
    </w:p>
    <w:p w14:paraId="70938BA7" w14:textId="77777777" w:rsidR="00A20990" w:rsidRPr="001A38D5" w:rsidRDefault="00A20990" w:rsidP="005140E1">
      <w:pPr>
        <w:contextualSpacing/>
        <w:rPr>
          <w:rFonts w:cs="Arial"/>
          <w:lang w:val="es-CO"/>
        </w:rPr>
      </w:pPr>
    </w:p>
    <w:p w14:paraId="67616F9D" w14:textId="77777777" w:rsidR="00A20990" w:rsidRPr="001A38D5" w:rsidRDefault="00A20990" w:rsidP="005140E1">
      <w:pPr>
        <w:contextualSpacing/>
        <w:jc w:val="both"/>
        <w:rPr>
          <w:rFonts w:cs="Arial"/>
          <w:lang w:val="es-CO"/>
        </w:rPr>
      </w:pPr>
      <w:r w:rsidRPr="001A38D5">
        <w:rPr>
          <w:rFonts w:cs="Arial"/>
          <w:lang w:val="es-CO"/>
        </w:rPr>
        <w:t>En el marco de los objetivos de</w:t>
      </w:r>
      <w:r w:rsidR="00791530">
        <w:rPr>
          <w:rFonts w:cs="Arial"/>
          <w:lang w:val="es-CO"/>
        </w:rPr>
        <w:t>l</w:t>
      </w:r>
      <w:r w:rsidRPr="001A38D5">
        <w:rPr>
          <w:rFonts w:cs="Arial"/>
          <w:lang w:val="es-CO"/>
        </w:rPr>
        <w:t xml:space="preserve"> </w:t>
      </w:r>
      <w:r w:rsidR="00791530">
        <w:rPr>
          <w:rFonts w:cs="Arial"/>
          <w:lang w:val="es-CO"/>
        </w:rPr>
        <w:t>G</w:t>
      </w:r>
      <w:r w:rsidRPr="001A38D5">
        <w:rPr>
          <w:rFonts w:cs="Arial"/>
          <w:lang w:val="es-CO"/>
        </w:rPr>
        <w:t xml:space="preserve">obierno </w:t>
      </w:r>
      <w:r w:rsidR="00791530">
        <w:rPr>
          <w:rFonts w:cs="Arial"/>
          <w:lang w:val="es-CO"/>
        </w:rPr>
        <w:t>M</w:t>
      </w:r>
      <w:r w:rsidRPr="001A38D5">
        <w:rPr>
          <w:rFonts w:cs="Arial"/>
          <w:lang w:val="es-CO"/>
        </w:rPr>
        <w:t xml:space="preserve">unicipal, para el cuatrienio 2016-2019 el Plan de Desarrollo Municipal </w:t>
      </w:r>
      <w:r w:rsidRPr="001A38D5">
        <w:rPr>
          <w:rFonts w:cs="Arial"/>
          <w:i/>
          <w:lang w:val="es-CO"/>
        </w:rPr>
        <w:t>“Unidos Podemos”</w:t>
      </w:r>
      <w:r w:rsidRPr="001A38D5">
        <w:rPr>
          <w:rFonts w:cs="Arial"/>
          <w:lang w:val="es-CO"/>
        </w:rPr>
        <w:t xml:space="preserve">, adoptado mediante Acuerdo No. 293 del 10 de junio de 2016, incluye el PAE en el componente social, </w:t>
      </w:r>
      <w:r w:rsidR="00791530">
        <w:rPr>
          <w:rFonts w:cs="Arial"/>
          <w:lang w:val="es-CO"/>
        </w:rPr>
        <w:t>P</w:t>
      </w:r>
      <w:r w:rsidRPr="001A38D5">
        <w:rPr>
          <w:rFonts w:cs="Arial"/>
          <w:lang w:val="es-CO"/>
        </w:rPr>
        <w:t xml:space="preserve">rograma Unidos por el Acceso y Permanencia con Equidad e Inclusión, </w:t>
      </w:r>
      <w:r w:rsidR="00791530">
        <w:rPr>
          <w:rFonts w:cs="Arial"/>
          <w:lang w:val="es-CO"/>
        </w:rPr>
        <w:t>S</w:t>
      </w:r>
      <w:r w:rsidRPr="001A38D5">
        <w:rPr>
          <w:rFonts w:cs="Arial"/>
          <w:lang w:val="es-CO"/>
        </w:rPr>
        <w:t xml:space="preserve">ubprograma de Cobertura Educativa Alimentación Escolar, cuya meta era desarrollar el Programa de Alimentación Escolar en las Instituciones Educativas Oficiales, como contribución al acceso y permanencia escolar. El diagnostico arrojó una línea base de 33.823 titulares de derecho y se proyectaba una meta de atención durante el cuatrienio 2016-2019 de 21.039 titulares atendidos anualmente. Esta situación fue aclarada por la Entidad </w:t>
      </w:r>
      <w:r w:rsidR="00791530">
        <w:rPr>
          <w:rFonts w:cs="Arial"/>
          <w:lang w:val="es-CO"/>
        </w:rPr>
        <w:t>T</w:t>
      </w:r>
      <w:r w:rsidRPr="001A38D5">
        <w:rPr>
          <w:rFonts w:cs="Arial"/>
          <w:lang w:val="es-CO"/>
        </w:rPr>
        <w:t>erritorial, ya que durante el periodo de gobierno en cuestión los contratos suscritos</w:t>
      </w:r>
      <w:r w:rsidRPr="001A38D5">
        <w:rPr>
          <w:rStyle w:val="Refdenotaalpie"/>
          <w:rFonts w:cs="Arial"/>
          <w:lang w:val="es-CO"/>
        </w:rPr>
        <w:footnoteReference w:id="3"/>
      </w:r>
      <w:r w:rsidRPr="001A38D5">
        <w:rPr>
          <w:rFonts w:cs="Arial"/>
          <w:lang w:val="es-CO"/>
        </w:rPr>
        <w:t xml:space="preserve"> contemplaron para el cabal cumplimiento del objeto contractual el suministro de 30.345 complementos alimentarios jornada AM y PM en la modalidad de </w:t>
      </w:r>
      <w:r w:rsidR="00791530">
        <w:rPr>
          <w:rFonts w:cs="Arial"/>
          <w:lang w:val="es-CO"/>
        </w:rPr>
        <w:t>R</w:t>
      </w:r>
      <w:r w:rsidRPr="001A38D5">
        <w:rPr>
          <w:rFonts w:cs="Arial"/>
          <w:lang w:val="es-CO"/>
        </w:rPr>
        <w:t xml:space="preserve">ación </w:t>
      </w:r>
      <w:r w:rsidR="00791530">
        <w:rPr>
          <w:rFonts w:cs="Arial"/>
          <w:lang w:val="es-CO"/>
        </w:rPr>
        <w:t>I</w:t>
      </w:r>
      <w:r w:rsidRPr="001A38D5">
        <w:rPr>
          <w:rFonts w:cs="Arial"/>
          <w:lang w:val="es-CO"/>
        </w:rPr>
        <w:t xml:space="preserve">ndustrializada </w:t>
      </w:r>
      <w:r w:rsidR="00791530">
        <w:rPr>
          <w:rFonts w:cs="Arial"/>
          <w:lang w:val="es-CO"/>
        </w:rPr>
        <w:t xml:space="preserve">- RI </w:t>
      </w:r>
      <w:r w:rsidRPr="001A38D5">
        <w:rPr>
          <w:rFonts w:cs="Arial"/>
          <w:lang w:val="es-CO"/>
        </w:rPr>
        <w:t xml:space="preserve">y 3.478 almuerzos en la modalidad de </w:t>
      </w:r>
      <w:r w:rsidR="00791530">
        <w:rPr>
          <w:rFonts w:cs="Arial"/>
          <w:lang w:val="es-CO"/>
        </w:rPr>
        <w:t>R</w:t>
      </w:r>
      <w:r w:rsidRPr="001A38D5">
        <w:rPr>
          <w:rFonts w:cs="Arial"/>
          <w:lang w:val="es-CO"/>
        </w:rPr>
        <w:t xml:space="preserve">ación </w:t>
      </w:r>
      <w:r w:rsidR="00791530">
        <w:rPr>
          <w:rFonts w:cs="Arial"/>
          <w:lang w:val="es-CO"/>
        </w:rPr>
        <w:t>P</w:t>
      </w:r>
      <w:r w:rsidRPr="001A38D5">
        <w:rPr>
          <w:rFonts w:cs="Arial"/>
          <w:lang w:val="es-CO"/>
        </w:rPr>
        <w:t xml:space="preserve">reparada en </w:t>
      </w:r>
      <w:r w:rsidR="00791530">
        <w:rPr>
          <w:rFonts w:cs="Arial"/>
          <w:lang w:val="es-CO"/>
        </w:rPr>
        <w:t>S</w:t>
      </w:r>
      <w:r w:rsidRPr="001A38D5">
        <w:rPr>
          <w:rFonts w:cs="Arial"/>
          <w:lang w:val="es-CO"/>
        </w:rPr>
        <w:t>itio, para un total de 33.823 titulares de derecho anualmente en el cuatrienio.</w:t>
      </w:r>
    </w:p>
    <w:p w14:paraId="2003D43F" w14:textId="77777777" w:rsidR="00A20990" w:rsidRPr="001A38D5" w:rsidRDefault="00A20990" w:rsidP="005140E1">
      <w:pPr>
        <w:contextualSpacing/>
        <w:jc w:val="both"/>
        <w:rPr>
          <w:rFonts w:cs="Arial"/>
          <w:lang w:val="es-CO"/>
        </w:rPr>
      </w:pPr>
    </w:p>
    <w:p w14:paraId="4DF2322D" w14:textId="77777777" w:rsidR="00A20990" w:rsidRPr="001A38D5" w:rsidRDefault="00A20990" w:rsidP="005140E1">
      <w:pPr>
        <w:contextualSpacing/>
        <w:jc w:val="both"/>
        <w:rPr>
          <w:rFonts w:cs="Arial"/>
          <w:lang w:val="es-CO"/>
        </w:rPr>
      </w:pPr>
      <w:r w:rsidRPr="001A38D5">
        <w:rPr>
          <w:rFonts w:cs="Arial"/>
          <w:lang w:val="es-CO"/>
        </w:rPr>
        <w:t>Para el cuatrienio 2020-2023 el Plan de Desarrollo Municipal “</w:t>
      </w:r>
      <w:r w:rsidRPr="001A38D5">
        <w:rPr>
          <w:rFonts w:cs="Arial"/>
          <w:i/>
          <w:lang w:val="es-CO"/>
        </w:rPr>
        <w:t>Villavicencio cambia contigo</w:t>
      </w:r>
      <w:r w:rsidRPr="001A38D5">
        <w:rPr>
          <w:rFonts w:cs="Arial"/>
          <w:lang w:val="es-CO"/>
        </w:rPr>
        <w:t xml:space="preserve">” incluyó el </w:t>
      </w:r>
      <w:r w:rsidR="00791530">
        <w:rPr>
          <w:rFonts w:cs="Arial"/>
          <w:lang w:val="es-CO"/>
        </w:rPr>
        <w:t>P</w:t>
      </w:r>
      <w:r w:rsidRPr="001A38D5">
        <w:rPr>
          <w:rFonts w:cs="Arial"/>
          <w:lang w:val="es-CO"/>
        </w:rPr>
        <w:t xml:space="preserve">royecto de </w:t>
      </w:r>
      <w:r w:rsidR="00791530">
        <w:rPr>
          <w:rFonts w:cs="Arial"/>
          <w:lang w:val="es-CO"/>
        </w:rPr>
        <w:t>I</w:t>
      </w:r>
      <w:r w:rsidRPr="001A38D5">
        <w:rPr>
          <w:rFonts w:cs="Arial"/>
          <w:lang w:val="es-CO"/>
        </w:rPr>
        <w:t>nversión denominado “</w:t>
      </w:r>
      <w:r w:rsidRPr="001A38D5">
        <w:rPr>
          <w:rFonts w:cs="Arial"/>
          <w:i/>
          <w:lang w:val="es-CO"/>
        </w:rPr>
        <w:t xml:space="preserve">Implementación del Programa de Alimentación Escolar PAE en Villavicencio, Meta” </w:t>
      </w:r>
      <w:r w:rsidRPr="001A38D5">
        <w:rPr>
          <w:rFonts w:cs="Arial"/>
          <w:lang w:val="es-CO"/>
        </w:rPr>
        <w:t xml:space="preserve">del </w:t>
      </w:r>
      <w:r w:rsidR="00791530">
        <w:rPr>
          <w:rFonts w:cs="Arial"/>
          <w:lang w:val="es-CO"/>
        </w:rPr>
        <w:t>S</w:t>
      </w:r>
      <w:r w:rsidRPr="001A38D5">
        <w:rPr>
          <w:rFonts w:cs="Arial"/>
          <w:lang w:val="es-CO"/>
        </w:rPr>
        <w:t xml:space="preserve">ector </w:t>
      </w:r>
      <w:r w:rsidR="00791530">
        <w:rPr>
          <w:rFonts w:cs="Arial"/>
          <w:lang w:val="es-CO"/>
        </w:rPr>
        <w:t>E</w:t>
      </w:r>
      <w:r w:rsidRPr="001A38D5">
        <w:rPr>
          <w:rFonts w:cs="Arial"/>
          <w:lang w:val="es-CO"/>
        </w:rPr>
        <w:t xml:space="preserve">ducativo, </w:t>
      </w:r>
      <w:r w:rsidR="00791530">
        <w:rPr>
          <w:rFonts w:cs="Arial"/>
          <w:lang w:val="es-CO"/>
        </w:rPr>
        <w:t>E</w:t>
      </w:r>
      <w:r w:rsidRPr="001A38D5">
        <w:rPr>
          <w:rFonts w:cs="Arial"/>
          <w:lang w:val="es-CO"/>
        </w:rPr>
        <w:t xml:space="preserve">je </w:t>
      </w:r>
      <w:r w:rsidR="00791530">
        <w:rPr>
          <w:rFonts w:cs="Arial"/>
          <w:lang w:val="es-CO"/>
        </w:rPr>
        <w:t>E</w:t>
      </w:r>
      <w:r w:rsidRPr="001A38D5">
        <w:rPr>
          <w:rFonts w:cs="Arial"/>
          <w:lang w:val="es-CO"/>
        </w:rPr>
        <w:t>stratégico 5 “</w:t>
      </w:r>
      <w:r w:rsidRPr="001A38D5">
        <w:rPr>
          <w:rFonts w:cs="Arial"/>
          <w:i/>
          <w:lang w:val="es-CO"/>
        </w:rPr>
        <w:t>Ciudad garante de derechos”</w:t>
      </w:r>
      <w:r w:rsidRPr="001A38D5">
        <w:rPr>
          <w:rFonts w:cs="Arial"/>
          <w:lang w:val="es-CO"/>
        </w:rPr>
        <w:t xml:space="preserve">, </w:t>
      </w:r>
      <w:r w:rsidR="00791530">
        <w:rPr>
          <w:rFonts w:cs="Arial"/>
          <w:lang w:val="es-CO"/>
        </w:rPr>
        <w:t>P</w:t>
      </w:r>
      <w:r w:rsidRPr="001A38D5">
        <w:rPr>
          <w:rFonts w:cs="Arial"/>
          <w:lang w:val="es-CO"/>
        </w:rPr>
        <w:t>rograma “</w:t>
      </w:r>
      <w:r w:rsidRPr="001A38D5">
        <w:rPr>
          <w:rFonts w:cs="Arial"/>
          <w:i/>
          <w:lang w:val="es-CO"/>
        </w:rPr>
        <w:t>La Vocación cambia contigo</w:t>
      </w:r>
      <w:r w:rsidRPr="001A38D5">
        <w:rPr>
          <w:rFonts w:cs="Arial"/>
          <w:lang w:val="es-CO"/>
        </w:rPr>
        <w:t xml:space="preserve">”, que tiene como meta implementar el PAE en las sedes e </w:t>
      </w:r>
      <w:r w:rsidR="00791530">
        <w:rPr>
          <w:rFonts w:cs="Arial"/>
          <w:lang w:val="es-CO"/>
        </w:rPr>
        <w:t>I</w:t>
      </w:r>
      <w:r w:rsidRPr="001A38D5">
        <w:rPr>
          <w:rFonts w:cs="Arial"/>
          <w:lang w:val="es-CO"/>
        </w:rPr>
        <w:t xml:space="preserve">nstituciones </w:t>
      </w:r>
      <w:r w:rsidR="00791530">
        <w:rPr>
          <w:rFonts w:cs="Arial"/>
          <w:lang w:val="es-CO"/>
        </w:rPr>
        <w:t>E</w:t>
      </w:r>
      <w:r w:rsidRPr="001A38D5">
        <w:rPr>
          <w:rFonts w:cs="Arial"/>
          <w:lang w:val="es-CO"/>
        </w:rPr>
        <w:t xml:space="preserve">ducativas Oficiales del Municipio (Directiva No. 0012 de la Procuraduría General de la Nación), </w:t>
      </w:r>
      <w:r w:rsidRPr="001A38D5">
        <w:rPr>
          <w:rFonts w:cs="Arial"/>
          <w:lang w:val="es-CO"/>
        </w:rPr>
        <w:lastRenderedPageBreak/>
        <w:t xml:space="preserve">con una línea base y meta de producto de 33.823 titulares de derecho para el cuatrienio. Este proyecto tiene como finalidad incrementar los niveles de permanencia de los niños, niñas, adolescentes y jóvenes en la jornada académica que asisten a los establecimientos educativos oficiales en la Entidad </w:t>
      </w:r>
      <w:r w:rsidR="00791530">
        <w:rPr>
          <w:rFonts w:cs="Arial"/>
          <w:lang w:val="es-CO"/>
        </w:rPr>
        <w:t>T</w:t>
      </w:r>
      <w:r w:rsidRPr="001A38D5">
        <w:rPr>
          <w:rFonts w:cs="Arial"/>
          <w:lang w:val="es-CO"/>
        </w:rPr>
        <w:t xml:space="preserve">erritorial. </w:t>
      </w:r>
    </w:p>
    <w:p w14:paraId="5F7BD884" w14:textId="77777777" w:rsidR="00A20990" w:rsidRPr="001A38D5" w:rsidRDefault="00A20990" w:rsidP="005140E1">
      <w:pPr>
        <w:contextualSpacing/>
        <w:jc w:val="both"/>
        <w:rPr>
          <w:rFonts w:cs="Arial"/>
          <w:lang w:val="es-CO"/>
        </w:rPr>
      </w:pPr>
    </w:p>
    <w:p w14:paraId="2D2E1692" w14:textId="77777777" w:rsidR="00A20990" w:rsidRPr="001A38D5" w:rsidRDefault="00A20990" w:rsidP="005140E1">
      <w:pPr>
        <w:pStyle w:val="Ttulo3"/>
        <w:contextualSpacing/>
        <w:rPr>
          <w:rFonts w:ascii="Verdana" w:hAnsi="Verdana"/>
        </w:rPr>
      </w:pPr>
      <w:r w:rsidRPr="001A38D5">
        <w:rPr>
          <w:rFonts w:ascii="Verdana" w:hAnsi="Verdana"/>
        </w:rPr>
        <w:t>Sistema General de Participaciones en el Financiamiento del Sector</w:t>
      </w:r>
      <w:r w:rsidR="00791530">
        <w:rPr>
          <w:rFonts w:ascii="Verdana" w:hAnsi="Verdana"/>
        </w:rPr>
        <w:t>.</w:t>
      </w:r>
    </w:p>
    <w:p w14:paraId="5C24B7FA" w14:textId="77777777" w:rsidR="00A20990" w:rsidRPr="001A38D5" w:rsidRDefault="00A20990" w:rsidP="005140E1">
      <w:pPr>
        <w:pStyle w:val="Sinespaciado"/>
        <w:contextualSpacing/>
        <w:jc w:val="both"/>
        <w:rPr>
          <w:rFonts w:ascii="Verdana" w:hAnsi="Verdana" w:cs="Arial"/>
        </w:rPr>
      </w:pPr>
    </w:p>
    <w:p w14:paraId="07B2E2F7" w14:textId="77777777" w:rsidR="00ED1623" w:rsidRDefault="00A20990" w:rsidP="005140E1">
      <w:pPr>
        <w:pStyle w:val="Sinespaciado"/>
        <w:contextualSpacing/>
        <w:jc w:val="both"/>
        <w:rPr>
          <w:rFonts w:ascii="Verdana" w:hAnsi="Verdana" w:cs="Arial"/>
        </w:rPr>
      </w:pPr>
      <w:r w:rsidRPr="001A38D5">
        <w:rPr>
          <w:rFonts w:ascii="Verdana" w:hAnsi="Verdana" w:cs="Arial"/>
        </w:rPr>
        <w:t>De acuerdo con las cifras consignadas por la Entidad Territorial en el CHIP, entre 2016 y 2022 se comprometieron recursos para el Programa de Alimentación Escolar por valor de $87.018 millones.</w:t>
      </w:r>
    </w:p>
    <w:p w14:paraId="74B9DBD8" w14:textId="77777777" w:rsidR="00ED1623" w:rsidRDefault="00ED1623" w:rsidP="005140E1">
      <w:pPr>
        <w:pStyle w:val="Sinespaciado"/>
        <w:contextualSpacing/>
        <w:jc w:val="both"/>
        <w:rPr>
          <w:rFonts w:ascii="Verdana" w:hAnsi="Verdana" w:cs="Arial"/>
        </w:rPr>
      </w:pPr>
    </w:p>
    <w:p w14:paraId="1933DD90"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La inversión en el Programa ha sido financiada con recursos de: (i) cofinanciación nacional a través del Presupuesto General de la Nación (49 %); (ii) Sistema General del Regalías (20 %); (iii) Asignación Especial para Alimentación Escolar del Sistema General de Participaciones (7 % de recursos corrientes de la AESGPAE y 2</w:t>
      </w:r>
      <w:r w:rsidR="00791530">
        <w:rPr>
          <w:rFonts w:ascii="Verdana" w:hAnsi="Verdana" w:cs="Arial"/>
        </w:rPr>
        <w:t xml:space="preserve"> </w:t>
      </w:r>
      <w:r w:rsidRPr="001A38D5">
        <w:rPr>
          <w:rFonts w:ascii="Verdana" w:hAnsi="Verdana" w:cs="Arial"/>
        </w:rPr>
        <w:t xml:space="preserve">% de recursos de capital); (iv) recursos propios de la Entidad Territorial (8 %); (v) recursos asignados de conformidad con lo dispuesto en el </w:t>
      </w:r>
      <w:r w:rsidR="00791530">
        <w:rPr>
          <w:rFonts w:ascii="Verdana" w:hAnsi="Verdana" w:cs="Arial"/>
        </w:rPr>
        <w:t>D</w:t>
      </w:r>
      <w:r w:rsidRPr="001A38D5">
        <w:rPr>
          <w:rFonts w:ascii="Verdana" w:hAnsi="Verdana" w:cs="Arial"/>
        </w:rPr>
        <w:t xml:space="preserve">ocumento Conpes Social 151 de 2012 para el Programa de Alimentación Escolar (7 %); (vi) de Calidad correspondientes a la Participación en Educación del SGP (5 %); (vii) recursos destinados a prestación del </w:t>
      </w:r>
      <w:r w:rsidR="00791530">
        <w:rPr>
          <w:rFonts w:ascii="Verdana" w:hAnsi="Verdana" w:cs="Arial"/>
        </w:rPr>
        <w:t>S</w:t>
      </w:r>
      <w:r w:rsidRPr="001A38D5">
        <w:rPr>
          <w:rFonts w:ascii="Verdana" w:hAnsi="Verdana" w:cs="Arial"/>
        </w:rPr>
        <w:t xml:space="preserve">ervicio </w:t>
      </w:r>
      <w:r w:rsidR="00791530">
        <w:rPr>
          <w:rFonts w:ascii="Verdana" w:hAnsi="Verdana" w:cs="Arial"/>
        </w:rPr>
        <w:t>E</w:t>
      </w:r>
      <w:r w:rsidRPr="001A38D5">
        <w:rPr>
          <w:rFonts w:ascii="Verdana" w:hAnsi="Verdana" w:cs="Arial"/>
        </w:rPr>
        <w:t xml:space="preserve">ducativo de la Participación en Educación del SGP (1 %) y (viii) Libre Inversión de la </w:t>
      </w:r>
      <w:r w:rsidR="00791530">
        <w:rPr>
          <w:rFonts w:ascii="Verdana" w:hAnsi="Verdana" w:cs="Arial"/>
        </w:rPr>
        <w:t>P</w:t>
      </w:r>
      <w:r w:rsidRPr="001A38D5">
        <w:rPr>
          <w:rFonts w:ascii="Verdana" w:hAnsi="Verdana" w:cs="Arial"/>
        </w:rPr>
        <w:t>articipación de Propósito General del SGP (0,6 %).</w:t>
      </w:r>
    </w:p>
    <w:p w14:paraId="75C7ACF5" w14:textId="77777777" w:rsidR="00A20687" w:rsidRDefault="00A20687" w:rsidP="00B011F8">
      <w:pPr>
        <w:contextualSpacing/>
        <w:rPr>
          <w:rFonts w:eastAsiaTheme="minorHAnsi" w:cs="Arial"/>
          <w:lang w:val="es-CO"/>
        </w:rPr>
      </w:pPr>
      <w:r>
        <w:rPr>
          <w:rFonts w:eastAsiaTheme="minorHAnsi"/>
          <w:i/>
          <w:iCs/>
          <w:lang w:val="es-CO"/>
        </w:rPr>
        <w:br w:type="page"/>
      </w:r>
    </w:p>
    <w:p w14:paraId="0843366F"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lastRenderedPageBreak/>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2</w:t>
      </w:r>
      <w:r w:rsidRPr="007A412F">
        <w:rPr>
          <w:rFonts w:ascii="Verdana" w:hAnsi="Verdana"/>
          <w:color w:val="auto"/>
          <w:sz w:val="20"/>
          <w:szCs w:val="20"/>
        </w:rPr>
        <w:fldChar w:fldCharType="end"/>
      </w:r>
      <w:r w:rsidRPr="007A412F">
        <w:rPr>
          <w:rFonts w:ascii="Verdana" w:hAnsi="Verdana"/>
          <w:color w:val="auto"/>
          <w:sz w:val="20"/>
          <w:szCs w:val="20"/>
        </w:rPr>
        <w:t xml:space="preserve"> Fuentes de financiación del Programa de Alimentación Escolar en el Municipio de Villavicencio 2016-2022</w:t>
      </w:r>
    </w:p>
    <w:tbl>
      <w:tblPr>
        <w:tblW w:w="6661" w:type="pct"/>
        <w:jc w:val="center"/>
        <w:tblCellMar>
          <w:left w:w="70" w:type="dxa"/>
          <w:right w:w="70" w:type="dxa"/>
        </w:tblCellMar>
        <w:tblLook w:val="04A0" w:firstRow="1" w:lastRow="0" w:firstColumn="1" w:lastColumn="0" w:noHBand="0" w:noVBand="1"/>
      </w:tblPr>
      <w:tblGrid>
        <w:gridCol w:w="552"/>
        <w:gridCol w:w="900"/>
        <w:gridCol w:w="840"/>
        <w:gridCol w:w="712"/>
        <w:gridCol w:w="900"/>
        <w:gridCol w:w="900"/>
        <w:gridCol w:w="919"/>
        <w:gridCol w:w="906"/>
        <w:gridCol w:w="891"/>
        <w:gridCol w:w="919"/>
        <w:gridCol w:w="806"/>
        <w:gridCol w:w="1014"/>
        <w:gridCol w:w="904"/>
        <w:gridCol w:w="1352"/>
      </w:tblGrid>
      <w:tr w:rsidR="001A38D5" w:rsidRPr="001A38D5" w14:paraId="05883D3E" w14:textId="77777777" w:rsidTr="00ED1623">
        <w:trPr>
          <w:trHeight w:val="300"/>
          <w:jc w:val="center"/>
        </w:trPr>
        <w:tc>
          <w:tcPr>
            <w:tcW w:w="229" w:type="pct"/>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158BE484"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Año</w:t>
            </w:r>
          </w:p>
        </w:tc>
        <w:tc>
          <w:tcPr>
            <w:tcW w:w="1005" w:type="pct"/>
            <w:gridSpan w:val="3"/>
            <w:tcBorders>
              <w:top w:val="single" w:sz="4" w:space="0" w:color="auto"/>
              <w:left w:val="nil"/>
              <w:bottom w:val="single" w:sz="4" w:space="0" w:color="auto"/>
              <w:right w:val="double" w:sz="4" w:space="0" w:color="auto"/>
            </w:tcBorders>
            <w:shd w:val="clear" w:color="auto" w:fill="FFC000"/>
            <w:vAlign w:val="center"/>
            <w:hideMark/>
          </w:tcPr>
          <w:p w14:paraId="32CA6B87"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Asignación AESGPAE</w:t>
            </w:r>
          </w:p>
        </w:tc>
        <w:tc>
          <w:tcPr>
            <w:tcW w:w="3766" w:type="pct"/>
            <w:gridSpan w:val="10"/>
            <w:tcBorders>
              <w:top w:val="single" w:sz="4" w:space="0" w:color="auto"/>
              <w:left w:val="double" w:sz="4" w:space="0" w:color="auto"/>
              <w:bottom w:val="single" w:sz="4" w:space="0" w:color="auto"/>
              <w:right w:val="single" w:sz="4" w:space="0" w:color="auto"/>
            </w:tcBorders>
            <w:shd w:val="clear" w:color="auto" w:fill="FFC000"/>
            <w:vAlign w:val="center"/>
            <w:hideMark/>
          </w:tcPr>
          <w:p w14:paraId="1A8BF023"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Valores comprometidos que financian el PAE 2016 – 2022 (valores en millones de pesos)</w:t>
            </w:r>
          </w:p>
        </w:tc>
      </w:tr>
      <w:tr w:rsidR="00ED1623" w:rsidRPr="009E2FA9" w14:paraId="694F2332" w14:textId="77777777" w:rsidTr="00ED1623">
        <w:trPr>
          <w:trHeight w:val="900"/>
          <w:jc w:val="center"/>
        </w:trPr>
        <w:tc>
          <w:tcPr>
            <w:tcW w:w="229" w:type="pct"/>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56A234C9" w14:textId="77777777" w:rsidR="00A20990" w:rsidRPr="001A38D5" w:rsidRDefault="00A20990" w:rsidP="005140E1">
            <w:pPr>
              <w:contextualSpacing/>
              <w:rPr>
                <w:rFonts w:eastAsia="Times New Roman" w:cs="Arial"/>
                <w:b/>
                <w:bCs/>
                <w:sz w:val="14"/>
                <w:szCs w:val="14"/>
                <w:lang w:val="es-CO" w:eastAsia="es-CO"/>
              </w:rPr>
            </w:pPr>
          </w:p>
        </w:tc>
        <w:tc>
          <w:tcPr>
            <w:tcW w:w="368" w:type="pct"/>
            <w:tcBorders>
              <w:top w:val="nil"/>
              <w:left w:val="nil"/>
              <w:bottom w:val="nil"/>
              <w:right w:val="single" w:sz="4" w:space="0" w:color="auto"/>
            </w:tcBorders>
            <w:shd w:val="clear" w:color="auto" w:fill="FFC000"/>
            <w:vAlign w:val="center"/>
            <w:hideMark/>
          </w:tcPr>
          <w:p w14:paraId="27CFE4E1"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AESGPAE Vigencia Anterior (1/12)</w:t>
            </w:r>
          </w:p>
        </w:tc>
        <w:tc>
          <w:tcPr>
            <w:tcW w:w="344" w:type="pct"/>
            <w:vMerge w:val="restart"/>
            <w:tcBorders>
              <w:top w:val="nil"/>
              <w:left w:val="single" w:sz="4" w:space="0" w:color="auto"/>
              <w:bottom w:val="single" w:sz="4" w:space="0" w:color="auto"/>
              <w:right w:val="single" w:sz="4" w:space="0" w:color="auto"/>
            </w:tcBorders>
            <w:shd w:val="clear" w:color="auto" w:fill="FFC000"/>
            <w:vAlign w:val="center"/>
            <w:hideMark/>
          </w:tcPr>
          <w:p w14:paraId="6D8C47C1"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AE del SGP Vigencia Actual (11/12) </w:t>
            </w:r>
            <w:r w:rsidRPr="001A38D5">
              <w:rPr>
                <w:rFonts w:eastAsia="Times New Roman" w:cs="Arial"/>
                <w:b/>
                <w:bCs/>
                <w:sz w:val="14"/>
                <w:szCs w:val="14"/>
                <w:lang w:val="es-CO" w:eastAsia="es-CO"/>
              </w:rPr>
              <w:br/>
              <w:t>(b)</w:t>
            </w:r>
          </w:p>
        </w:tc>
        <w:tc>
          <w:tcPr>
            <w:tcW w:w="293" w:type="pct"/>
            <w:vMerge w:val="restart"/>
            <w:tcBorders>
              <w:top w:val="nil"/>
              <w:left w:val="single" w:sz="4" w:space="0" w:color="auto"/>
              <w:bottom w:val="single" w:sz="4" w:space="0" w:color="auto"/>
              <w:right w:val="double" w:sz="4" w:space="0" w:color="auto"/>
            </w:tcBorders>
            <w:shd w:val="clear" w:color="auto" w:fill="FFC000"/>
            <w:vAlign w:val="center"/>
            <w:hideMark/>
          </w:tcPr>
          <w:p w14:paraId="39A9A3E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Total (a+b)</w:t>
            </w:r>
          </w:p>
        </w:tc>
        <w:tc>
          <w:tcPr>
            <w:tcW w:w="368" w:type="pct"/>
            <w:tcBorders>
              <w:top w:val="nil"/>
              <w:left w:val="double" w:sz="4" w:space="0" w:color="auto"/>
              <w:bottom w:val="nil"/>
              <w:right w:val="single" w:sz="4" w:space="0" w:color="auto"/>
            </w:tcBorders>
            <w:shd w:val="clear" w:color="auto" w:fill="FFC000"/>
            <w:vAlign w:val="center"/>
            <w:hideMark/>
          </w:tcPr>
          <w:p w14:paraId="3C01F198"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 AESGPAE </w:t>
            </w:r>
          </w:p>
        </w:tc>
        <w:tc>
          <w:tcPr>
            <w:tcW w:w="368" w:type="pct"/>
            <w:tcBorders>
              <w:top w:val="nil"/>
              <w:left w:val="nil"/>
              <w:bottom w:val="nil"/>
              <w:right w:val="single" w:sz="4" w:space="0" w:color="auto"/>
            </w:tcBorders>
            <w:shd w:val="clear" w:color="auto" w:fill="FFC000"/>
            <w:vAlign w:val="center"/>
            <w:hideMark/>
          </w:tcPr>
          <w:p w14:paraId="319E26CA"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Recursos de Capital AESGPAE</w:t>
            </w:r>
          </w:p>
        </w:tc>
        <w:tc>
          <w:tcPr>
            <w:tcW w:w="375" w:type="pct"/>
            <w:tcBorders>
              <w:top w:val="nil"/>
              <w:left w:val="nil"/>
              <w:bottom w:val="nil"/>
              <w:right w:val="single" w:sz="4" w:space="0" w:color="auto"/>
            </w:tcBorders>
            <w:shd w:val="clear" w:color="auto" w:fill="FFC000"/>
            <w:vAlign w:val="center"/>
            <w:hideMark/>
          </w:tcPr>
          <w:p w14:paraId="1B42F3AB"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Recursos PGN </w:t>
            </w:r>
          </w:p>
        </w:tc>
        <w:tc>
          <w:tcPr>
            <w:tcW w:w="370" w:type="pct"/>
            <w:tcBorders>
              <w:top w:val="nil"/>
              <w:left w:val="nil"/>
              <w:bottom w:val="nil"/>
              <w:right w:val="single" w:sz="4" w:space="0" w:color="auto"/>
            </w:tcBorders>
            <w:shd w:val="clear" w:color="auto" w:fill="FFC000"/>
            <w:vAlign w:val="center"/>
            <w:hideMark/>
          </w:tcPr>
          <w:p w14:paraId="728AAA41"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SGP Calidad Matrícula</w:t>
            </w:r>
          </w:p>
        </w:tc>
        <w:tc>
          <w:tcPr>
            <w:tcW w:w="364" w:type="pct"/>
            <w:tcBorders>
              <w:top w:val="nil"/>
              <w:left w:val="nil"/>
              <w:bottom w:val="nil"/>
              <w:right w:val="single" w:sz="4" w:space="0" w:color="auto"/>
            </w:tcBorders>
            <w:shd w:val="clear" w:color="auto" w:fill="FFC000"/>
            <w:vAlign w:val="center"/>
            <w:hideMark/>
          </w:tcPr>
          <w:p w14:paraId="4CB2763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Recursos Propios</w:t>
            </w:r>
          </w:p>
        </w:tc>
        <w:tc>
          <w:tcPr>
            <w:tcW w:w="375" w:type="pct"/>
            <w:tcBorders>
              <w:top w:val="nil"/>
              <w:left w:val="nil"/>
              <w:bottom w:val="nil"/>
              <w:right w:val="single" w:sz="4" w:space="0" w:color="auto"/>
            </w:tcBorders>
            <w:shd w:val="clear" w:color="auto" w:fill="FFC000"/>
            <w:vAlign w:val="center"/>
            <w:hideMark/>
          </w:tcPr>
          <w:p w14:paraId="756E573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SGR</w:t>
            </w:r>
          </w:p>
        </w:tc>
        <w:tc>
          <w:tcPr>
            <w:tcW w:w="330" w:type="pct"/>
            <w:tcBorders>
              <w:top w:val="nil"/>
              <w:left w:val="nil"/>
              <w:bottom w:val="nil"/>
              <w:right w:val="single" w:sz="4" w:space="0" w:color="auto"/>
            </w:tcBorders>
            <w:shd w:val="clear" w:color="auto" w:fill="FFC000"/>
            <w:vAlign w:val="center"/>
            <w:hideMark/>
          </w:tcPr>
          <w:p w14:paraId="251522D7"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CONPES 151</w:t>
            </w:r>
          </w:p>
        </w:tc>
        <w:tc>
          <w:tcPr>
            <w:tcW w:w="413" w:type="pct"/>
            <w:tcBorders>
              <w:top w:val="nil"/>
              <w:left w:val="nil"/>
              <w:bottom w:val="nil"/>
              <w:right w:val="single" w:sz="4" w:space="0" w:color="auto"/>
            </w:tcBorders>
            <w:shd w:val="clear" w:color="auto" w:fill="FFC000"/>
            <w:vAlign w:val="center"/>
            <w:hideMark/>
          </w:tcPr>
          <w:p w14:paraId="36E652C5"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SGP Prestación del servicio</w:t>
            </w:r>
          </w:p>
        </w:tc>
        <w:tc>
          <w:tcPr>
            <w:tcW w:w="369" w:type="pct"/>
            <w:tcBorders>
              <w:top w:val="nil"/>
              <w:left w:val="nil"/>
              <w:bottom w:val="nil"/>
              <w:right w:val="single" w:sz="4" w:space="0" w:color="auto"/>
            </w:tcBorders>
            <w:shd w:val="clear" w:color="auto" w:fill="FFC000"/>
            <w:vAlign w:val="center"/>
            <w:hideMark/>
          </w:tcPr>
          <w:p w14:paraId="3D02200A"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SGP PG Libre inversión</w:t>
            </w:r>
          </w:p>
        </w:tc>
        <w:tc>
          <w:tcPr>
            <w:tcW w:w="434" w:type="pct"/>
            <w:tcBorders>
              <w:top w:val="nil"/>
              <w:left w:val="nil"/>
              <w:bottom w:val="nil"/>
              <w:right w:val="single" w:sz="4" w:space="0" w:color="auto"/>
            </w:tcBorders>
            <w:shd w:val="clear" w:color="auto" w:fill="FFC000"/>
            <w:vAlign w:val="center"/>
            <w:hideMark/>
          </w:tcPr>
          <w:p w14:paraId="1593FC9F" w14:textId="77777777" w:rsidR="00A20990" w:rsidRPr="001A38D5" w:rsidRDefault="00A20990" w:rsidP="005140E1">
            <w:pPr>
              <w:contextualSpacing/>
              <w:jc w:val="center"/>
              <w:rPr>
                <w:rFonts w:eastAsia="Times New Roman" w:cs="Arial"/>
                <w:b/>
                <w:bCs/>
                <w:sz w:val="14"/>
                <w:szCs w:val="14"/>
                <w:lang w:val="en-US" w:eastAsia="es-CO"/>
              </w:rPr>
            </w:pPr>
            <w:r w:rsidRPr="001A38D5">
              <w:rPr>
                <w:rFonts w:eastAsia="Times New Roman" w:cs="Arial"/>
                <w:b/>
                <w:bCs/>
                <w:sz w:val="14"/>
                <w:szCs w:val="14"/>
                <w:lang w:val="en-US" w:eastAsia="es-CO"/>
              </w:rPr>
              <w:t>TOTAL (A+B+C+D+E+ F+G+H+I)</w:t>
            </w:r>
          </w:p>
        </w:tc>
      </w:tr>
      <w:tr w:rsidR="00ED1623" w:rsidRPr="001A38D5" w14:paraId="5DB75D18" w14:textId="77777777" w:rsidTr="00ED1623">
        <w:trPr>
          <w:trHeight w:val="300"/>
          <w:jc w:val="center"/>
        </w:trPr>
        <w:tc>
          <w:tcPr>
            <w:tcW w:w="229" w:type="pct"/>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1C06214A" w14:textId="77777777" w:rsidR="00A20990" w:rsidRPr="001A38D5" w:rsidRDefault="00A20990" w:rsidP="005140E1">
            <w:pPr>
              <w:contextualSpacing/>
              <w:rPr>
                <w:rFonts w:eastAsia="Times New Roman" w:cs="Arial"/>
                <w:b/>
                <w:bCs/>
                <w:sz w:val="14"/>
                <w:szCs w:val="14"/>
                <w:lang w:val="en-US" w:eastAsia="es-CO"/>
              </w:rPr>
            </w:pPr>
          </w:p>
        </w:tc>
        <w:tc>
          <w:tcPr>
            <w:tcW w:w="368" w:type="pct"/>
            <w:tcBorders>
              <w:top w:val="nil"/>
              <w:left w:val="nil"/>
              <w:bottom w:val="single" w:sz="4" w:space="0" w:color="auto"/>
              <w:right w:val="single" w:sz="4" w:space="0" w:color="auto"/>
            </w:tcBorders>
            <w:shd w:val="clear" w:color="auto" w:fill="FFC000"/>
            <w:vAlign w:val="center"/>
            <w:hideMark/>
          </w:tcPr>
          <w:p w14:paraId="3237CB7B"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n-US" w:eastAsia="es-CO"/>
              </w:rPr>
              <w:t xml:space="preserve"> </w:t>
            </w:r>
            <w:r w:rsidRPr="001A38D5">
              <w:rPr>
                <w:rFonts w:eastAsia="Times New Roman" w:cs="Arial"/>
                <w:b/>
                <w:bCs/>
                <w:sz w:val="14"/>
                <w:szCs w:val="14"/>
                <w:lang w:val="es-CO" w:eastAsia="es-CO"/>
              </w:rPr>
              <w:t>(a)</w:t>
            </w:r>
          </w:p>
        </w:tc>
        <w:tc>
          <w:tcPr>
            <w:tcW w:w="344" w:type="pct"/>
            <w:vMerge/>
            <w:tcBorders>
              <w:top w:val="nil"/>
              <w:left w:val="single" w:sz="4" w:space="0" w:color="auto"/>
              <w:bottom w:val="single" w:sz="4" w:space="0" w:color="auto"/>
              <w:right w:val="single" w:sz="4" w:space="0" w:color="auto"/>
            </w:tcBorders>
            <w:shd w:val="clear" w:color="auto" w:fill="FFC000"/>
            <w:vAlign w:val="center"/>
            <w:hideMark/>
          </w:tcPr>
          <w:p w14:paraId="2185FEFC" w14:textId="77777777" w:rsidR="00A20990" w:rsidRPr="001A38D5" w:rsidRDefault="00A20990" w:rsidP="005140E1">
            <w:pPr>
              <w:contextualSpacing/>
              <w:rPr>
                <w:rFonts w:eastAsia="Times New Roman" w:cs="Arial"/>
                <w:b/>
                <w:bCs/>
                <w:sz w:val="14"/>
                <w:szCs w:val="14"/>
                <w:lang w:val="es-CO" w:eastAsia="es-CO"/>
              </w:rPr>
            </w:pPr>
          </w:p>
        </w:tc>
        <w:tc>
          <w:tcPr>
            <w:tcW w:w="293" w:type="pct"/>
            <w:vMerge/>
            <w:tcBorders>
              <w:top w:val="single" w:sz="4" w:space="0" w:color="auto"/>
              <w:left w:val="single" w:sz="4" w:space="0" w:color="auto"/>
              <w:bottom w:val="single" w:sz="4" w:space="0" w:color="auto"/>
              <w:right w:val="double" w:sz="4" w:space="0" w:color="auto"/>
            </w:tcBorders>
            <w:shd w:val="clear" w:color="auto" w:fill="FFC000"/>
            <w:vAlign w:val="center"/>
            <w:hideMark/>
          </w:tcPr>
          <w:p w14:paraId="2C93C019" w14:textId="77777777" w:rsidR="00A20990" w:rsidRPr="001A38D5" w:rsidRDefault="00A20990" w:rsidP="005140E1">
            <w:pPr>
              <w:contextualSpacing/>
              <w:rPr>
                <w:rFonts w:eastAsia="Times New Roman" w:cs="Arial"/>
                <w:b/>
                <w:bCs/>
                <w:sz w:val="14"/>
                <w:szCs w:val="14"/>
                <w:lang w:val="es-CO" w:eastAsia="es-CO"/>
              </w:rPr>
            </w:pPr>
          </w:p>
        </w:tc>
        <w:tc>
          <w:tcPr>
            <w:tcW w:w="368" w:type="pct"/>
            <w:tcBorders>
              <w:top w:val="nil"/>
              <w:left w:val="double" w:sz="4" w:space="0" w:color="auto"/>
              <w:bottom w:val="single" w:sz="4" w:space="0" w:color="auto"/>
              <w:right w:val="single" w:sz="4" w:space="0" w:color="auto"/>
            </w:tcBorders>
            <w:shd w:val="clear" w:color="auto" w:fill="FFC000"/>
            <w:vAlign w:val="center"/>
            <w:hideMark/>
          </w:tcPr>
          <w:p w14:paraId="3B3D3B8D"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(A)</w:t>
            </w:r>
          </w:p>
        </w:tc>
        <w:tc>
          <w:tcPr>
            <w:tcW w:w="368" w:type="pct"/>
            <w:tcBorders>
              <w:top w:val="nil"/>
              <w:left w:val="nil"/>
              <w:bottom w:val="single" w:sz="4" w:space="0" w:color="auto"/>
              <w:right w:val="single" w:sz="4" w:space="0" w:color="auto"/>
            </w:tcBorders>
            <w:shd w:val="clear" w:color="auto" w:fill="FFC000"/>
            <w:vAlign w:val="center"/>
            <w:hideMark/>
          </w:tcPr>
          <w:p w14:paraId="37225A1A"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(B)</w:t>
            </w:r>
          </w:p>
        </w:tc>
        <w:tc>
          <w:tcPr>
            <w:tcW w:w="375" w:type="pct"/>
            <w:tcBorders>
              <w:top w:val="nil"/>
              <w:left w:val="nil"/>
              <w:bottom w:val="single" w:sz="4" w:space="0" w:color="auto"/>
              <w:right w:val="single" w:sz="4" w:space="0" w:color="auto"/>
            </w:tcBorders>
            <w:shd w:val="clear" w:color="auto" w:fill="FFC000"/>
            <w:vAlign w:val="center"/>
            <w:hideMark/>
          </w:tcPr>
          <w:p w14:paraId="3BE77508"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(C)</w:t>
            </w:r>
          </w:p>
        </w:tc>
        <w:tc>
          <w:tcPr>
            <w:tcW w:w="370" w:type="pct"/>
            <w:tcBorders>
              <w:top w:val="nil"/>
              <w:left w:val="nil"/>
              <w:bottom w:val="single" w:sz="4" w:space="0" w:color="auto"/>
              <w:right w:val="single" w:sz="4" w:space="0" w:color="auto"/>
            </w:tcBorders>
            <w:shd w:val="clear" w:color="auto" w:fill="FFC000"/>
            <w:vAlign w:val="center"/>
            <w:hideMark/>
          </w:tcPr>
          <w:p w14:paraId="398188BA"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(D)</w:t>
            </w:r>
          </w:p>
        </w:tc>
        <w:tc>
          <w:tcPr>
            <w:tcW w:w="364" w:type="pct"/>
            <w:tcBorders>
              <w:top w:val="nil"/>
              <w:left w:val="nil"/>
              <w:bottom w:val="single" w:sz="4" w:space="0" w:color="auto"/>
              <w:right w:val="single" w:sz="4" w:space="0" w:color="auto"/>
            </w:tcBorders>
            <w:shd w:val="clear" w:color="auto" w:fill="FFC000"/>
            <w:vAlign w:val="center"/>
            <w:hideMark/>
          </w:tcPr>
          <w:p w14:paraId="396712B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w:t>
            </w:r>
          </w:p>
        </w:tc>
        <w:tc>
          <w:tcPr>
            <w:tcW w:w="375" w:type="pct"/>
            <w:tcBorders>
              <w:top w:val="nil"/>
              <w:left w:val="nil"/>
              <w:bottom w:val="single" w:sz="4" w:space="0" w:color="auto"/>
              <w:right w:val="single" w:sz="4" w:space="0" w:color="auto"/>
            </w:tcBorders>
            <w:shd w:val="clear" w:color="auto" w:fill="FFC000"/>
            <w:vAlign w:val="center"/>
            <w:hideMark/>
          </w:tcPr>
          <w:p w14:paraId="4246242A"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(F)</w:t>
            </w:r>
          </w:p>
        </w:tc>
        <w:tc>
          <w:tcPr>
            <w:tcW w:w="330" w:type="pct"/>
            <w:tcBorders>
              <w:top w:val="nil"/>
              <w:left w:val="nil"/>
              <w:bottom w:val="single" w:sz="4" w:space="0" w:color="auto"/>
              <w:right w:val="single" w:sz="4" w:space="0" w:color="auto"/>
            </w:tcBorders>
            <w:shd w:val="clear" w:color="auto" w:fill="FFC000"/>
            <w:vAlign w:val="center"/>
            <w:hideMark/>
          </w:tcPr>
          <w:p w14:paraId="17E63ABF"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(G)</w:t>
            </w:r>
          </w:p>
        </w:tc>
        <w:tc>
          <w:tcPr>
            <w:tcW w:w="413" w:type="pct"/>
            <w:tcBorders>
              <w:top w:val="nil"/>
              <w:left w:val="nil"/>
              <w:bottom w:val="single" w:sz="4" w:space="0" w:color="auto"/>
              <w:right w:val="single" w:sz="4" w:space="0" w:color="auto"/>
            </w:tcBorders>
            <w:shd w:val="clear" w:color="auto" w:fill="FFC000"/>
            <w:vAlign w:val="center"/>
            <w:hideMark/>
          </w:tcPr>
          <w:p w14:paraId="766882E8"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(H)</w:t>
            </w:r>
          </w:p>
        </w:tc>
        <w:tc>
          <w:tcPr>
            <w:tcW w:w="369" w:type="pct"/>
            <w:tcBorders>
              <w:top w:val="nil"/>
              <w:left w:val="nil"/>
              <w:bottom w:val="single" w:sz="4" w:space="0" w:color="auto"/>
              <w:right w:val="single" w:sz="4" w:space="0" w:color="auto"/>
            </w:tcBorders>
            <w:shd w:val="clear" w:color="auto" w:fill="FFC000"/>
            <w:vAlign w:val="center"/>
            <w:hideMark/>
          </w:tcPr>
          <w:p w14:paraId="2272F01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(I)</w:t>
            </w:r>
          </w:p>
        </w:tc>
        <w:tc>
          <w:tcPr>
            <w:tcW w:w="434" w:type="pct"/>
            <w:tcBorders>
              <w:top w:val="nil"/>
              <w:left w:val="nil"/>
              <w:bottom w:val="single" w:sz="4" w:space="0" w:color="auto"/>
              <w:right w:val="single" w:sz="4" w:space="0" w:color="auto"/>
            </w:tcBorders>
            <w:shd w:val="clear" w:color="auto" w:fill="FFC000"/>
            <w:vAlign w:val="center"/>
            <w:hideMark/>
          </w:tcPr>
          <w:p w14:paraId="2E71C5A0"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w:t>
            </w:r>
          </w:p>
        </w:tc>
      </w:tr>
      <w:tr w:rsidR="001A38D5" w:rsidRPr="001A38D5" w14:paraId="2E4A57CF" w14:textId="77777777" w:rsidTr="00ED1623">
        <w:trPr>
          <w:trHeight w:val="300"/>
          <w:jc w:val="center"/>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5E7B56FB"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2016</w:t>
            </w:r>
          </w:p>
        </w:tc>
        <w:tc>
          <w:tcPr>
            <w:tcW w:w="368" w:type="pct"/>
            <w:tcBorders>
              <w:top w:val="nil"/>
              <w:left w:val="nil"/>
              <w:bottom w:val="single" w:sz="4" w:space="0" w:color="auto"/>
              <w:right w:val="single" w:sz="4" w:space="0" w:color="auto"/>
            </w:tcBorders>
            <w:shd w:val="clear" w:color="000000" w:fill="F2F2F2"/>
            <w:vAlign w:val="center"/>
            <w:hideMark/>
          </w:tcPr>
          <w:p w14:paraId="3CC4BF4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$82</w:t>
            </w:r>
          </w:p>
        </w:tc>
        <w:tc>
          <w:tcPr>
            <w:tcW w:w="344" w:type="pct"/>
            <w:tcBorders>
              <w:top w:val="nil"/>
              <w:left w:val="nil"/>
              <w:bottom w:val="single" w:sz="4" w:space="0" w:color="auto"/>
              <w:right w:val="single" w:sz="4" w:space="0" w:color="auto"/>
            </w:tcBorders>
            <w:shd w:val="clear" w:color="000000" w:fill="F2F2F2"/>
            <w:vAlign w:val="center"/>
            <w:hideMark/>
          </w:tcPr>
          <w:p w14:paraId="62EB472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$1.014</w:t>
            </w:r>
          </w:p>
        </w:tc>
        <w:tc>
          <w:tcPr>
            <w:tcW w:w="293" w:type="pct"/>
            <w:tcBorders>
              <w:top w:val="single" w:sz="4" w:space="0" w:color="auto"/>
              <w:left w:val="nil"/>
              <w:bottom w:val="single" w:sz="4" w:space="0" w:color="auto"/>
              <w:right w:val="double" w:sz="4" w:space="0" w:color="auto"/>
            </w:tcBorders>
            <w:shd w:val="clear" w:color="000000" w:fill="F2F2F2"/>
            <w:vAlign w:val="center"/>
            <w:hideMark/>
          </w:tcPr>
          <w:p w14:paraId="7714C79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$1.097</w:t>
            </w:r>
          </w:p>
        </w:tc>
        <w:tc>
          <w:tcPr>
            <w:tcW w:w="368" w:type="pct"/>
            <w:tcBorders>
              <w:top w:val="nil"/>
              <w:left w:val="double" w:sz="4" w:space="0" w:color="auto"/>
              <w:bottom w:val="single" w:sz="4" w:space="0" w:color="auto"/>
              <w:right w:val="single" w:sz="4" w:space="0" w:color="auto"/>
            </w:tcBorders>
            <w:shd w:val="clear" w:color="auto" w:fill="auto"/>
            <w:vAlign w:val="center"/>
            <w:hideMark/>
          </w:tcPr>
          <w:p w14:paraId="733A607E"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68" w:type="pct"/>
            <w:tcBorders>
              <w:top w:val="nil"/>
              <w:left w:val="nil"/>
              <w:bottom w:val="single" w:sz="4" w:space="0" w:color="auto"/>
              <w:right w:val="single" w:sz="4" w:space="0" w:color="auto"/>
            </w:tcBorders>
            <w:shd w:val="clear" w:color="auto" w:fill="auto"/>
            <w:vAlign w:val="center"/>
            <w:hideMark/>
          </w:tcPr>
          <w:p w14:paraId="2194C43A"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75" w:type="pct"/>
            <w:tcBorders>
              <w:top w:val="nil"/>
              <w:left w:val="nil"/>
              <w:bottom w:val="single" w:sz="4" w:space="0" w:color="auto"/>
              <w:right w:val="single" w:sz="4" w:space="0" w:color="auto"/>
            </w:tcBorders>
            <w:shd w:val="clear" w:color="auto" w:fill="auto"/>
            <w:vAlign w:val="center"/>
            <w:hideMark/>
          </w:tcPr>
          <w:p w14:paraId="6338A1AF"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70" w:type="pct"/>
            <w:tcBorders>
              <w:top w:val="nil"/>
              <w:left w:val="nil"/>
              <w:bottom w:val="single" w:sz="4" w:space="0" w:color="auto"/>
              <w:right w:val="single" w:sz="4" w:space="0" w:color="auto"/>
            </w:tcBorders>
            <w:shd w:val="clear" w:color="auto" w:fill="auto"/>
            <w:vAlign w:val="center"/>
            <w:hideMark/>
          </w:tcPr>
          <w:p w14:paraId="0E9FB4C2"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64" w:type="pct"/>
            <w:tcBorders>
              <w:top w:val="nil"/>
              <w:left w:val="nil"/>
              <w:bottom w:val="single" w:sz="4" w:space="0" w:color="auto"/>
              <w:right w:val="single" w:sz="4" w:space="0" w:color="auto"/>
            </w:tcBorders>
            <w:shd w:val="clear" w:color="auto" w:fill="auto"/>
            <w:vAlign w:val="center"/>
            <w:hideMark/>
          </w:tcPr>
          <w:p w14:paraId="1FE62575"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75" w:type="pct"/>
            <w:tcBorders>
              <w:top w:val="nil"/>
              <w:left w:val="nil"/>
              <w:bottom w:val="single" w:sz="4" w:space="0" w:color="auto"/>
              <w:right w:val="single" w:sz="4" w:space="0" w:color="auto"/>
            </w:tcBorders>
            <w:shd w:val="clear" w:color="auto" w:fill="auto"/>
            <w:vAlign w:val="center"/>
            <w:hideMark/>
          </w:tcPr>
          <w:p w14:paraId="5B37CF12"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$5.601</w:t>
            </w:r>
          </w:p>
        </w:tc>
        <w:tc>
          <w:tcPr>
            <w:tcW w:w="330" w:type="pct"/>
            <w:tcBorders>
              <w:top w:val="nil"/>
              <w:left w:val="nil"/>
              <w:bottom w:val="single" w:sz="4" w:space="0" w:color="auto"/>
              <w:right w:val="single" w:sz="4" w:space="0" w:color="auto"/>
            </w:tcBorders>
            <w:shd w:val="clear" w:color="auto" w:fill="auto"/>
            <w:vAlign w:val="center"/>
            <w:hideMark/>
          </w:tcPr>
          <w:p w14:paraId="070FD004"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$206</w:t>
            </w:r>
          </w:p>
        </w:tc>
        <w:tc>
          <w:tcPr>
            <w:tcW w:w="413" w:type="pct"/>
            <w:tcBorders>
              <w:top w:val="nil"/>
              <w:left w:val="nil"/>
              <w:bottom w:val="single" w:sz="4" w:space="0" w:color="auto"/>
              <w:right w:val="single" w:sz="4" w:space="0" w:color="auto"/>
            </w:tcBorders>
            <w:shd w:val="clear" w:color="auto" w:fill="auto"/>
            <w:vAlign w:val="center"/>
            <w:hideMark/>
          </w:tcPr>
          <w:p w14:paraId="04ABE134"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$465</w:t>
            </w:r>
          </w:p>
        </w:tc>
        <w:tc>
          <w:tcPr>
            <w:tcW w:w="369" w:type="pct"/>
            <w:tcBorders>
              <w:top w:val="nil"/>
              <w:left w:val="nil"/>
              <w:bottom w:val="single" w:sz="4" w:space="0" w:color="auto"/>
              <w:right w:val="single" w:sz="4" w:space="0" w:color="auto"/>
            </w:tcBorders>
            <w:shd w:val="clear" w:color="auto" w:fill="auto"/>
            <w:vAlign w:val="center"/>
            <w:hideMark/>
          </w:tcPr>
          <w:p w14:paraId="50EB40C3"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434" w:type="pct"/>
            <w:tcBorders>
              <w:top w:val="nil"/>
              <w:left w:val="nil"/>
              <w:bottom w:val="single" w:sz="4" w:space="0" w:color="auto"/>
              <w:right w:val="single" w:sz="4" w:space="0" w:color="auto"/>
            </w:tcBorders>
            <w:shd w:val="clear" w:color="auto" w:fill="auto"/>
            <w:vAlign w:val="center"/>
            <w:hideMark/>
          </w:tcPr>
          <w:p w14:paraId="6C204D82"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$6.273</w:t>
            </w:r>
          </w:p>
        </w:tc>
      </w:tr>
      <w:tr w:rsidR="001A38D5" w:rsidRPr="001A38D5" w14:paraId="1144CDFB" w14:textId="77777777" w:rsidTr="00ED1623">
        <w:trPr>
          <w:trHeight w:val="300"/>
          <w:jc w:val="center"/>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7517631B"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2017</w:t>
            </w:r>
          </w:p>
        </w:tc>
        <w:tc>
          <w:tcPr>
            <w:tcW w:w="368" w:type="pct"/>
            <w:tcBorders>
              <w:top w:val="nil"/>
              <w:left w:val="nil"/>
              <w:bottom w:val="single" w:sz="4" w:space="0" w:color="auto"/>
              <w:right w:val="single" w:sz="4" w:space="0" w:color="auto"/>
            </w:tcBorders>
            <w:shd w:val="clear" w:color="000000" w:fill="F2F2F2"/>
            <w:vAlign w:val="center"/>
            <w:hideMark/>
          </w:tcPr>
          <w:p w14:paraId="1D420AE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$121</w:t>
            </w:r>
          </w:p>
        </w:tc>
        <w:tc>
          <w:tcPr>
            <w:tcW w:w="344" w:type="pct"/>
            <w:tcBorders>
              <w:top w:val="nil"/>
              <w:left w:val="nil"/>
              <w:bottom w:val="single" w:sz="4" w:space="0" w:color="auto"/>
              <w:right w:val="single" w:sz="4" w:space="0" w:color="auto"/>
            </w:tcBorders>
            <w:shd w:val="clear" w:color="000000" w:fill="F2F2F2"/>
            <w:vAlign w:val="center"/>
            <w:hideMark/>
          </w:tcPr>
          <w:p w14:paraId="09A82E3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$911</w:t>
            </w:r>
          </w:p>
        </w:tc>
        <w:tc>
          <w:tcPr>
            <w:tcW w:w="293" w:type="pct"/>
            <w:tcBorders>
              <w:top w:val="single" w:sz="4" w:space="0" w:color="auto"/>
              <w:left w:val="nil"/>
              <w:bottom w:val="single" w:sz="4" w:space="0" w:color="auto"/>
              <w:right w:val="double" w:sz="4" w:space="0" w:color="auto"/>
            </w:tcBorders>
            <w:shd w:val="clear" w:color="000000" w:fill="F2F2F2"/>
            <w:vAlign w:val="center"/>
            <w:hideMark/>
          </w:tcPr>
          <w:p w14:paraId="14008FC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$1.032</w:t>
            </w:r>
          </w:p>
        </w:tc>
        <w:tc>
          <w:tcPr>
            <w:tcW w:w="368" w:type="pct"/>
            <w:tcBorders>
              <w:top w:val="nil"/>
              <w:left w:val="double" w:sz="4" w:space="0" w:color="auto"/>
              <w:bottom w:val="single" w:sz="4" w:space="0" w:color="auto"/>
              <w:right w:val="single" w:sz="4" w:space="0" w:color="auto"/>
            </w:tcBorders>
            <w:shd w:val="clear" w:color="auto" w:fill="auto"/>
            <w:vAlign w:val="center"/>
            <w:hideMark/>
          </w:tcPr>
          <w:p w14:paraId="749787F2"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$1.011</w:t>
            </w:r>
          </w:p>
        </w:tc>
        <w:tc>
          <w:tcPr>
            <w:tcW w:w="368" w:type="pct"/>
            <w:tcBorders>
              <w:top w:val="nil"/>
              <w:left w:val="nil"/>
              <w:bottom w:val="single" w:sz="4" w:space="0" w:color="auto"/>
              <w:right w:val="single" w:sz="4" w:space="0" w:color="auto"/>
            </w:tcBorders>
            <w:shd w:val="clear" w:color="auto" w:fill="auto"/>
            <w:vAlign w:val="center"/>
            <w:hideMark/>
          </w:tcPr>
          <w:p w14:paraId="74474EE4"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$957</w:t>
            </w:r>
          </w:p>
        </w:tc>
        <w:tc>
          <w:tcPr>
            <w:tcW w:w="375" w:type="pct"/>
            <w:tcBorders>
              <w:top w:val="nil"/>
              <w:left w:val="nil"/>
              <w:bottom w:val="single" w:sz="4" w:space="0" w:color="auto"/>
              <w:right w:val="single" w:sz="4" w:space="0" w:color="auto"/>
            </w:tcBorders>
            <w:shd w:val="clear" w:color="auto" w:fill="auto"/>
            <w:vAlign w:val="center"/>
            <w:hideMark/>
          </w:tcPr>
          <w:p w14:paraId="6EAA63F5"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$1.565</w:t>
            </w:r>
          </w:p>
        </w:tc>
        <w:tc>
          <w:tcPr>
            <w:tcW w:w="370" w:type="pct"/>
            <w:tcBorders>
              <w:top w:val="nil"/>
              <w:left w:val="nil"/>
              <w:bottom w:val="single" w:sz="4" w:space="0" w:color="auto"/>
              <w:right w:val="single" w:sz="4" w:space="0" w:color="auto"/>
            </w:tcBorders>
            <w:shd w:val="clear" w:color="auto" w:fill="auto"/>
            <w:vAlign w:val="center"/>
            <w:hideMark/>
          </w:tcPr>
          <w:p w14:paraId="19C993D6"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64" w:type="pct"/>
            <w:tcBorders>
              <w:top w:val="nil"/>
              <w:left w:val="nil"/>
              <w:bottom w:val="single" w:sz="4" w:space="0" w:color="auto"/>
              <w:right w:val="single" w:sz="4" w:space="0" w:color="auto"/>
            </w:tcBorders>
            <w:shd w:val="clear" w:color="auto" w:fill="auto"/>
            <w:vAlign w:val="center"/>
            <w:hideMark/>
          </w:tcPr>
          <w:p w14:paraId="65392685"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75" w:type="pct"/>
            <w:tcBorders>
              <w:top w:val="nil"/>
              <w:left w:val="nil"/>
              <w:bottom w:val="single" w:sz="4" w:space="0" w:color="auto"/>
              <w:right w:val="single" w:sz="4" w:space="0" w:color="auto"/>
            </w:tcBorders>
            <w:shd w:val="clear" w:color="auto" w:fill="auto"/>
            <w:vAlign w:val="center"/>
            <w:hideMark/>
          </w:tcPr>
          <w:p w14:paraId="5C87BBD8"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30" w:type="pct"/>
            <w:tcBorders>
              <w:top w:val="nil"/>
              <w:left w:val="nil"/>
              <w:bottom w:val="single" w:sz="4" w:space="0" w:color="auto"/>
              <w:right w:val="single" w:sz="4" w:space="0" w:color="auto"/>
            </w:tcBorders>
            <w:shd w:val="clear" w:color="auto" w:fill="auto"/>
            <w:vAlign w:val="center"/>
            <w:hideMark/>
          </w:tcPr>
          <w:p w14:paraId="5E3E2D27"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$3.086</w:t>
            </w:r>
          </w:p>
        </w:tc>
        <w:tc>
          <w:tcPr>
            <w:tcW w:w="413" w:type="pct"/>
            <w:tcBorders>
              <w:top w:val="nil"/>
              <w:left w:val="nil"/>
              <w:bottom w:val="single" w:sz="4" w:space="0" w:color="auto"/>
              <w:right w:val="single" w:sz="4" w:space="0" w:color="auto"/>
            </w:tcBorders>
            <w:shd w:val="clear" w:color="auto" w:fill="auto"/>
            <w:vAlign w:val="center"/>
            <w:hideMark/>
          </w:tcPr>
          <w:p w14:paraId="12570949"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69" w:type="pct"/>
            <w:tcBorders>
              <w:top w:val="nil"/>
              <w:left w:val="nil"/>
              <w:bottom w:val="single" w:sz="4" w:space="0" w:color="auto"/>
              <w:right w:val="single" w:sz="4" w:space="0" w:color="auto"/>
            </w:tcBorders>
            <w:shd w:val="clear" w:color="auto" w:fill="auto"/>
            <w:vAlign w:val="center"/>
            <w:hideMark/>
          </w:tcPr>
          <w:p w14:paraId="300C0060"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434" w:type="pct"/>
            <w:tcBorders>
              <w:top w:val="nil"/>
              <w:left w:val="nil"/>
              <w:bottom w:val="single" w:sz="4" w:space="0" w:color="auto"/>
              <w:right w:val="single" w:sz="4" w:space="0" w:color="auto"/>
            </w:tcBorders>
            <w:shd w:val="clear" w:color="auto" w:fill="auto"/>
            <w:vAlign w:val="center"/>
            <w:hideMark/>
          </w:tcPr>
          <w:p w14:paraId="577727F5"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$6.620</w:t>
            </w:r>
          </w:p>
        </w:tc>
      </w:tr>
      <w:tr w:rsidR="001A38D5" w:rsidRPr="001A38D5" w14:paraId="293288CE" w14:textId="77777777" w:rsidTr="00ED1623">
        <w:trPr>
          <w:trHeight w:val="300"/>
          <w:jc w:val="center"/>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79EBFD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2018</w:t>
            </w:r>
          </w:p>
        </w:tc>
        <w:tc>
          <w:tcPr>
            <w:tcW w:w="368" w:type="pct"/>
            <w:tcBorders>
              <w:top w:val="nil"/>
              <w:left w:val="nil"/>
              <w:bottom w:val="single" w:sz="4" w:space="0" w:color="auto"/>
              <w:right w:val="single" w:sz="4" w:space="0" w:color="auto"/>
            </w:tcBorders>
            <w:shd w:val="clear" w:color="000000" w:fill="F2F2F2"/>
            <w:vAlign w:val="center"/>
            <w:hideMark/>
          </w:tcPr>
          <w:p w14:paraId="40329B0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$64</w:t>
            </w:r>
          </w:p>
        </w:tc>
        <w:tc>
          <w:tcPr>
            <w:tcW w:w="344" w:type="pct"/>
            <w:tcBorders>
              <w:top w:val="nil"/>
              <w:left w:val="nil"/>
              <w:bottom w:val="single" w:sz="4" w:space="0" w:color="auto"/>
              <w:right w:val="single" w:sz="4" w:space="0" w:color="auto"/>
            </w:tcBorders>
            <w:shd w:val="clear" w:color="000000" w:fill="F2F2F2"/>
            <w:vAlign w:val="center"/>
            <w:hideMark/>
          </w:tcPr>
          <w:p w14:paraId="707177E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$1.024</w:t>
            </w:r>
          </w:p>
        </w:tc>
        <w:tc>
          <w:tcPr>
            <w:tcW w:w="293" w:type="pct"/>
            <w:tcBorders>
              <w:top w:val="single" w:sz="4" w:space="0" w:color="auto"/>
              <w:left w:val="nil"/>
              <w:bottom w:val="single" w:sz="4" w:space="0" w:color="auto"/>
              <w:right w:val="double" w:sz="4" w:space="0" w:color="auto"/>
            </w:tcBorders>
            <w:shd w:val="clear" w:color="000000" w:fill="F2F2F2"/>
            <w:vAlign w:val="center"/>
            <w:hideMark/>
          </w:tcPr>
          <w:p w14:paraId="4C11295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$1.088</w:t>
            </w:r>
          </w:p>
        </w:tc>
        <w:tc>
          <w:tcPr>
            <w:tcW w:w="368" w:type="pct"/>
            <w:tcBorders>
              <w:top w:val="nil"/>
              <w:left w:val="double" w:sz="4" w:space="0" w:color="auto"/>
              <w:bottom w:val="single" w:sz="4" w:space="0" w:color="auto"/>
              <w:right w:val="single" w:sz="4" w:space="0" w:color="auto"/>
            </w:tcBorders>
            <w:shd w:val="clear" w:color="auto" w:fill="auto"/>
            <w:vAlign w:val="center"/>
            <w:hideMark/>
          </w:tcPr>
          <w:p w14:paraId="496BBB68"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$793</w:t>
            </w:r>
          </w:p>
        </w:tc>
        <w:tc>
          <w:tcPr>
            <w:tcW w:w="368" w:type="pct"/>
            <w:tcBorders>
              <w:top w:val="nil"/>
              <w:left w:val="nil"/>
              <w:bottom w:val="single" w:sz="4" w:space="0" w:color="auto"/>
              <w:right w:val="single" w:sz="4" w:space="0" w:color="auto"/>
            </w:tcBorders>
            <w:shd w:val="clear" w:color="auto" w:fill="auto"/>
            <w:vAlign w:val="center"/>
            <w:hideMark/>
          </w:tcPr>
          <w:p w14:paraId="45016597"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75" w:type="pct"/>
            <w:tcBorders>
              <w:top w:val="nil"/>
              <w:left w:val="nil"/>
              <w:bottom w:val="single" w:sz="4" w:space="0" w:color="auto"/>
              <w:right w:val="single" w:sz="4" w:space="0" w:color="auto"/>
            </w:tcBorders>
            <w:shd w:val="clear" w:color="auto" w:fill="auto"/>
            <w:vAlign w:val="center"/>
            <w:hideMark/>
          </w:tcPr>
          <w:p w14:paraId="61A31F68"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$1.654</w:t>
            </w:r>
          </w:p>
        </w:tc>
        <w:tc>
          <w:tcPr>
            <w:tcW w:w="370" w:type="pct"/>
            <w:tcBorders>
              <w:top w:val="nil"/>
              <w:left w:val="nil"/>
              <w:bottom w:val="single" w:sz="4" w:space="0" w:color="auto"/>
              <w:right w:val="single" w:sz="4" w:space="0" w:color="auto"/>
            </w:tcBorders>
            <w:shd w:val="clear" w:color="auto" w:fill="auto"/>
            <w:vAlign w:val="center"/>
            <w:hideMark/>
          </w:tcPr>
          <w:p w14:paraId="49F8B28C"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64" w:type="pct"/>
            <w:tcBorders>
              <w:top w:val="nil"/>
              <w:left w:val="nil"/>
              <w:bottom w:val="single" w:sz="4" w:space="0" w:color="auto"/>
              <w:right w:val="single" w:sz="4" w:space="0" w:color="auto"/>
            </w:tcBorders>
            <w:shd w:val="clear" w:color="auto" w:fill="auto"/>
            <w:vAlign w:val="center"/>
            <w:hideMark/>
          </w:tcPr>
          <w:p w14:paraId="64E66F90"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75" w:type="pct"/>
            <w:tcBorders>
              <w:top w:val="nil"/>
              <w:left w:val="nil"/>
              <w:bottom w:val="single" w:sz="4" w:space="0" w:color="auto"/>
              <w:right w:val="single" w:sz="4" w:space="0" w:color="auto"/>
            </w:tcBorders>
            <w:shd w:val="clear" w:color="auto" w:fill="auto"/>
            <w:vAlign w:val="center"/>
            <w:hideMark/>
          </w:tcPr>
          <w:p w14:paraId="7752C4D2"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$4.757</w:t>
            </w:r>
          </w:p>
        </w:tc>
        <w:tc>
          <w:tcPr>
            <w:tcW w:w="330" w:type="pct"/>
            <w:tcBorders>
              <w:top w:val="nil"/>
              <w:left w:val="nil"/>
              <w:bottom w:val="single" w:sz="4" w:space="0" w:color="auto"/>
              <w:right w:val="single" w:sz="4" w:space="0" w:color="auto"/>
            </w:tcBorders>
            <w:shd w:val="clear" w:color="auto" w:fill="auto"/>
            <w:vAlign w:val="center"/>
            <w:hideMark/>
          </w:tcPr>
          <w:p w14:paraId="3D55A081"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413" w:type="pct"/>
            <w:tcBorders>
              <w:top w:val="nil"/>
              <w:left w:val="nil"/>
              <w:bottom w:val="single" w:sz="4" w:space="0" w:color="auto"/>
              <w:right w:val="single" w:sz="4" w:space="0" w:color="auto"/>
            </w:tcBorders>
            <w:shd w:val="clear" w:color="auto" w:fill="auto"/>
            <w:vAlign w:val="center"/>
            <w:hideMark/>
          </w:tcPr>
          <w:p w14:paraId="18FB4437"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69" w:type="pct"/>
            <w:tcBorders>
              <w:top w:val="nil"/>
              <w:left w:val="nil"/>
              <w:bottom w:val="single" w:sz="4" w:space="0" w:color="auto"/>
              <w:right w:val="single" w:sz="4" w:space="0" w:color="auto"/>
            </w:tcBorders>
            <w:shd w:val="clear" w:color="auto" w:fill="auto"/>
            <w:vAlign w:val="center"/>
            <w:hideMark/>
          </w:tcPr>
          <w:p w14:paraId="7A74B32A"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434" w:type="pct"/>
            <w:tcBorders>
              <w:top w:val="nil"/>
              <w:left w:val="nil"/>
              <w:bottom w:val="single" w:sz="4" w:space="0" w:color="auto"/>
              <w:right w:val="single" w:sz="4" w:space="0" w:color="auto"/>
            </w:tcBorders>
            <w:shd w:val="clear" w:color="auto" w:fill="auto"/>
            <w:vAlign w:val="center"/>
            <w:hideMark/>
          </w:tcPr>
          <w:p w14:paraId="6A0A5382"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$7.204</w:t>
            </w:r>
          </w:p>
        </w:tc>
      </w:tr>
      <w:tr w:rsidR="001A38D5" w:rsidRPr="001A38D5" w14:paraId="521F8E2D" w14:textId="77777777" w:rsidTr="00ED1623">
        <w:trPr>
          <w:trHeight w:val="300"/>
          <w:jc w:val="center"/>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2B713DE"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2019</w:t>
            </w:r>
          </w:p>
        </w:tc>
        <w:tc>
          <w:tcPr>
            <w:tcW w:w="368" w:type="pct"/>
            <w:tcBorders>
              <w:top w:val="nil"/>
              <w:left w:val="nil"/>
              <w:bottom w:val="single" w:sz="4" w:space="0" w:color="auto"/>
              <w:right w:val="single" w:sz="4" w:space="0" w:color="auto"/>
            </w:tcBorders>
            <w:shd w:val="clear" w:color="000000" w:fill="F2F2F2"/>
            <w:vAlign w:val="center"/>
            <w:hideMark/>
          </w:tcPr>
          <w:p w14:paraId="1481D4A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$93</w:t>
            </w:r>
          </w:p>
        </w:tc>
        <w:tc>
          <w:tcPr>
            <w:tcW w:w="344" w:type="pct"/>
            <w:tcBorders>
              <w:top w:val="nil"/>
              <w:left w:val="nil"/>
              <w:bottom w:val="single" w:sz="4" w:space="0" w:color="auto"/>
              <w:right w:val="single" w:sz="4" w:space="0" w:color="auto"/>
            </w:tcBorders>
            <w:shd w:val="clear" w:color="000000" w:fill="F2F2F2"/>
            <w:vAlign w:val="center"/>
            <w:hideMark/>
          </w:tcPr>
          <w:p w14:paraId="53C7326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$1.110</w:t>
            </w:r>
          </w:p>
        </w:tc>
        <w:tc>
          <w:tcPr>
            <w:tcW w:w="293" w:type="pct"/>
            <w:tcBorders>
              <w:top w:val="single" w:sz="4" w:space="0" w:color="auto"/>
              <w:left w:val="nil"/>
              <w:bottom w:val="single" w:sz="4" w:space="0" w:color="auto"/>
              <w:right w:val="double" w:sz="4" w:space="0" w:color="auto"/>
            </w:tcBorders>
            <w:shd w:val="clear" w:color="000000" w:fill="F2F2F2"/>
            <w:vAlign w:val="center"/>
            <w:hideMark/>
          </w:tcPr>
          <w:p w14:paraId="1BE5744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$1.203</w:t>
            </w:r>
          </w:p>
        </w:tc>
        <w:tc>
          <w:tcPr>
            <w:tcW w:w="368" w:type="pct"/>
            <w:tcBorders>
              <w:top w:val="nil"/>
              <w:left w:val="double" w:sz="4" w:space="0" w:color="auto"/>
              <w:bottom w:val="single" w:sz="4" w:space="0" w:color="auto"/>
              <w:right w:val="single" w:sz="4" w:space="0" w:color="auto"/>
            </w:tcBorders>
            <w:shd w:val="clear" w:color="auto" w:fill="auto"/>
            <w:vAlign w:val="center"/>
            <w:hideMark/>
          </w:tcPr>
          <w:p w14:paraId="4CABBAD6"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$952</w:t>
            </w:r>
          </w:p>
        </w:tc>
        <w:tc>
          <w:tcPr>
            <w:tcW w:w="368" w:type="pct"/>
            <w:tcBorders>
              <w:top w:val="nil"/>
              <w:left w:val="nil"/>
              <w:bottom w:val="single" w:sz="4" w:space="0" w:color="auto"/>
              <w:right w:val="single" w:sz="4" w:space="0" w:color="auto"/>
            </w:tcBorders>
            <w:shd w:val="clear" w:color="auto" w:fill="auto"/>
            <w:vAlign w:val="center"/>
            <w:hideMark/>
          </w:tcPr>
          <w:p w14:paraId="732B9029"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$372</w:t>
            </w:r>
          </w:p>
        </w:tc>
        <w:tc>
          <w:tcPr>
            <w:tcW w:w="375" w:type="pct"/>
            <w:tcBorders>
              <w:top w:val="nil"/>
              <w:left w:val="nil"/>
              <w:bottom w:val="single" w:sz="4" w:space="0" w:color="auto"/>
              <w:right w:val="single" w:sz="4" w:space="0" w:color="auto"/>
            </w:tcBorders>
            <w:shd w:val="clear" w:color="auto" w:fill="auto"/>
            <w:vAlign w:val="center"/>
            <w:hideMark/>
          </w:tcPr>
          <w:p w14:paraId="69466EBA"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$9.024</w:t>
            </w:r>
          </w:p>
        </w:tc>
        <w:tc>
          <w:tcPr>
            <w:tcW w:w="370" w:type="pct"/>
            <w:tcBorders>
              <w:top w:val="nil"/>
              <w:left w:val="nil"/>
              <w:bottom w:val="single" w:sz="4" w:space="0" w:color="auto"/>
              <w:right w:val="single" w:sz="4" w:space="0" w:color="auto"/>
            </w:tcBorders>
            <w:shd w:val="clear" w:color="auto" w:fill="auto"/>
            <w:vAlign w:val="center"/>
            <w:hideMark/>
          </w:tcPr>
          <w:p w14:paraId="4E12BCE5"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64" w:type="pct"/>
            <w:tcBorders>
              <w:top w:val="nil"/>
              <w:left w:val="nil"/>
              <w:bottom w:val="single" w:sz="4" w:space="0" w:color="auto"/>
              <w:right w:val="single" w:sz="4" w:space="0" w:color="auto"/>
            </w:tcBorders>
            <w:shd w:val="clear" w:color="auto" w:fill="auto"/>
            <w:vAlign w:val="center"/>
            <w:hideMark/>
          </w:tcPr>
          <w:p w14:paraId="3FE5898A"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75" w:type="pct"/>
            <w:tcBorders>
              <w:top w:val="nil"/>
              <w:left w:val="nil"/>
              <w:bottom w:val="single" w:sz="4" w:space="0" w:color="auto"/>
              <w:right w:val="single" w:sz="4" w:space="0" w:color="auto"/>
            </w:tcBorders>
            <w:shd w:val="clear" w:color="auto" w:fill="auto"/>
            <w:vAlign w:val="center"/>
            <w:hideMark/>
          </w:tcPr>
          <w:p w14:paraId="63DA3FA2"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30" w:type="pct"/>
            <w:tcBorders>
              <w:top w:val="nil"/>
              <w:left w:val="nil"/>
              <w:bottom w:val="single" w:sz="4" w:space="0" w:color="auto"/>
              <w:right w:val="single" w:sz="4" w:space="0" w:color="auto"/>
            </w:tcBorders>
            <w:shd w:val="clear" w:color="auto" w:fill="auto"/>
            <w:vAlign w:val="center"/>
            <w:hideMark/>
          </w:tcPr>
          <w:p w14:paraId="46C81526"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$1.374</w:t>
            </w:r>
          </w:p>
        </w:tc>
        <w:tc>
          <w:tcPr>
            <w:tcW w:w="413" w:type="pct"/>
            <w:tcBorders>
              <w:top w:val="nil"/>
              <w:left w:val="nil"/>
              <w:bottom w:val="single" w:sz="4" w:space="0" w:color="auto"/>
              <w:right w:val="single" w:sz="4" w:space="0" w:color="auto"/>
            </w:tcBorders>
            <w:shd w:val="clear" w:color="auto" w:fill="auto"/>
            <w:vAlign w:val="center"/>
            <w:hideMark/>
          </w:tcPr>
          <w:p w14:paraId="04E030D8"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69" w:type="pct"/>
            <w:tcBorders>
              <w:top w:val="nil"/>
              <w:left w:val="nil"/>
              <w:bottom w:val="single" w:sz="4" w:space="0" w:color="auto"/>
              <w:right w:val="single" w:sz="4" w:space="0" w:color="auto"/>
            </w:tcBorders>
            <w:shd w:val="clear" w:color="auto" w:fill="auto"/>
            <w:vAlign w:val="center"/>
            <w:hideMark/>
          </w:tcPr>
          <w:p w14:paraId="27BE805F"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434" w:type="pct"/>
            <w:tcBorders>
              <w:top w:val="nil"/>
              <w:left w:val="nil"/>
              <w:bottom w:val="single" w:sz="4" w:space="0" w:color="auto"/>
              <w:right w:val="single" w:sz="4" w:space="0" w:color="auto"/>
            </w:tcBorders>
            <w:shd w:val="clear" w:color="auto" w:fill="auto"/>
            <w:vAlign w:val="center"/>
            <w:hideMark/>
          </w:tcPr>
          <w:p w14:paraId="524F954D"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$11.721</w:t>
            </w:r>
          </w:p>
        </w:tc>
      </w:tr>
      <w:tr w:rsidR="001A38D5" w:rsidRPr="001A38D5" w14:paraId="321426E1" w14:textId="77777777" w:rsidTr="00ED1623">
        <w:trPr>
          <w:trHeight w:val="300"/>
          <w:jc w:val="center"/>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F9E4112"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2020</w:t>
            </w:r>
          </w:p>
        </w:tc>
        <w:tc>
          <w:tcPr>
            <w:tcW w:w="368" w:type="pct"/>
            <w:tcBorders>
              <w:top w:val="nil"/>
              <w:left w:val="nil"/>
              <w:bottom w:val="single" w:sz="4" w:space="0" w:color="auto"/>
              <w:right w:val="single" w:sz="4" w:space="0" w:color="auto"/>
            </w:tcBorders>
            <w:shd w:val="clear" w:color="000000" w:fill="F2F2F2"/>
            <w:vAlign w:val="center"/>
            <w:hideMark/>
          </w:tcPr>
          <w:p w14:paraId="1533188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$86</w:t>
            </w:r>
          </w:p>
        </w:tc>
        <w:tc>
          <w:tcPr>
            <w:tcW w:w="344" w:type="pct"/>
            <w:tcBorders>
              <w:top w:val="nil"/>
              <w:left w:val="nil"/>
              <w:bottom w:val="single" w:sz="4" w:space="0" w:color="auto"/>
              <w:right w:val="single" w:sz="4" w:space="0" w:color="auto"/>
            </w:tcBorders>
            <w:shd w:val="clear" w:color="000000" w:fill="F2F2F2"/>
            <w:vAlign w:val="center"/>
            <w:hideMark/>
          </w:tcPr>
          <w:p w14:paraId="64407D0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$1.167</w:t>
            </w:r>
          </w:p>
        </w:tc>
        <w:tc>
          <w:tcPr>
            <w:tcW w:w="293" w:type="pct"/>
            <w:tcBorders>
              <w:top w:val="single" w:sz="4" w:space="0" w:color="auto"/>
              <w:left w:val="nil"/>
              <w:bottom w:val="single" w:sz="4" w:space="0" w:color="auto"/>
              <w:right w:val="double" w:sz="4" w:space="0" w:color="auto"/>
            </w:tcBorders>
            <w:shd w:val="clear" w:color="000000" w:fill="F2F2F2"/>
            <w:vAlign w:val="center"/>
            <w:hideMark/>
          </w:tcPr>
          <w:p w14:paraId="190895A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$1.253</w:t>
            </w:r>
          </w:p>
        </w:tc>
        <w:tc>
          <w:tcPr>
            <w:tcW w:w="368" w:type="pct"/>
            <w:tcBorders>
              <w:top w:val="nil"/>
              <w:left w:val="double" w:sz="4" w:space="0" w:color="auto"/>
              <w:bottom w:val="single" w:sz="4" w:space="0" w:color="auto"/>
              <w:right w:val="single" w:sz="4" w:space="0" w:color="auto"/>
            </w:tcBorders>
            <w:shd w:val="clear" w:color="auto" w:fill="auto"/>
            <w:vAlign w:val="center"/>
            <w:hideMark/>
          </w:tcPr>
          <w:p w14:paraId="796154DE"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$1.167</w:t>
            </w:r>
          </w:p>
        </w:tc>
        <w:tc>
          <w:tcPr>
            <w:tcW w:w="368" w:type="pct"/>
            <w:tcBorders>
              <w:top w:val="nil"/>
              <w:left w:val="nil"/>
              <w:bottom w:val="single" w:sz="4" w:space="0" w:color="auto"/>
              <w:right w:val="single" w:sz="4" w:space="0" w:color="auto"/>
            </w:tcBorders>
            <w:shd w:val="clear" w:color="auto" w:fill="auto"/>
            <w:vAlign w:val="center"/>
            <w:hideMark/>
          </w:tcPr>
          <w:p w14:paraId="2601D3DE"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$449</w:t>
            </w:r>
          </w:p>
        </w:tc>
        <w:tc>
          <w:tcPr>
            <w:tcW w:w="375" w:type="pct"/>
            <w:tcBorders>
              <w:top w:val="nil"/>
              <w:left w:val="nil"/>
              <w:bottom w:val="single" w:sz="4" w:space="0" w:color="auto"/>
              <w:right w:val="single" w:sz="4" w:space="0" w:color="auto"/>
            </w:tcBorders>
            <w:shd w:val="clear" w:color="auto" w:fill="auto"/>
            <w:vAlign w:val="center"/>
            <w:hideMark/>
          </w:tcPr>
          <w:p w14:paraId="2F29B202"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$6.885</w:t>
            </w:r>
          </w:p>
        </w:tc>
        <w:tc>
          <w:tcPr>
            <w:tcW w:w="370" w:type="pct"/>
            <w:tcBorders>
              <w:top w:val="nil"/>
              <w:left w:val="nil"/>
              <w:bottom w:val="single" w:sz="4" w:space="0" w:color="auto"/>
              <w:right w:val="single" w:sz="4" w:space="0" w:color="auto"/>
            </w:tcBorders>
            <w:shd w:val="clear" w:color="auto" w:fill="auto"/>
            <w:vAlign w:val="center"/>
            <w:hideMark/>
          </w:tcPr>
          <w:p w14:paraId="6D9EBFB4"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$2.082</w:t>
            </w:r>
          </w:p>
        </w:tc>
        <w:tc>
          <w:tcPr>
            <w:tcW w:w="364" w:type="pct"/>
            <w:tcBorders>
              <w:top w:val="nil"/>
              <w:left w:val="nil"/>
              <w:bottom w:val="single" w:sz="4" w:space="0" w:color="auto"/>
              <w:right w:val="single" w:sz="4" w:space="0" w:color="auto"/>
            </w:tcBorders>
            <w:shd w:val="clear" w:color="auto" w:fill="auto"/>
            <w:vAlign w:val="center"/>
            <w:hideMark/>
          </w:tcPr>
          <w:p w14:paraId="7E2D5971"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$1.376</w:t>
            </w:r>
          </w:p>
        </w:tc>
        <w:tc>
          <w:tcPr>
            <w:tcW w:w="375" w:type="pct"/>
            <w:tcBorders>
              <w:top w:val="nil"/>
              <w:left w:val="nil"/>
              <w:bottom w:val="single" w:sz="4" w:space="0" w:color="auto"/>
              <w:right w:val="single" w:sz="4" w:space="0" w:color="auto"/>
            </w:tcBorders>
            <w:shd w:val="clear" w:color="auto" w:fill="auto"/>
            <w:vAlign w:val="center"/>
            <w:hideMark/>
          </w:tcPr>
          <w:p w14:paraId="2CCD4A66"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30" w:type="pct"/>
            <w:tcBorders>
              <w:top w:val="nil"/>
              <w:left w:val="nil"/>
              <w:bottom w:val="single" w:sz="4" w:space="0" w:color="auto"/>
              <w:right w:val="single" w:sz="4" w:space="0" w:color="auto"/>
            </w:tcBorders>
            <w:shd w:val="clear" w:color="auto" w:fill="auto"/>
            <w:vAlign w:val="center"/>
            <w:hideMark/>
          </w:tcPr>
          <w:p w14:paraId="5AABF8C1"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$711</w:t>
            </w:r>
          </w:p>
        </w:tc>
        <w:tc>
          <w:tcPr>
            <w:tcW w:w="413" w:type="pct"/>
            <w:tcBorders>
              <w:top w:val="nil"/>
              <w:left w:val="nil"/>
              <w:bottom w:val="single" w:sz="4" w:space="0" w:color="auto"/>
              <w:right w:val="single" w:sz="4" w:space="0" w:color="auto"/>
            </w:tcBorders>
            <w:shd w:val="clear" w:color="auto" w:fill="auto"/>
            <w:vAlign w:val="center"/>
            <w:hideMark/>
          </w:tcPr>
          <w:p w14:paraId="1272EBD1"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69" w:type="pct"/>
            <w:tcBorders>
              <w:top w:val="nil"/>
              <w:left w:val="nil"/>
              <w:bottom w:val="single" w:sz="4" w:space="0" w:color="auto"/>
              <w:right w:val="single" w:sz="4" w:space="0" w:color="auto"/>
            </w:tcBorders>
            <w:shd w:val="clear" w:color="auto" w:fill="auto"/>
            <w:vAlign w:val="center"/>
            <w:hideMark/>
          </w:tcPr>
          <w:p w14:paraId="5DCD7363"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434" w:type="pct"/>
            <w:tcBorders>
              <w:top w:val="nil"/>
              <w:left w:val="nil"/>
              <w:bottom w:val="single" w:sz="4" w:space="0" w:color="auto"/>
              <w:right w:val="single" w:sz="4" w:space="0" w:color="auto"/>
            </w:tcBorders>
            <w:shd w:val="clear" w:color="auto" w:fill="auto"/>
            <w:vAlign w:val="center"/>
            <w:hideMark/>
          </w:tcPr>
          <w:p w14:paraId="2DD07B3A"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$12.671</w:t>
            </w:r>
          </w:p>
        </w:tc>
      </w:tr>
      <w:tr w:rsidR="001A38D5" w:rsidRPr="001A38D5" w14:paraId="2907651A" w14:textId="77777777" w:rsidTr="00ED1623">
        <w:trPr>
          <w:trHeight w:val="300"/>
          <w:jc w:val="center"/>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4A24522A"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2021</w:t>
            </w:r>
          </w:p>
        </w:tc>
        <w:tc>
          <w:tcPr>
            <w:tcW w:w="368" w:type="pct"/>
            <w:tcBorders>
              <w:top w:val="nil"/>
              <w:left w:val="nil"/>
              <w:bottom w:val="single" w:sz="4" w:space="0" w:color="auto"/>
              <w:right w:val="single" w:sz="4" w:space="0" w:color="auto"/>
            </w:tcBorders>
            <w:shd w:val="clear" w:color="000000" w:fill="F2F2F2"/>
            <w:vAlign w:val="center"/>
            <w:hideMark/>
          </w:tcPr>
          <w:p w14:paraId="6E70F99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$140</w:t>
            </w:r>
          </w:p>
        </w:tc>
        <w:tc>
          <w:tcPr>
            <w:tcW w:w="344" w:type="pct"/>
            <w:tcBorders>
              <w:top w:val="nil"/>
              <w:left w:val="nil"/>
              <w:bottom w:val="single" w:sz="4" w:space="0" w:color="auto"/>
              <w:right w:val="single" w:sz="4" w:space="0" w:color="auto"/>
            </w:tcBorders>
            <w:shd w:val="clear" w:color="000000" w:fill="F2F2F2"/>
            <w:vAlign w:val="center"/>
            <w:hideMark/>
          </w:tcPr>
          <w:p w14:paraId="7F23D1A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$1.062</w:t>
            </w:r>
          </w:p>
        </w:tc>
        <w:tc>
          <w:tcPr>
            <w:tcW w:w="293" w:type="pct"/>
            <w:tcBorders>
              <w:top w:val="single" w:sz="4" w:space="0" w:color="auto"/>
              <w:left w:val="nil"/>
              <w:bottom w:val="single" w:sz="4" w:space="0" w:color="auto"/>
              <w:right w:val="double" w:sz="4" w:space="0" w:color="auto"/>
            </w:tcBorders>
            <w:shd w:val="clear" w:color="000000" w:fill="F2F2F2"/>
            <w:vAlign w:val="center"/>
            <w:hideMark/>
          </w:tcPr>
          <w:p w14:paraId="1C2EA55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$1.202</w:t>
            </w:r>
          </w:p>
        </w:tc>
        <w:tc>
          <w:tcPr>
            <w:tcW w:w="368" w:type="pct"/>
            <w:tcBorders>
              <w:top w:val="nil"/>
              <w:left w:val="double" w:sz="4" w:space="0" w:color="auto"/>
              <w:bottom w:val="single" w:sz="4" w:space="0" w:color="auto"/>
              <w:right w:val="single" w:sz="4" w:space="0" w:color="auto"/>
            </w:tcBorders>
            <w:shd w:val="clear" w:color="auto" w:fill="auto"/>
            <w:vAlign w:val="center"/>
            <w:hideMark/>
          </w:tcPr>
          <w:p w14:paraId="448A0B4B"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$1.202</w:t>
            </w:r>
          </w:p>
        </w:tc>
        <w:tc>
          <w:tcPr>
            <w:tcW w:w="368" w:type="pct"/>
            <w:tcBorders>
              <w:top w:val="nil"/>
              <w:left w:val="nil"/>
              <w:bottom w:val="single" w:sz="4" w:space="0" w:color="auto"/>
              <w:right w:val="single" w:sz="4" w:space="0" w:color="auto"/>
            </w:tcBorders>
            <w:shd w:val="clear" w:color="auto" w:fill="auto"/>
            <w:vAlign w:val="center"/>
            <w:hideMark/>
          </w:tcPr>
          <w:p w14:paraId="7EE00C6A"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$102</w:t>
            </w:r>
          </w:p>
        </w:tc>
        <w:tc>
          <w:tcPr>
            <w:tcW w:w="375" w:type="pct"/>
            <w:tcBorders>
              <w:top w:val="nil"/>
              <w:left w:val="nil"/>
              <w:bottom w:val="single" w:sz="4" w:space="0" w:color="auto"/>
              <w:right w:val="single" w:sz="4" w:space="0" w:color="auto"/>
            </w:tcBorders>
            <w:shd w:val="clear" w:color="auto" w:fill="auto"/>
            <w:vAlign w:val="center"/>
            <w:hideMark/>
          </w:tcPr>
          <w:p w14:paraId="74494C58"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$12.062</w:t>
            </w:r>
          </w:p>
        </w:tc>
        <w:tc>
          <w:tcPr>
            <w:tcW w:w="370" w:type="pct"/>
            <w:tcBorders>
              <w:top w:val="nil"/>
              <w:left w:val="nil"/>
              <w:bottom w:val="single" w:sz="4" w:space="0" w:color="auto"/>
              <w:right w:val="single" w:sz="4" w:space="0" w:color="auto"/>
            </w:tcBorders>
            <w:shd w:val="clear" w:color="auto" w:fill="auto"/>
            <w:vAlign w:val="center"/>
            <w:hideMark/>
          </w:tcPr>
          <w:p w14:paraId="3B02C654"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$405</w:t>
            </w:r>
          </w:p>
        </w:tc>
        <w:tc>
          <w:tcPr>
            <w:tcW w:w="364" w:type="pct"/>
            <w:tcBorders>
              <w:top w:val="nil"/>
              <w:left w:val="nil"/>
              <w:bottom w:val="single" w:sz="4" w:space="0" w:color="auto"/>
              <w:right w:val="single" w:sz="4" w:space="0" w:color="auto"/>
            </w:tcBorders>
            <w:shd w:val="clear" w:color="auto" w:fill="auto"/>
            <w:vAlign w:val="center"/>
            <w:hideMark/>
          </w:tcPr>
          <w:p w14:paraId="747F4FD1"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$2.100</w:t>
            </w:r>
          </w:p>
        </w:tc>
        <w:tc>
          <w:tcPr>
            <w:tcW w:w="375" w:type="pct"/>
            <w:tcBorders>
              <w:top w:val="nil"/>
              <w:left w:val="nil"/>
              <w:bottom w:val="single" w:sz="4" w:space="0" w:color="auto"/>
              <w:right w:val="single" w:sz="4" w:space="0" w:color="auto"/>
            </w:tcBorders>
            <w:shd w:val="clear" w:color="auto" w:fill="auto"/>
            <w:vAlign w:val="center"/>
            <w:hideMark/>
          </w:tcPr>
          <w:p w14:paraId="5325F3D2"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30" w:type="pct"/>
            <w:tcBorders>
              <w:top w:val="nil"/>
              <w:left w:val="nil"/>
              <w:bottom w:val="single" w:sz="4" w:space="0" w:color="auto"/>
              <w:right w:val="single" w:sz="4" w:space="0" w:color="auto"/>
            </w:tcBorders>
            <w:shd w:val="clear" w:color="auto" w:fill="auto"/>
            <w:vAlign w:val="center"/>
            <w:hideMark/>
          </w:tcPr>
          <w:p w14:paraId="72079288"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$725</w:t>
            </w:r>
          </w:p>
        </w:tc>
        <w:tc>
          <w:tcPr>
            <w:tcW w:w="413" w:type="pct"/>
            <w:tcBorders>
              <w:top w:val="nil"/>
              <w:left w:val="nil"/>
              <w:bottom w:val="single" w:sz="4" w:space="0" w:color="auto"/>
              <w:right w:val="single" w:sz="4" w:space="0" w:color="auto"/>
            </w:tcBorders>
            <w:shd w:val="clear" w:color="auto" w:fill="auto"/>
            <w:vAlign w:val="center"/>
            <w:hideMark/>
          </w:tcPr>
          <w:p w14:paraId="278D640B"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369" w:type="pct"/>
            <w:tcBorders>
              <w:top w:val="nil"/>
              <w:left w:val="nil"/>
              <w:bottom w:val="single" w:sz="4" w:space="0" w:color="auto"/>
              <w:right w:val="single" w:sz="4" w:space="0" w:color="auto"/>
            </w:tcBorders>
            <w:shd w:val="clear" w:color="auto" w:fill="auto"/>
            <w:vAlign w:val="center"/>
            <w:hideMark/>
          </w:tcPr>
          <w:p w14:paraId="7643BE8D"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$0</w:t>
            </w:r>
          </w:p>
        </w:tc>
        <w:tc>
          <w:tcPr>
            <w:tcW w:w="434" w:type="pct"/>
            <w:tcBorders>
              <w:top w:val="nil"/>
              <w:left w:val="nil"/>
              <w:bottom w:val="single" w:sz="4" w:space="0" w:color="auto"/>
              <w:right w:val="single" w:sz="4" w:space="0" w:color="auto"/>
            </w:tcBorders>
            <w:shd w:val="clear" w:color="auto" w:fill="auto"/>
            <w:vAlign w:val="center"/>
            <w:hideMark/>
          </w:tcPr>
          <w:p w14:paraId="1FF22F25"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$16.595</w:t>
            </w:r>
          </w:p>
        </w:tc>
      </w:tr>
      <w:tr w:rsidR="001A38D5" w:rsidRPr="001A38D5" w14:paraId="020DDAC9" w14:textId="77777777" w:rsidTr="00ED1623">
        <w:trPr>
          <w:trHeight w:val="300"/>
          <w:jc w:val="center"/>
        </w:trPr>
        <w:tc>
          <w:tcPr>
            <w:tcW w:w="229" w:type="pct"/>
            <w:tcBorders>
              <w:top w:val="nil"/>
              <w:left w:val="single" w:sz="4" w:space="0" w:color="auto"/>
              <w:bottom w:val="single" w:sz="4" w:space="0" w:color="auto"/>
              <w:right w:val="single" w:sz="4" w:space="0" w:color="auto"/>
            </w:tcBorders>
            <w:shd w:val="clear" w:color="auto" w:fill="auto"/>
            <w:vAlign w:val="center"/>
            <w:hideMark/>
          </w:tcPr>
          <w:p w14:paraId="1BBE54F0"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2022</w:t>
            </w:r>
          </w:p>
        </w:tc>
        <w:tc>
          <w:tcPr>
            <w:tcW w:w="368" w:type="pct"/>
            <w:tcBorders>
              <w:top w:val="nil"/>
              <w:left w:val="nil"/>
              <w:bottom w:val="single" w:sz="4" w:space="0" w:color="auto"/>
              <w:right w:val="single" w:sz="4" w:space="0" w:color="auto"/>
            </w:tcBorders>
            <w:shd w:val="clear" w:color="000000" w:fill="F2F2F2"/>
            <w:vAlign w:val="center"/>
            <w:hideMark/>
          </w:tcPr>
          <w:p w14:paraId="6FCD416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$93</w:t>
            </w:r>
          </w:p>
        </w:tc>
        <w:tc>
          <w:tcPr>
            <w:tcW w:w="344" w:type="pct"/>
            <w:tcBorders>
              <w:top w:val="nil"/>
              <w:left w:val="nil"/>
              <w:bottom w:val="single" w:sz="4" w:space="0" w:color="auto"/>
              <w:right w:val="single" w:sz="4" w:space="0" w:color="auto"/>
            </w:tcBorders>
            <w:shd w:val="clear" w:color="000000" w:fill="F2F2F2"/>
            <w:vAlign w:val="center"/>
            <w:hideMark/>
          </w:tcPr>
          <w:p w14:paraId="3052A11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$1.011</w:t>
            </w:r>
          </w:p>
        </w:tc>
        <w:tc>
          <w:tcPr>
            <w:tcW w:w="293" w:type="pct"/>
            <w:tcBorders>
              <w:top w:val="single" w:sz="4" w:space="0" w:color="auto"/>
              <w:left w:val="nil"/>
              <w:bottom w:val="single" w:sz="4" w:space="0" w:color="auto"/>
              <w:right w:val="double" w:sz="4" w:space="0" w:color="auto"/>
            </w:tcBorders>
            <w:shd w:val="clear" w:color="000000" w:fill="F2F2F2"/>
            <w:vAlign w:val="center"/>
            <w:hideMark/>
          </w:tcPr>
          <w:p w14:paraId="6CFB1B0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$1.103</w:t>
            </w:r>
          </w:p>
        </w:tc>
        <w:tc>
          <w:tcPr>
            <w:tcW w:w="368" w:type="pct"/>
            <w:tcBorders>
              <w:top w:val="nil"/>
              <w:left w:val="double" w:sz="4" w:space="0" w:color="auto"/>
              <w:bottom w:val="single" w:sz="4" w:space="0" w:color="auto"/>
              <w:right w:val="single" w:sz="4" w:space="0" w:color="auto"/>
            </w:tcBorders>
            <w:shd w:val="clear" w:color="auto" w:fill="auto"/>
            <w:vAlign w:val="center"/>
            <w:hideMark/>
          </w:tcPr>
          <w:p w14:paraId="7848479C"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$1.103</w:t>
            </w:r>
          </w:p>
        </w:tc>
        <w:tc>
          <w:tcPr>
            <w:tcW w:w="368" w:type="pct"/>
            <w:tcBorders>
              <w:top w:val="nil"/>
              <w:left w:val="nil"/>
              <w:bottom w:val="single" w:sz="4" w:space="0" w:color="auto"/>
              <w:right w:val="single" w:sz="4" w:space="0" w:color="auto"/>
            </w:tcBorders>
            <w:shd w:val="clear" w:color="auto" w:fill="auto"/>
            <w:vAlign w:val="center"/>
            <w:hideMark/>
          </w:tcPr>
          <w:p w14:paraId="07F01FE4"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$14</w:t>
            </w:r>
          </w:p>
        </w:tc>
        <w:tc>
          <w:tcPr>
            <w:tcW w:w="375" w:type="pct"/>
            <w:tcBorders>
              <w:top w:val="nil"/>
              <w:left w:val="nil"/>
              <w:bottom w:val="single" w:sz="4" w:space="0" w:color="auto"/>
              <w:right w:val="single" w:sz="4" w:space="0" w:color="auto"/>
            </w:tcBorders>
            <w:shd w:val="clear" w:color="auto" w:fill="auto"/>
            <w:vAlign w:val="center"/>
            <w:hideMark/>
          </w:tcPr>
          <w:p w14:paraId="220416D1"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$11.042</w:t>
            </w:r>
          </w:p>
        </w:tc>
        <w:tc>
          <w:tcPr>
            <w:tcW w:w="370" w:type="pct"/>
            <w:tcBorders>
              <w:top w:val="nil"/>
              <w:left w:val="nil"/>
              <w:bottom w:val="single" w:sz="4" w:space="0" w:color="auto"/>
              <w:right w:val="single" w:sz="4" w:space="0" w:color="auto"/>
            </w:tcBorders>
            <w:shd w:val="clear" w:color="auto" w:fill="auto"/>
            <w:vAlign w:val="center"/>
            <w:hideMark/>
          </w:tcPr>
          <w:p w14:paraId="11EC111E"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$2.226</w:t>
            </w:r>
          </w:p>
        </w:tc>
        <w:tc>
          <w:tcPr>
            <w:tcW w:w="364" w:type="pct"/>
            <w:tcBorders>
              <w:top w:val="nil"/>
              <w:left w:val="nil"/>
              <w:bottom w:val="single" w:sz="4" w:space="0" w:color="auto"/>
              <w:right w:val="single" w:sz="4" w:space="0" w:color="auto"/>
            </w:tcBorders>
            <w:shd w:val="clear" w:color="auto" w:fill="auto"/>
            <w:vAlign w:val="center"/>
            <w:hideMark/>
          </w:tcPr>
          <w:p w14:paraId="2859606D"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$3.708</w:t>
            </w:r>
          </w:p>
        </w:tc>
        <w:tc>
          <w:tcPr>
            <w:tcW w:w="375" w:type="pct"/>
            <w:tcBorders>
              <w:top w:val="nil"/>
              <w:left w:val="nil"/>
              <w:bottom w:val="single" w:sz="4" w:space="0" w:color="auto"/>
              <w:right w:val="single" w:sz="4" w:space="0" w:color="auto"/>
            </w:tcBorders>
            <w:shd w:val="clear" w:color="auto" w:fill="auto"/>
            <w:vAlign w:val="center"/>
            <w:hideMark/>
          </w:tcPr>
          <w:p w14:paraId="07D4F5BD"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$6.841</w:t>
            </w:r>
          </w:p>
        </w:tc>
        <w:tc>
          <w:tcPr>
            <w:tcW w:w="330" w:type="pct"/>
            <w:tcBorders>
              <w:top w:val="nil"/>
              <w:left w:val="nil"/>
              <w:bottom w:val="single" w:sz="4" w:space="0" w:color="auto"/>
              <w:right w:val="single" w:sz="4" w:space="0" w:color="auto"/>
            </w:tcBorders>
            <w:shd w:val="clear" w:color="auto" w:fill="auto"/>
            <w:vAlign w:val="center"/>
            <w:hideMark/>
          </w:tcPr>
          <w:p w14:paraId="0FE419B9"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$13</w:t>
            </w:r>
          </w:p>
        </w:tc>
        <w:tc>
          <w:tcPr>
            <w:tcW w:w="413" w:type="pct"/>
            <w:tcBorders>
              <w:top w:val="nil"/>
              <w:left w:val="nil"/>
              <w:bottom w:val="single" w:sz="4" w:space="0" w:color="auto"/>
              <w:right w:val="single" w:sz="4" w:space="0" w:color="auto"/>
            </w:tcBorders>
            <w:shd w:val="clear" w:color="auto" w:fill="auto"/>
            <w:vAlign w:val="center"/>
            <w:hideMark/>
          </w:tcPr>
          <w:p w14:paraId="3CBB7B50"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$433</w:t>
            </w:r>
          </w:p>
        </w:tc>
        <w:tc>
          <w:tcPr>
            <w:tcW w:w="369" w:type="pct"/>
            <w:tcBorders>
              <w:top w:val="nil"/>
              <w:left w:val="nil"/>
              <w:bottom w:val="single" w:sz="4" w:space="0" w:color="auto"/>
              <w:right w:val="single" w:sz="4" w:space="0" w:color="auto"/>
            </w:tcBorders>
            <w:shd w:val="clear" w:color="auto" w:fill="auto"/>
            <w:vAlign w:val="center"/>
            <w:hideMark/>
          </w:tcPr>
          <w:p w14:paraId="7F76933C"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$554</w:t>
            </w:r>
          </w:p>
        </w:tc>
        <w:tc>
          <w:tcPr>
            <w:tcW w:w="434" w:type="pct"/>
            <w:tcBorders>
              <w:top w:val="nil"/>
              <w:left w:val="nil"/>
              <w:bottom w:val="single" w:sz="4" w:space="0" w:color="auto"/>
              <w:right w:val="single" w:sz="4" w:space="0" w:color="auto"/>
            </w:tcBorders>
            <w:shd w:val="clear" w:color="auto" w:fill="auto"/>
            <w:vAlign w:val="center"/>
            <w:hideMark/>
          </w:tcPr>
          <w:p w14:paraId="02FB6993" w14:textId="77777777" w:rsidR="00A20990" w:rsidRPr="001A38D5" w:rsidRDefault="00A20990" w:rsidP="005140E1">
            <w:pPr>
              <w:contextualSpacing/>
              <w:jc w:val="center"/>
              <w:rPr>
                <w:rFonts w:eastAsia="Times New Roman" w:cs="Arial"/>
                <w:sz w:val="16"/>
                <w:szCs w:val="14"/>
                <w:lang w:val="es-CO" w:eastAsia="es-CO"/>
              </w:rPr>
            </w:pPr>
            <w:r w:rsidRPr="001A38D5">
              <w:rPr>
                <w:rFonts w:eastAsia="Times New Roman" w:cs="Arial"/>
                <w:sz w:val="16"/>
                <w:szCs w:val="14"/>
                <w:lang w:val="es-CO" w:eastAsia="es-CO"/>
              </w:rPr>
              <w:t>$25.934</w:t>
            </w:r>
          </w:p>
        </w:tc>
      </w:tr>
      <w:tr w:rsidR="00ED1623" w:rsidRPr="001A38D5" w14:paraId="37E6B106" w14:textId="77777777" w:rsidTr="00ED1623">
        <w:trPr>
          <w:trHeight w:val="300"/>
          <w:jc w:val="center"/>
        </w:trPr>
        <w:tc>
          <w:tcPr>
            <w:tcW w:w="22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88F1534"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Total</w:t>
            </w:r>
          </w:p>
        </w:tc>
        <w:tc>
          <w:tcPr>
            <w:tcW w:w="368" w:type="pct"/>
            <w:tcBorders>
              <w:top w:val="single" w:sz="4" w:space="0" w:color="auto"/>
              <w:left w:val="nil"/>
              <w:bottom w:val="single" w:sz="4" w:space="0" w:color="auto"/>
              <w:right w:val="single" w:sz="4" w:space="0" w:color="auto"/>
            </w:tcBorders>
            <w:shd w:val="clear" w:color="000000" w:fill="FFC000"/>
            <w:vAlign w:val="center"/>
            <w:hideMark/>
          </w:tcPr>
          <w:p w14:paraId="542D67F7"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$679</w:t>
            </w:r>
          </w:p>
        </w:tc>
        <w:tc>
          <w:tcPr>
            <w:tcW w:w="344" w:type="pct"/>
            <w:tcBorders>
              <w:top w:val="single" w:sz="4" w:space="0" w:color="auto"/>
              <w:left w:val="nil"/>
              <w:bottom w:val="single" w:sz="4" w:space="0" w:color="auto"/>
              <w:right w:val="single" w:sz="4" w:space="0" w:color="auto"/>
            </w:tcBorders>
            <w:shd w:val="clear" w:color="000000" w:fill="FFC000"/>
            <w:vAlign w:val="center"/>
            <w:hideMark/>
          </w:tcPr>
          <w:p w14:paraId="6CFA5F7F"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$7.299</w:t>
            </w:r>
          </w:p>
        </w:tc>
        <w:tc>
          <w:tcPr>
            <w:tcW w:w="293" w:type="pct"/>
            <w:tcBorders>
              <w:top w:val="single" w:sz="4" w:space="0" w:color="auto"/>
              <w:left w:val="nil"/>
              <w:bottom w:val="single" w:sz="4" w:space="0" w:color="auto"/>
              <w:right w:val="double" w:sz="4" w:space="0" w:color="auto"/>
            </w:tcBorders>
            <w:shd w:val="clear" w:color="000000" w:fill="FFC000"/>
            <w:vAlign w:val="center"/>
            <w:hideMark/>
          </w:tcPr>
          <w:p w14:paraId="5C2E7323"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$7.978</w:t>
            </w:r>
          </w:p>
        </w:tc>
        <w:tc>
          <w:tcPr>
            <w:tcW w:w="368" w:type="pct"/>
            <w:tcBorders>
              <w:top w:val="single" w:sz="4" w:space="0" w:color="auto"/>
              <w:left w:val="double" w:sz="4" w:space="0" w:color="auto"/>
              <w:bottom w:val="single" w:sz="4" w:space="0" w:color="auto"/>
              <w:right w:val="single" w:sz="4" w:space="0" w:color="auto"/>
            </w:tcBorders>
            <w:shd w:val="clear" w:color="000000" w:fill="FFC000"/>
            <w:vAlign w:val="center"/>
            <w:hideMark/>
          </w:tcPr>
          <w:p w14:paraId="7D03E40C" w14:textId="77777777" w:rsidR="00A20990" w:rsidRPr="001A38D5" w:rsidRDefault="00A20990" w:rsidP="005140E1">
            <w:pPr>
              <w:contextualSpacing/>
              <w:jc w:val="center"/>
              <w:rPr>
                <w:rFonts w:eastAsia="Times New Roman" w:cs="Arial"/>
                <w:b/>
                <w:bCs/>
                <w:sz w:val="16"/>
                <w:szCs w:val="14"/>
                <w:lang w:val="es-CO" w:eastAsia="es-CO"/>
              </w:rPr>
            </w:pPr>
            <w:r w:rsidRPr="001A38D5">
              <w:rPr>
                <w:rFonts w:eastAsia="Times New Roman" w:cs="Arial"/>
                <w:b/>
                <w:bCs/>
                <w:sz w:val="16"/>
                <w:szCs w:val="14"/>
                <w:lang w:val="es-CO" w:eastAsia="es-CO"/>
              </w:rPr>
              <w:t>$6.229</w:t>
            </w:r>
          </w:p>
        </w:tc>
        <w:tc>
          <w:tcPr>
            <w:tcW w:w="368" w:type="pct"/>
            <w:tcBorders>
              <w:top w:val="single" w:sz="4" w:space="0" w:color="auto"/>
              <w:left w:val="nil"/>
              <w:bottom w:val="single" w:sz="4" w:space="0" w:color="auto"/>
              <w:right w:val="single" w:sz="4" w:space="0" w:color="auto"/>
            </w:tcBorders>
            <w:shd w:val="clear" w:color="000000" w:fill="FFC000"/>
            <w:vAlign w:val="center"/>
            <w:hideMark/>
          </w:tcPr>
          <w:p w14:paraId="19509480" w14:textId="77777777" w:rsidR="00A20990" w:rsidRPr="001A38D5" w:rsidRDefault="00A20990" w:rsidP="005140E1">
            <w:pPr>
              <w:contextualSpacing/>
              <w:jc w:val="center"/>
              <w:rPr>
                <w:rFonts w:eastAsia="Times New Roman" w:cs="Arial"/>
                <w:b/>
                <w:bCs/>
                <w:sz w:val="16"/>
                <w:szCs w:val="14"/>
                <w:lang w:val="es-CO" w:eastAsia="es-CO"/>
              </w:rPr>
            </w:pPr>
            <w:r w:rsidRPr="001A38D5">
              <w:rPr>
                <w:rFonts w:eastAsia="Times New Roman" w:cs="Arial"/>
                <w:b/>
                <w:bCs/>
                <w:sz w:val="16"/>
                <w:szCs w:val="14"/>
                <w:lang w:val="es-CO" w:eastAsia="es-CO"/>
              </w:rPr>
              <w:t>$1.894</w:t>
            </w:r>
          </w:p>
        </w:tc>
        <w:tc>
          <w:tcPr>
            <w:tcW w:w="375" w:type="pct"/>
            <w:tcBorders>
              <w:top w:val="single" w:sz="4" w:space="0" w:color="auto"/>
              <w:left w:val="nil"/>
              <w:bottom w:val="single" w:sz="4" w:space="0" w:color="auto"/>
              <w:right w:val="single" w:sz="4" w:space="0" w:color="auto"/>
            </w:tcBorders>
            <w:shd w:val="clear" w:color="000000" w:fill="FFC000"/>
            <w:vAlign w:val="center"/>
            <w:hideMark/>
          </w:tcPr>
          <w:p w14:paraId="435DBAF5" w14:textId="77777777" w:rsidR="00A20990" w:rsidRPr="001A38D5" w:rsidRDefault="00A20990" w:rsidP="005140E1">
            <w:pPr>
              <w:contextualSpacing/>
              <w:jc w:val="center"/>
              <w:rPr>
                <w:rFonts w:eastAsia="Times New Roman" w:cs="Arial"/>
                <w:b/>
                <w:bCs/>
                <w:sz w:val="16"/>
                <w:szCs w:val="14"/>
                <w:lang w:val="es-CO" w:eastAsia="es-CO"/>
              </w:rPr>
            </w:pPr>
            <w:r w:rsidRPr="001A38D5">
              <w:rPr>
                <w:rFonts w:eastAsia="Times New Roman" w:cs="Arial"/>
                <w:b/>
                <w:bCs/>
                <w:sz w:val="16"/>
                <w:szCs w:val="14"/>
                <w:lang w:val="es-CO" w:eastAsia="es-CO"/>
              </w:rPr>
              <w:t>$42.232</w:t>
            </w:r>
          </w:p>
        </w:tc>
        <w:tc>
          <w:tcPr>
            <w:tcW w:w="370" w:type="pct"/>
            <w:tcBorders>
              <w:top w:val="single" w:sz="4" w:space="0" w:color="auto"/>
              <w:left w:val="nil"/>
              <w:bottom w:val="single" w:sz="4" w:space="0" w:color="auto"/>
              <w:right w:val="single" w:sz="4" w:space="0" w:color="auto"/>
            </w:tcBorders>
            <w:shd w:val="clear" w:color="000000" w:fill="FFC000"/>
            <w:vAlign w:val="center"/>
            <w:hideMark/>
          </w:tcPr>
          <w:p w14:paraId="7DDA1547" w14:textId="77777777" w:rsidR="00A20990" w:rsidRPr="001A38D5" w:rsidRDefault="00A20990" w:rsidP="005140E1">
            <w:pPr>
              <w:contextualSpacing/>
              <w:jc w:val="center"/>
              <w:rPr>
                <w:rFonts w:eastAsia="Times New Roman" w:cs="Arial"/>
                <w:b/>
                <w:bCs/>
                <w:sz w:val="16"/>
                <w:szCs w:val="14"/>
                <w:lang w:val="es-CO" w:eastAsia="es-CO"/>
              </w:rPr>
            </w:pPr>
            <w:r w:rsidRPr="001A38D5">
              <w:rPr>
                <w:rFonts w:eastAsia="Times New Roman" w:cs="Arial"/>
                <w:b/>
                <w:bCs/>
                <w:sz w:val="16"/>
                <w:szCs w:val="14"/>
                <w:lang w:val="es-CO" w:eastAsia="es-CO"/>
              </w:rPr>
              <w:t>$4.712</w:t>
            </w:r>
          </w:p>
        </w:tc>
        <w:tc>
          <w:tcPr>
            <w:tcW w:w="364" w:type="pct"/>
            <w:tcBorders>
              <w:top w:val="single" w:sz="4" w:space="0" w:color="auto"/>
              <w:left w:val="nil"/>
              <w:bottom w:val="single" w:sz="4" w:space="0" w:color="auto"/>
              <w:right w:val="single" w:sz="4" w:space="0" w:color="auto"/>
            </w:tcBorders>
            <w:shd w:val="clear" w:color="000000" w:fill="FFC000"/>
            <w:vAlign w:val="center"/>
            <w:hideMark/>
          </w:tcPr>
          <w:p w14:paraId="326F418D" w14:textId="77777777" w:rsidR="00A20990" w:rsidRPr="001A38D5" w:rsidRDefault="00A20990" w:rsidP="005140E1">
            <w:pPr>
              <w:contextualSpacing/>
              <w:jc w:val="center"/>
              <w:rPr>
                <w:rFonts w:eastAsia="Times New Roman" w:cs="Arial"/>
                <w:b/>
                <w:bCs/>
                <w:sz w:val="16"/>
                <w:szCs w:val="14"/>
                <w:lang w:val="es-CO" w:eastAsia="es-CO"/>
              </w:rPr>
            </w:pPr>
            <w:r w:rsidRPr="001A38D5">
              <w:rPr>
                <w:rFonts w:eastAsia="Times New Roman" w:cs="Arial"/>
                <w:b/>
                <w:bCs/>
                <w:sz w:val="16"/>
                <w:szCs w:val="14"/>
                <w:lang w:val="es-CO" w:eastAsia="es-CO"/>
              </w:rPr>
              <w:t>$7.184</w:t>
            </w:r>
          </w:p>
        </w:tc>
        <w:tc>
          <w:tcPr>
            <w:tcW w:w="375" w:type="pct"/>
            <w:tcBorders>
              <w:top w:val="single" w:sz="4" w:space="0" w:color="auto"/>
              <w:left w:val="nil"/>
              <w:bottom w:val="single" w:sz="4" w:space="0" w:color="auto"/>
              <w:right w:val="single" w:sz="4" w:space="0" w:color="auto"/>
            </w:tcBorders>
            <w:shd w:val="clear" w:color="000000" w:fill="FFC000"/>
            <w:vAlign w:val="center"/>
            <w:hideMark/>
          </w:tcPr>
          <w:p w14:paraId="71328254" w14:textId="77777777" w:rsidR="00A20990" w:rsidRPr="001A38D5" w:rsidRDefault="00A20990" w:rsidP="005140E1">
            <w:pPr>
              <w:contextualSpacing/>
              <w:jc w:val="center"/>
              <w:rPr>
                <w:rFonts w:eastAsia="Times New Roman" w:cs="Arial"/>
                <w:b/>
                <w:bCs/>
                <w:sz w:val="16"/>
                <w:szCs w:val="14"/>
                <w:lang w:val="es-CO" w:eastAsia="es-CO"/>
              </w:rPr>
            </w:pPr>
            <w:r w:rsidRPr="001A38D5">
              <w:rPr>
                <w:rFonts w:eastAsia="Times New Roman" w:cs="Arial"/>
                <w:b/>
                <w:bCs/>
                <w:sz w:val="16"/>
                <w:szCs w:val="14"/>
                <w:lang w:val="es-CO" w:eastAsia="es-CO"/>
              </w:rPr>
              <w:t>$17.199</w:t>
            </w:r>
          </w:p>
        </w:tc>
        <w:tc>
          <w:tcPr>
            <w:tcW w:w="330" w:type="pct"/>
            <w:tcBorders>
              <w:top w:val="single" w:sz="4" w:space="0" w:color="auto"/>
              <w:left w:val="nil"/>
              <w:bottom w:val="single" w:sz="4" w:space="0" w:color="auto"/>
              <w:right w:val="single" w:sz="4" w:space="0" w:color="auto"/>
            </w:tcBorders>
            <w:shd w:val="clear" w:color="000000" w:fill="FFC000"/>
            <w:vAlign w:val="center"/>
            <w:hideMark/>
          </w:tcPr>
          <w:p w14:paraId="39BED4FD" w14:textId="77777777" w:rsidR="00A20990" w:rsidRPr="001A38D5" w:rsidRDefault="00A20990" w:rsidP="005140E1">
            <w:pPr>
              <w:contextualSpacing/>
              <w:jc w:val="center"/>
              <w:rPr>
                <w:rFonts w:eastAsia="Times New Roman" w:cs="Arial"/>
                <w:b/>
                <w:bCs/>
                <w:sz w:val="16"/>
                <w:szCs w:val="14"/>
                <w:lang w:val="es-CO" w:eastAsia="es-CO"/>
              </w:rPr>
            </w:pPr>
            <w:r w:rsidRPr="001A38D5">
              <w:rPr>
                <w:rFonts w:eastAsia="Times New Roman" w:cs="Arial"/>
                <w:b/>
                <w:bCs/>
                <w:sz w:val="16"/>
                <w:szCs w:val="14"/>
                <w:lang w:val="es-CO" w:eastAsia="es-CO"/>
              </w:rPr>
              <w:t>$6.115</w:t>
            </w:r>
          </w:p>
        </w:tc>
        <w:tc>
          <w:tcPr>
            <w:tcW w:w="413" w:type="pct"/>
            <w:tcBorders>
              <w:top w:val="single" w:sz="4" w:space="0" w:color="auto"/>
              <w:left w:val="nil"/>
              <w:bottom w:val="single" w:sz="4" w:space="0" w:color="auto"/>
              <w:right w:val="single" w:sz="4" w:space="0" w:color="auto"/>
            </w:tcBorders>
            <w:shd w:val="clear" w:color="000000" w:fill="FFC000"/>
            <w:vAlign w:val="center"/>
            <w:hideMark/>
          </w:tcPr>
          <w:p w14:paraId="68FDCD24" w14:textId="77777777" w:rsidR="00A20990" w:rsidRPr="001A38D5" w:rsidRDefault="00A20990" w:rsidP="005140E1">
            <w:pPr>
              <w:contextualSpacing/>
              <w:jc w:val="center"/>
              <w:rPr>
                <w:rFonts w:eastAsia="Times New Roman" w:cs="Arial"/>
                <w:b/>
                <w:bCs/>
                <w:sz w:val="16"/>
                <w:szCs w:val="14"/>
                <w:lang w:val="es-CO" w:eastAsia="es-CO"/>
              </w:rPr>
            </w:pPr>
            <w:r w:rsidRPr="001A38D5">
              <w:rPr>
                <w:rFonts w:eastAsia="Times New Roman" w:cs="Arial"/>
                <w:b/>
                <w:bCs/>
                <w:sz w:val="16"/>
                <w:szCs w:val="14"/>
                <w:lang w:val="es-CO" w:eastAsia="es-CO"/>
              </w:rPr>
              <w:t>$898</w:t>
            </w:r>
          </w:p>
        </w:tc>
        <w:tc>
          <w:tcPr>
            <w:tcW w:w="369" w:type="pct"/>
            <w:tcBorders>
              <w:top w:val="single" w:sz="4" w:space="0" w:color="auto"/>
              <w:left w:val="nil"/>
              <w:bottom w:val="single" w:sz="4" w:space="0" w:color="auto"/>
              <w:right w:val="single" w:sz="4" w:space="0" w:color="auto"/>
            </w:tcBorders>
            <w:shd w:val="clear" w:color="000000" w:fill="FFC000"/>
            <w:vAlign w:val="center"/>
            <w:hideMark/>
          </w:tcPr>
          <w:p w14:paraId="6BB3D91C" w14:textId="77777777" w:rsidR="00A20990" w:rsidRPr="001A38D5" w:rsidRDefault="00A20990" w:rsidP="005140E1">
            <w:pPr>
              <w:contextualSpacing/>
              <w:jc w:val="center"/>
              <w:rPr>
                <w:rFonts w:eastAsia="Times New Roman" w:cs="Arial"/>
                <w:b/>
                <w:bCs/>
                <w:sz w:val="16"/>
                <w:szCs w:val="14"/>
                <w:lang w:val="es-CO" w:eastAsia="es-CO"/>
              </w:rPr>
            </w:pPr>
            <w:r w:rsidRPr="001A38D5">
              <w:rPr>
                <w:rFonts w:eastAsia="Times New Roman" w:cs="Arial"/>
                <w:b/>
                <w:bCs/>
                <w:sz w:val="16"/>
                <w:szCs w:val="14"/>
                <w:lang w:val="es-CO" w:eastAsia="es-CO"/>
              </w:rPr>
              <w:t>$554</w:t>
            </w:r>
          </w:p>
        </w:tc>
        <w:tc>
          <w:tcPr>
            <w:tcW w:w="434" w:type="pct"/>
            <w:tcBorders>
              <w:top w:val="single" w:sz="4" w:space="0" w:color="auto"/>
              <w:left w:val="nil"/>
              <w:bottom w:val="single" w:sz="4" w:space="0" w:color="auto"/>
              <w:right w:val="single" w:sz="4" w:space="0" w:color="auto"/>
            </w:tcBorders>
            <w:shd w:val="clear" w:color="000000" w:fill="FFC000"/>
            <w:vAlign w:val="center"/>
            <w:hideMark/>
          </w:tcPr>
          <w:p w14:paraId="6D9CEAC0" w14:textId="77777777" w:rsidR="00A20990" w:rsidRPr="001A38D5" w:rsidRDefault="00A20990" w:rsidP="005140E1">
            <w:pPr>
              <w:contextualSpacing/>
              <w:jc w:val="center"/>
              <w:rPr>
                <w:rFonts w:eastAsia="Times New Roman" w:cs="Arial"/>
                <w:b/>
                <w:bCs/>
                <w:sz w:val="16"/>
                <w:szCs w:val="14"/>
                <w:lang w:val="es-CO" w:eastAsia="es-CO"/>
              </w:rPr>
            </w:pPr>
            <w:r w:rsidRPr="001A38D5">
              <w:rPr>
                <w:rFonts w:eastAsia="Times New Roman" w:cs="Arial"/>
                <w:b/>
                <w:bCs/>
                <w:sz w:val="16"/>
                <w:szCs w:val="14"/>
                <w:lang w:val="es-CO" w:eastAsia="es-CO"/>
              </w:rPr>
              <w:t>$87.018</w:t>
            </w:r>
          </w:p>
        </w:tc>
      </w:tr>
    </w:tbl>
    <w:p w14:paraId="282214F6" w14:textId="77777777" w:rsidR="00A20990" w:rsidRPr="001A38D5" w:rsidRDefault="00A20990" w:rsidP="005140E1">
      <w:pPr>
        <w:pStyle w:val="Sinespaciado"/>
        <w:keepNext/>
        <w:contextualSpacing/>
        <w:jc w:val="center"/>
        <w:rPr>
          <w:rFonts w:ascii="Verdana" w:eastAsia="Times New Roman" w:hAnsi="Verdana" w:cs="Arial"/>
          <w:sz w:val="16"/>
          <w:lang w:eastAsia="es-CO"/>
        </w:rPr>
      </w:pPr>
      <w:r w:rsidRPr="001A38D5">
        <w:rPr>
          <w:rFonts w:ascii="Verdana" w:eastAsia="Times New Roman" w:hAnsi="Verdana" w:cs="Arial"/>
          <w:sz w:val="16"/>
          <w:lang w:eastAsia="es-CO"/>
        </w:rPr>
        <w:t>Fuente: Reporte en la Categoría Gastos de Inversión FUT, en la Categoría única de información del presupuesto ordinario CUIPO y en la Categoría de gastos del Sistema General de Regalías del Sistema CHIP.</w:t>
      </w:r>
    </w:p>
    <w:p w14:paraId="3E8AFCC8" w14:textId="77777777" w:rsidR="00A20990" w:rsidRPr="001A38D5" w:rsidRDefault="00A20990" w:rsidP="005140E1">
      <w:pPr>
        <w:contextualSpacing/>
        <w:jc w:val="both"/>
        <w:rPr>
          <w:rFonts w:cs="Arial"/>
          <w:lang w:val="es-CO"/>
        </w:rPr>
      </w:pPr>
    </w:p>
    <w:p w14:paraId="75104F35" w14:textId="77777777" w:rsidR="00A20990" w:rsidRPr="001A38D5" w:rsidRDefault="00A20990" w:rsidP="005140E1">
      <w:pPr>
        <w:pStyle w:val="Ttulo3"/>
        <w:contextualSpacing/>
        <w:rPr>
          <w:rFonts w:ascii="Verdana" w:hAnsi="Verdana"/>
        </w:rPr>
      </w:pPr>
      <w:r w:rsidRPr="001A38D5">
        <w:rPr>
          <w:rFonts w:ascii="Verdana" w:hAnsi="Verdana"/>
        </w:rPr>
        <w:t>Contratación</w:t>
      </w:r>
      <w:r w:rsidR="00A20687">
        <w:rPr>
          <w:rFonts w:ascii="Verdana" w:hAnsi="Verdana"/>
        </w:rPr>
        <w:t>.</w:t>
      </w:r>
    </w:p>
    <w:p w14:paraId="0DBB9A32" w14:textId="77777777" w:rsidR="00A20990" w:rsidRPr="00A34B81" w:rsidRDefault="00A20990" w:rsidP="005140E1">
      <w:pPr>
        <w:contextualSpacing/>
        <w:jc w:val="both"/>
        <w:rPr>
          <w:rFonts w:cs="Arial"/>
          <w:lang w:val="es-CO"/>
        </w:rPr>
      </w:pPr>
    </w:p>
    <w:p w14:paraId="7117200A" w14:textId="77777777" w:rsidR="002F53B4" w:rsidRDefault="002F53B4" w:rsidP="005140E1">
      <w:pPr>
        <w:contextualSpacing/>
        <w:jc w:val="both"/>
        <w:rPr>
          <w:rFonts w:cs="Arial"/>
          <w:lang w:val="es-CO"/>
        </w:rPr>
      </w:pPr>
      <w:r>
        <w:rPr>
          <w:rFonts w:cs="Arial"/>
          <w:lang w:val="es-CO"/>
        </w:rPr>
        <w:t>Durante el periodo 2019 a 2022 l</w:t>
      </w:r>
      <w:r w:rsidRPr="002F53B4">
        <w:rPr>
          <w:rFonts w:cs="Arial"/>
          <w:lang w:val="es-CO"/>
        </w:rPr>
        <w:t xml:space="preserve">a Alcaldía de Villavicencio </w:t>
      </w:r>
      <w:r>
        <w:rPr>
          <w:rFonts w:cs="Arial"/>
          <w:lang w:val="es-CO"/>
        </w:rPr>
        <w:t xml:space="preserve">celebró doce (12) contratos para la prestación del </w:t>
      </w:r>
      <w:r w:rsidR="00D704F6">
        <w:rPr>
          <w:rFonts w:cs="Arial"/>
          <w:lang w:val="es-CO"/>
        </w:rPr>
        <w:t>S</w:t>
      </w:r>
      <w:r>
        <w:rPr>
          <w:rFonts w:cs="Arial"/>
          <w:lang w:val="es-CO"/>
        </w:rPr>
        <w:t xml:space="preserve">ervicio de </w:t>
      </w:r>
      <w:r w:rsidR="00D704F6">
        <w:rPr>
          <w:rFonts w:cs="Arial"/>
          <w:lang w:val="es-CO"/>
        </w:rPr>
        <w:t>A</w:t>
      </w:r>
      <w:r>
        <w:rPr>
          <w:rFonts w:cs="Arial"/>
          <w:lang w:val="es-CO"/>
        </w:rPr>
        <w:t xml:space="preserve">limentación </w:t>
      </w:r>
      <w:r w:rsidR="00D704F6">
        <w:rPr>
          <w:rFonts w:cs="Arial"/>
          <w:lang w:val="es-CO"/>
        </w:rPr>
        <w:t>E</w:t>
      </w:r>
      <w:r>
        <w:rPr>
          <w:rFonts w:cs="Arial"/>
          <w:lang w:val="es-CO"/>
        </w:rPr>
        <w:t>scolar para población mayoritari</w:t>
      </w:r>
      <w:r w:rsidR="00616D0B">
        <w:rPr>
          <w:rFonts w:cs="Arial"/>
          <w:lang w:val="es-CO"/>
        </w:rPr>
        <w:t>a</w:t>
      </w:r>
      <w:r>
        <w:rPr>
          <w:rFonts w:cs="Arial"/>
          <w:lang w:val="es-CO"/>
        </w:rPr>
        <w:t xml:space="preserve"> y tres (3) para la población indígena en el Resguardo Maguare. </w:t>
      </w:r>
    </w:p>
    <w:p w14:paraId="1F352276" w14:textId="77777777" w:rsidR="002F53B4" w:rsidRDefault="002F53B4" w:rsidP="005140E1">
      <w:pPr>
        <w:contextualSpacing/>
        <w:jc w:val="both"/>
        <w:rPr>
          <w:rFonts w:cs="Arial"/>
          <w:lang w:val="es-CO"/>
        </w:rPr>
      </w:pPr>
    </w:p>
    <w:p w14:paraId="5477C209" w14:textId="77777777" w:rsidR="00A34B81" w:rsidRDefault="00D81C77" w:rsidP="005140E1">
      <w:pPr>
        <w:contextualSpacing/>
        <w:jc w:val="both"/>
        <w:rPr>
          <w:rFonts w:cs="Arial"/>
          <w:lang w:val="es-CO"/>
        </w:rPr>
      </w:pPr>
      <w:r>
        <w:rPr>
          <w:rFonts w:cs="Arial"/>
          <w:lang w:val="es-CO"/>
        </w:rPr>
        <w:t xml:space="preserve">Se resalta que el Resguardo Indígena Maguare no </w:t>
      </w:r>
      <w:r w:rsidRPr="00A34B81">
        <w:rPr>
          <w:rFonts w:cs="Arial"/>
          <w:lang w:val="es-CO"/>
        </w:rPr>
        <w:t xml:space="preserve">tiene habilitación jurídica para contratar con entidades públicas </w:t>
      </w:r>
      <w:r>
        <w:rPr>
          <w:rFonts w:cs="Arial"/>
          <w:lang w:val="es-CO"/>
        </w:rPr>
        <w:t xml:space="preserve">dado que no </w:t>
      </w:r>
      <w:r w:rsidRPr="002F53B4">
        <w:rPr>
          <w:rFonts w:cs="Arial"/>
          <w:lang w:val="es-CO"/>
        </w:rPr>
        <w:t>tiene</w:t>
      </w:r>
      <w:r>
        <w:rPr>
          <w:rFonts w:cs="Arial"/>
          <w:lang w:val="es-CO"/>
        </w:rPr>
        <w:t xml:space="preserve"> personería jurídica y que no le es aplicable </w:t>
      </w:r>
      <w:r w:rsidRPr="002F53B4">
        <w:rPr>
          <w:rFonts w:cs="Arial"/>
          <w:lang w:val="es-CO"/>
        </w:rPr>
        <w:t>lo señalado en el literal l</w:t>
      </w:r>
      <w:r w:rsidR="00D704F6">
        <w:rPr>
          <w:rFonts w:cs="Arial"/>
          <w:lang w:val="es-CO"/>
        </w:rPr>
        <w:t>)</w:t>
      </w:r>
      <w:r w:rsidRPr="002F53B4">
        <w:rPr>
          <w:rFonts w:cs="Arial"/>
          <w:lang w:val="es-CO"/>
        </w:rPr>
        <w:t xml:space="preserve"> del numeral 4 del artículo 2 de la Ley 1150 de 2007</w:t>
      </w:r>
      <w:r>
        <w:rPr>
          <w:rFonts w:cs="Arial"/>
          <w:lang w:val="es-CO"/>
        </w:rPr>
        <w:t xml:space="preserve"> sobre contratación directa con autoridades indígenas. Asimismo, l</w:t>
      </w:r>
      <w:r w:rsidR="002F53B4" w:rsidRPr="002F53B4">
        <w:rPr>
          <w:rFonts w:cs="Arial"/>
          <w:lang w:val="es-CO"/>
        </w:rPr>
        <w:t>a persona jurídica denominada Resguardo Indígena Maguare no es un operador indígena en los términos señalados en la Resolución 18853 de 2018 del Ministerio de Educación Nacional</w:t>
      </w:r>
      <w:r w:rsidR="00D704F6">
        <w:rPr>
          <w:rFonts w:cs="Arial"/>
          <w:lang w:val="es-CO"/>
        </w:rPr>
        <w:t>;</w:t>
      </w:r>
      <w:r w:rsidR="002F53B4" w:rsidRPr="002F53B4">
        <w:rPr>
          <w:rFonts w:cs="Arial"/>
          <w:lang w:val="es-CO"/>
        </w:rPr>
        <w:t xml:space="preserve"> por </w:t>
      </w:r>
      <w:r w:rsidRPr="002F53B4">
        <w:rPr>
          <w:rFonts w:cs="Arial"/>
          <w:lang w:val="es-CO"/>
        </w:rPr>
        <w:t>tanto,</w:t>
      </w:r>
      <w:r w:rsidR="002F53B4" w:rsidRPr="002F53B4">
        <w:rPr>
          <w:rFonts w:cs="Arial"/>
          <w:lang w:val="es-CO"/>
        </w:rPr>
        <w:t xml:space="preserve"> no es aplicable la modalidad de contratación directa para la celebración de los procesos contractuales que fueron efectuados a través de los convenios interadministrativos No. 594 del 14 de mayo de 2020, 1104 del 18 de mayo de 2021 y 1932 del 17 de agosto de 2022</w:t>
      </w:r>
      <w:r w:rsidR="002F53B4">
        <w:rPr>
          <w:rFonts w:cs="Arial"/>
          <w:lang w:val="es-CO"/>
        </w:rPr>
        <w:t xml:space="preserve">. </w:t>
      </w:r>
    </w:p>
    <w:p w14:paraId="115BC3D1" w14:textId="77777777" w:rsidR="002F53B4" w:rsidRDefault="002F53B4" w:rsidP="005140E1">
      <w:pPr>
        <w:contextualSpacing/>
        <w:jc w:val="both"/>
        <w:rPr>
          <w:rFonts w:cs="Arial"/>
          <w:lang w:val="es-CO"/>
        </w:rPr>
      </w:pPr>
    </w:p>
    <w:p w14:paraId="0873D5A9" w14:textId="77777777" w:rsidR="002F53B4" w:rsidRPr="001A38D5" w:rsidRDefault="002F53B4" w:rsidP="005140E1">
      <w:pPr>
        <w:contextualSpacing/>
        <w:jc w:val="both"/>
        <w:rPr>
          <w:rFonts w:cs="Arial"/>
          <w:b/>
          <w:lang w:val="es-CO"/>
        </w:rPr>
      </w:pPr>
      <w:r>
        <w:rPr>
          <w:rFonts w:cs="Arial"/>
          <w:lang w:val="es-CO"/>
        </w:rPr>
        <w:t xml:space="preserve">A continuación, se describen los procesos contractuales adelantados por vigencia: </w:t>
      </w:r>
    </w:p>
    <w:p w14:paraId="5ED878BA" w14:textId="77777777" w:rsidR="00A20990" w:rsidRPr="001A38D5" w:rsidRDefault="00A20990" w:rsidP="005140E1">
      <w:pPr>
        <w:contextualSpacing/>
        <w:jc w:val="both"/>
        <w:rPr>
          <w:rFonts w:cs="Arial"/>
          <w:lang w:val="es-CO"/>
        </w:rPr>
      </w:pPr>
    </w:p>
    <w:p w14:paraId="319C6A96" w14:textId="77777777" w:rsidR="002F53B4" w:rsidRDefault="00A20990" w:rsidP="005140E1">
      <w:pPr>
        <w:contextualSpacing/>
        <w:jc w:val="both"/>
        <w:rPr>
          <w:rFonts w:cs="Arial"/>
          <w:lang w:val="es-CO"/>
        </w:rPr>
      </w:pPr>
      <w:r w:rsidRPr="001A38D5">
        <w:rPr>
          <w:rFonts w:cs="Arial"/>
          <w:lang w:val="es-CO"/>
        </w:rPr>
        <w:t xml:space="preserve">Para la vigencia 2019 se suscribieron dos contratos de prestación de servicios para la operación del Programa de Alimentación Escolar en el Municipio: </w:t>
      </w:r>
    </w:p>
    <w:p w14:paraId="58B1CF5D" w14:textId="77777777" w:rsidR="002F53B4" w:rsidRDefault="002F53B4" w:rsidP="005140E1">
      <w:pPr>
        <w:contextualSpacing/>
        <w:jc w:val="both"/>
        <w:rPr>
          <w:rFonts w:cs="Arial"/>
          <w:lang w:val="es-CO"/>
        </w:rPr>
      </w:pPr>
    </w:p>
    <w:p w14:paraId="386CF894" w14:textId="77777777" w:rsidR="00A20990" w:rsidRPr="001A38D5" w:rsidRDefault="002F53B4" w:rsidP="005140E1">
      <w:pPr>
        <w:contextualSpacing/>
        <w:jc w:val="both"/>
        <w:rPr>
          <w:rFonts w:cs="Arial"/>
          <w:lang w:val="es-CO"/>
        </w:rPr>
      </w:pPr>
      <w:r>
        <w:rPr>
          <w:rFonts w:cs="Arial"/>
          <w:lang w:val="es-CO"/>
        </w:rPr>
        <w:t>(i) E</w:t>
      </w:r>
      <w:r w:rsidR="00A20990" w:rsidRPr="001A38D5">
        <w:rPr>
          <w:rFonts w:cs="Arial"/>
          <w:lang w:val="es-CO"/>
        </w:rPr>
        <w:t xml:space="preserve">l primero fue el Contrato de </w:t>
      </w:r>
      <w:r w:rsidR="003E0D74">
        <w:rPr>
          <w:rFonts w:cs="Arial"/>
          <w:lang w:val="es-CO"/>
        </w:rPr>
        <w:t>P</w:t>
      </w:r>
      <w:r w:rsidR="00A20990" w:rsidRPr="001A38D5">
        <w:rPr>
          <w:rFonts w:cs="Arial"/>
          <w:lang w:val="es-CO"/>
        </w:rPr>
        <w:t xml:space="preserve">restación de </w:t>
      </w:r>
      <w:r w:rsidR="003E0D74">
        <w:rPr>
          <w:rFonts w:cs="Arial"/>
          <w:lang w:val="es-CO"/>
        </w:rPr>
        <w:t>S</w:t>
      </w:r>
      <w:r w:rsidR="00A20990" w:rsidRPr="001A38D5">
        <w:rPr>
          <w:rFonts w:cs="Arial"/>
          <w:lang w:val="es-CO"/>
        </w:rPr>
        <w:t>ervicios No. 077 del 30 de enero de 2019 (Proceso LP-026 de 2018) con la Unión Temporal PAE para Villavicencio 2019 con NIT 901.248.776-0, conformada por Seval Logística S.A.S - NIT 900.755.015-5 (60</w:t>
      </w:r>
      <w:r w:rsidR="003E0D74">
        <w:rPr>
          <w:rFonts w:cs="Arial"/>
          <w:lang w:val="es-CO"/>
        </w:rPr>
        <w:t xml:space="preserve"> </w:t>
      </w:r>
      <w:r w:rsidR="00A20990" w:rsidRPr="001A38D5">
        <w:rPr>
          <w:rFonts w:cs="Arial"/>
          <w:lang w:val="es-CO"/>
        </w:rPr>
        <w:t>%), Multimodal Express S.A.S - NIT 900.202.730-0 (20</w:t>
      </w:r>
      <w:r w:rsidR="003E0D74">
        <w:rPr>
          <w:rFonts w:cs="Arial"/>
          <w:lang w:val="es-CO"/>
        </w:rPr>
        <w:t xml:space="preserve"> </w:t>
      </w:r>
      <w:r w:rsidR="00A20990" w:rsidRPr="001A38D5">
        <w:rPr>
          <w:rFonts w:cs="Arial"/>
          <w:lang w:val="es-CO"/>
        </w:rPr>
        <w:t>%) y Firma 3-60 Ltda. - NIT 900.195.394-5 (20</w:t>
      </w:r>
      <w:r w:rsidR="003E0D74">
        <w:rPr>
          <w:rFonts w:cs="Arial"/>
          <w:lang w:val="es-CO"/>
        </w:rPr>
        <w:t xml:space="preserve"> </w:t>
      </w:r>
      <w:r w:rsidR="00A20990" w:rsidRPr="001A38D5">
        <w:rPr>
          <w:rFonts w:cs="Arial"/>
          <w:lang w:val="es-CO"/>
        </w:rPr>
        <w:t xml:space="preserve">%), por $3.212,9 millones. El Contrato se firmó por un </w:t>
      </w:r>
      <w:r w:rsidR="00A20990" w:rsidRPr="001A38D5">
        <w:rPr>
          <w:rFonts w:cs="Arial"/>
          <w:lang w:val="es-CO"/>
        </w:rPr>
        <w:lastRenderedPageBreak/>
        <w:t xml:space="preserve">término inicial de 44 días del calendario escolar para el suministro de 33.823 raciones diarias, de las cuales 30.345 en la modalidad de complemento alimentario jornada mañana y tarde ración industrializada (CAJAM/JT - RI) y 3.478 en la modalidad de complemento alimentario </w:t>
      </w:r>
      <w:r w:rsidR="003E0D74">
        <w:rPr>
          <w:rFonts w:cs="Arial"/>
          <w:lang w:val="es-CO"/>
        </w:rPr>
        <w:t>R</w:t>
      </w:r>
      <w:r w:rsidR="00A20990" w:rsidRPr="001A38D5">
        <w:rPr>
          <w:rFonts w:cs="Arial"/>
          <w:lang w:val="es-CO"/>
        </w:rPr>
        <w:t xml:space="preserve">ación para </w:t>
      </w:r>
      <w:r w:rsidR="003E0D74">
        <w:rPr>
          <w:rFonts w:cs="Arial"/>
          <w:lang w:val="es-CO"/>
        </w:rPr>
        <w:t>P</w:t>
      </w:r>
      <w:r w:rsidR="00A20990" w:rsidRPr="001A38D5">
        <w:rPr>
          <w:rFonts w:cs="Arial"/>
          <w:lang w:val="es-CO"/>
        </w:rPr>
        <w:t xml:space="preserve">reparar en </w:t>
      </w:r>
      <w:r w:rsidR="003E0D74">
        <w:rPr>
          <w:rFonts w:cs="Arial"/>
          <w:lang w:val="es-CO"/>
        </w:rPr>
        <w:t>S</w:t>
      </w:r>
      <w:r w:rsidR="00A20990" w:rsidRPr="001A38D5">
        <w:rPr>
          <w:rFonts w:cs="Arial"/>
          <w:lang w:val="es-CO"/>
        </w:rPr>
        <w:t xml:space="preserve">itio </w:t>
      </w:r>
      <w:r w:rsidR="003E0D74">
        <w:rPr>
          <w:rFonts w:cs="Arial"/>
          <w:lang w:val="es-CO"/>
        </w:rPr>
        <w:t xml:space="preserve">- </w:t>
      </w:r>
      <w:r w:rsidR="00A20990" w:rsidRPr="001A38D5">
        <w:rPr>
          <w:rFonts w:cs="Arial"/>
          <w:lang w:val="es-CO"/>
        </w:rPr>
        <w:t>RPS. El Contrato fue adicionado y prorrogado por un total 29 días del calendario escolar por valor de $1.606,4 millones. Finalmente se ejecutaron 68 días del calendario escolar entre el 4 de febrero y el 24 de mayo de 2019 por un valor total de $4.791,6 millones.</w:t>
      </w:r>
    </w:p>
    <w:p w14:paraId="47891EC8" w14:textId="77777777" w:rsidR="00A20990" w:rsidRPr="001A38D5" w:rsidRDefault="00A20990" w:rsidP="005140E1">
      <w:pPr>
        <w:contextualSpacing/>
        <w:jc w:val="both"/>
        <w:rPr>
          <w:rFonts w:cs="Arial"/>
          <w:lang w:val="es-CO"/>
        </w:rPr>
      </w:pPr>
    </w:p>
    <w:p w14:paraId="726EB066" w14:textId="77777777" w:rsidR="00A20990" w:rsidRPr="001A38D5" w:rsidRDefault="002F53B4" w:rsidP="005140E1">
      <w:pPr>
        <w:contextualSpacing/>
        <w:jc w:val="both"/>
        <w:rPr>
          <w:rFonts w:cs="Arial"/>
          <w:lang w:val="es-CO"/>
        </w:rPr>
      </w:pPr>
      <w:r>
        <w:rPr>
          <w:rFonts w:cs="Arial"/>
          <w:lang w:val="es-CO"/>
        </w:rPr>
        <w:t xml:space="preserve">(ii) </w:t>
      </w:r>
      <w:r w:rsidR="00A20990" w:rsidRPr="001A38D5">
        <w:rPr>
          <w:rFonts w:cs="Arial"/>
          <w:lang w:val="es-CO"/>
        </w:rPr>
        <w:t xml:space="preserve">Con el fin de garantizar la continuidad en la prestación del </w:t>
      </w:r>
      <w:r w:rsidR="003E0D74">
        <w:rPr>
          <w:rFonts w:cs="Arial"/>
          <w:lang w:val="es-CO"/>
        </w:rPr>
        <w:t>S</w:t>
      </w:r>
      <w:r w:rsidR="00A20990" w:rsidRPr="001A38D5">
        <w:rPr>
          <w:rFonts w:cs="Arial"/>
          <w:lang w:val="es-CO"/>
        </w:rPr>
        <w:t xml:space="preserve">ervicio de </w:t>
      </w:r>
      <w:r w:rsidR="003E0D74">
        <w:rPr>
          <w:rFonts w:cs="Arial"/>
          <w:lang w:val="es-CO"/>
        </w:rPr>
        <w:t>A</w:t>
      </w:r>
      <w:r w:rsidR="00A20990" w:rsidRPr="001A38D5">
        <w:rPr>
          <w:rFonts w:cs="Arial"/>
          <w:lang w:val="es-CO"/>
        </w:rPr>
        <w:t xml:space="preserve">limentación </w:t>
      </w:r>
      <w:r w:rsidR="003E0D74">
        <w:rPr>
          <w:rFonts w:cs="Arial"/>
          <w:lang w:val="es-CO"/>
        </w:rPr>
        <w:t>E</w:t>
      </w:r>
      <w:r w:rsidR="00A20990" w:rsidRPr="001A38D5">
        <w:rPr>
          <w:rFonts w:cs="Arial"/>
          <w:lang w:val="es-CO"/>
        </w:rPr>
        <w:t>scolar la Entidad emprendió un nuevo proceso de licitación pública, como resultado se suscribió el Contrato de Prestación de Servicios No. 1198 del 30 de mayo de 2019 (Proceso LP-003 de 2019) con la Unión Temporal PAE para Villavicencio 2019-II identificada con NIT 901.288.823-1, conformada por Seval Logística S.A.S - NIT 900.755.015-5 (50</w:t>
      </w:r>
      <w:r w:rsidR="003E0D74">
        <w:rPr>
          <w:rFonts w:cs="Arial"/>
          <w:lang w:val="es-CO"/>
        </w:rPr>
        <w:t xml:space="preserve"> </w:t>
      </w:r>
      <w:r w:rsidR="00A20990" w:rsidRPr="001A38D5">
        <w:rPr>
          <w:rFonts w:cs="Arial"/>
          <w:lang w:val="es-CO"/>
        </w:rPr>
        <w:t>%) y Multimodal Express S.A.S - NIT 900.202.730-0 (50</w:t>
      </w:r>
      <w:r w:rsidR="003E0D74">
        <w:rPr>
          <w:rFonts w:cs="Arial"/>
          <w:lang w:val="es-CO"/>
        </w:rPr>
        <w:t xml:space="preserve"> </w:t>
      </w:r>
      <w:r w:rsidR="00A20990" w:rsidRPr="001A38D5">
        <w:rPr>
          <w:rFonts w:cs="Arial"/>
          <w:lang w:val="es-CO"/>
        </w:rPr>
        <w:t xml:space="preserve">%), por $5.708.8 millones, con la atención a 33.823 titulares de derecho (30.345 CAJAM/JT - RI y 3.478 RPS almuerzo) por 79 días del calendario escolar. El </w:t>
      </w:r>
      <w:r w:rsidR="003E0D74">
        <w:rPr>
          <w:rFonts w:cs="Arial"/>
          <w:lang w:val="es-CO"/>
        </w:rPr>
        <w:t>C</w:t>
      </w:r>
      <w:r w:rsidR="00A20990" w:rsidRPr="001A38D5">
        <w:rPr>
          <w:rFonts w:cs="Arial"/>
          <w:lang w:val="es-CO"/>
        </w:rPr>
        <w:t xml:space="preserve">ontrato fue prorrogado en </w:t>
      </w:r>
      <w:r w:rsidR="003E0D74">
        <w:rPr>
          <w:rFonts w:cs="Arial"/>
          <w:lang w:val="es-CO"/>
        </w:rPr>
        <w:t>tres (</w:t>
      </w:r>
      <w:r w:rsidR="00A20990" w:rsidRPr="001A38D5">
        <w:rPr>
          <w:rFonts w:cs="Arial"/>
          <w:lang w:val="es-CO"/>
        </w:rPr>
        <w:t>3</w:t>
      </w:r>
      <w:r w:rsidR="003E0D74">
        <w:rPr>
          <w:rFonts w:cs="Arial"/>
          <w:lang w:val="es-CO"/>
        </w:rPr>
        <w:t>)</w:t>
      </w:r>
      <w:r w:rsidR="00A20990" w:rsidRPr="001A38D5">
        <w:rPr>
          <w:rFonts w:cs="Arial"/>
          <w:lang w:val="es-CO"/>
        </w:rPr>
        <w:t xml:space="preserve"> ocasiones por un total de 28 días del calendario escolar y adicionado por $1.300,7 millones. Se ejecutaron un total de 97 días entre el 4 de junio y el 28 de noviembre de 2019 por $6.800,9 millones.</w:t>
      </w:r>
    </w:p>
    <w:p w14:paraId="1B723FC7" w14:textId="77777777" w:rsidR="00A20990" w:rsidRPr="001A38D5" w:rsidRDefault="00A20990" w:rsidP="005140E1">
      <w:pPr>
        <w:contextualSpacing/>
        <w:jc w:val="both"/>
        <w:rPr>
          <w:rFonts w:cs="Arial"/>
          <w:lang w:val="es-CO"/>
        </w:rPr>
      </w:pPr>
    </w:p>
    <w:p w14:paraId="09057F8D" w14:textId="77777777" w:rsidR="00A20990" w:rsidRPr="001A38D5" w:rsidRDefault="002F53B4" w:rsidP="005140E1">
      <w:pPr>
        <w:contextualSpacing/>
        <w:jc w:val="both"/>
        <w:rPr>
          <w:rFonts w:cs="Arial"/>
          <w:lang w:val="es-CO"/>
        </w:rPr>
      </w:pPr>
      <w:r>
        <w:rPr>
          <w:rFonts w:cs="Arial"/>
          <w:lang w:val="es-CO"/>
        </w:rPr>
        <w:t>S</w:t>
      </w:r>
      <w:r w:rsidR="00823978">
        <w:rPr>
          <w:rFonts w:cs="Arial"/>
          <w:lang w:val="es-CO"/>
        </w:rPr>
        <w:t xml:space="preserve">e designó al Secretario de Educación como supervisor de los contratos suscritos para la operación del PAE mediante </w:t>
      </w:r>
      <w:r w:rsidR="00D704F6">
        <w:rPr>
          <w:rFonts w:cs="Arial"/>
          <w:lang w:val="es-CO"/>
        </w:rPr>
        <w:t>A</w:t>
      </w:r>
      <w:r w:rsidR="00823978">
        <w:rPr>
          <w:rFonts w:cs="Arial"/>
          <w:lang w:val="es-CO"/>
        </w:rPr>
        <w:t xml:space="preserve">ctos </w:t>
      </w:r>
      <w:r w:rsidR="00D704F6">
        <w:rPr>
          <w:rFonts w:cs="Arial"/>
          <w:lang w:val="es-CO"/>
        </w:rPr>
        <w:t>A</w:t>
      </w:r>
      <w:r w:rsidR="00823978">
        <w:rPr>
          <w:rFonts w:cs="Arial"/>
          <w:lang w:val="es-CO"/>
        </w:rPr>
        <w:t xml:space="preserve">dministrativos 1500-33.49/07 del 4 de febrero y </w:t>
      </w:r>
      <w:r w:rsidR="00823978" w:rsidRPr="00823978">
        <w:rPr>
          <w:rFonts w:cs="Arial"/>
          <w:lang w:val="es-CO"/>
        </w:rPr>
        <w:t>1500-33.49/</w:t>
      </w:r>
      <w:r w:rsidR="00823978">
        <w:rPr>
          <w:rFonts w:cs="Arial"/>
          <w:lang w:val="es-CO"/>
        </w:rPr>
        <w:t>21</w:t>
      </w:r>
      <w:r w:rsidR="00823978" w:rsidRPr="00823978">
        <w:rPr>
          <w:rFonts w:cs="Arial"/>
          <w:lang w:val="es-CO"/>
        </w:rPr>
        <w:t xml:space="preserve"> del </w:t>
      </w:r>
      <w:r w:rsidR="00823978">
        <w:rPr>
          <w:rFonts w:cs="Arial"/>
          <w:lang w:val="es-CO"/>
        </w:rPr>
        <w:t>30</w:t>
      </w:r>
      <w:r w:rsidR="00823978" w:rsidRPr="00823978">
        <w:rPr>
          <w:rFonts w:cs="Arial"/>
          <w:lang w:val="es-CO"/>
        </w:rPr>
        <w:t xml:space="preserve"> de </w:t>
      </w:r>
      <w:r w:rsidR="00823978">
        <w:rPr>
          <w:rFonts w:cs="Arial"/>
          <w:lang w:val="es-CO"/>
        </w:rPr>
        <w:t xml:space="preserve">mayo de </w:t>
      </w:r>
      <w:r w:rsidR="00823978" w:rsidRPr="00823978">
        <w:rPr>
          <w:rFonts w:cs="Arial"/>
          <w:lang w:val="es-CO"/>
        </w:rPr>
        <w:t>2019</w:t>
      </w:r>
      <w:r w:rsidR="00823978">
        <w:rPr>
          <w:rFonts w:cs="Arial"/>
          <w:lang w:val="es-CO"/>
        </w:rPr>
        <w:t xml:space="preserve">, con ello se buscaba garantizar la supervisión </w:t>
      </w:r>
      <w:r w:rsidR="00C237FB" w:rsidRPr="00C237FB">
        <w:rPr>
          <w:rFonts w:cs="Arial"/>
          <w:lang w:val="es-CO"/>
        </w:rPr>
        <w:t xml:space="preserve">y </w:t>
      </w:r>
      <w:r w:rsidR="00823978">
        <w:rPr>
          <w:rFonts w:cs="Arial"/>
          <w:lang w:val="es-CO"/>
        </w:rPr>
        <w:t>procurar</w:t>
      </w:r>
      <w:r w:rsidR="00C237FB" w:rsidRPr="00C237FB">
        <w:rPr>
          <w:rFonts w:cs="Arial"/>
          <w:lang w:val="es-CO"/>
        </w:rPr>
        <w:t xml:space="preserve"> que el </w:t>
      </w:r>
      <w:r w:rsidR="00D704F6">
        <w:rPr>
          <w:rFonts w:cs="Arial"/>
          <w:lang w:val="es-CO"/>
        </w:rPr>
        <w:t>P</w:t>
      </w:r>
      <w:r w:rsidR="00C237FB" w:rsidRPr="00C237FB">
        <w:rPr>
          <w:rFonts w:cs="Arial"/>
          <w:lang w:val="es-CO"/>
        </w:rPr>
        <w:t>rograma se ejecut</w:t>
      </w:r>
      <w:r w:rsidR="00823978">
        <w:rPr>
          <w:rFonts w:cs="Arial"/>
          <w:lang w:val="es-CO"/>
        </w:rPr>
        <w:t>ara</w:t>
      </w:r>
      <w:r w:rsidR="00C237FB" w:rsidRPr="00C237FB">
        <w:rPr>
          <w:rFonts w:cs="Arial"/>
          <w:lang w:val="es-CO"/>
        </w:rPr>
        <w:t xml:space="preserve"> de acuerdo con los términos del contrato y los estándares establecidos</w:t>
      </w:r>
      <w:r w:rsidR="00A20990" w:rsidRPr="001A38D5">
        <w:rPr>
          <w:rFonts w:cs="Arial"/>
          <w:lang w:val="es-CO"/>
        </w:rPr>
        <w:t xml:space="preserve">. Se comprometieron recursos de PGN para la contratación de servicios profesionales del equipo PAE por $128,8 millones: Contratos de </w:t>
      </w:r>
      <w:r w:rsidR="003E0D74">
        <w:rPr>
          <w:rFonts w:cs="Arial"/>
          <w:lang w:val="es-CO"/>
        </w:rPr>
        <w:t>P</w:t>
      </w:r>
      <w:r w:rsidR="00A20990" w:rsidRPr="001A38D5">
        <w:rPr>
          <w:rFonts w:cs="Arial"/>
          <w:lang w:val="es-CO"/>
        </w:rPr>
        <w:t xml:space="preserve">restación de </w:t>
      </w:r>
      <w:r w:rsidR="003E0D74">
        <w:rPr>
          <w:rFonts w:cs="Arial"/>
          <w:lang w:val="es-CO"/>
        </w:rPr>
        <w:t>S</w:t>
      </w:r>
      <w:r w:rsidR="00A20990" w:rsidRPr="001A38D5">
        <w:rPr>
          <w:rFonts w:cs="Arial"/>
          <w:lang w:val="es-CO"/>
        </w:rPr>
        <w:t xml:space="preserve">ervicios y de </w:t>
      </w:r>
      <w:r w:rsidR="003E0D74">
        <w:rPr>
          <w:rFonts w:cs="Arial"/>
          <w:lang w:val="es-CO"/>
        </w:rPr>
        <w:t>A</w:t>
      </w:r>
      <w:r w:rsidR="00A20990" w:rsidRPr="001A38D5">
        <w:rPr>
          <w:rFonts w:cs="Arial"/>
          <w:lang w:val="es-CO"/>
        </w:rPr>
        <w:t xml:space="preserve">poyo a la </w:t>
      </w:r>
      <w:r w:rsidR="003E0D74">
        <w:rPr>
          <w:rFonts w:cs="Arial"/>
          <w:lang w:val="es-CO"/>
        </w:rPr>
        <w:t>G</w:t>
      </w:r>
      <w:r w:rsidR="00A20990" w:rsidRPr="001A38D5">
        <w:rPr>
          <w:rFonts w:cs="Arial"/>
          <w:lang w:val="es-CO"/>
        </w:rPr>
        <w:t>estión por inversión No. 2107, 2108 y 2109 del 28 de diciembre de 2018, para</w:t>
      </w:r>
      <w:r w:rsidR="003E0D74">
        <w:rPr>
          <w:rFonts w:cs="Arial"/>
          <w:lang w:val="es-CO"/>
        </w:rPr>
        <w:t xml:space="preserve"> un</w:t>
      </w:r>
      <w:r w:rsidR="00A20990" w:rsidRPr="001A38D5">
        <w:rPr>
          <w:rFonts w:cs="Arial"/>
          <w:lang w:val="es-CO"/>
        </w:rPr>
        <w:t xml:space="preserve"> financiero, </w:t>
      </w:r>
      <w:r w:rsidR="003E0D74">
        <w:rPr>
          <w:rFonts w:cs="Arial"/>
          <w:lang w:val="es-CO"/>
        </w:rPr>
        <w:t xml:space="preserve">una </w:t>
      </w:r>
      <w:r w:rsidR="00A20990" w:rsidRPr="001A38D5">
        <w:rPr>
          <w:rFonts w:cs="Arial"/>
          <w:lang w:val="es-CO"/>
        </w:rPr>
        <w:t xml:space="preserve">nutricionista y control social, respectivamente. </w:t>
      </w:r>
    </w:p>
    <w:p w14:paraId="32FAF7ED" w14:textId="77777777" w:rsidR="00A20990" w:rsidRPr="001A38D5" w:rsidRDefault="00A20990" w:rsidP="005140E1">
      <w:pPr>
        <w:contextualSpacing/>
        <w:jc w:val="both"/>
        <w:rPr>
          <w:rFonts w:cs="Arial"/>
          <w:lang w:val="es-CO"/>
        </w:rPr>
      </w:pPr>
    </w:p>
    <w:p w14:paraId="6105FF4F" w14:textId="77777777" w:rsidR="00A20990" w:rsidRPr="001A38D5" w:rsidRDefault="00A20990" w:rsidP="005140E1">
      <w:pPr>
        <w:contextualSpacing/>
        <w:jc w:val="both"/>
        <w:rPr>
          <w:rFonts w:cs="Arial"/>
          <w:lang w:val="es-CO"/>
        </w:rPr>
      </w:pPr>
      <w:r w:rsidRPr="001A38D5">
        <w:rPr>
          <w:rFonts w:cs="Arial"/>
          <w:lang w:val="es-CO"/>
        </w:rPr>
        <w:t xml:space="preserve">Para la vigencia 2020 la Entidad </w:t>
      </w:r>
      <w:r w:rsidR="003E0D74">
        <w:rPr>
          <w:rFonts w:cs="Arial"/>
          <w:lang w:val="es-CO"/>
        </w:rPr>
        <w:t>T</w:t>
      </w:r>
      <w:r w:rsidRPr="001A38D5">
        <w:rPr>
          <w:rFonts w:cs="Arial"/>
          <w:lang w:val="es-CO"/>
        </w:rPr>
        <w:t xml:space="preserve">erritorial suscribió </w:t>
      </w:r>
      <w:r w:rsidR="003E0D74">
        <w:rPr>
          <w:rFonts w:cs="Arial"/>
          <w:lang w:val="es-CO"/>
        </w:rPr>
        <w:t>tres (</w:t>
      </w:r>
      <w:r w:rsidRPr="001A38D5">
        <w:rPr>
          <w:rFonts w:cs="Arial"/>
          <w:lang w:val="es-CO"/>
        </w:rPr>
        <w:t>3</w:t>
      </w:r>
      <w:r w:rsidR="003E0D74">
        <w:rPr>
          <w:rFonts w:cs="Arial"/>
          <w:lang w:val="es-CO"/>
        </w:rPr>
        <w:t>)</w:t>
      </w:r>
      <w:r w:rsidRPr="001A38D5">
        <w:rPr>
          <w:rFonts w:cs="Arial"/>
          <w:lang w:val="es-CO"/>
        </w:rPr>
        <w:t xml:space="preserve"> contratos para la operación del PAE de los estudiantes registrados con matrícula oficial así: </w:t>
      </w:r>
    </w:p>
    <w:p w14:paraId="3E206D17" w14:textId="77777777" w:rsidR="00A20990" w:rsidRPr="001A38D5" w:rsidRDefault="00A20990" w:rsidP="005140E1">
      <w:pPr>
        <w:contextualSpacing/>
        <w:jc w:val="both"/>
        <w:rPr>
          <w:rFonts w:cs="Arial"/>
          <w:lang w:val="es-CO"/>
        </w:rPr>
      </w:pPr>
    </w:p>
    <w:p w14:paraId="7D05DAB3" w14:textId="77777777" w:rsidR="00A20990" w:rsidRDefault="00A20990" w:rsidP="005140E1">
      <w:pPr>
        <w:contextualSpacing/>
        <w:jc w:val="both"/>
        <w:rPr>
          <w:rFonts w:cs="Arial"/>
          <w:lang w:val="es-CO"/>
        </w:rPr>
      </w:pPr>
      <w:r w:rsidRPr="001A38D5">
        <w:rPr>
          <w:rFonts w:cs="Arial"/>
          <w:lang w:val="es-CO"/>
        </w:rPr>
        <w:t xml:space="preserve">(i) Proceso de Contratación Directa CD-570-2020, Convenio </w:t>
      </w:r>
      <w:r w:rsidR="003E0D74">
        <w:rPr>
          <w:rFonts w:cs="Arial"/>
          <w:lang w:val="es-CO"/>
        </w:rPr>
        <w:t>I</w:t>
      </w:r>
      <w:r w:rsidRPr="001A38D5">
        <w:rPr>
          <w:rFonts w:cs="Arial"/>
          <w:lang w:val="es-CO"/>
        </w:rPr>
        <w:t xml:space="preserve">nteradministrativo No. 594 de 2020 con el </w:t>
      </w:r>
      <w:r w:rsidR="00EF2696">
        <w:rPr>
          <w:rFonts w:cs="Arial"/>
          <w:lang w:val="es-CO"/>
        </w:rPr>
        <w:t xml:space="preserve">Resguardo Indígena Maguare </w:t>
      </w:r>
      <w:r w:rsidRPr="001A38D5">
        <w:rPr>
          <w:rFonts w:cs="Arial"/>
          <w:lang w:val="es-CO"/>
        </w:rPr>
        <w:t xml:space="preserve">- NIT 901.053.503-9, en la modalidad de </w:t>
      </w:r>
      <w:r w:rsidR="003E0D74">
        <w:rPr>
          <w:rFonts w:cs="Arial"/>
          <w:lang w:val="es-CO"/>
        </w:rPr>
        <w:t>C</w:t>
      </w:r>
      <w:r w:rsidRPr="001A38D5">
        <w:rPr>
          <w:rFonts w:cs="Arial"/>
          <w:lang w:val="es-CO"/>
        </w:rPr>
        <w:t xml:space="preserve">ontratación </w:t>
      </w:r>
      <w:r w:rsidR="003E0D74">
        <w:rPr>
          <w:rFonts w:cs="Arial"/>
          <w:lang w:val="es-CO"/>
        </w:rPr>
        <w:t>D</w:t>
      </w:r>
      <w:r w:rsidRPr="001A38D5">
        <w:rPr>
          <w:rFonts w:cs="Arial"/>
          <w:lang w:val="es-CO"/>
        </w:rPr>
        <w:t xml:space="preserve">irecta para operar el PAE dirigido a los estudiantes registrados con matrícula oficial en el </w:t>
      </w:r>
      <w:r w:rsidR="00EF2696">
        <w:rPr>
          <w:rFonts w:cs="Arial"/>
          <w:lang w:val="es-CO"/>
        </w:rPr>
        <w:t xml:space="preserve">Resguardo Indígena Maguare </w:t>
      </w:r>
      <w:r w:rsidRPr="001A38D5">
        <w:rPr>
          <w:rFonts w:cs="Arial"/>
          <w:lang w:val="es-CO"/>
        </w:rPr>
        <w:t>mediante el suministro de 31 raciones preparadas en sitio tipo almuerzo diarias durante 168 días del calendario escolar en la Institución Educativa Oficial Alfonso López Pumarejo, Sede Educativa Bello Nacer ubicado en el Resguardo Indígena Maguare en la Vereda Puerto Colombia, a partir del 28 de mayo de 2020, conforme lo establecido en la Resolución 18858 de 2018, por $43,1 millones</w:t>
      </w:r>
      <w:r w:rsidR="003E0D74">
        <w:rPr>
          <w:rFonts w:cs="Arial"/>
          <w:lang w:val="es-CO"/>
        </w:rPr>
        <w:t>.</w:t>
      </w:r>
    </w:p>
    <w:p w14:paraId="64A412F1" w14:textId="77777777" w:rsidR="00823978" w:rsidRDefault="00823978" w:rsidP="005140E1">
      <w:pPr>
        <w:contextualSpacing/>
        <w:jc w:val="both"/>
        <w:rPr>
          <w:rFonts w:cs="Arial"/>
          <w:lang w:val="es-CO"/>
        </w:rPr>
      </w:pPr>
    </w:p>
    <w:p w14:paraId="05778298" w14:textId="77777777" w:rsidR="00FC2AAC" w:rsidRDefault="002F53B4" w:rsidP="005140E1">
      <w:pPr>
        <w:contextualSpacing/>
        <w:jc w:val="both"/>
        <w:rPr>
          <w:rFonts w:cs="Arial"/>
          <w:lang w:val="es-CO"/>
        </w:rPr>
      </w:pPr>
      <w:r>
        <w:rPr>
          <w:rFonts w:cs="Arial"/>
          <w:lang w:val="es-CO"/>
        </w:rPr>
        <w:t>T</w:t>
      </w:r>
      <w:r w:rsidR="00823978" w:rsidRPr="00823978">
        <w:rPr>
          <w:rFonts w:cs="Arial"/>
          <w:lang w:val="es-CO"/>
        </w:rPr>
        <w:t xml:space="preserve">eniendo en cuenta que </w:t>
      </w:r>
      <w:r w:rsidR="00420AF5">
        <w:rPr>
          <w:rFonts w:cs="Arial"/>
          <w:lang w:val="es-CO"/>
        </w:rPr>
        <w:t xml:space="preserve">el </w:t>
      </w:r>
      <w:r w:rsidR="00EF2696">
        <w:rPr>
          <w:rFonts w:cs="Arial"/>
          <w:lang w:val="es-CO"/>
        </w:rPr>
        <w:t xml:space="preserve">Resguardo Indígena Maguare </w:t>
      </w:r>
      <w:r w:rsidR="009166E9">
        <w:rPr>
          <w:rFonts w:cs="Arial"/>
          <w:lang w:val="es-CO"/>
        </w:rPr>
        <w:t xml:space="preserve">no es un resguardo que </w:t>
      </w:r>
      <w:r w:rsidR="00823978" w:rsidRPr="00823978">
        <w:rPr>
          <w:rFonts w:cs="Arial"/>
          <w:lang w:val="es-CO"/>
        </w:rPr>
        <w:t>haya sido autorizado para administrar recursos de</w:t>
      </w:r>
      <w:r w:rsidR="009166E9">
        <w:rPr>
          <w:rFonts w:cs="Arial"/>
          <w:lang w:val="es-CO"/>
        </w:rPr>
        <w:t>l SGP y que no ostenta</w:t>
      </w:r>
      <w:r w:rsidR="00823978" w:rsidRPr="00823978">
        <w:rPr>
          <w:rFonts w:cs="Arial"/>
          <w:lang w:val="es-CO"/>
        </w:rPr>
        <w:t xml:space="preserve"> capacida</w:t>
      </w:r>
      <w:r w:rsidR="009166E9">
        <w:rPr>
          <w:rFonts w:cs="Arial"/>
          <w:lang w:val="es-CO"/>
        </w:rPr>
        <w:t>d jurídica como entidad pública de carácter especial, se concluye que el</w:t>
      </w:r>
      <w:r w:rsidR="00420AF5">
        <w:rPr>
          <w:rFonts w:cs="Arial"/>
          <w:lang w:val="es-CO"/>
        </w:rPr>
        <w:t xml:space="preserve"> contratista</w:t>
      </w:r>
      <w:r w:rsidR="00EF2696">
        <w:rPr>
          <w:rFonts w:cs="Arial"/>
          <w:lang w:val="es-CO"/>
        </w:rPr>
        <w:t xml:space="preserve"> con razón </w:t>
      </w:r>
      <w:r w:rsidR="00EF2696">
        <w:rPr>
          <w:rFonts w:cs="Arial"/>
          <w:lang w:val="es-CO"/>
        </w:rPr>
        <w:lastRenderedPageBreak/>
        <w:t>social</w:t>
      </w:r>
      <w:r w:rsidR="009166E9">
        <w:rPr>
          <w:rFonts w:cs="Arial"/>
          <w:lang w:val="es-CO"/>
        </w:rPr>
        <w:t xml:space="preserve"> </w:t>
      </w:r>
      <w:r w:rsidR="00EF2696">
        <w:rPr>
          <w:rFonts w:cs="Arial"/>
          <w:lang w:val="es-CO"/>
        </w:rPr>
        <w:t xml:space="preserve">Resguardo Indígena Maguare identificado </w:t>
      </w:r>
      <w:r w:rsidR="009166E9">
        <w:rPr>
          <w:rFonts w:cs="Arial"/>
          <w:lang w:val="es-CO"/>
        </w:rPr>
        <w:t>con</w:t>
      </w:r>
      <w:r w:rsidR="009166E9" w:rsidRPr="009166E9">
        <w:rPr>
          <w:rFonts w:cs="Arial"/>
          <w:lang w:val="es-CO"/>
        </w:rPr>
        <w:t xml:space="preserve"> NIT 901.053.503-9 </w:t>
      </w:r>
      <w:r w:rsidR="00FC2AAC">
        <w:rPr>
          <w:rFonts w:cs="Arial"/>
          <w:lang w:val="es-CO"/>
        </w:rPr>
        <w:t xml:space="preserve">no puede ser considerado como </w:t>
      </w:r>
      <w:r w:rsidR="00D704F6">
        <w:rPr>
          <w:rFonts w:cs="Arial"/>
          <w:lang w:val="es-CO"/>
        </w:rPr>
        <w:t>o</w:t>
      </w:r>
      <w:r w:rsidR="00FC2AAC">
        <w:rPr>
          <w:rFonts w:cs="Arial"/>
          <w:lang w:val="es-CO"/>
        </w:rPr>
        <w:t xml:space="preserve">perador </w:t>
      </w:r>
      <w:r w:rsidR="00D704F6">
        <w:rPr>
          <w:rFonts w:cs="Arial"/>
          <w:lang w:val="es-CO"/>
        </w:rPr>
        <w:t>i</w:t>
      </w:r>
      <w:r w:rsidR="00FC2AAC">
        <w:rPr>
          <w:rFonts w:cs="Arial"/>
          <w:lang w:val="es-CO"/>
        </w:rPr>
        <w:t xml:space="preserve">ndígena y por tanto la modalidad de selección no se acoge a lo señalado en el </w:t>
      </w:r>
      <w:r w:rsidR="00EF2696">
        <w:rPr>
          <w:rFonts w:cs="Arial"/>
          <w:lang w:val="es-CO"/>
        </w:rPr>
        <w:t>literal l</w:t>
      </w:r>
      <w:r w:rsidR="00D704F6">
        <w:rPr>
          <w:rFonts w:cs="Arial"/>
          <w:lang w:val="es-CO"/>
        </w:rPr>
        <w:t>)</w:t>
      </w:r>
      <w:r w:rsidR="00FC2AAC">
        <w:rPr>
          <w:rFonts w:cs="Arial"/>
          <w:lang w:val="es-CO"/>
        </w:rPr>
        <w:t xml:space="preserve"> del numeral 4 del artículo 2 de la Ley 1150 de 2007, según el cual se realizará el proceso bajo la modalidad de contratación directa para contratos interadministrativos.</w:t>
      </w:r>
      <w:r w:rsidR="005C2FE2">
        <w:rPr>
          <w:rFonts w:cs="Arial"/>
          <w:lang w:val="es-CO"/>
        </w:rPr>
        <w:t xml:space="preserve"> </w:t>
      </w:r>
    </w:p>
    <w:p w14:paraId="54D9A8EE" w14:textId="77777777" w:rsidR="005C2FE2" w:rsidRDefault="005C2FE2" w:rsidP="005140E1">
      <w:pPr>
        <w:contextualSpacing/>
        <w:jc w:val="both"/>
        <w:rPr>
          <w:rFonts w:cs="Arial"/>
          <w:lang w:val="es-CO"/>
        </w:rPr>
      </w:pPr>
    </w:p>
    <w:p w14:paraId="3D3296A4" w14:textId="77777777" w:rsidR="00A20990" w:rsidRPr="001A38D5" w:rsidRDefault="00A20990" w:rsidP="005140E1">
      <w:pPr>
        <w:contextualSpacing/>
        <w:jc w:val="both"/>
        <w:rPr>
          <w:rFonts w:cs="Arial"/>
          <w:lang w:val="es-CO"/>
        </w:rPr>
      </w:pPr>
      <w:r w:rsidRPr="001A38D5">
        <w:rPr>
          <w:rFonts w:cs="Arial"/>
          <w:lang w:val="es-CO"/>
        </w:rPr>
        <w:t xml:space="preserve">(ii) Proceso de Licitación Pública LP-021 de 2019, Contrato de </w:t>
      </w:r>
      <w:r w:rsidR="00216071">
        <w:rPr>
          <w:rFonts w:cs="Arial"/>
          <w:lang w:val="es-CO"/>
        </w:rPr>
        <w:t>P</w:t>
      </w:r>
      <w:r w:rsidRPr="001A38D5">
        <w:rPr>
          <w:rFonts w:cs="Arial"/>
          <w:lang w:val="es-CO"/>
        </w:rPr>
        <w:t xml:space="preserve">restación de </w:t>
      </w:r>
      <w:r w:rsidR="00216071">
        <w:rPr>
          <w:rFonts w:cs="Arial"/>
          <w:lang w:val="es-CO"/>
        </w:rPr>
        <w:t>S</w:t>
      </w:r>
      <w:r w:rsidRPr="001A38D5">
        <w:rPr>
          <w:rFonts w:cs="Arial"/>
          <w:lang w:val="es-CO"/>
        </w:rPr>
        <w:t>ervicios No. 049 del 7 de febrero de 2020 celebrado entre el Municipio de Villavicencio y la Unión Temporal PAE para Villavicencio 2020 con NIT 901.364.060-2, conformada por MCD y Compañía S.A.S. - NIT 804.003.814-9 (55</w:t>
      </w:r>
      <w:r w:rsidR="00216071">
        <w:rPr>
          <w:rFonts w:cs="Arial"/>
          <w:lang w:val="es-CO"/>
        </w:rPr>
        <w:t xml:space="preserve"> </w:t>
      </w:r>
      <w:r w:rsidRPr="001A38D5">
        <w:rPr>
          <w:rFonts w:cs="Arial"/>
          <w:lang w:val="es-CO"/>
        </w:rPr>
        <w:t xml:space="preserve">%), Servicios y </w:t>
      </w:r>
      <w:r w:rsidR="00216071">
        <w:rPr>
          <w:rFonts w:cs="Arial"/>
          <w:lang w:val="es-CO"/>
        </w:rPr>
        <w:t>S</w:t>
      </w:r>
      <w:r w:rsidRPr="001A38D5">
        <w:rPr>
          <w:rFonts w:cs="Arial"/>
          <w:lang w:val="es-CO"/>
        </w:rPr>
        <w:t xml:space="preserve">uministro de </w:t>
      </w:r>
      <w:r w:rsidR="00216071">
        <w:rPr>
          <w:rFonts w:cs="Arial"/>
          <w:lang w:val="es-CO"/>
        </w:rPr>
        <w:t>A</w:t>
      </w:r>
      <w:r w:rsidRPr="001A38D5">
        <w:rPr>
          <w:rFonts w:cs="Arial"/>
          <w:lang w:val="es-CO"/>
        </w:rPr>
        <w:t xml:space="preserve">limentos a la </w:t>
      </w:r>
      <w:r w:rsidR="00216071">
        <w:rPr>
          <w:rFonts w:cs="Arial"/>
          <w:lang w:val="es-CO"/>
        </w:rPr>
        <w:t>M</w:t>
      </w:r>
      <w:r w:rsidRPr="001A38D5">
        <w:rPr>
          <w:rFonts w:cs="Arial"/>
          <w:lang w:val="es-CO"/>
        </w:rPr>
        <w:t>esa S.A.S - NIT 901.208.373-5 (40</w:t>
      </w:r>
      <w:r w:rsidR="00216071">
        <w:rPr>
          <w:rFonts w:cs="Arial"/>
          <w:lang w:val="es-CO"/>
        </w:rPr>
        <w:t xml:space="preserve"> </w:t>
      </w:r>
      <w:r w:rsidRPr="001A38D5">
        <w:rPr>
          <w:rFonts w:cs="Arial"/>
          <w:lang w:val="es-CO"/>
        </w:rPr>
        <w:t>%) y Mariela Centeno de Delgado - C.C. 27.955.529 (5</w:t>
      </w:r>
      <w:r w:rsidR="00216071">
        <w:rPr>
          <w:rFonts w:cs="Arial"/>
          <w:lang w:val="es-CO"/>
        </w:rPr>
        <w:t xml:space="preserve"> </w:t>
      </w:r>
      <w:r w:rsidRPr="001A38D5">
        <w:rPr>
          <w:rFonts w:cs="Arial"/>
          <w:lang w:val="es-CO"/>
        </w:rPr>
        <w:t>%), para la entrega de 88.823 raciones diarias (28.982 CAJAM/JT – RI y 4.841 RPS almuerzo) durante 95 días del calendario escolar (a partir del 17 de febrero de 2020) por $7.010,25 millones.</w:t>
      </w:r>
    </w:p>
    <w:p w14:paraId="58C9E5CC" w14:textId="77777777" w:rsidR="00A20990" w:rsidRPr="001A38D5" w:rsidRDefault="00A20990" w:rsidP="005140E1">
      <w:pPr>
        <w:contextualSpacing/>
        <w:jc w:val="both"/>
        <w:rPr>
          <w:rFonts w:cs="Arial"/>
          <w:lang w:val="es-CO"/>
        </w:rPr>
      </w:pPr>
    </w:p>
    <w:p w14:paraId="5481A33E" w14:textId="77777777" w:rsidR="00A20990" w:rsidRPr="001A38D5" w:rsidRDefault="00A20990" w:rsidP="005140E1">
      <w:pPr>
        <w:contextualSpacing/>
        <w:jc w:val="both"/>
        <w:rPr>
          <w:rFonts w:cs="Arial"/>
          <w:lang w:val="es-CO"/>
        </w:rPr>
      </w:pPr>
      <w:r w:rsidRPr="001A38D5">
        <w:rPr>
          <w:rFonts w:cs="Arial"/>
          <w:lang w:val="es-CO"/>
        </w:rPr>
        <w:t xml:space="preserve">Entre el 17 de febrero y el 13 de marzo de 2020 la UT PAE para Villavicencio 2020 operó el Programa en el marco de la Resolución 29452 de 2017. Entre el 16 y el 20 de marzo se entregaron materias primas para la preparación de los complementos RPS almuerzo y el inventario de CAJAM/JT RI en bodega de almacenamiento para ser distribuidos. En virtud de la declaratoria de emergencia sanitaria decretada mediante Resolución 385 el 12 de marzo de 2020 del Ministerio de </w:t>
      </w:r>
      <w:r w:rsidR="00216071">
        <w:rPr>
          <w:rFonts w:cs="Arial"/>
          <w:lang w:val="es-CO"/>
        </w:rPr>
        <w:t>S</w:t>
      </w:r>
      <w:r w:rsidRPr="001A38D5">
        <w:rPr>
          <w:rFonts w:cs="Arial"/>
          <w:lang w:val="es-CO"/>
        </w:rPr>
        <w:t xml:space="preserve">alud y </w:t>
      </w:r>
      <w:r w:rsidR="00216071">
        <w:rPr>
          <w:rFonts w:cs="Arial"/>
          <w:lang w:val="es-CO"/>
        </w:rPr>
        <w:t>P</w:t>
      </w:r>
      <w:r w:rsidRPr="001A38D5">
        <w:rPr>
          <w:rFonts w:cs="Arial"/>
          <w:lang w:val="es-CO"/>
        </w:rPr>
        <w:t xml:space="preserve">rotección </w:t>
      </w:r>
      <w:r w:rsidR="00216071">
        <w:rPr>
          <w:rFonts w:cs="Arial"/>
          <w:lang w:val="es-CO"/>
        </w:rPr>
        <w:t>S</w:t>
      </w:r>
      <w:r w:rsidRPr="001A38D5">
        <w:rPr>
          <w:rFonts w:cs="Arial"/>
          <w:lang w:val="es-CO"/>
        </w:rPr>
        <w:t xml:space="preserve">ocial y considerando las medidas adoptadas por la Unidad Administrativa Especial de Alimentación Escolar </w:t>
      </w:r>
      <w:r w:rsidR="00216071">
        <w:rPr>
          <w:rFonts w:cs="Arial"/>
          <w:lang w:val="es-CO"/>
        </w:rPr>
        <w:t>“</w:t>
      </w:r>
      <w:r w:rsidRPr="007A412F">
        <w:rPr>
          <w:rFonts w:cs="Arial"/>
          <w:i/>
          <w:iCs/>
          <w:lang w:val="es-CO"/>
        </w:rPr>
        <w:t>Alimentos para Aprender</w:t>
      </w:r>
      <w:r w:rsidR="00216071">
        <w:rPr>
          <w:rFonts w:cs="Arial"/>
          <w:lang w:val="es-CO"/>
        </w:rPr>
        <w:t>”</w:t>
      </w:r>
      <w:r w:rsidRPr="001A38D5">
        <w:rPr>
          <w:rFonts w:cs="Arial"/>
          <w:lang w:val="es-CO"/>
        </w:rPr>
        <w:t xml:space="preserve"> </w:t>
      </w:r>
      <w:r w:rsidR="00216071">
        <w:rPr>
          <w:rFonts w:cs="Arial"/>
          <w:lang w:val="es-CO"/>
        </w:rPr>
        <w:t xml:space="preserve">- </w:t>
      </w:r>
      <w:r w:rsidRPr="001A38D5">
        <w:rPr>
          <w:rFonts w:cs="Arial"/>
          <w:lang w:val="es-CO"/>
        </w:rPr>
        <w:t>UA</w:t>
      </w:r>
      <w:r w:rsidR="006E442B" w:rsidRPr="001A38D5">
        <w:rPr>
          <w:rFonts w:cs="Arial"/>
          <w:lang w:val="es-CO"/>
        </w:rPr>
        <w:t>P</w:t>
      </w:r>
      <w:r w:rsidRPr="001A38D5">
        <w:rPr>
          <w:rFonts w:cs="Arial"/>
          <w:lang w:val="es-CO"/>
        </w:rPr>
        <w:t>A mediante las Resoluciones 006, 007 y 008 de 2020, el Municipio acogió las disposiciones del Gobierno Nacional y realiz</w:t>
      </w:r>
      <w:r w:rsidR="00F537AF" w:rsidRPr="001A38D5">
        <w:rPr>
          <w:rFonts w:cs="Arial"/>
          <w:lang w:val="es-CO"/>
        </w:rPr>
        <w:t>ó</w:t>
      </w:r>
      <w:r w:rsidRPr="001A38D5">
        <w:rPr>
          <w:rFonts w:cs="Arial"/>
          <w:lang w:val="es-CO"/>
        </w:rPr>
        <w:t xml:space="preserve"> la modificación 01 al Contrato, adoptando la modalidad de Ración para Preparar en Casa </w:t>
      </w:r>
      <w:r w:rsidR="00216071">
        <w:rPr>
          <w:rFonts w:cs="Arial"/>
          <w:lang w:val="es-CO"/>
        </w:rPr>
        <w:t xml:space="preserve">- </w:t>
      </w:r>
      <w:r w:rsidRPr="001A38D5">
        <w:rPr>
          <w:rFonts w:cs="Arial"/>
          <w:lang w:val="es-CO"/>
        </w:rPr>
        <w:t>RPC para el periodo abril – mayo, sin alterar el valor del contrato. Posteriormente, se realizó la modificación No. 2 del Contrato para la entrega de mayo – junio, aumentando la cobertura en 13.334 titulares de derecho de sedes educativas oficiales ubicados en zonas con alta concentración de población vulnerable, para un total de 47.157, sin afectar el valor inicial del Contrato.</w:t>
      </w:r>
      <w:r w:rsidR="00ED03DF">
        <w:rPr>
          <w:rFonts w:cs="Arial"/>
          <w:lang w:val="es-CO"/>
        </w:rPr>
        <w:t xml:space="preserve"> La Entidad especifica que </w:t>
      </w:r>
      <w:r w:rsidR="00ED03DF" w:rsidRPr="00ED03DF">
        <w:rPr>
          <w:rFonts w:cs="Arial"/>
          <w:lang w:val="es-CO"/>
        </w:rPr>
        <w:t xml:space="preserve">la </w:t>
      </w:r>
      <w:r w:rsidR="00FB163C">
        <w:rPr>
          <w:rFonts w:cs="Arial"/>
          <w:lang w:val="es-CO"/>
        </w:rPr>
        <w:t xml:space="preserve">se </w:t>
      </w:r>
      <w:r w:rsidR="00ED03DF" w:rsidRPr="00ED03DF">
        <w:rPr>
          <w:rFonts w:cs="Arial"/>
          <w:lang w:val="es-CO"/>
        </w:rPr>
        <w:t>ejecuta</w:t>
      </w:r>
      <w:r w:rsidR="00FB163C">
        <w:rPr>
          <w:rFonts w:cs="Arial"/>
          <w:lang w:val="es-CO"/>
        </w:rPr>
        <w:t xml:space="preserve">ría </w:t>
      </w:r>
      <w:r w:rsidR="00D704F6">
        <w:rPr>
          <w:rFonts w:cs="Arial"/>
          <w:lang w:val="es-CO"/>
        </w:rPr>
        <w:t xml:space="preserve">el Otrosí </w:t>
      </w:r>
      <w:r w:rsidR="00FB163C">
        <w:rPr>
          <w:rFonts w:cs="Arial"/>
          <w:lang w:val="es-CO"/>
        </w:rPr>
        <w:t>No. 02 del C</w:t>
      </w:r>
      <w:r w:rsidR="00ED03DF" w:rsidRPr="00ED03DF">
        <w:rPr>
          <w:rFonts w:cs="Arial"/>
          <w:lang w:val="es-CO"/>
        </w:rPr>
        <w:t xml:space="preserve">ontrato </w:t>
      </w:r>
      <w:r w:rsidR="00FB163C" w:rsidRPr="001A38D5">
        <w:rPr>
          <w:rFonts w:cs="Arial"/>
          <w:lang w:val="es-CO"/>
        </w:rPr>
        <w:t xml:space="preserve">No. 049 </w:t>
      </w:r>
      <w:r w:rsidR="00ED03DF" w:rsidRPr="00ED03DF">
        <w:rPr>
          <w:rFonts w:cs="Arial"/>
          <w:lang w:val="es-CO"/>
        </w:rPr>
        <w:t xml:space="preserve">hasta agotar los recursos comprometidos según el registro presupuestal </w:t>
      </w:r>
      <w:r w:rsidR="00FB163C">
        <w:rPr>
          <w:rFonts w:cs="Arial"/>
          <w:lang w:val="es-CO"/>
        </w:rPr>
        <w:t>No.</w:t>
      </w:r>
      <w:r w:rsidR="00ED03DF" w:rsidRPr="00ED03DF">
        <w:rPr>
          <w:rFonts w:cs="Arial"/>
          <w:lang w:val="es-CO"/>
        </w:rPr>
        <w:t xml:space="preserve"> 265 del 7 de febrero 2020 no ejecutados y mientras se encuentre en </w:t>
      </w:r>
      <w:r w:rsidR="00FB163C">
        <w:rPr>
          <w:rFonts w:cs="Arial"/>
          <w:lang w:val="es-CO"/>
        </w:rPr>
        <w:t>vigencia la R</w:t>
      </w:r>
      <w:r w:rsidR="00ED03DF" w:rsidRPr="00ED03DF">
        <w:rPr>
          <w:rFonts w:cs="Arial"/>
          <w:lang w:val="es-CO"/>
        </w:rPr>
        <w:t xml:space="preserve">esolución 007 de 2020 de la </w:t>
      </w:r>
      <w:r w:rsidR="00FB163C">
        <w:rPr>
          <w:rFonts w:cs="Arial"/>
          <w:lang w:val="es-CO"/>
        </w:rPr>
        <w:t>UApA.</w:t>
      </w:r>
    </w:p>
    <w:p w14:paraId="0C605D17" w14:textId="77777777" w:rsidR="00A20990" w:rsidRPr="001A38D5" w:rsidRDefault="00A20990" w:rsidP="005140E1">
      <w:pPr>
        <w:contextualSpacing/>
        <w:jc w:val="both"/>
        <w:rPr>
          <w:rFonts w:cs="Arial"/>
          <w:lang w:val="es-CO"/>
        </w:rPr>
      </w:pPr>
    </w:p>
    <w:p w14:paraId="67DFED7B" w14:textId="77777777" w:rsidR="00A20990" w:rsidRPr="001A38D5" w:rsidRDefault="00FB163C" w:rsidP="005140E1">
      <w:pPr>
        <w:contextualSpacing/>
        <w:jc w:val="both"/>
        <w:rPr>
          <w:rFonts w:cs="Arial"/>
          <w:lang w:val="es-CO"/>
        </w:rPr>
      </w:pPr>
      <w:r>
        <w:rPr>
          <w:rFonts w:cs="Arial"/>
          <w:lang w:val="es-CO"/>
        </w:rPr>
        <w:t>Posteriormente</w:t>
      </w:r>
      <w:r w:rsidR="00A20990" w:rsidRPr="001A38D5">
        <w:rPr>
          <w:rFonts w:cs="Arial"/>
          <w:lang w:val="es-CO"/>
        </w:rPr>
        <w:t xml:space="preserve">, el 18 de junio de 2020 el Municipio realizó la Adición y Prorroga No. 01 del Contrato por $1.005,05 millones y 20 días del calendario escolar (del 30 de julio al 28 de agosto). Luego, el 10 de agosto de 2020 se suscribió el acta de Adición y Prorroga No. 02 del Contrato 049, por $2.254,76 millones, por un término de 30 días del calendario escolar (desde el 28 de agosto hasta el 9 de octubre de 2020), con el fin de garantizar la continuidad en la prestación del Servicio). Finalmente, el 9 de octubre de 2020 se suscribe el Acta de Prorroga No. 03 por un término de 9 días del calendario escolar con el fin de entregar las raciones no reclamadas por los titulares de derecho, teniendo como fecha de terminación el 23 de octubre de 2020, sin afectar el valor del Contrato. </w:t>
      </w:r>
    </w:p>
    <w:p w14:paraId="14A67562" w14:textId="77777777" w:rsidR="00A20990" w:rsidRPr="001A38D5" w:rsidRDefault="00A20990" w:rsidP="005140E1">
      <w:pPr>
        <w:contextualSpacing/>
        <w:jc w:val="both"/>
        <w:rPr>
          <w:rFonts w:cs="Arial"/>
          <w:lang w:val="es-CO"/>
        </w:rPr>
      </w:pPr>
    </w:p>
    <w:p w14:paraId="50F1E114" w14:textId="77777777" w:rsidR="00A20990" w:rsidRPr="001A38D5" w:rsidRDefault="00A20990" w:rsidP="005140E1">
      <w:pPr>
        <w:contextualSpacing/>
        <w:jc w:val="both"/>
        <w:rPr>
          <w:rFonts w:cs="Arial"/>
          <w:lang w:val="es-CO"/>
        </w:rPr>
      </w:pPr>
      <w:r w:rsidRPr="001A38D5">
        <w:rPr>
          <w:rFonts w:cs="Arial"/>
          <w:lang w:val="es-CO"/>
        </w:rPr>
        <w:t xml:space="preserve">En suma, se ejecutó el PAE por 154 días del calendario escolar, entre el 17 de febrero </w:t>
      </w:r>
      <w:r w:rsidRPr="001A38D5">
        <w:rPr>
          <w:rFonts w:cs="Arial"/>
          <w:lang w:val="es-CO"/>
        </w:rPr>
        <w:lastRenderedPageBreak/>
        <w:t>y el 23 de octubre de 2020, iniciando con la entrega a 33.823 titulares de derecho y finalizando con 46.705 RPC entregadas en octubre. El valor final del Contrato fue de $10.270,06 millones, de los cuales se ejecutaron $10.197,55.</w:t>
      </w:r>
    </w:p>
    <w:p w14:paraId="6A54AA1C" w14:textId="77777777" w:rsidR="00A20990" w:rsidRPr="001A38D5" w:rsidRDefault="00A20990" w:rsidP="005140E1">
      <w:pPr>
        <w:contextualSpacing/>
        <w:jc w:val="both"/>
        <w:rPr>
          <w:rFonts w:cs="Arial"/>
          <w:lang w:val="es-CO"/>
        </w:rPr>
      </w:pPr>
    </w:p>
    <w:p w14:paraId="4D0ED8F3" w14:textId="77777777" w:rsidR="00A20990" w:rsidRPr="001A38D5" w:rsidRDefault="00A20990" w:rsidP="005140E1">
      <w:pPr>
        <w:contextualSpacing/>
        <w:jc w:val="both"/>
        <w:rPr>
          <w:rFonts w:cs="Arial"/>
          <w:lang w:val="es-CO"/>
        </w:rPr>
      </w:pPr>
      <w:r w:rsidRPr="001A38D5">
        <w:rPr>
          <w:rFonts w:cs="Arial"/>
          <w:lang w:val="es-CO"/>
        </w:rPr>
        <w:t xml:space="preserve">(iii) Proceso de Licitación Pública LP-006-2020, Contrato de </w:t>
      </w:r>
      <w:r w:rsidR="00216071">
        <w:rPr>
          <w:rFonts w:cs="Arial"/>
          <w:lang w:val="es-CO"/>
        </w:rPr>
        <w:t>P</w:t>
      </w:r>
      <w:r w:rsidRPr="001A38D5">
        <w:rPr>
          <w:rFonts w:cs="Arial"/>
          <w:lang w:val="es-CO"/>
        </w:rPr>
        <w:t xml:space="preserve">restación de </w:t>
      </w:r>
      <w:r w:rsidR="00216071">
        <w:rPr>
          <w:rFonts w:cs="Arial"/>
          <w:lang w:val="es-CO"/>
        </w:rPr>
        <w:t>S</w:t>
      </w:r>
      <w:r w:rsidRPr="001A38D5">
        <w:rPr>
          <w:rFonts w:cs="Arial"/>
          <w:lang w:val="es-CO"/>
        </w:rPr>
        <w:t>ervicios No. 1961 del 13 de diciembre de 2020 celebrado con la Unión Temporal Compromiso Por Villavicencio - NIT 901.438.327-2, conformada por la Fundación Ecológica y Social La Esperanza - NIT. 813.008.690-8 (51</w:t>
      </w:r>
      <w:r w:rsidR="00216071">
        <w:rPr>
          <w:rFonts w:cs="Arial"/>
          <w:lang w:val="es-CO"/>
        </w:rPr>
        <w:t xml:space="preserve"> </w:t>
      </w:r>
      <w:r w:rsidRPr="001A38D5">
        <w:rPr>
          <w:rFonts w:cs="Arial"/>
          <w:lang w:val="es-CO"/>
        </w:rPr>
        <w:t>%), la ONG Corporación Multiactiva Emprender ONG - NIT. 900.164.714-9 (9</w:t>
      </w:r>
      <w:r w:rsidR="00216071">
        <w:rPr>
          <w:rFonts w:cs="Arial"/>
          <w:lang w:val="es-CO"/>
        </w:rPr>
        <w:t xml:space="preserve"> </w:t>
      </w:r>
      <w:r w:rsidRPr="001A38D5">
        <w:rPr>
          <w:rFonts w:cs="Arial"/>
          <w:lang w:val="es-CO"/>
        </w:rPr>
        <w:t>%), y Marisol Vela Gomez - C.C. 31.195.610 (40</w:t>
      </w:r>
      <w:r w:rsidR="00216071">
        <w:rPr>
          <w:rFonts w:cs="Arial"/>
          <w:lang w:val="es-CO"/>
        </w:rPr>
        <w:t xml:space="preserve"> </w:t>
      </w:r>
      <w:r w:rsidRPr="001A38D5">
        <w:rPr>
          <w:rFonts w:cs="Arial"/>
          <w:lang w:val="es-CO"/>
        </w:rPr>
        <w:t>%), para la entrega de 47.157 RPC por un término de un mes por un valor de $2.200,9 millones. Entre el 13 al 31 de diciembre de 2020. se suministraron 44.837 raciones por un valor total de $2.176,8 millones.</w:t>
      </w:r>
    </w:p>
    <w:p w14:paraId="4DA5C7E1" w14:textId="77777777" w:rsidR="00A20990" w:rsidRPr="001A38D5" w:rsidRDefault="00A20990" w:rsidP="005140E1">
      <w:pPr>
        <w:contextualSpacing/>
        <w:jc w:val="both"/>
        <w:rPr>
          <w:rFonts w:cs="Arial"/>
          <w:lang w:val="es-CO"/>
        </w:rPr>
      </w:pPr>
    </w:p>
    <w:p w14:paraId="6BF1E844" w14:textId="77777777" w:rsidR="00A20990" w:rsidRPr="001A38D5" w:rsidRDefault="00A20990" w:rsidP="005140E1">
      <w:pPr>
        <w:contextualSpacing/>
        <w:jc w:val="both"/>
        <w:rPr>
          <w:rFonts w:cs="Arial"/>
          <w:lang w:val="es-CO"/>
        </w:rPr>
      </w:pPr>
      <w:r w:rsidRPr="001A38D5">
        <w:rPr>
          <w:rFonts w:cs="Arial"/>
          <w:lang w:val="es-CO"/>
        </w:rPr>
        <w:t>Para el equipo PAE se suscribieron 14 contratos por un valor total de $169,8 millones con fuente PGN, para la prestación de servicios profesionales para fortalecer los componentes financiero, técnico, administrativo y de nutrición y dietética.</w:t>
      </w:r>
    </w:p>
    <w:p w14:paraId="3A685743" w14:textId="77777777" w:rsidR="00A20990" w:rsidRPr="001A38D5" w:rsidRDefault="00A20990" w:rsidP="005140E1">
      <w:pPr>
        <w:contextualSpacing/>
        <w:jc w:val="both"/>
        <w:rPr>
          <w:rFonts w:cs="Arial"/>
          <w:lang w:val="es-CO"/>
        </w:rPr>
      </w:pPr>
    </w:p>
    <w:p w14:paraId="4FE8882B" w14:textId="77777777" w:rsidR="00A20990" w:rsidRPr="001A38D5" w:rsidRDefault="00A20990" w:rsidP="005140E1">
      <w:pPr>
        <w:contextualSpacing/>
        <w:jc w:val="both"/>
        <w:rPr>
          <w:rFonts w:cs="Arial"/>
          <w:lang w:val="es-CO"/>
        </w:rPr>
      </w:pPr>
      <w:r w:rsidRPr="001A38D5">
        <w:rPr>
          <w:rFonts w:cs="Arial"/>
          <w:lang w:val="es-CO"/>
        </w:rPr>
        <w:t xml:space="preserve">Para la vigencia 2021, desde el 27 de diciembre de 2020, la oficina de contratación dio inicio al proceso LP 010-2020, con el objetivo de prestar el Servicio de Alimentación Escolar en el Municipio, el cual fue adjudicado al Consorcio de Alimentación Infantil 2021, suscribiendo el Contrato de </w:t>
      </w:r>
      <w:r w:rsidR="00216071">
        <w:rPr>
          <w:rFonts w:cs="Arial"/>
          <w:lang w:val="es-CO"/>
        </w:rPr>
        <w:t>P</w:t>
      </w:r>
      <w:r w:rsidRPr="001A38D5">
        <w:rPr>
          <w:rFonts w:cs="Arial"/>
          <w:lang w:val="es-CO"/>
        </w:rPr>
        <w:t xml:space="preserve">restación de </w:t>
      </w:r>
      <w:r w:rsidR="00216071">
        <w:rPr>
          <w:rFonts w:cs="Arial"/>
          <w:lang w:val="es-CO"/>
        </w:rPr>
        <w:t>S</w:t>
      </w:r>
      <w:r w:rsidRPr="001A38D5">
        <w:rPr>
          <w:rFonts w:cs="Arial"/>
          <w:lang w:val="es-CO"/>
        </w:rPr>
        <w:t xml:space="preserve">ervicios No. 794 del 12 de marzo de 2021 por $6.578 millones, para el suministro de 46.553 RPC durante 3 meses. No obstante, el 29 de marzo 2021 se dio la terminación bilateral del contrato debido al pronunciamiento de la Dirección Territorial Guaviare del Ministerio de </w:t>
      </w:r>
      <w:r w:rsidR="00216071">
        <w:rPr>
          <w:rFonts w:cs="Arial"/>
          <w:lang w:val="es-CO"/>
        </w:rPr>
        <w:t>T</w:t>
      </w:r>
      <w:r w:rsidRPr="001A38D5">
        <w:rPr>
          <w:rFonts w:cs="Arial"/>
          <w:lang w:val="es-CO"/>
        </w:rPr>
        <w:t>rabajo, en el que advierte la posible irregularidad presentada en la acreditación de la certificación de vinculación de trabajadores en situación de discapacidad que habría presentado uno de los integrantes del Consorcio.</w:t>
      </w:r>
    </w:p>
    <w:p w14:paraId="26BCC9DE" w14:textId="77777777" w:rsidR="00A20990" w:rsidRPr="001A38D5" w:rsidRDefault="00A20990" w:rsidP="005140E1">
      <w:pPr>
        <w:contextualSpacing/>
        <w:jc w:val="both"/>
        <w:rPr>
          <w:rFonts w:cs="Arial"/>
          <w:lang w:val="es-CO"/>
        </w:rPr>
      </w:pPr>
    </w:p>
    <w:p w14:paraId="339900DF" w14:textId="77777777" w:rsidR="00A20990" w:rsidRDefault="00A20990" w:rsidP="005140E1">
      <w:pPr>
        <w:contextualSpacing/>
        <w:jc w:val="both"/>
        <w:rPr>
          <w:rFonts w:cs="Arial"/>
          <w:lang w:val="es-CO"/>
        </w:rPr>
      </w:pPr>
      <w:r w:rsidRPr="001A38D5">
        <w:rPr>
          <w:rFonts w:cs="Arial"/>
          <w:lang w:val="es-CO"/>
        </w:rPr>
        <w:t xml:space="preserve">De este modo, durante la vigencia 2021, el Municipio suscribió </w:t>
      </w:r>
      <w:r w:rsidR="00AF34E5">
        <w:rPr>
          <w:rFonts w:cs="Arial"/>
          <w:lang w:val="es-CO"/>
        </w:rPr>
        <w:t>cuatro (</w:t>
      </w:r>
      <w:r w:rsidRPr="001A38D5">
        <w:rPr>
          <w:rFonts w:cs="Arial"/>
          <w:lang w:val="es-CO"/>
        </w:rPr>
        <w:t>4</w:t>
      </w:r>
      <w:r w:rsidR="00AF34E5">
        <w:rPr>
          <w:rFonts w:cs="Arial"/>
          <w:lang w:val="es-CO"/>
        </w:rPr>
        <w:t>)</w:t>
      </w:r>
      <w:r w:rsidRPr="001A38D5">
        <w:rPr>
          <w:rFonts w:cs="Arial"/>
          <w:lang w:val="es-CO"/>
        </w:rPr>
        <w:t xml:space="preserve"> contratos para la operación del PAE en las </w:t>
      </w:r>
      <w:r w:rsidR="00216071">
        <w:rPr>
          <w:rFonts w:cs="Arial"/>
          <w:lang w:val="es-CO"/>
        </w:rPr>
        <w:t>i</w:t>
      </w:r>
      <w:r w:rsidRPr="001A38D5">
        <w:rPr>
          <w:rFonts w:cs="Arial"/>
          <w:lang w:val="es-CO"/>
        </w:rPr>
        <w:t xml:space="preserve">nstituciones educativas oficiales de su jurisdicción, uno para el </w:t>
      </w:r>
      <w:r w:rsidR="00216071">
        <w:rPr>
          <w:rFonts w:cs="Arial"/>
          <w:lang w:val="es-CO"/>
        </w:rPr>
        <w:t>Resguardo</w:t>
      </w:r>
      <w:r w:rsidR="00216071" w:rsidRPr="001A38D5">
        <w:rPr>
          <w:rFonts w:cs="Arial"/>
          <w:lang w:val="es-CO"/>
        </w:rPr>
        <w:t xml:space="preserve"> </w:t>
      </w:r>
      <w:r w:rsidR="00216071">
        <w:rPr>
          <w:rFonts w:cs="Arial"/>
          <w:lang w:val="es-CO"/>
        </w:rPr>
        <w:t>I</w:t>
      </w:r>
      <w:r w:rsidRPr="001A38D5">
        <w:rPr>
          <w:rFonts w:cs="Arial"/>
          <w:lang w:val="es-CO"/>
        </w:rPr>
        <w:t xml:space="preserve">ndígena del Municipio y </w:t>
      </w:r>
      <w:r w:rsidR="00AF34E5">
        <w:rPr>
          <w:rFonts w:cs="Arial"/>
          <w:lang w:val="es-CO"/>
        </w:rPr>
        <w:t>tres (</w:t>
      </w:r>
      <w:r w:rsidRPr="001A38D5">
        <w:rPr>
          <w:rFonts w:cs="Arial"/>
          <w:lang w:val="es-CO"/>
        </w:rPr>
        <w:t>3</w:t>
      </w:r>
      <w:r w:rsidR="00AF34E5">
        <w:rPr>
          <w:rFonts w:cs="Arial"/>
          <w:lang w:val="es-CO"/>
        </w:rPr>
        <w:t>)</w:t>
      </w:r>
      <w:r w:rsidRPr="001A38D5">
        <w:rPr>
          <w:rFonts w:cs="Arial"/>
          <w:lang w:val="es-CO"/>
        </w:rPr>
        <w:t xml:space="preserve"> para la población mayoritaria. Sobre estos últimos resulta preciso aclarar que el Municipio de Villavicencio ejecutó el PAE mediante la modalidad transitoria de Bonos Alimentarios a través de procesos en Tienda Virtual, por medio del instrumento denominado </w:t>
      </w:r>
      <w:r w:rsidRPr="001A38D5">
        <w:rPr>
          <w:rFonts w:cs="Arial"/>
          <w:i/>
          <w:lang w:val="es-CO"/>
        </w:rPr>
        <w:t>“Catalogo ayudas humanitarias – IAD Emergencia COVID-19</w:t>
      </w:r>
      <w:r w:rsidRPr="001A38D5">
        <w:rPr>
          <w:rFonts w:cs="Arial"/>
          <w:lang w:val="es-CO"/>
        </w:rPr>
        <w:t xml:space="preserve">”, con el objeto de establecer las condiciones para la adquisición de artículos en atención a la pandemia COVID-19 al amparo del instrumento de agregación de demanda y en cuyo alcance se encuentra proporcionar una base para que las </w:t>
      </w:r>
      <w:r w:rsidR="00216071">
        <w:rPr>
          <w:rFonts w:cs="Arial"/>
          <w:lang w:val="es-CO"/>
        </w:rPr>
        <w:t>e</w:t>
      </w:r>
      <w:r w:rsidRPr="001A38D5">
        <w:rPr>
          <w:rFonts w:cs="Arial"/>
          <w:lang w:val="es-CO"/>
        </w:rPr>
        <w:t>ntidades estatales adquieran bonos para alimentos.</w:t>
      </w:r>
    </w:p>
    <w:p w14:paraId="0FC33FD5" w14:textId="77777777" w:rsidR="00216071" w:rsidRPr="001A38D5" w:rsidRDefault="00216071" w:rsidP="005140E1">
      <w:pPr>
        <w:contextualSpacing/>
        <w:jc w:val="both"/>
        <w:rPr>
          <w:rFonts w:cs="Arial"/>
          <w:lang w:val="es-CO"/>
        </w:rPr>
      </w:pPr>
    </w:p>
    <w:p w14:paraId="50749988" w14:textId="77777777" w:rsidR="00A20990" w:rsidRPr="001A38D5" w:rsidRDefault="00A20990" w:rsidP="005140E1">
      <w:pPr>
        <w:contextualSpacing/>
        <w:jc w:val="both"/>
        <w:rPr>
          <w:rFonts w:cs="Arial"/>
          <w:lang w:val="es-CO"/>
        </w:rPr>
      </w:pPr>
      <w:r w:rsidRPr="001A38D5">
        <w:rPr>
          <w:rFonts w:cs="Arial"/>
          <w:lang w:val="es-CO"/>
        </w:rPr>
        <w:t xml:space="preserve">A continuación, se describen los contratos suscritos para la prestación del Servicio en el Municipio: </w:t>
      </w:r>
    </w:p>
    <w:p w14:paraId="2432D75E" w14:textId="77777777" w:rsidR="00A20990" w:rsidRPr="001A38D5" w:rsidRDefault="00A20990" w:rsidP="005140E1">
      <w:pPr>
        <w:contextualSpacing/>
        <w:jc w:val="both"/>
        <w:rPr>
          <w:rFonts w:cs="Arial"/>
          <w:lang w:val="es-CO"/>
        </w:rPr>
      </w:pPr>
    </w:p>
    <w:p w14:paraId="4D7CE646" w14:textId="77777777" w:rsidR="00A20990" w:rsidRDefault="00A20990" w:rsidP="005140E1">
      <w:pPr>
        <w:contextualSpacing/>
        <w:jc w:val="both"/>
        <w:rPr>
          <w:rFonts w:cs="Arial"/>
          <w:lang w:val="es-CO"/>
        </w:rPr>
      </w:pPr>
      <w:r w:rsidRPr="001A38D5">
        <w:rPr>
          <w:rFonts w:cs="Arial"/>
          <w:lang w:val="es-CO"/>
        </w:rPr>
        <w:t xml:space="preserve">(i) Para el Resguardo Indígena Maguare del Proceso de Contratación Directa CD-1070-2021 se suscribió el Convenio </w:t>
      </w:r>
      <w:r w:rsidR="00167B28">
        <w:rPr>
          <w:rFonts w:cs="Arial"/>
          <w:lang w:val="es-CO"/>
        </w:rPr>
        <w:t>I</w:t>
      </w:r>
      <w:r w:rsidRPr="001A38D5">
        <w:rPr>
          <w:rFonts w:cs="Arial"/>
          <w:lang w:val="es-CO"/>
        </w:rPr>
        <w:t xml:space="preserve">nteradministrativo No. 1104 del 18 de mayo de 2021 por un valor de $38,8 millones para el suministro de 31 raciones preparadas en sitio </w:t>
      </w:r>
      <w:r w:rsidRPr="001A38D5">
        <w:rPr>
          <w:rFonts w:cs="Arial"/>
          <w:lang w:val="es-CO"/>
        </w:rPr>
        <w:lastRenderedPageBreak/>
        <w:t>tipo almuerzo diarias durante 147 días del calendario escolar en la Institución Educativa Oficial Alfonso López Pumarejo, Sede Educativa Bello Nacer ubicado en el Resguardo Indígena Maguare en la Vereda Puerto Colombia. El Convenio se ejecutó por 123 días calendario escolar, entre el 19 de mayo y el 5 de diciembre de 2021. En principio se contrataron 3.813 RPS almuerzo, pero al final se entregaron 3.630, por un valor de $36,9 millones.</w:t>
      </w:r>
      <w:r w:rsidR="00B73C1C">
        <w:rPr>
          <w:rFonts w:cs="Arial"/>
          <w:lang w:val="es-CO"/>
        </w:rPr>
        <w:t xml:space="preserve"> </w:t>
      </w:r>
    </w:p>
    <w:p w14:paraId="4B9ADCF4" w14:textId="77777777" w:rsidR="00420AF5" w:rsidRDefault="00420AF5" w:rsidP="005140E1">
      <w:pPr>
        <w:contextualSpacing/>
        <w:jc w:val="both"/>
        <w:rPr>
          <w:rFonts w:cs="Arial"/>
          <w:lang w:val="es-CO"/>
        </w:rPr>
      </w:pPr>
    </w:p>
    <w:p w14:paraId="0F1B4819" w14:textId="77777777" w:rsidR="00420AF5" w:rsidRPr="00420AF5" w:rsidRDefault="00420AF5" w:rsidP="005140E1">
      <w:pPr>
        <w:contextualSpacing/>
        <w:jc w:val="both"/>
        <w:rPr>
          <w:rFonts w:cs="Arial"/>
          <w:lang w:val="es-CO"/>
        </w:rPr>
      </w:pPr>
      <w:r>
        <w:rPr>
          <w:rFonts w:cs="Arial"/>
          <w:lang w:val="es-CO"/>
        </w:rPr>
        <w:t xml:space="preserve">Se reitera que el contratista con razón social </w:t>
      </w:r>
      <w:r w:rsidR="00EF2696">
        <w:rPr>
          <w:rFonts w:cs="Arial"/>
          <w:lang w:val="es-CO"/>
        </w:rPr>
        <w:t xml:space="preserve">Resguardo Indígena Maguare </w:t>
      </w:r>
      <w:r>
        <w:rPr>
          <w:rFonts w:cs="Arial"/>
          <w:lang w:val="es-CO"/>
        </w:rPr>
        <w:t>identificado con NIT 901.053.503-9</w:t>
      </w:r>
      <w:r w:rsidRPr="00420AF5">
        <w:rPr>
          <w:rFonts w:cs="Arial"/>
          <w:lang w:val="es-CO"/>
        </w:rPr>
        <w:t xml:space="preserve"> no es un resguardo que haya sido autorizado para administrar recursos del SGP y que no ostenta capacidad jurídica como entid</w:t>
      </w:r>
      <w:r>
        <w:rPr>
          <w:rFonts w:cs="Arial"/>
          <w:lang w:val="es-CO"/>
        </w:rPr>
        <w:t>ad pública de carácter especial. Este contratista</w:t>
      </w:r>
      <w:r w:rsidRPr="00420AF5">
        <w:rPr>
          <w:rFonts w:cs="Arial"/>
          <w:lang w:val="es-CO"/>
        </w:rPr>
        <w:t xml:space="preserve"> no puede ser considerado como </w:t>
      </w:r>
      <w:r w:rsidR="00D704F6">
        <w:rPr>
          <w:rFonts w:cs="Arial"/>
          <w:lang w:val="es-CO"/>
        </w:rPr>
        <w:t>o</w:t>
      </w:r>
      <w:r w:rsidRPr="00420AF5">
        <w:rPr>
          <w:rFonts w:cs="Arial"/>
          <w:lang w:val="es-CO"/>
        </w:rPr>
        <w:t xml:space="preserve">perador </w:t>
      </w:r>
      <w:r w:rsidR="00D704F6">
        <w:rPr>
          <w:rFonts w:cs="Arial"/>
          <w:lang w:val="es-CO"/>
        </w:rPr>
        <w:t>i</w:t>
      </w:r>
      <w:r w:rsidRPr="00420AF5">
        <w:rPr>
          <w:rFonts w:cs="Arial"/>
          <w:lang w:val="es-CO"/>
        </w:rPr>
        <w:t xml:space="preserve">ndígena y por tanto la modalidad de selección no se acoge a lo señalado en el </w:t>
      </w:r>
      <w:r w:rsidR="00907B14">
        <w:rPr>
          <w:rFonts w:cs="Arial"/>
          <w:lang w:val="es-CO"/>
        </w:rPr>
        <w:t>literal l</w:t>
      </w:r>
      <w:r w:rsidR="00D704F6">
        <w:rPr>
          <w:rFonts w:cs="Arial"/>
          <w:lang w:val="es-CO"/>
        </w:rPr>
        <w:t>)</w:t>
      </w:r>
      <w:r w:rsidR="00907B14">
        <w:rPr>
          <w:rFonts w:cs="Arial"/>
          <w:lang w:val="es-CO"/>
        </w:rPr>
        <w:t xml:space="preserve"> del </w:t>
      </w:r>
      <w:r w:rsidR="00907B14" w:rsidRPr="00907B14">
        <w:rPr>
          <w:rFonts w:cs="Arial"/>
          <w:lang w:val="es-CO"/>
        </w:rPr>
        <w:t>numeral 4 del artículo 2 de la Ley 1150 de 2007</w:t>
      </w:r>
      <w:r w:rsidR="00907B14">
        <w:rPr>
          <w:rFonts w:cs="Arial"/>
          <w:lang w:val="es-CO"/>
        </w:rPr>
        <w:t>.</w:t>
      </w:r>
    </w:p>
    <w:p w14:paraId="24A99730" w14:textId="77777777" w:rsidR="00A20990" w:rsidRPr="001A38D5" w:rsidRDefault="00A20990" w:rsidP="005140E1">
      <w:pPr>
        <w:contextualSpacing/>
        <w:jc w:val="both"/>
        <w:rPr>
          <w:rFonts w:cs="Arial"/>
          <w:lang w:val="es-CO"/>
        </w:rPr>
      </w:pPr>
    </w:p>
    <w:p w14:paraId="1919D772" w14:textId="77777777" w:rsidR="00A20990" w:rsidRPr="001A38D5" w:rsidRDefault="00A20990" w:rsidP="005140E1">
      <w:pPr>
        <w:contextualSpacing/>
        <w:jc w:val="both"/>
        <w:rPr>
          <w:rFonts w:cs="Arial"/>
          <w:lang w:val="es-CO"/>
        </w:rPr>
      </w:pPr>
      <w:r w:rsidRPr="001A38D5">
        <w:rPr>
          <w:rFonts w:cs="Arial"/>
          <w:lang w:val="es-CO"/>
        </w:rPr>
        <w:t xml:space="preserve">(ii) Contrato No. 939 del 8 de abril de 2021, correspondiente a la Orden de Compra No. 66808 de 2021 cuyo objeto </w:t>
      </w:r>
      <w:r w:rsidR="00167B28">
        <w:rPr>
          <w:rFonts w:cs="Arial"/>
          <w:lang w:val="es-CO"/>
        </w:rPr>
        <w:t>era</w:t>
      </w:r>
      <w:r w:rsidR="00167B28" w:rsidRPr="001A38D5">
        <w:rPr>
          <w:rFonts w:cs="Arial"/>
          <w:lang w:val="es-CO"/>
        </w:rPr>
        <w:t xml:space="preserve"> </w:t>
      </w:r>
      <w:r w:rsidRPr="001A38D5">
        <w:rPr>
          <w:rFonts w:cs="Arial"/>
          <w:lang w:val="es-CO"/>
        </w:rPr>
        <w:t>“</w:t>
      </w:r>
      <w:r w:rsidRPr="007A412F">
        <w:rPr>
          <w:rFonts w:cs="Arial"/>
          <w:i/>
          <w:iCs/>
          <w:lang w:val="es-CO"/>
        </w:rPr>
        <w:t>Prestar el servicio de Alimentación Escolar mediante la operación del Programa de Alimentación Escolar (PAE) en el Municipio de Villavicencio, Meta</w:t>
      </w:r>
      <w:r w:rsidRPr="001A38D5">
        <w:rPr>
          <w:rFonts w:cs="Arial"/>
          <w:lang w:val="es-CO"/>
        </w:rPr>
        <w:t>”, celebrado con Almacenes Éxito S.A., para el suministro de 93.106 Bonos por un valor de $4.383,4 millones por 45 días hasta el 31 de mayo de 2021, de acuerdo con las condiciones del instrumento de agregación de la demanda y las disposiciones del Gobierno Nacional entorno a la mitigación de la pandemia. El Contrato fue adicionado en 11.303 unidades, por un valor de $532 millones, para un total de 104.406 Bonos Alimentarios entregados entre el 13 de abril y el 25 de junio de 2021, por valor de $4.915,5 millones.</w:t>
      </w:r>
    </w:p>
    <w:p w14:paraId="0F6ADD13" w14:textId="77777777" w:rsidR="00A20990" w:rsidRPr="001A38D5" w:rsidRDefault="00A20990" w:rsidP="005140E1">
      <w:pPr>
        <w:contextualSpacing/>
        <w:jc w:val="both"/>
        <w:rPr>
          <w:rFonts w:cs="Arial"/>
          <w:lang w:val="es-CO"/>
        </w:rPr>
      </w:pPr>
    </w:p>
    <w:p w14:paraId="11AFDF46" w14:textId="77777777" w:rsidR="00A20990" w:rsidRPr="001A38D5" w:rsidRDefault="00A20990" w:rsidP="005140E1">
      <w:pPr>
        <w:contextualSpacing/>
        <w:jc w:val="both"/>
        <w:rPr>
          <w:rFonts w:cs="Arial"/>
          <w:lang w:val="es-CO"/>
        </w:rPr>
      </w:pPr>
      <w:r w:rsidRPr="001A38D5">
        <w:rPr>
          <w:rFonts w:cs="Arial"/>
          <w:lang w:val="es-CO"/>
        </w:rPr>
        <w:t xml:space="preserve">(iii) Contrato No. 1346 de 2021, correspondiente a la Orden de Compra No. 72682 de 2021 cuyo objeto </w:t>
      </w:r>
      <w:r w:rsidR="00167B28">
        <w:rPr>
          <w:rFonts w:cs="Arial"/>
          <w:lang w:val="es-CO"/>
        </w:rPr>
        <w:t>era</w:t>
      </w:r>
      <w:r w:rsidR="00167B28" w:rsidRPr="001A38D5">
        <w:rPr>
          <w:rFonts w:cs="Arial"/>
          <w:lang w:val="es-CO"/>
        </w:rPr>
        <w:t xml:space="preserve"> </w:t>
      </w:r>
      <w:r w:rsidRPr="001A38D5">
        <w:rPr>
          <w:rFonts w:cs="Arial"/>
          <w:lang w:val="es-CO"/>
        </w:rPr>
        <w:t>“</w:t>
      </w:r>
      <w:r w:rsidRPr="007A412F">
        <w:rPr>
          <w:rFonts w:cs="Arial"/>
          <w:i/>
          <w:iCs/>
          <w:lang w:val="es-CO"/>
        </w:rPr>
        <w:t>Prestar el servicio de Alimentación Escolar mediante la operación del Programa de Alimentación Escolar (PAE) en el Municipio de Villavicencio, Meta</w:t>
      </w:r>
      <w:r w:rsidRPr="001A38D5">
        <w:rPr>
          <w:rFonts w:cs="Arial"/>
          <w:lang w:val="es-CO"/>
        </w:rPr>
        <w:t xml:space="preserve">”, celebrado con Almacenes Éxito S.A., para el suministro de 79.891 Bonos por un valor inicial de $3.932,2 millones. El Contrato fue adicionado el 27 de agosto de 2021, en 26.000 unidades, por un valor de $1.279,7 millones, para un total de 105.891 Bonos Alimentarios, por valor de $5.211,9 millones y prorrogado para llevar a cabo la ejecución del cuarto periodo en el área urbana y el quinto en el área rural por la extensión de la </w:t>
      </w:r>
      <w:r w:rsidR="00167B28">
        <w:rPr>
          <w:rFonts w:cs="Arial"/>
          <w:lang w:val="es-CO"/>
        </w:rPr>
        <w:t>e</w:t>
      </w:r>
      <w:r w:rsidRPr="001A38D5">
        <w:rPr>
          <w:rFonts w:cs="Arial"/>
          <w:lang w:val="es-CO"/>
        </w:rPr>
        <w:t xml:space="preserve">mergencia </w:t>
      </w:r>
      <w:r w:rsidR="00167B28">
        <w:rPr>
          <w:rFonts w:cs="Arial"/>
          <w:lang w:val="es-CO"/>
        </w:rPr>
        <w:t>s</w:t>
      </w:r>
      <w:r w:rsidRPr="001A38D5">
        <w:rPr>
          <w:rFonts w:cs="Arial"/>
          <w:lang w:val="es-CO"/>
        </w:rPr>
        <w:t>anitaria. Finalmente, el 20 de septiembre de 2021 se adiciona la compra de 13.945 Bonos, para un total adicionado de $686,4 millones, y se prorroga la Orden hasta el 20 de octubre de 2021. En total se entregaron 119.836 Bonos por un valor unitarios de $49.220, para un total de $5.898,3 millones entre el 21 de julio y el 20 de octubre de 2021.</w:t>
      </w:r>
    </w:p>
    <w:p w14:paraId="23152AD7" w14:textId="77777777" w:rsidR="00A20990" w:rsidRPr="001A38D5" w:rsidRDefault="00A20990" w:rsidP="005140E1">
      <w:pPr>
        <w:contextualSpacing/>
        <w:jc w:val="both"/>
        <w:rPr>
          <w:rFonts w:cs="Arial"/>
          <w:lang w:val="es-CO"/>
        </w:rPr>
      </w:pPr>
    </w:p>
    <w:p w14:paraId="7E194C99" w14:textId="77777777" w:rsidR="00A20990" w:rsidRPr="001A38D5" w:rsidRDefault="00A20990" w:rsidP="005140E1">
      <w:pPr>
        <w:contextualSpacing/>
        <w:jc w:val="both"/>
        <w:rPr>
          <w:rFonts w:cs="Arial"/>
          <w:lang w:val="es-CO"/>
        </w:rPr>
      </w:pPr>
      <w:r w:rsidRPr="001A38D5">
        <w:rPr>
          <w:rFonts w:cs="Arial"/>
          <w:lang w:val="es-CO"/>
        </w:rPr>
        <w:t>(iv) Contrato No. 2014 de 2021, correspondiente a la Orden de Compra No. 77691 de 2021 cuyo objeto es “</w:t>
      </w:r>
      <w:r w:rsidRPr="007A412F">
        <w:rPr>
          <w:rFonts w:cs="Arial"/>
          <w:i/>
          <w:iCs/>
          <w:lang w:val="es-CO"/>
        </w:rPr>
        <w:t>Prestar el servicio de Alimentación Escolar mediante la operación del Programa de Alimentación Escolar (PAE) en el Municipio de Villavicencio, Meta</w:t>
      </w:r>
      <w:r w:rsidRPr="001A38D5">
        <w:rPr>
          <w:rFonts w:cs="Arial"/>
          <w:lang w:val="es-CO"/>
        </w:rPr>
        <w:t xml:space="preserve">”, celebrado con Almacenes Éxito S.A., para el suministro de 87.150 Bonos por un valor inicial de $4.242,9 millones. El Contrato fue adicionado el 29 de noviembre de 2021 en 25.717 unidades, por un valor de $1.252 millones y prorrogado hasta el 3 de diciembre de 2021. En total se entregaron 112.867 Bonos por un valor total de </w:t>
      </w:r>
      <w:r w:rsidRPr="001A38D5">
        <w:rPr>
          <w:rFonts w:cs="Arial"/>
          <w:lang w:val="es-CO"/>
        </w:rPr>
        <w:lastRenderedPageBreak/>
        <w:t>$5.494,9 millones, entre el 19 de octubre y el 3 de diciembre de 2021.</w:t>
      </w:r>
    </w:p>
    <w:p w14:paraId="2B9C8943" w14:textId="77777777" w:rsidR="00A20990" w:rsidRPr="001A38D5" w:rsidRDefault="00A20990" w:rsidP="005140E1">
      <w:pPr>
        <w:contextualSpacing/>
        <w:jc w:val="both"/>
        <w:rPr>
          <w:rFonts w:cs="Arial"/>
          <w:lang w:val="es-CO"/>
        </w:rPr>
      </w:pPr>
    </w:p>
    <w:p w14:paraId="2F4A9699" w14:textId="77777777" w:rsidR="00A20990" w:rsidRDefault="00A20990" w:rsidP="005140E1">
      <w:pPr>
        <w:contextualSpacing/>
        <w:jc w:val="both"/>
        <w:rPr>
          <w:rFonts w:cs="Arial"/>
          <w:lang w:val="es-CO"/>
        </w:rPr>
      </w:pPr>
      <w:r w:rsidRPr="001A38D5">
        <w:rPr>
          <w:rFonts w:cs="Arial"/>
          <w:lang w:val="es-CO"/>
        </w:rPr>
        <w:t xml:space="preserve">Para el Equipo PAE se suscribieron 14 contratos por $181,3 millones, financiados con recursos de transferencias de la Nación para Alimentación Escolar Ley 1450 de 2011. </w:t>
      </w:r>
    </w:p>
    <w:p w14:paraId="5B803B74" w14:textId="77777777" w:rsidR="00167B28" w:rsidRPr="001A38D5" w:rsidRDefault="00167B28" w:rsidP="005140E1">
      <w:pPr>
        <w:contextualSpacing/>
        <w:jc w:val="both"/>
        <w:rPr>
          <w:rFonts w:cs="Arial"/>
          <w:lang w:val="es-CO"/>
        </w:rPr>
      </w:pPr>
    </w:p>
    <w:p w14:paraId="6175C31B" w14:textId="77777777" w:rsidR="00A20990" w:rsidRPr="00B011F8" w:rsidRDefault="00A20990" w:rsidP="005140E1">
      <w:pPr>
        <w:contextualSpacing/>
        <w:jc w:val="both"/>
        <w:rPr>
          <w:rFonts w:cs="Arial"/>
          <w:b/>
          <w:bCs/>
          <w:lang w:val="es-CO"/>
        </w:rPr>
      </w:pPr>
      <w:r w:rsidRPr="001A38D5">
        <w:rPr>
          <w:rFonts w:cs="Arial"/>
          <w:lang w:val="es-CO"/>
        </w:rPr>
        <w:t xml:space="preserve">Finalmente, para la vigencia 2022, el Municipio reportó en la </w:t>
      </w:r>
      <w:r w:rsidR="00167B28">
        <w:rPr>
          <w:rFonts w:cs="Arial"/>
          <w:lang w:val="es-CO"/>
        </w:rPr>
        <w:t>C</w:t>
      </w:r>
      <w:r w:rsidRPr="001A38D5">
        <w:rPr>
          <w:rFonts w:cs="Arial"/>
          <w:lang w:val="es-CO"/>
        </w:rPr>
        <w:t xml:space="preserve">ategoría UAPA-PAE del CHIP la suscripción de </w:t>
      </w:r>
      <w:r w:rsidR="00AF34E5">
        <w:rPr>
          <w:rFonts w:cs="Arial"/>
          <w:lang w:val="es-CO"/>
        </w:rPr>
        <w:t>seis (</w:t>
      </w:r>
      <w:r w:rsidRPr="001A38D5">
        <w:rPr>
          <w:rFonts w:cs="Arial"/>
          <w:lang w:val="es-CO"/>
        </w:rPr>
        <w:t>6</w:t>
      </w:r>
      <w:r w:rsidR="00AF34E5">
        <w:rPr>
          <w:rFonts w:cs="Arial"/>
          <w:lang w:val="es-CO"/>
        </w:rPr>
        <w:t>)</w:t>
      </w:r>
      <w:r w:rsidRPr="001A38D5">
        <w:rPr>
          <w:rFonts w:cs="Arial"/>
          <w:lang w:val="es-CO"/>
        </w:rPr>
        <w:t xml:space="preserve"> contratos para la operación del Programa de Alimentación Escolar dirigido a los estudiantes registrados con matrícula oficial en el SIMAT del Municipio. </w:t>
      </w:r>
    </w:p>
    <w:p w14:paraId="7DCAC736" w14:textId="77777777" w:rsidR="00A20990" w:rsidRPr="001A38D5" w:rsidRDefault="00A20990" w:rsidP="005140E1">
      <w:pPr>
        <w:contextualSpacing/>
        <w:jc w:val="both"/>
        <w:rPr>
          <w:rFonts w:cs="Arial"/>
          <w:lang w:val="es-CO"/>
        </w:rPr>
      </w:pPr>
    </w:p>
    <w:p w14:paraId="67494BBD" w14:textId="77777777" w:rsidR="00A20990" w:rsidRDefault="00A20990" w:rsidP="005140E1">
      <w:pPr>
        <w:contextualSpacing/>
        <w:jc w:val="both"/>
        <w:rPr>
          <w:rFonts w:cs="Arial"/>
          <w:lang w:val="es-CO"/>
        </w:rPr>
      </w:pPr>
      <w:r w:rsidRPr="001A38D5">
        <w:rPr>
          <w:rFonts w:cs="Arial"/>
          <w:lang w:val="es-CO"/>
        </w:rPr>
        <w:t xml:space="preserve">(i) Proceso de Contratación Directa CD-1819-2022, Convenio </w:t>
      </w:r>
      <w:r w:rsidR="00167B28">
        <w:rPr>
          <w:rFonts w:cs="Arial"/>
          <w:lang w:val="es-CO"/>
        </w:rPr>
        <w:t>I</w:t>
      </w:r>
      <w:r w:rsidRPr="001A38D5">
        <w:rPr>
          <w:rFonts w:cs="Arial"/>
          <w:lang w:val="es-CO"/>
        </w:rPr>
        <w:t xml:space="preserve">nteradministrativo No. 1932 de 2022 con el </w:t>
      </w:r>
      <w:r w:rsidR="00EF2696">
        <w:rPr>
          <w:rFonts w:cs="Arial"/>
          <w:lang w:val="es-CO"/>
        </w:rPr>
        <w:t xml:space="preserve">Resguardo Indígena Maguare </w:t>
      </w:r>
      <w:r w:rsidRPr="001A38D5">
        <w:rPr>
          <w:rFonts w:cs="Arial"/>
          <w:lang w:val="es-CO"/>
        </w:rPr>
        <w:t xml:space="preserve">para el suministro de 33 raciones diarias en la modalidad RPS almuerzo, durante 75 días del calendario escolar entre el 17 de agosto y el 2 de diciembre de 2022, en la Institución Educativa Oficial Alfonso </w:t>
      </w:r>
      <w:r w:rsidR="00167B28" w:rsidRPr="001A38D5">
        <w:rPr>
          <w:rFonts w:cs="Arial"/>
          <w:lang w:val="es-CO"/>
        </w:rPr>
        <w:t>López</w:t>
      </w:r>
      <w:r w:rsidRPr="001A38D5">
        <w:rPr>
          <w:rFonts w:cs="Arial"/>
          <w:lang w:val="es-CO"/>
        </w:rPr>
        <w:t xml:space="preserve"> Pumarejo Sede Bello Nacer, por un valor total de $34,5 millones.</w:t>
      </w:r>
    </w:p>
    <w:p w14:paraId="01EB8BDF" w14:textId="77777777" w:rsidR="00420AF5" w:rsidRDefault="00420AF5" w:rsidP="005140E1">
      <w:pPr>
        <w:contextualSpacing/>
        <w:jc w:val="both"/>
        <w:rPr>
          <w:rFonts w:cs="Arial"/>
          <w:lang w:val="es-CO"/>
        </w:rPr>
      </w:pPr>
    </w:p>
    <w:p w14:paraId="4461A74E" w14:textId="77777777" w:rsidR="00420AF5" w:rsidRPr="001A38D5" w:rsidRDefault="00420AF5" w:rsidP="005140E1">
      <w:pPr>
        <w:contextualSpacing/>
        <w:jc w:val="both"/>
        <w:rPr>
          <w:rFonts w:cs="Arial"/>
          <w:lang w:val="es-CO"/>
        </w:rPr>
      </w:pPr>
      <w:r>
        <w:rPr>
          <w:rFonts w:cs="Arial"/>
          <w:lang w:val="es-CO"/>
        </w:rPr>
        <w:t xml:space="preserve">El contratista </w:t>
      </w:r>
      <w:r w:rsidRPr="00420AF5">
        <w:rPr>
          <w:rFonts w:cs="Arial"/>
          <w:lang w:val="es-CO"/>
        </w:rPr>
        <w:t xml:space="preserve">con razón social </w:t>
      </w:r>
      <w:r w:rsidR="00EF2696">
        <w:rPr>
          <w:rFonts w:cs="Arial"/>
          <w:lang w:val="es-CO"/>
        </w:rPr>
        <w:t xml:space="preserve">Resguardo Indígena Maguare </w:t>
      </w:r>
      <w:r w:rsidRPr="00420AF5">
        <w:rPr>
          <w:rFonts w:cs="Arial"/>
          <w:lang w:val="es-CO"/>
        </w:rPr>
        <w:t xml:space="preserve">identificado con NIT 901.053.503-9 no es un resguardo que haya sido autorizado para administrar recursos del SGP y que no ostenta capacidad jurídica como entidad pública de carácter especial. Este contratista no puede ser considerado como </w:t>
      </w:r>
      <w:r w:rsidR="00D704F6">
        <w:rPr>
          <w:rFonts w:cs="Arial"/>
          <w:lang w:val="es-CO"/>
        </w:rPr>
        <w:t>o</w:t>
      </w:r>
      <w:r w:rsidRPr="00420AF5">
        <w:rPr>
          <w:rFonts w:cs="Arial"/>
          <w:lang w:val="es-CO"/>
        </w:rPr>
        <w:t xml:space="preserve">perador </w:t>
      </w:r>
      <w:r w:rsidR="00D704F6">
        <w:rPr>
          <w:rFonts w:cs="Arial"/>
          <w:lang w:val="es-CO"/>
        </w:rPr>
        <w:t>i</w:t>
      </w:r>
      <w:r w:rsidRPr="00420AF5">
        <w:rPr>
          <w:rFonts w:cs="Arial"/>
          <w:lang w:val="es-CO"/>
        </w:rPr>
        <w:t xml:space="preserve">ndígena y por tanto la modalidad de selección no se acoge a lo señalado en el </w:t>
      </w:r>
      <w:r w:rsidR="00907B14">
        <w:rPr>
          <w:rFonts w:cs="Arial"/>
          <w:lang w:val="es-CO"/>
        </w:rPr>
        <w:t>literal l</w:t>
      </w:r>
      <w:r w:rsidR="00D704F6">
        <w:rPr>
          <w:rFonts w:cs="Arial"/>
          <w:lang w:val="es-CO"/>
        </w:rPr>
        <w:t>)</w:t>
      </w:r>
      <w:r w:rsidR="00907B14">
        <w:rPr>
          <w:rFonts w:cs="Arial"/>
          <w:lang w:val="es-CO"/>
        </w:rPr>
        <w:t xml:space="preserve"> del numeral 4 del artículo 2 de la Ley 1150 de 2007</w:t>
      </w:r>
    </w:p>
    <w:p w14:paraId="715C2524" w14:textId="77777777" w:rsidR="00A20990" w:rsidRPr="001A38D5" w:rsidRDefault="00A20990" w:rsidP="005140E1">
      <w:pPr>
        <w:contextualSpacing/>
        <w:jc w:val="both"/>
        <w:rPr>
          <w:rFonts w:cs="Arial"/>
          <w:lang w:val="es-CO"/>
        </w:rPr>
      </w:pPr>
    </w:p>
    <w:p w14:paraId="7709C3B2" w14:textId="77777777" w:rsidR="00A20990" w:rsidRPr="001A38D5" w:rsidRDefault="00A20990" w:rsidP="005140E1">
      <w:pPr>
        <w:contextualSpacing/>
        <w:jc w:val="both"/>
        <w:rPr>
          <w:rFonts w:cs="Arial"/>
          <w:lang w:val="es-CO"/>
        </w:rPr>
      </w:pPr>
      <w:r w:rsidRPr="001A38D5">
        <w:rPr>
          <w:rFonts w:cs="Arial"/>
          <w:lang w:val="es-CO"/>
        </w:rPr>
        <w:t xml:space="preserve">(ii) Proceso de Licitación Pública LP-011-2021, del cual se suscribió el Contrato de </w:t>
      </w:r>
      <w:r w:rsidR="00167B28">
        <w:rPr>
          <w:rFonts w:cs="Arial"/>
          <w:lang w:val="es-CO"/>
        </w:rPr>
        <w:t>P</w:t>
      </w:r>
      <w:r w:rsidRPr="001A38D5">
        <w:rPr>
          <w:rFonts w:cs="Arial"/>
          <w:lang w:val="es-CO"/>
        </w:rPr>
        <w:t xml:space="preserve">restación de </w:t>
      </w:r>
      <w:r w:rsidR="00167B28">
        <w:rPr>
          <w:rFonts w:cs="Arial"/>
          <w:lang w:val="es-CO"/>
        </w:rPr>
        <w:t>S</w:t>
      </w:r>
      <w:r w:rsidRPr="001A38D5">
        <w:rPr>
          <w:rFonts w:cs="Arial"/>
          <w:lang w:val="es-CO"/>
        </w:rPr>
        <w:t>ervicios No. 1719 de 2022 entre el Municipio y la Unión Temporal PAE 2022 con NIT 901.568.822-4, conformada por Catering Consultorías y Suministros SAS CCS SAS - NIT 834.000.554-4 (90</w:t>
      </w:r>
      <w:r w:rsidR="00167B28">
        <w:rPr>
          <w:rFonts w:cs="Arial"/>
          <w:lang w:val="es-CO"/>
        </w:rPr>
        <w:t xml:space="preserve"> </w:t>
      </w:r>
      <w:r w:rsidRPr="001A38D5">
        <w:rPr>
          <w:rFonts w:cs="Arial"/>
          <w:lang w:val="es-CO"/>
        </w:rPr>
        <w:t>%) y CASTELFRUVER SAS – NIT 900.586.308-2 (10</w:t>
      </w:r>
      <w:r w:rsidR="00167B28">
        <w:rPr>
          <w:rFonts w:cs="Arial"/>
          <w:lang w:val="es-CO"/>
        </w:rPr>
        <w:t xml:space="preserve"> </w:t>
      </w:r>
      <w:r w:rsidRPr="001A38D5">
        <w:rPr>
          <w:rFonts w:cs="Arial"/>
          <w:lang w:val="es-CO"/>
        </w:rPr>
        <w:t>%), por $5.382 millones para la atención de 56.889 titulares de derecho a través del suministro de 46.906 raciones CAJAM/JT – RI y 9.983 RPS almuerzo durante 35 días del calendario escolar. Se suscribió el act</w:t>
      </w:r>
      <w:r w:rsidR="00167B28">
        <w:rPr>
          <w:rFonts w:cs="Arial"/>
          <w:lang w:val="es-CO"/>
        </w:rPr>
        <w:t>a</w:t>
      </w:r>
      <w:r w:rsidRPr="001A38D5">
        <w:rPr>
          <w:rFonts w:cs="Arial"/>
          <w:lang w:val="es-CO"/>
        </w:rPr>
        <w:t xml:space="preserve"> de inicio el día 7 de marzo de 2022 para iniciar la operación el 10 de marzo del mismo año. Con ocasión a la ejecución del contrato el supervisor designado evidenció una serie de situaciones y novedades en el período comprendido entre el 10 y el 25 de marzo de 2022 asociadas a la dotación del personal manipulador de alimentos, a incumplimientos en la entrega de las raciones industrializadas según lo programado, al cumplimiento del </w:t>
      </w:r>
      <w:r w:rsidR="00167B28">
        <w:rPr>
          <w:rFonts w:cs="Arial"/>
          <w:lang w:val="es-CO"/>
        </w:rPr>
        <w:t>P</w:t>
      </w:r>
      <w:r w:rsidRPr="001A38D5">
        <w:rPr>
          <w:rFonts w:cs="Arial"/>
          <w:lang w:val="es-CO"/>
        </w:rPr>
        <w:t xml:space="preserve">lan de </w:t>
      </w:r>
      <w:r w:rsidR="00167B28">
        <w:rPr>
          <w:rFonts w:cs="Arial"/>
          <w:lang w:val="es-CO"/>
        </w:rPr>
        <w:t>S</w:t>
      </w:r>
      <w:r w:rsidRPr="001A38D5">
        <w:rPr>
          <w:rFonts w:cs="Arial"/>
          <w:lang w:val="es-CO"/>
        </w:rPr>
        <w:t xml:space="preserve">aneamiento </w:t>
      </w:r>
      <w:r w:rsidR="00167B28">
        <w:rPr>
          <w:rFonts w:cs="Arial"/>
          <w:lang w:val="es-CO"/>
        </w:rPr>
        <w:t>B</w:t>
      </w:r>
      <w:r w:rsidRPr="001A38D5">
        <w:rPr>
          <w:rFonts w:cs="Arial"/>
          <w:lang w:val="es-CO"/>
        </w:rPr>
        <w:t>ásico en la bodega del almacenamiento, al cumplimiento de gramaje de la proteína según la minuta para la RPS tipo almuerzo, entre otras.</w:t>
      </w:r>
    </w:p>
    <w:p w14:paraId="4CA579FA" w14:textId="77777777" w:rsidR="00A20990" w:rsidRPr="001A38D5" w:rsidRDefault="00A20990" w:rsidP="005140E1">
      <w:pPr>
        <w:contextualSpacing/>
        <w:jc w:val="both"/>
        <w:rPr>
          <w:rFonts w:cs="Arial"/>
          <w:lang w:val="es-CO"/>
        </w:rPr>
      </w:pPr>
    </w:p>
    <w:p w14:paraId="03453E78" w14:textId="77777777" w:rsidR="00A20990" w:rsidRPr="001A38D5" w:rsidRDefault="00A20990" w:rsidP="005140E1">
      <w:pPr>
        <w:contextualSpacing/>
        <w:jc w:val="both"/>
        <w:rPr>
          <w:rFonts w:cs="Arial"/>
          <w:lang w:val="es-CO"/>
        </w:rPr>
      </w:pPr>
      <w:r w:rsidRPr="001A38D5">
        <w:rPr>
          <w:rFonts w:cs="Arial"/>
          <w:lang w:val="es-CO"/>
        </w:rPr>
        <w:t>Teniendo en cuenta lo evidenciado la Entidad solicitó la aplicación de acciones de mejora por parte del contratista</w:t>
      </w:r>
      <w:r w:rsidR="0069661E">
        <w:rPr>
          <w:rFonts w:cs="Arial"/>
          <w:lang w:val="es-CO"/>
        </w:rPr>
        <w:t>;</w:t>
      </w:r>
      <w:r w:rsidRPr="001A38D5">
        <w:rPr>
          <w:rFonts w:cs="Arial"/>
          <w:lang w:val="es-CO"/>
        </w:rPr>
        <w:t xml:space="preserve"> sin embargo, este no otorgó respuesta a los requerimientos y persistieron las situaciones descritas, motivo por el cual se inició un proceso por presunto incumplimiento. Al tiempo se estaba</w:t>
      </w:r>
      <w:r w:rsidR="0069661E">
        <w:rPr>
          <w:rFonts w:cs="Arial"/>
          <w:lang w:val="es-CO"/>
        </w:rPr>
        <w:t>n</w:t>
      </w:r>
      <w:r w:rsidRPr="001A38D5">
        <w:rPr>
          <w:rFonts w:cs="Arial"/>
          <w:lang w:val="es-CO"/>
        </w:rPr>
        <w:t xml:space="preserve"> realizando </w:t>
      </w:r>
      <w:r w:rsidR="0069661E">
        <w:rPr>
          <w:rFonts w:cs="Arial"/>
          <w:lang w:val="es-CO"/>
        </w:rPr>
        <w:t xml:space="preserve">los </w:t>
      </w:r>
      <w:r w:rsidRPr="001A38D5">
        <w:rPr>
          <w:rFonts w:cs="Arial"/>
          <w:lang w:val="es-CO"/>
        </w:rPr>
        <w:t>trámites correspondientes</w:t>
      </w:r>
      <w:r w:rsidR="0069661E">
        <w:rPr>
          <w:rFonts w:cs="Arial"/>
          <w:lang w:val="es-CO"/>
        </w:rPr>
        <w:t xml:space="preserve"> para la</w:t>
      </w:r>
      <w:r w:rsidRPr="001A38D5">
        <w:rPr>
          <w:rFonts w:cs="Arial"/>
          <w:lang w:val="es-CO"/>
        </w:rPr>
        <w:t xml:space="preserve"> adición y prórroga del contrato</w:t>
      </w:r>
      <w:r w:rsidR="0069661E">
        <w:rPr>
          <w:rFonts w:cs="Arial"/>
          <w:lang w:val="es-CO"/>
        </w:rPr>
        <w:t>;</w:t>
      </w:r>
      <w:r w:rsidRPr="001A38D5">
        <w:rPr>
          <w:rFonts w:cs="Arial"/>
          <w:lang w:val="es-CO"/>
        </w:rPr>
        <w:t xml:space="preserve"> sin embargo, el operador no manifestó interés en realizar el proceso. Finalmente, el Contrato terminó el día 2 de mayo de 2022.</w:t>
      </w:r>
    </w:p>
    <w:p w14:paraId="127A427C" w14:textId="77777777" w:rsidR="00A20990" w:rsidRPr="001A38D5" w:rsidRDefault="00A20990" w:rsidP="005140E1">
      <w:pPr>
        <w:contextualSpacing/>
        <w:jc w:val="both"/>
        <w:rPr>
          <w:rFonts w:cs="Arial"/>
          <w:lang w:val="es-CO"/>
        </w:rPr>
      </w:pPr>
    </w:p>
    <w:p w14:paraId="77554E10" w14:textId="77777777" w:rsidR="00A20990" w:rsidRPr="001A38D5" w:rsidRDefault="00A20990" w:rsidP="005140E1">
      <w:pPr>
        <w:contextualSpacing/>
        <w:jc w:val="both"/>
        <w:rPr>
          <w:rFonts w:cs="Arial"/>
          <w:lang w:val="es-CO"/>
        </w:rPr>
      </w:pPr>
      <w:r w:rsidRPr="001A38D5">
        <w:rPr>
          <w:rFonts w:cs="Arial"/>
          <w:lang w:val="es-CO"/>
        </w:rPr>
        <w:lastRenderedPageBreak/>
        <w:t xml:space="preserve">(iii) Por lo expuesto, la Administración recurrió a la medida de urgencia manifiesta y emergencia educativa con el fin de garantizar la prestación del Servicio de Alimentación Escolar, teniendo en cuenta la imposibilidad de realizar un nuevo proceso contractual por la modalidad de selección de licitación pública. De este modo se realizó el proceso de Contratación Directa CD-1689-2022, como mecanismo extraordinario de contratación, con la consecuente suscripción el 10 de mayo de 2022 del Contrato de </w:t>
      </w:r>
      <w:r w:rsidR="00FE4125">
        <w:rPr>
          <w:rFonts w:cs="Arial"/>
          <w:lang w:val="es-CO"/>
        </w:rPr>
        <w:t>P</w:t>
      </w:r>
      <w:r w:rsidRPr="001A38D5">
        <w:rPr>
          <w:rFonts w:cs="Arial"/>
          <w:lang w:val="es-CO"/>
        </w:rPr>
        <w:t xml:space="preserve">restación de </w:t>
      </w:r>
      <w:r w:rsidR="00FE4125">
        <w:rPr>
          <w:rFonts w:cs="Arial"/>
          <w:lang w:val="es-CO"/>
        </w:rPr>
        <w:t>S</w:t>
      </w:r>
      <w:r w:rsidRPr="001A38D5">
        <w:rPr>
          <w:rFonts w:cs="Arial"/>
          <w:lang w:val="es-CO"/>
        </w:rPr>
        <w:t xml:space="preserve">ervicios y de </w:t>
      </w:r>
      <w:r w:rsidR="00FE4125">
        <w:rPr>
          <w:rFonts w:cs="Arial"/>
          <w:lang w:val="es-CO"/>
        </w:rPr>
        <w:t>A</w:t>
      </w:r>
      <w:r w:rsidRPr="001A38D5">
        <w:rPr>
          <w:rFonts w:cs="Arial"/>
          <w:lang w:val="es-CO"/>
        </w:rPr>
        <w:t xml:space="preserve">poyo </w:t>
      </w:r>
      <w:r w:rsidR="00FE4125">
        <w:rPr>
          <w:rFonts w:cs="Arial"/>
          <w:lang w:val="es-CO"/>
        </w:rPr>
        <w:t>L</w:t>
      </w:r>
      <w:r w:rsidRPr="001A38D5">
        <w:rPr>
          <w:rFonts w:cs="Arial"/>
          <w:lang w:val="es-CO"/>
        </w:rPr>
        <w:t xml:space="preserve">ogístico No. 1739 entre el Municipio y Logística y </w:t>
      </w:r>
      <w:r w:rsidR="00FE4125">
        <w:rPr>
          <w:rFonts w:cs="Arial"/>
          <w:lang w:val="es-CO"/>
        </w:rPr>
        <w:t>S</w:t>
      </w:r>
      <w:r w:rsidRPr="001A38D5">
        <w:rPr>
          <w:rFonts w:cs="Arial"/>
          <w:lang w:val="es-CO"/>
        </w:rPr>
        <w:t xml:space="preserve">uministros </w:t>
      </w:r>
      <w:r w:rsidR="00FE4125">
        <w:rPr>
          <w:rFonts w:cs="Arial"/>
          <w:lang w:val="es-CO"/>
        </w:rPr>
        <w:t>P</w:t>
      </w:r>
      <w:r w:rsidRPr="001A38D5">
        <w:rPr>
          <w:rFonts w:cs="Arial"/>
          <w:lang w:val="es-CO"/>
        </w:rPr>
        <w:t xml:space="preserve">entágono S.A.S con NIT 900.653.740-9, por $4.722,7 para suministrar 48.258 raciones CAJAM/JT – RI y 8.726 RPS almuerzo por 25 días del calendario escolar. El Contrato fue prorrogado el 23 de junio de 2022 por tres días debido a que, durante la ejecución de este, las IE no desarrollaron actividades. Luego, el 28 de junio de 2022 es suspendido entre el 27 de junio y el 10 de julio debido al receso estudiantil contemplado en </w:t>
      </w:r>
      <w:r w:rsidR="009A5170">
        <w:rPr>
          <w:rFonts w:cs="Arial"/>
          <w:lang w:val="es-CO"/>
        </w:rPr>
        <w:t xml:space="preserve">la </w:t>
      </w:r>
      <w:r w:rsidR="009A5170" w:rsidRPr="009A5170">
        <w:rPr>
          <w:rFonts w:cs="Arial"/>
          <w:lang w:val="es-CO"/>
        </w:rPr>
        <w:t>Resolución 1500-67.10/1777 de 2021</w:t>
      </w:r>
      <w:r w:rsidRPr="001A38D5">
        <w:rPr>
          <w:rFonts w:cs="Arial"/>
          <w:lang w:val="es-CO"/>
        </w:rPr>
        <w:t xml:space="preserve"> </w:t>
      </w:r>
      <w:r w:rsidR="009A5170">
        <w:rPr>
          <w:rFonts w:cs="Arial"/>
          <w:lang w:val="es-CO"/>
        </w:rPr>
        <w:t xml:space="preserve">que define </w:t>
      </w:r>
      <w:r w:rsidRPr="001A38D5">
        <w:rPr>
          <w:rFonts w:cs="Arial"/>
          <w:lang w:val="es-CO"/>
        </w:rPr>
        <w:t xml:space="preserve">el calendario escolar, siendo reactivado el 11 de julio de 2022. El 13 de julio de 2022 se adiciona y prorroga el Contrato por un término de 3 días adicionales y por valor de $566,7. En suma, se ejecutó el PAE a través de Contrato de </w:t>
      </w:r>
      <w:r w:rsidR="00FE4125">
        <w:rPr>
          <w:rFonts w:cs="Arial"/>
          <w:lang w:val="es-CO"/>
        </w:rPr>
        <w:t>P</w:t>
      </w:r>
      <w:r w:rsidRPr="001A38D5">
        <w:rPr>
          <w:rFonts w:cs="Arial"/>
          <w:lang w:val="es-CO"/>
        </w:rPr>
        <w:t xml:space="preserve">restación de </w:t>
      </w:r>
      <w:r w:rsidR="00FE4125">
        <w:rPr>
          <w:rFonts w:cs="Arial"/>
          <w:lang w:val="es-CO"/>
        </w:rPr>
        <w:t>S</w:t>
      </w:r>
      <w:r w:rsidRPr="001A38D5">
        <w:rPr>
          <w:rFonts w:cs="Arial"/>
          <w:lang w:val="es-CO"/>
        </w:rPr>
        <w:t xml:space="preserve">ervicios y de </w:t>
      </w:r>
      <w:r w:rsidR="00FE4125">
        <w:rPr>
          <w:rFonts w:cs="Arial"/>
          <w:lang w:val="es-CO"/>
        </w:rPr>
        <w:t>A</w:t>
      </w:r>
      <w:r w:rsidRPr="001A38D5">
        <w:rPr>
          <w:rFonts w:cs="Arial"/>
          <w:lang w:val="es-CO"/>
        </w:rPr>
        <w:t xml:space="preserve">poyo </w:t>
      </w:r>
      <w:r w:rsidR="00FE4125">
        <w:rPr>
          <w:rFonts w:cs="Arial"/>
          <w:lang w:val="es-CO"/>
        </w:rPr>
        <w:t>L</w:t>
      </w:r>
      <w:r w:rsidRPr="001A38D5">
        <w:rPr>
          <w:rFonts w:cs="Arial"/>
          <w:lang w:val="es-CO"/>
        </w:rPr>
        <w:t>ogístico No. 1739 de 2022, con la entrega de 48.258 raciones CAJAM/JT – RI y 8.726 RPS almuerzo por 28 días del calendario escolar entre el 10 de mayo y el 18 de julio de 2022 por un valor total de $5.289,4 millones.</w:t>
      </w:r>
    </w:p>
    <w:p w14:paraId="1EA0A371" w14:textId="77777777" w:rsidR="00A20990" w:rsidRPr="001A38D5" w:rsidRDefault="00A20990" w:rsidP="005140E1">
      <w:pPr>
        <w:contextualSpacing/>
        <w:jc w:val="both"/>
        <w:rPr>
          <w:rFonts w:cs="Arial"/>
          <w:lang w:val="es-CO"/>
        </w:rPr>
      </w:pPr>
    </w:p>
    <w:p w14:paraId="13AAE19F" w14:textId="77777777" w:rsidR="00A20990" w:rsidRPr="001A38D5" w:rsidRDefault="00A20990" w:rsidP="005140E1">
      <w:pPr>
        <w:contextualSpacing/>
        <w:jc w:val="both"/>
        <w:rPr>
          <w:rFonts w:cs="Arial"/>
          <w:lang w:val="es-CO"/>
        </w:rPr>
      </w:pPr>
      <w:r w:rsidRPr="001A38D5">
        <w:rPr>
          <w:rFonts w:cs="Arial"/>
          <w:lang w:val="es-CO"/>
        </w:rPr>
        <w:t xml:space="preserve">(iv) Proceso de Licitación Pública LP-005-2022, Contrato de </w:t>
      </w:r>
      <w:r w:rsidR="00497A0B">
        <w:rPr>
          <w:rFonts w:cs="Arial"/>
          <w:lang w:val="es-CO"/>
        </w:rPr>
        <w:t>P</w:t>
      </w:r>
      <w:r w:rsidRPr="001A38D5">
        <w:rPr>
          <w:rFonts w:cs="Arial"/>
          <w:lang w:val="es-CO"/>
        </w:rPr>
        <w:t xml:space="preserve">restación de </w:t>
      </w:r>
      <w:r w:rsidR="00497A0B">
        <w:rPr>
          <w:rFonts w:cs="Arial"/>
          <w:lang w:val="es-CO"/>
        </w:rPr>
        <w:t>S</w:t>
      </w:r>
      <w:r w:rsidRPr="001A38D5">
        <w:rPr>
          <w:rFonts w:cs="Arial"/>
          <w:lang w:val="es-CO"/>
        </w:rPr>
        <w:t>ervicios No. 1825 del 21 de julio de 2022 suscrito entre el Municipio y la Unión Temporal Villavicencio Solidario 2022 con NIT 901.614.837-1, conformada por Ardiko A&amp;S Construcciones Suministros y Servicios S.A.S – NIT 830.053.360-5 (50</w:t>
      </w:r>
      <w:r w:rsidR="00497A0B">
        <w:rPr>
          <w:rFonts w:cs="Arial"/>
          <w:lang w:val="es-CO"/>
        </w:rPr>
        <w:t xml:space="preserve"> </w:t>
      </w:r>
      <w:r w:rsidRPr="001A38D5">
        <w:rPr>
          <w:rFonts w:cs="Arial"/>
          <w:lang w:val="es-CO"/>
        </w:rPr>
        <w:t>%) y Logística y Suministros Pentágono S.A.S. – NIT 900.653.740-9 (50</w:t>
      </w:r>
      <w:r w:rsidR="00497A0B">
        <w:rPr>
          <w:rFonts w:cs="Arial"/>
          <w:lang w:val="es-CO"/>
        </w:rPr>
        <w:t xml:space="preserve"> </w:t>
      </w:r>
      <w:r w:rsidRPr="001A38D5">
        <w:rPr>
          <w:rFonts w:cs="Arial"/>
          <w:lang w:val="es-CO"/>
        </w:rPr>
        <w:t xml:space="preserve">%), para el suministro de 48.258 raciones diarias CAJAM/JT RI y 8.726 RPS almuerzo en un término inicial de 26 días del calendario escolar, por la suma total de $4.915,9 millones. El </w:t>
      </w:r>
      <w:r w:rsidR="00497A0B">
        <w:rPr>
          <w:rFonts w:cs="Arial"/>
          <w:lang w:val="es-CO"/>
        </w:rPr>
        <w:t>C</w:t>
      </w:r>
      <w:r w:rsidRPr="001A38D5">
        <w:rPr>
          <w:rFonts w:cs="Arial"/>
          <w:lang w:val="es-CO"/>
        </w:rPr>
        <w:t xml:space="preserve">ontrato fue prorrogado el 25 de agosto de 2022 por un día del calendario escolar y adicionado y prorrogado nuevamente el 29 de agosto de 2022 por el término de 13 días calendario escolar, contados a partir del día 30 de agosto de 2022 al 15 de septiembre de 2022, por valor de $2.457,9 millones. De acuerdo con la información reportada en la Categoría UAPA PAE del CHIP, el </w:t>
      </w:r>
      <w:r w:rsidR="00497A0B">
        <w:rPr>
          <w:rFonts w:cs="Arial"/>
          <w:lang w:val="es-CO"/>
        </w:rPr>
        <w:t>C</w:t>
      </w:r>
      <w:r w:rsidRPr="001A38D5">
        <w:rPr>
          <w:rFonts w:cs="Arial"/>
          <w:lang w:val="es-CO"/>
        </w:rPr>
        <w:t>ontrato se ejecutó durante 39 días del calendario escolar, por un valor total de $7.373,9 millones entre el 21 de julio y el 15 de septiembre de 2022.</w:t>
      </w:r>
    </w:p>
    <w:p w14:paraId="1D9E53C0" w14:textId="77777777" w:rsidR="00A20990" w:rsidRPr="001A38D5" w:rsidRDefault="00A20990" w:rsidP="005140E1">
      <w:pPr>
        <w:contextualSpacing/>
        <w:jc w:val="both"/>
        <w:rPr>
          <w:rFonts w:cs="Arial"/>
          <w:lang w:val="es-CO"/>
        </w:rPr>
      </w:pPr>
    </w:p>
    <w:p w14:paraId="5DFFAF0F" w14:textId="77777777" w:rsidR="00A20990" w:rsidRPr="001A38D5" w:rsidRDefault="00A20990" w:rsidP="005140E1">
      <w:pPr>
        <w:contextualSpacing/>
        <w:jc w:val="both"/>
        <w:rPr>
          <w:rFonts w:cs="Arial"/>
          <w:lang w:val="es-CO"/>
        </w:rPr>
      </w:pPr>
      <w:r w:rsidRPr="001A38D5">
        <w:rPr>
          <w:rFonts w:cs="Arial"/>
          <w:lang w:val="es-CO"/>
        </w:rPr>
        <w:t>(v) El 15 de septiembre de 2022 el Alcalde Municipal declaró urgencia manifiesta por insuficiencia de recursos para la prestación de Servicio de Alimentación Escolar mediante Decreto 1000-24-339-2022. De este modo, amparada en el artículo 30 de la Ley 2056 de 2020, la Administración modificó el capítulo de inversiones con cargo al SGR del Plan de Desarrollo Municipal, expidiendo el Decreto 0331 de 2022 “</w:t>
      </w:r>
      <w:r w:rsidRPr="007A412F">
        <w:rPr>
          <w:rFonts w:cs="Arial"/>
          <w:i/>
          <w:iCs/>
          <w:lang w:val="es-CO"/>
        </w:rPr>
        <w:t>Por medio del cual la administración municipal incorpora proyectos de inversión al capítulo independiente de inversiones con cargo a los recursos del Sistema General de Regalías SGR en el plan de desarrollo territorial de Villavicencio Cambia contigo 2020-2023</w:t>
      </w:r>
      <w:r w:rsidRPr="001A38D5">
        <w:rPr>
          <w:rFonts w:cs="Arial"/>
          <w:lang w:val="es-CO"/>
        </w:rPr>
        <w:t xml:space="preserve">”, adoptando la incorporación de Programa de Alimentación Escolar PAE en Villavicencio con BPIN 2022500010017. </w:t>
      </w:r>
    </w:p>
    <w:p w14:paraId="34EBC923" w14:textId="77777777" w:rsidR="00A20990" w:rsidRPr="001A38D5" w:rsidRDefault="00A20990" w:rsidP="005140E1">
      <w:pPr>
        <w:contextualSpacing/>
        <w:jc w:val="both"/>
        <w:rPr>
          <w:rFonts w:cs="Arial"/>
          <w:lang w:val="es-CO"/>
        </w:rPr>
      </w:pPr>
    </w:p>
    <w:p w14:paraId="549012C3" w14:textId="77777777" w:rsidR="00A20990" w:rsidRPr="001A38D5" w:rsidRDefault="00A20990" w:rsidP="005140E1">
      <w:pPr>
        <w:contextualSpacing/>
        <w:jc w:val="both"/>
        <w:rPr>
          <w:rFonts w:cs="Arial"/>
          <w:lang w:val="es-CO"/>
        </w:rPr>
      </w:pPr>
      <w:r w:rsidRPr="001A38D5">
        <w:rPr>
          <w:rFonts w:cs="Arial"/>
          <w:lang w:val="es-CO"/>
        </w:rPr>
        <w:t xml:space="preserve">En virtud de lo anterior se apertura el Proceso de Contratación Directa CD-3502-2022, que llevó a la suscripción del Contrato de </w:t>
      </w:r>
      <w:r w:rsidR="00497A0B">
        <w:rPr>
          <w:rFonts w:cs="Arial"/>
          <w:lang w:val="es-CO"/>
        </w:rPr>
        <w:t>P</w:t>
      </w:r>
      <w:r w:rsidRPr="001A38D5">
        <w:rPr>
          <w:rFonts w:cs="Arial"/>
          <w:lang w:val="es-CO"/>
        </w:rPr>
        <w:t xml:space="preserve">restación de </w:t>
      </w:r>
      <w:r w:rsidR="00497A0B">
        <w:rPr>
          <w:rFonts w:cs="Arial"/>
          <w:lang w:val="es-CO"/>
        </w:rPr>
        <w:t>S</w:t>
      </w:r>
      <w:r w:rsidRPr="001A38D5">
        <w:rPr>
          <w:rFonts w:cs="Arial"/>
          <w:lang w:val="es-CO"/>
        </w:rPr>
        <w:t xml:space="preserve">ervicios y de </w:t>
      </w:r>
      <w:r w:rsidR="00497A0B">
        <w:rPr>
          <w:rFonts w:cs="Arial"/>
          <w:lang w:val="es-CO"/>
        </w:rPr>
        <w:t>A</w:t>
      </w:r>
      <w:r w:rsidRPr="001A38D5">
        <w:rPr>
          <w:rFonts w:cs="Arial"/>
          <w:lang w:val="es-CO"/>
        </w:rPr>
        <w:t xml:space="preserve">poyo </w:t>
      </w:r>
      <w:r w:rsidR="00497A0B">
        <w:rPr>
          <w:rFonts w:cs="Arial"/>
          <w:lang w:val="es-CO"/>
        </w:rPr>
        <w:t>L</w:t>
      </w:r>
      <w:r w:rsidRPr="001A38D5">
        <w:rPr>
          <w:rFonts w:cs="Arial"/>
          <w:lang w:val="es-CO"/>
        </w:rPr>
        <w:t xml:space="preserve">ogístico 3122 del 16 de septiembre de 2022, celebrado con el Servicios de Alimentos y Logística S.A.S SEDEALCO S.A.S., NIT: 901.084.024-5, con el objeto de operar el PAE dirigido a los estudiantes registrados con matrícula oficial en el SIMAT del Municipio, con las siguientes especificaciones técnicas: 48.258 raciones diarias CAJAM/JT – RI y 8.726 RPS almuerzo, durante 20 días del calendario escolar, por un valor de $3.782 millones, financiados con recursos del Sistema General de Regalías. El contrato fue prorrogado el 22 de octubre de 2022 por 4 días del calendario escolar. Posteriormente, el 27 de octubre de 2022 se suscribió el acta de Adición No. 1 por $756,4 millones y Prórroga No. 2 en 4 días del calendario escolar. Finalmente, según lo reportado en la categoría UAPA PAE del CHIP el Contrato se ejecutó por 28 días del calendario escolar, entre el 16 de septiembre y el 2 de noviembre de 2022, por un valor total de $4.210 millones. </w:t>
      </w:r>
    </w:p>
    <w:p w14:paraId="362CB4E2" w14:textId="77777777" w:rsidR="00A20990" w:rsidRPr="001A38D5" w:rsidRDefault="00A20990" w:rsidP="005140E1">
      <w:pPr>
        <w:contextualSpacing/>
        <w:jc w:val="both"/>
        <w:rPr>
          <w:rFonts w:cs="Arial"/>
          <w:lang w:val="es-CO"/>
        </w:rPr>
      </w:pPr>
    </w:p>
    <w:p w14:paraId="6C24071C" w14:textId="77777777" w:rsidR="00A20990" w:rsidRPr="001A38D5" w:rsidRDefault="00A20990" w:rsidP="005140E1">
      <w:pPr>
        <w:contextualSpacing/>
        <w:jc w:val="both"/>
        <w:rPr>
          <w:rFonts w:cs="Arial"/>
          <w:lang w:val="es-CO"/>
        </w:rPr>
      </w:pPr>
      <w:r w:rsidRPr="001A38D5">
        <w:rPr>
          <w:rFonts w:cs="Arial"/>
          <w:lang w:val="es-CO"/>
        </w:rPr>
        <w:t xml:space="preserve">(vi) Finalmente, para garantizar el Servicio hasta la finalización del calendario escolar la Entidad inició el Proceso de Licitación Pública LP-009-2022, lo que llevó a la suscripción del Contrato de </w:t>
      </w:r>
      <w:r w:rsidR="00497A0B">
        <w:rPr>
          <w:rFonts w:cs="Arial"/>
          <w:lang w:val="es-CO"/>
        </w:rPr>
        <w:t>P</w:t>
      </w:r>
      <w:r w:rsidRPr="001A38D5">
        <w:rPr>
          <w:rFonts w:cs="Arial"/>
          <w:lang w:val="es-CO"/>
        </w:rPr>
        <w:t xml:space="preserve">restación de </w:t>
      </w:r>
      <w:r w:rsidR="00497A0B">
        <w:rPr>
          <w:rFonts w:cs="Arial"/>
          <w:lang w:val="es-CO"/>
        </w:rPr>
        <w:t>S</w:t>
      </w:r>
      <w:r w:rsidRPr="001A38D5">
        <w:rPr>
          <w:rFonts w:cs="Arial"/>
          <w:lang w:val="es-CO"/>
        </w:rPr>
        <w:t xml:space="preserve">ervicios No. 3369 con el operador Servicio de Alimentos y Logísticas S.A.S, NIT. 901.084.024-5, por un valor de $2.836,6 millones para el suministro de 48.258 raciones diarias CAJAM/JT – RI y 8.726 RPS almuerzo, durante 15 días del calendario escolar. El Contrato fue prorrogado por 2 días, para ser ejecutado entre el 4 al 30 de noviembre de 2022. Según lo reportado en la </w:t>
      </w:r>
      <w:r w:rsidR="00497A0B">
        <w:rPr>
          <w:rFonts w:cs="Arial"/>
          <w:lang w:val="es-CO"/>
        </w:rPr>
        <w:t>C</w:t>
      </w:r>
      <w:r w:rsidRPr="001A38D5">
        <w:rPr>
          <w:rFonts w:cs="Arial"/>
          <w:lang w:val="es-CO"/>
        </w:rPr>
        <w:t>ategoría UAPA</w:t>
      </w:r>
      <w:r w:rsidR="00497A0B">
        <w:rPr>
          <w:rFonts w:cs="Arial"/>
          <w:lang w:val="es-CO"/>
        </w:rPr>
        <w:t>-</w:t>
      </w:r>
      <w:r w:rsidRPr="001A38D5">
        <w:rPr>
          <w:rFonts w:cs="Arial"/>
          <w:lang w:val="es-CO"/>
        </w:rPr>
        <w:t>PAE del CHIP, el Contrato se ejecutó por 19 días del calendario escolar, por un valor total de $2.202 millones.</w:t>
      </w:r>
    </w:p>
    <w:p w14:paraId="3D31A22D" w14:textId="77777777" w:rsidR="00A20990" w:rsidRPr="001A38D5" w:rsidRDefault="00A20990" w:rsidP="005140E1">
      <w:pPr>
        <w:contextualSpacing/>
        <w:jc w:val="both"/>
        <w:rPr>
          <w:rFonts w:cs="Arial"/>
          <w:lang w:val="es-CO"/>
        </w:rPr>
      </w:pPr>
    </w:p>
    <w:p w14:paraId="34276C7E" w14:textId="77777777" w:rsidR="00A20990" w:rsidRPr="001A38D5" w:rsidRDefault="00A20990" w:rsidP="005140E1">
      <w:pPr>
        <w:contextualSpacing/>
        <w:jc w:val="both"/>
        <w:rPr>
          <w:rFonts w:cs="Arial"/>
          <w:lang w:val="es-CO"/>
        </w:rPr>
      </w:pPr>
      <w:r w:rsidRPr="001A38D5">
        <w:rPr>
          <w:rFonts w:cs="Arial"/>
          <w:lang w:val="es-CO"/>
        </w:rPr>
        <w:t xml:space="preserve">Durante la vigencia 2022, el Municipio contrató la interventoría técnica, administrativa, financiera y jurídica de la operación del PAE, mediante el Contrato de </w:t>
      </w:r>
      <w:r w:rsidR="00497A0B">
        <w:rPr>
          <w:rFonts w:cs="Arial"/>
          <w:lang w:val="es-CO"/>
        </w:rPr>
        <w:t>I</w:t>
      </w:r>
      <w:r w:rsidRPr="001A38D5">
        <w:rPr>
          <w:rFonts w:cs="Arial"/>
          <w:lang w:val="es-CO"/>
        </w:rPr>
        <w:t xml:space="preserve">nterventoría No. 3123 (Proceso de Contratación Directa CD-3503-2022) con Adriana María Vera Monroy por un periodo de un mes y 17 días entre el 23 de septiembre y 4 de noviembre de 2022, por un valor total de $222 millones financiado con recursos del SGR. </w:t>
      </w:r>
      <w:r w:rsidR="00E012A1" w:rsidRPr="001A38D5">
        <w:rPr>
          <w:rFonts w:cs="Arial"/>
          <w:lang w:val="es-CO"/>
        </w:rPr>
        <w:t xml:space="preserve">Así </w:t>
      </w:r>
      <w:r w:rsidRPr="001A38D5">
        <w:rPr>
          <w:rFonts w:cs="Arial"/>
          <w:lang w:val="es-CO"/>
        </w:rPr>
        <w:t xml:space="preserve">mismo, según lo reportado en la </w:t>
      </w:r>
      <w:r w:rsidR="00497A0B">
        <w:rPr>
          <w:rFonts w:cs="Arial"/>
          <w:lang w:val="es-CO"/>
        </w:rPr>
        <w:t>C</w:t>
      </w:r>
      <w:r w:rsidRPr="001A38D5">
        <w:rPr>
          <w:rFonts w:cs="Arial"/>
          <w:lang w:val="es-CO"/>
        </w:rPr>
        <w:t>ategoría UAPA</w:t>
      </w:r>
      <w:r w:rsidR="00497A0B">
        <w:rPr>
          <w:rFonts w:cs="Arial"/>
          <w:lang w:val="es-CO"/>
        </w:rPr>
        <w:t>-</w:t>
      </w:r>
      <w:r w:rsidRPr="001A38D5">
        <w:rPr>
          <w:rFonts w:cs="Arial"/>
          <w:lang w:val="es-CO"/>
        </w:rPr>
        <w:t>PAE del CHIP se suscribieron 15 contratos de prestación de servicios profesionales para la conformación del Equipo PAE, por valor total de $224 millones.</w:t>
      </w:r>
    </w:p>
    <w:p w14:paraId="6779F6F0" w14:textId="77777777" w:rsidR="00A20990" w:rsidRPr="007A412F" w:rsidRDefault="00A20990" w:rsidP="005140E1">
      <w:pPr>
        <w:pStyle w:val="Descripcin"/>
        <w:keepNext/>
        <w:contextualSpacing/>
        <w:jc w:val="left"/>
        <w:rPr>
          <w:rFonts w:ascii="Verdana" w:hAnsi="Verdana"/>
          <w:b/>
          <w:i w:val="0"/>
          <w:iCs w:val="0"/>
          <w:color w:val="auto"/>
          <w:sz w:val="20"/>
          <w:lang w:val="es-CO"/>
        </w:rPr>
      </w:pPr>
    </w:p>
    <w:p w14:paraId="4D0334DF"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3</w:t>
      </w:r>
      <w:r w:rsidRPr="007A412F">
        <w:rPr>
          <w:rFonts w:ascii="Verdana" w:hAnsi="Verdana"/>
          <w:color w:val="auto"/>
          <w:sz w:val="20"/>
          <w:szCs w:val="20"/>
        </w:rPr>
        <w:fldChar w:fldCharType="end"/>
      </w:r>
      <w:r w:rsidRPr="007A412F">
        <w:rPr>
          <w:rFonts w:ascii="Verdana" w:hAnsi="Verdana"/>
          <w:color w:val="auto"/>
          <w:sz w:val="20"/>
          <w:szCs w:val="20"/>
        </w:rPr>
        <w:t xml:space="preserve"> Contratos para operación del PAE suscritos por el Municipio de Villavicencio Meta 2019-2022 (valores en pesos colombianos)</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7"/>
        <w:gridCol w:w="1312"/>
        <w:gridCol w:w="817"/>
        <w:gridCol w:w="3256"/>
        <w:gridCol w:w="1487"/>
        <w:gridCol w:w="759"/>
      </w:tblGrid>
      <w:tr w:rsidR="001A38D5" w:rsidRPr="001A38D5" w14:paraId="1CDBEC48" w14:textId="77777777" w:rsidTr="0031536F">
        <w:trPr>
          <w:trHeight w:val="20"/>
          <w:tblHeader/>
          <w:jc w:val="center"/>
        </w:trPr>
        <w:tc>
          <w:tcPr>
            <w:tcW w:w="1546" w:type="dxa"/>
            <w:shd w:val="clear" w:color="auto" w:fill="FFC000"/>
            <w:vAlign w:val="center"/>
            <w:hideMark/>
          </w:tcPr>
          <w:p w14:paraId="0F102721"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CONTRATO</w:t>
            </w:r>
          </w:p>
        </w:tc>
        <w:tc>
          <w:tcPr>
            <w:tcW w:w="1458" w:type="dxa"/>
            <w:shd w:val="clear" w:color="auto" w:fill="FFC000"/>
            <w:vAlign w:val="center"/>
            <w:hideMark/>
          </w:tcPr>
          <w:p w14:paraId="79B9E7D7"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NOMBRE DEL CONTRATISTA</w:t>
            </w:r>
          </w:p>
        </w:tc>
        <w:tc>
          <w:tcPr>
            <w:tcW w:w="819" w:type="dxa"/>
            <w:shd w:val="clear" w:color="auto" w:fill="FFC000"/>
            <w:vAlign w:val="center"/>
            <w:hideMark/>
          </w:tcPr>
          <w:p w14:paraId="6C000E8D"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FECHA DE INICIO</w:t>
            </w:r>
          </w:p>
        </w:tc>
        <w:tc>
          <w:tcPr>
            <w:tcW w:w="3256" w:type="dxa"/>
            <w:shd w:val="clear" w:color="auto" w:fill="FFC000"/>
            <w:noWrap/>
            <w:vAlign w:val="center"/>
            <w:hideMark/>
          </w:tcPr>
          <w:p w14:paraId="593B2358"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OBJETO CONTRACTUAL</w:t>
            </w:r>
          </w:p>
        </w:tc>
        <w:tc>
          <w:tcPr>
            <w:tcW w:w="1248" w:type="dxa"/>
            <w:shd w:val="clear" w:color="auto" w:fill="FFC000"/>
            <w:vAlign w:val="center"/>
            <w:hideMark/>
          </w:tcPr>
          <w:p w14:paraId="4CC7C501"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VALOR</w:t>
            </w:r>
          </w:p>
        </w:tc>
        <w:tc>
          <w:tcPr>
            <w:tcW w:w="741" w:type="dxa"/>
            <w:shd w:val="clear" w:color="auto" w:fill="FFC000"/>
            <w:vAlign w:val="center"/>
            <w:hideMark/>
          </w:tcPr>
          <w:p w14:paraId="26DD8FA1"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PLAZO</w:t>
            </w:r>
          </w:p>
        </w:tc>
      </w:tr>
      <w:tr w:rsidR="001A38D5" w:rsidRPr="001A38D5" w14:paraId="4A01E809" w14:textId="77777777" w:rsidTr="00A20990">
        <w:trPr>
          <w:trHeight w:val="20"/>
          <w:jc w:val="center"/>
        </w:trPr>
        <w:tc>
          <w:tcPr>
            <w:tcW w:w="1546" w:type="dxa"/>
            <w:hideMark/>
          </w:tcPr>
          <w:p w14:paraId="3C044300"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Contrato de prestación de servicios No. 077 del 30 de enero de 2019</w:t>
            </w:r>
          </w:p>
        </w:tc>
        <w:tc>
          <w:tcPr>
            <w:tcW w:w="1458" w:type="dxa"/>
            <w:vAlign w:val="center"/>
            <w:hideMark/>
          </w:tcPr>
          <w:p w14:paraId="0A8B1D5C"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Unión Temporal PAE para Villavicencio 2019 - NIT 901.248.776-0</w:t>
            </w:r>
          </w:p>
        </w:tc>
        <w:tc>
          <w:tcPr>
            <w:tcW w:w="819" w:type="dxa"/>
            <w:vAlign w:val="center"/>
            <w:hideMark/>
          </w:tcPr>
          <w:p w14:paraId="15F21B68"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4 de febrero de 2019</w:t>
            </w:r>
          </w:p>
          <w:p w14:paraId="0412151D" w14:textId="77777777" w:rsidR="00A20990" w:rsidRPr="001A38D5" w:rsidRDefault="00A20990" w:rsidP="005140E1">
            <w:pPr>
              <w:contextualSpacing/>
              <w:jc w:val="center"/>
              <w:rPr>
                <w:rFonts w:eastAsia="Times New Roman" w:cs="Arial"/>
                <w:sz w:val="12"/>
                <w:szCs w:val="16"/>
                <w:lang w:val="es-CO" w:eastAsia="es-CO"/>
              </w:rPr>
            </w:pPr>
          </w:p>
        </w:tc>
        <w:tc>
          <w:tcPr>
            <w:tcW w:w="3256" w:type="dxa"/>
            <w:noWrap/>
            <w:vAlign w:val="center"/>
            <w:hideMark/>
          </w:tcPr>
          <w:p w14:paraId="44C0B315" w14:textId="77777777" w:rsidR="00A20990" w:rsidRPr="007A412F" w:rsidRDefault="00A20990" w:rsidP="005140E1">
            <w:pPr>
              <w:contextualSpacing/>
              <w:jc w:val="center"/>
              <w:rPr>
                <w:rFonts w:eastAsia="Times New Roman" w:cs="Arial"/>
                <w:i/>
                <w:iCs/>
                <w:sz w:val="12"/>
                <w:szCs w:val="16"/>
                <w:lang w:val="es-CO" w:eastAsia="es-CO"/>
              </w:rPr>
            </w:pPr>
            <w:r w:rsidRPr="007A412F">
              <w:rPr>
                <w:rFonts w:eastAsia="Times New Roman" w:cs="Arial"/>
                <w:i/>
                <w:iCs/>
                <w:sz w:val="12"/>
                <w:szCs w:val="16"/>
                <w:lang w:val="es-CO" w:eastAsia="es-CO"/>
              </w:rPr>
              <w:t xml:space="preserve">Operar el Programa de Alimentación Escolar PAE dirigido a los estudiantes registrados con </w:t>
            </w:r>
            <w:r w:rsidR="00E012A1" w:rsidRPr="007A412F">
              <w:rPr>
                <w:rFonts w:eastAsia="Times New Roman" w:cs="Arial"/>
                <w:i/>
                <w:iCs/>
                <w:sz w:val="12"/>
                <w:szCs w:val="16"/>
                <w:lang w:val="es-CO" w:eastAsia="es-CO"/>
              </w:rPr>
              <w:t>matrícula</w:t>
            </w:r>
            <w:r w:rsidRPr="007A412F">
              <w:rPr>
                <w:rFonts w:eastAsia="Times New Roman" w:cs="Arial"/>
                <w:i/>
                <w:iCs/>
                <w:sz w:val="12"/>
                <w:szCs w:val="16"/>
                <w:lang w:val="es-CO" w:eastAsia="es-CO"/>
              </w:rPr>
              <w:t xml:space="preserve"> oficial en el SIMAT del Municipio de Villavicencio.</w:t>
            </w:r>
          </w:p>
        </w:tc>
        <w:tc>
          <w:tcPr>
            <w:tcW w:w="1248" w:type="dxa"/>
            <w:vAlign w:val="center"/>
            <w:hideMark/>
          </w:tcPr>
          <w:p w14:paraId="2FA2F34A"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$4.819.354.146</w:t>
            </w:r>
          </w:p>
          <w:p w14:paraId="195C1C60" w14:textId="77777777" w:rsidR="00A20990" w:rsidRPr="001A38D5" w:rsidRDefault="00A20990" w:rsidP="005140E1">
            <w:pPr>
              <w:contextualSpacing/>
              <w:jc w:val="center"/>
              <w:rPr>
                <w:rFonts w:eastAsia="Times New Roman" w:cs="Arial"/>
                <w:sz w:val="12"/>
                <w:szCs w:val="16"/>
                <w:lang w:val="es-CO" w:eastAsia="es-CO"/>
              </w:rPr>
            </w:pPr>
          </w:p>
        </w:tc>
        <w:tc>
          <w:tcPr>
            <w:tcW w:w="741" w:type="dxa"/>
            <w:vAlign w:val="center"/>
            <w:hideMark/>
          </w:tcPr>
          <w:p w14:paraId="7DB95514"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68 días calendario escolar</w:t>
            </w:r>
          </w:p>
        </w:tc>
      </w:tr>
      <w:tr w:rsidR="001A38D5" w:rsidRPr="001A38D5" w14:paraId="118EB85B" w14:textId="77777777" w:rsidTr="0031536F">
        <w:trPr>
          <w:trHeight w:val="20"/>
          <w:jc w:val="center"/>
        </w:trPr>
        <w:tc>
          <w:tcPr>
            <w:tcW w:w="1546" w:type="dxa"/>
            <w:tcBorders>
              <w:bottom w:val="single" w:sz="4" w:space="0" w:color="auto"/>
            </w:tcBorders>
          </w:tcPr>
          <w:p w14:paraId="462F8034"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Contrato de prestación de servicios No. 1198 del 30 de mayo de 2019</w:t>
            </w:r>
          </w:p>
        </w:tc>
        <w:tc>
          <w:tcPr>
            <w:tcW w:w="1458" w:type="dxa"/>
            <w:tcBorders>
              <w:bottom w:val="single" w:sz="4" w:space="0" w:color="auto"/>
            </w:tcBorders>
            <w:vAlign w:val="center"/>
          </w:tcPr>
          <w:p w14:paraId="27562A0D"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Unión Temporal PAE para Villavicencio 2019 II - NIT 901.288.823-1</w:t>
            </w:r>
          </w:p>
        </w:tc>
        <w:tc>
          <w:tcPr>
            <w:tcW w:w="819" w:type="dxa"/>
            <w:tcBorders>
              <w:bottom w:val="single" w:sz="4" w:space="0" w:color="auto"/>
            </w:tcBorders>
            <w:vAlign w:val="center"/>
          </w:tcPr>
          <w:p w14:paraId="2F98026D"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4 de junio de 2019</w:t>
            </w:r>
          </w:p>
        </w:tc>
        <w:tc>
          <w:tcPr>
            <w:tcW w:w="3256" w:type="dxa"/>
            <w:tcBorders>
              <w:bottom w:val="single" w:sz="4" w:space="0" w:color="auto"/>
            </w:tcBorders>
            <w:noWrap/>
            <w:vAlign w:val="center"/>
          </w:tcPr>
          <w:p w14:paraId="75A1D0EF" w14:textId="77777777" w:rsidR="00A20990" w:rsidRPr="007A412F" w:rsidRDefault="00A20990" w:rsidP="005140E1">
            <w:pPr>
              <w:contextualSpacing/>
              <w:jc w:val="center"/>
              <w:rPr>
                <w:rFonts w:eastAsia="Times New Roman" w:cs="Arial"/>
                <w:i/>
                <w:iCs/>
                <w:sz w:val="12"/>
                <w:szCs w:val="16"/>
                <w:lang w:val="es-CO" w:eastAsia="es-CO"/>
              </w:rPr>
            </w:pPr>
            <w:r w:rsidRPr="007A412F">
              <w:rPr>
                <w:rFonts w:eastAsia="Times New Roman" w:cs="Arial"/>
                <w:i/>
                <w:iCs/>
                <w:sz w:val="12"/>
                <w:szCs w:val="16"/>
                <w:lang w:val="es-CO" w:eastAsia="es-CO"/>
              </w:rPr>
              <w:t xml:space="preserve">Operar el Programa de Alimentación Escolar PAE dirigido a los estudiantes registrados con </w:t>
            </w:r>
            <w:r w:rsidR="00E012A1" w:rsidRPr="007A412F">
              <w:rPr>
                <w:rFonts w:eastAsia="Times New Roman" w:cs="Arial"/>
                <w:i/>
                <w:iCs/>
                <w:sz w:val="12"/>
                <w:szCs w:val="16"/>
                <w:lang w:val="es-CO" w:eastAsia="es-CO"/>
              </w:rPr>
              <w:t>matrícula</w:t>
            </w:r>
            <w:r w:rsidRPr="007A412F">
              <w:rPr>
                <w:rFonts w:eastAsia="Times New Roman" w:cs="Arial"/>
                <w:i/>
                <w:iCs/>
                <w:sz w:val="12"/>
                <w:szCs w:val="16"/>
                <w:lang w:val="es-CO" w:eastAsia="es-CO"/>
              </w:rPr>
              <w:t xml:space="preserve"> oficial en el SIMAT del Municipio de Villavicencio.</w:t>
            </w:r>
          </w:p>
        </w:tc>
        <w:tc>
          <w:tcPr>
            <w:tcW w:w="1248" w:type="dxa"/>
            <w:tcBorders>
              <w:bottom w:val="single" w:sz="4" w:space="0" w:color="auto"/>
            </w:tcBorders>
            <w:vAlign w:val="center"/>
          </w:tcPr>
          <w:p w14:paraId="5BD949A6"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$7.009.530.206</w:t>
            </w:r>
          </w:p>
        </w:tc>
        <w:tc>
          <w:tcPr>
            <w:tcW w:w="741" w:type="dxa"/>
            <w:tcBorders>
              <w:bottom w:val="single" w:sz="4" w:space="0" w:color="auto"/>
            </w:tcBorders>
            <w:vAlign w:val="center"/>
          </w:tcPr>
          <w:p w14:paraId="39EB43A4"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97 días calendario escolar</w:t>
            </w:r>
          </w:p>
        </w:tc>
      </w:tr>
      <w:tr w:rsidR="001A38D5" w:rsidRPr="001A38D5" w14:paraId="06A244A6" w14:textId="77777777" w:rsidTr="0031536F">
        <w:trPr>
          <w:trHeight w:val="20"/>
          <w:tblHeader/>
          <w:jc w:val="center"/>
        </w:trPr>
        <w:tc>
          <w:tcPr>
            <w:tcW w:w="7079" w:type="dxa"/>
            <w:gridSpan w:val="4"/>
            <w:shd w:val="clear" w:color="auto" w:fill="FFC000"/>
            <w:vAlign w:val="center"/>
          </w:tcPr>
          <w:p w14:paraId="2B43435E"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6"/>
                <w:szCs w:val="16"/>
                <w:lang w:val="es-CO" w:eastAsia="es-CO"/>
              </w:rPr>
              <w:t>TOTAL CONTRATACIÓN PARA OPERAR EL PAE VIGENCIA 2019</w:t>
            </w:r>
          </w:p>
        </w:tc>
        <w:tc>
          <w:tcPr>
            <w:tcW w:w="1248" w:type="dxa"/>
            <w:shd w:val="clear" w:color="auto" w:fill="FFC000"/>
            <w:vAlign w:val="center"/>
          </w:tcPr>
          <w:p w14:paraId="4E7C2B7D" w14:textId="77777777" w:rsidR="00A20990" w:rsidRPr="0031536F" w:rsidRDefault="00A20990" w:rsidP="005140E1">
            <w:pPr>
              <w:contextualSpacing/>
              <w:jc w:val="center"/>
              <w:rPr>
                <w:rFonts w:eastAsia="Times New Roman" w:cs="Arial"/>
                <w:b/>
                <w:sz w:val="14"/>
                <w:szCs w:val="16"/>
                <w:lang w:val="es-CO" w:eastAsia="es-CO"/>
              </w:rPr>
            </w:pPr>
            <w:r w:rsidRPr="001A38D5">
              <w:rPr>
                <w:rFonts w:eastAsia="Times New Roman" w:cs="Arial"/>
                <w:b/>
                <w:sz w:val="14"/>
                <w:szCs w:val="16"/>
                <w:lang w:val="es-CO" w:eastAsia="es-CO"/>
              </w:rPr>
              <w:t>$11.828.884.352</w:t>
            </w:r>
          </w:p>
        </w:tc>
        <w:tc>
          <w:tcPr>
            <w:tcW w:w="741" w:type="dxa"/>
            <w:shd w:val="clear" w:color="auto" w:fill="FFC000"/>
            <w:vAlign w:val="center"/>
          </w:tcPr>
          <w:p w14:paraId="0C9D390C" w14:textId="77777777" w:rsidR="00A20990" w:rsidRPr="001A38D5" w:rsidRDefault="00A20990" w:rsidP="005140E1">
            <w:pPr>
              <w:contextualSpacing/>
              <w:jc w:val="center"/>
              <w:rPr>
                <w:rFonts w:eastAsia="Times New Roman" w:cs="Arial"/>
                <w:b/>
                <w:bCs/>
                <w:sz w:val="12"/>
                <w:szCs w:val="16"/>
                <w:lang w:val="es-CO" w:eastAsia="es-CO"/>
              </w:rPr>
            </w:pPr>
            <w:r w:rsidRPr="001A38D5">
              <w:rPr>
                <w:rFonts w:eastAsia="Times New Roman" w:cs="Arial"/>
                <w:b/>
                <w:bCs/>
                <w:sz w:val="12"/>
                <w:szCs w:val="16"/>
                <w:lang w:val="es-CO" w:eastAsia="es-CO"/>
              </w:rPr>
              <w:t>165 días</w:t>
            </w:r>
          </w:p>
        </w:tc>
      </w:tr>
      <w:tr w:rsidR="001A38D5" w:rsidRPr="001A38D5" w14:paraId="5F04E784" w14:textId="77777777" w:rsidTr="00A20990">
        <w:trPr>
          <w:trHeight w:val="20"/>
          <w:jc w:val="center"/>
        </w:trPr>
        <w:tc>
          <w:tcPr>
            <w:tcW w:w="1546" w:type="dxa"/>
            <w:vAlign w:val="center"/>
          </w:tcPr>
          <w:p w14:paraId="1A304C21"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Contrato de prestación de servicios No. 049 del 7 de febrero de 2020</w:t>
            </w:r>
          </w:p>
        </w:tc>
        <w:tc>
          <w:tcPr>
            <w:tcW w:w="1458" w:type="dxa"/>
            <w:vAlign w:val="center"/>
          </w:tcPr>
          <w:p w14:paraId="49E54DD4"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 xml:space="preserve">Unión Temporal PAE para Villavicencio 2020 - NIT </w:t>
            </w:r>
            <w:r w:rsidRPr="001A38D5">
              <w:rPr>
                <w:rFonts w:eastAsia="Times New Roman" w:cs="Arial"/>
                <w:sz w:val="12"/>
                <w:szCs w:val="16"/>
                <w:lang w:val="es-CO" w:eastAsia="es-CO"/>
              </w:rPr>
              <w:lastRenderedPageBreak/>
              <w:t>901.364.060-2</w:t>
            </w:r>
          </w:p>
        </w:tc>
        <w:tc>
          <w:tcPr>
            <w:tcW w:w="819" w:type="dxa"/>
            <w:vAlign w:val="center"/>
          </w:tcPr>
          <w:p w14:paraId="7CE78E8F"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lastRenderedPageBreak/>
              <w:t>17 de febrero de 2020</w:t>
            </w:r>
          </w:p>
        </w:tc>
        <w:tc>
          <w:tcPr>
            <w:tcW w:w="3256" w:type="dxa"/>
            <w:noWrap/>
            <w:vAlign w:val="center"/>
          </w:tcPr>
          <w:p w14:paraId="5A550E44" w14:textId="77777777" w:rsidR="00A20990" w:rsidRPr="007A412F" w:rsidRDefault="00A20990" w:rsidP="005140E1">
            <w:pPr>
              <w:contextualSpacing/>
              <w:jc w:val="center"/>
              <w:rPr>
                <w:rFonts w:eastAsia="Times New Roman" w:cs="Arial"/>
                <w:i/>
                <w:iCs/>
                <w:sz w:val="12"/>
                <w:szCs w:val="16"/>
                <w:lang w:val="es-CO" w:eastAsia="es-CO"/>
              </w:rPr>
            </w:pPr>
            <w:r w:rsidRPr="007A412F">
              <w:rPr>
                <w:rFonts w:eastAsia="Times New Roman" w:cs="Arial"/>
                <w:i/>
                <w:iCs/>
                <w:sz w:val="12"/>
                <w:szCs w:val="16"/>
                <w:lang w:val="es-CO" w:eastAsia="es-CO"/>
              </w:rPr>
              <w:t>Operar el Programa de Alimentación Escolar PAE dirigido a los estudiantes registrados con matricula oficial en el SIMAT del Municipio de Villavicencio.</w:t>
            </w:r>
          </w:p>
        </w:tc>
        <w:tc>
          <w:tcPr>
            <w:tcW w:w="1248" w:type="dxa"/>
            <w:vAlign w:val="center"/>
          </w:tcPr>
          <w:p w14:paraId="0C112C89"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$10.270.065.538</w:t>
            </w:r>
          </w:p>
        </w:tc>
        <w:tc>
          <w:tcPr>
            <w:tcW w:w="741" w:type="dxa"/>
            <w:vAlign w:val="center"/>
          </w:tcPr>
          <w:p w14:paraId="09E6317B"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154 días calendario escolar</w:t>
            </w:r>
          </w:p>
        </w:tc>
      </w:tr>
      <w:tr w:rsidR="001A38D5" w:rsidRPr="001A38D5" w14:paraId="68668C9C" w14:textId="77777777" w:rsidTr="00A20990">
        <w:trPr>
          <w:trHeight w:val="20"/>
          <w:jc w:val="center"/>
        </w:trPr>
        <w:tc>
          <w:tcPr>
            <w:tcW w:w="1546" w:type="dxa"/>
            <w:vAlign w:val="center"/>
          </w:tcPr>
          <w:p w14:paraId="5A3296C2"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Contrato No. 594 del 14 de mayo de 2020</w:t>
            </w:r>
          </w:p>
        </w:tc>
        <w:tc>
          <w:tcPr>
            <w:tcW w:w="1458" w:type="dxa"/>
            <w:vAlign w:val="center"/>
          </w:tcPr>
          <w:p w14:paraId="61CE6837" w14:textId="77777777" w:rsidR="00A20990" w:rsidRPr="001A38D5" w:rsidRDefault="00EF2696" w:rsidP="005140E1">
            <w:pPr>
              <w:contextualSpacing/>
              <w:jc w:val="center"/>
              <w:rPr>
                <w:rFonts w:eastAsia="Times New Roman" w:cs="Arial"/>
                <w:sz w:val="12"/>
                <w:szCs w:val="16"/>
                <w:lang w:val="es-CO" w:eastAsia="es-CO"/>
              </w:rPr>
            </w:pPr>
            <w:r>
              <w:rPr>
                <w:rFonts w:eastAsia="Times New Roman" w:cs="Arial"/>
                <w:sz w:val="12"/>
                <w:szCs w:val="16"/>
                <w:lang w:val="es-CO" w:eastAsia="es-CO"/>
              </w:rPr>
              <w:t xml:space="preserve">Resguardo Indígena Maguare </w:t>
            </w:r>
            <w:r w:rsidR="00A20990" w:rsidRPr="001A38D5">
              <w:rPr>
                <w:rFonts w:eastAsia="Times New Roman" w:cs="Arial"/>
                <w:sz w:val="12"/>
                <w:szCs w:val="16"/>
                <w:lang w:val="es-CO" w:eastAsia="es-CO"/>
              </w:rPr>
              <w:t>- NIT. 901.053.503-9</w:t>
            </w:r>
          </w:p>
        </w:tc>
        <w:tc>
          <w:tcPr>
            <w:tcW w:w="819" w:type="dxa"/>
            <w:vAlign w:val="center"/>
          </w:tcPr>
          <w:p w14:paraId="4680FAB8"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28 de mayo de 2020</w:t>
            </w:r>
          </w:p>
        </w:tc>
        <w:tc>
          <w:tcPr>
            <w:tcW w:w="3256" w:type="dxa"/>
            <w:noWrap/>
            <w:vAlign w:val="center"/>
          </w:tcPr>
          <w:p w14:paraId="5D1F3E88" w14:textId="77777777" w:rsidR="00A20990" w:rsidRPr="007A412F" w:rsidRDefault="00A20990" w:rsidP="005140E1">
            <w:pPr>
              <w:contextualSpacing/>
              <w:jc w:val="center"/>
              <w:rPr>
                <w:rFonts w:eastAsia="Times New Roman" w:cs="Arial"/>
                <w:i/>
                <w:iCs/>
                <w:sz w:val="12"/>
                <w:szCs w:val="16"/>
                <w:lang w:val="es-CO" w:eastAsia="es-CO"/>
              </w:rPr>
            </w:pPr>
            <w:r w:rsidRPr="007A412F">
              <w:rPr>
                <w:rFonts w:eastAsia="Times New Roman" w:cs="Arial"/>
                <w:i/>
                <w:iCs/>
                <w:sz w:val="12"/>
                <w:szCs w:val="16"/>
                <w:lang w:val="es-CO" w:eastAsia="es-CO"/>
              </w:rPr>
              <w:t xml:space="preserve">Operar el Programa de Alimentación Escolar PAE dirigido a los estudiantes registrados con matrícula oficial en el </w:t>
            </w:r>
            <w:r w:rsidR="00EF2696">
              <w:rPr>
                <w:rFonts w:eastAsia="Times New Roman" w:cs="Arial"/>
                <w:i/>
                <w:iCs/>
                <w:sz w:val="12"/>
                <w:szCs w:val="16"/>
                <w:lang w:val="es-CO" w:eastAsia="es-CO"/>
              </w:rPr>
              <w:t xml:space="preserve">Resguardo Indígena Maguare </w:t>
            </w:r>
            <w:r w:rsidRPr="007A412F">
              <w:rPr>
                <w:rFonts w:eastAsia="Times New Roman" w:cs="Arial"/>
                <w:i/>
                <w:iCs/>
                <w:sz w:val="12"/>
                <w:szCs w:val="16"/>
                <w:lang w:val="es-CO" w:eastAsia="es-CO"/>
              </w:rPr>
              <w:t>del Municipio de Villavicencio, conforme lo establecido en la Resolución 18858 de 2018.</w:t>
            </w:r>
          </w:p>
        </w:tc>
        <w:tc>
          <w:tcPr>
            <w:tcW w:w="1248" w:type="dxa"/>
            <w:vAlign w:val="center"/>
          </w:tcPr>
          <w:p w14:paraId="12AED182"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$43.157.952</w:t>
            </w:r>
          </w:p>
        </w:tc>
        <w:tc>
          <w:tcPr>
            <w:tcW w:w="741" w:type="dxa"/>
            <w:vAlign w:val="center"/>
          </w:tcPr>
          <w:p w14:paraId="57A8237E"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144 días calendario escolar</w:t>
            </w:r>
          </w:p>
        </w:tc>
      </w:tr>
      <w:tr w:rsidR="001A38D5" w:rsidRPr="001A38D5" w14:paraId="3CC1BBCE" w14:textId="77777777" w:rsidTr="0031536F">
        <w:trPr>
          <w:trHeight w:val="20"/>
          <w:jc w:val="center"/>
        </w:trPr>
        <w:tc>
          <w:tcPr>
            <w:tcW w:w="1546" w:type="dxa"/>
            <w:tcBorders>
              <w:bottom w:val="single" w:sz="4" w:space="0" w:color="auto"/>
            </w:tcBorders>
            <w:vAlign w:val="center"/>
          </w:tcPr>
          <w:p w14:paraId="412D35D5"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Contrato de prestación de servicios No. 1961 del 13 de diciembre de 2020</w:t>
            </w:r>
          </w:p>
        </w:tc>
        <w:tc>
          <w:tcPr>
            <w:tcW w:w="1458" w:type="dxa"/>
            <w:tcBorders>
              <w:bottom w:val="single" w:sz="4" w:space="0" w:color="auto"/>
            </w:tcBorders>
            <w:vAlign w:val="center"/>
          </w:tcPr>
          <w:p w14:paraId="7E76FB33"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Unión Temporal Compromiso Por Villavicencio - NIT. 901.438.327-2</w:t>
            </w:r>
          </w:p>
        </w:tc>
        <w:tc>
          <w:tcPr>
            <w:tcW w:w="819" w:type="dxa"/>
            <w:tcBorders>
              <w:bottom w:val="single" w:sz="4" w:space="0" w:color="auto"/>
            </w:tcBorders>
            <w:vAlign w:val="center"/>
          </w:tcPr>
          <w:p w14:paraId="358FD707"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14 de diciembre de 2020</w:t>
            </w:r>
          </w:p>
        </w:tc>
        <w:tc>
          <w:tcPr>
            <w:tcW w:w="3256" w:type="dxa"/>
            <w:tcBorders>
              <w:bottom w:val="single" w:sz="4" w:space="0" w:color="auto"/>
            </w:tcBorders>
            <w:noWrap/>
            <w:vAlign w:val="center"/>
          </w:tcPr>
          <w:p w14:paraId="6A38F8FD" w14:textId="77777777" w:rsidR="00A20990" w:rsidRPr="007A412F" w:rsidRDefault="00A20990" w:rsidP="005140E1">
            <w:pPr>
              <w:contextualSpacing/>
              <w:jc w:val="center"/>
              <w:rPr>
                <w:rFonts w:eastAsia="Times New Roman" w:cs="Arial"/>
                <w:i/>
                <w:iCs/>
                <w:sz w:val="12"/>
                <w:szCs w:val="16"/>
                <w:lang w:val="es-CO" w:eastAsia="es-CO"/>
              </w:rPr>
            </w:pPr>
            <w:r w:rsidRPr="007A412F">
              <w:rPr>
                <w:rFonts w:eastAsia="Times New Roman" w:cs="Arial"/>
                <w:i/>
                <w:iCs/>
                <w:sz w:val="12"/>
                <w:szCs w:val="16"/>
                <w:lang w:val="es-CO" w:eastAsia="es-CO"/>
              </w:rPr>
              <w:t>Operar el Programa de Alimentación Escolar PAE dirigido a los estudiantes registrados con matrícula oficial en el SIMAT del Municipio de Villavicencio, Meta</w:t>
            </w:r>
          </w:p>
        </w:tc>
        <w:tc>
          <w:tcPr>
            <w:tcW w:w="1248" w:type="dxa"/>
            <w:tcBorders>
              <w:bottom w:val="single" w:sz="4" w:space="0" w:color="auto"/>
            </w:tcBorders>
            <w:vAlign w:val="center"/>
          </w:tcPr>
          <w:p w14:paraId="26B4ECC3"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$2.176.767.120</w:t>
            </w:r>
          </w:p>
        </w:tc>
        <w:tc>
          <w:tcPr>
            <w:tcW w:w="741" w:type="dxa"/>
            <w:tcBorders>
              <w:bottom w:val="single" w:sz="4" w:space="0" w:color="auto"/>
            </w:tcBorders>
            <w:vAlign w:val="center"/>
          </w:tcPr>
          <w:p w14:paraId="05EBA912"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30 días calendario escolar</w:t>
            </w:r>
          </w:p>
        </w:tc>
      </w:tr>
      <w:tr w:rsidR="001A38D5" w:rsidRPr="001A38D5" w14:paraId="3434A0CD" w14:textId="77777777" w:rsidTr="0031536F">
        <w:trPr>
          <w:trHeight w:val="20"/>
          <w:jc w:val="center"/>
        </w:trPr>
        <w:tc>
          <w:tcPr>
            <w:tcW w:w="7079" w:type="dxa"/>
            <w:gridSpan w:val="4"/>
            <w:shd w:val="clear" w:color="auto" w:fill="FFC000"/>
            <w:vAlign w:val="center"/>
          </w:tcPr>
          <w:p w14:paraId="6F4EA460"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TOTAL CONTRATACIÓN PARA OPERAR EL PAE VIGENCIA 2020</w:t>
            </w:r>
          </w:p>
        </w:tc>
        <w:tc>
          <w:tcPr>
            <w:tcW w:w="1248" w:type="dxa"/>
            <w:shd w:val="clear" w:color="auto" w:fill="FFC000"/>
            <w:vAlign w:val="center"/>
            <w:hideMark/>
          </w:tcPr>
          <w:p w14:paraId="3704EF36" w14:textId="77777777" w:rsidR="00A20990" w:rsidRPr="001A38D5" w:rsidRDefault="00A20990" w:rsidP="005140E1">
            <w:pPr>
              <w:contextualSpacing/>
              <w:jc w:val="right"/>
              <w:rPr>
                <w:rFonts w:eastAsia="Times New Roman" w:cs="Arial"/>
                <w:b/>
                <w:sz w:val="14"/>
                <w:szCs w:val="16"/>
                <w:lang w:val="es-CO" w:eastAsia="es-CO"/>
              </w:rPr>
            </w:pPr>
            <w:r w:rsidRPr="001A38D5">
              <w:rPr>
                <w:rFonts w:eastAsia="Times New Roman" w:cs="Arial"/>
                <w:b/>
                <w:sz w:val="14"/>
                <w:szCs w:val="16"/>
                <w:lang w:val="es-CO" w:eastAsia="es-CO"/>
              </w:rPr>
              <w:t>$12.489.990.610</w:t>
            </w:r>
          </w:p>
        </w:tc>
        <w:tc>
          <w:tcPr>
            <w:tcW w:w="741" w:type="dxa"/>
            <w:shd w:val="clear" w:color="auto" w:fill="FFC000"/>
            <w:vAlign w:val="center"/>
          </w:tcPr>
          <w:p w14:paraId="5359B9A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b/>
                <w:bCs/>
                <w:sz w:val="12"/>
                <w:szCs w:val="16"/>
                <w:lang w:val="es-CO" w:eastAsia="es-CO"/>
              </w:rPr>
              <w:t>174 días</w:t>
            </w:r>
            <w:r w:rsidRPr="001A38D5">
              <w:rPr>
                <w:rFonts w:eastAsia="Times New Roman" w:cs="Arial"/>
                <w:sz w:val="16"/>
                <w:szCs w:val="16"/>
                <w:lang w:val="es-CO" w:eastAsia="es-CO"/>
              </w:rPr>
              <w:t xml:space="preserve"> </w:t>
            </w:r>
          </w:p>
        </w:tc>
      </w:tr>
      <w:tr w:rsidR="001A38D5" w:rsidRPr="001A38D5" w14:paraId="5AB0A6FD" w14:textId="77777777" w:rsidTr="00A20990">
        <w:trPr>
          <w:trHeight w:val="20"/>
          <w:jc w:val="center"/>
        </w:trPr>
        <w:tc>
          <w:tcPr>
            <w:tcW w:w="1546" w:type="dxa"/>
            <w:vAlign w:val="center"/>
          </w:tcPr>
          <w:p w14:paraId="62099D7B"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Convenio interadministrativo No. 1104 del 18 de mayo de 2021</w:t>
            </w:r>
          </w:p>
        </w:tc>
        <w:tc>
          <w:tcPr>
            <w:tcW w:w="1458" w:type="dxa"/>
            <w:vAlign w:val="center"/>
          </w:tcPr>
          <w:p w14:paraId="25EB5CB0" w14:textId="77777777" w:rsidR="00A20990" w:rsidRPr="001A38D5" w:rsidRDefault="00EF2696" w:rsidP="005140E1">
            <w:pPr>
              <w:contextualSpacing/>
              <w:jc w:val="center"/>
              <w:rPr>
                <w:rFonts w:eastAsia="Times New Roman" w:cs="Arial"/>
                <w:sz w:val="12"/>
                <w:szCs w:val="12"/>
                <w:lang w:val="es-CO" w:eastAsia="es-CO"/>
              </w:rPr>
            </w:pPr>
            <w:r>
              <w:rPr>
                <w:rFonts w:cs="Arial"/>
                <w:sz w:val="12"/>
                <w:szCs w:val="12"/>
              </w:rPr>
              <w:t xml:space="preserve">Resguardo Indígena Maguare </w:t>
            </w:r>
            <w:r w:rsidR="00A20990" w:rsidRPr="001A38D5">
              <w:rPr>
                <w:rFonts w:cs="Arial"/>
                <w:sz w:val="12"/>
                <w:szCs w:val="12"/>
              </w:rPr>
              <w:t>- NIT. 901.053.503-9</w:t>
            </w:r>
          </w:p>
        </w:tc>
        <w:tc>
          <w:tcPr>
            <w:tcW w:w="819" w:type="dxa"/>
            <w:vAlign w:val="center"/>
          </w:tcPr>
          <w:p w14:paraId="514FA015"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19 de mayo de 2021</w:t>
            </w:r>
          </w:p>
        </w:tc>
        <w:tc>
          <w:tcPr>
            <w:tcW w:w="3256" w:type="dxa"/>
            <w:noWrap/>
            <w:vAlign w:val="center"/>
          </w:tcPr>
          <w:p w14:paraId="76BD1ECA" w14:textId="77777777" w:rsidR="00A20990" w:rsidRPr="007A412F" w:rsidRDefault="00A20990" w:rsidP="005140E1">
            <w:pPr>
              <w:contextualSpacing/>
              <w:jc w:val="center"/>
              <w:rPr>
                <w:rFonts w:eastAsia="Times New Roman" w:cs="Arial"/>
                <w:i/>
                <w:iCs/>
                <w:sz w:val="12"/>
                <w:szCs w:val="12"/>
                <w:lang w:val="es-CO" w:eastAsia="es-CO"/>
              </w:rPr>
            </w:pPr>
            <w:r w:rsidRPr="007A412F">
              <w:rPr>
                <w:rFonts w:cs="Arial"/>
                <w:i/>
                <w:iCs/>
                <w:sz w:val="12"/>
                <w:szCs w:val="12"/>
              </w:rPr>
              <w:t xml:space="preserve">Operar el Programa de Alimentación Escolar PAE dirigido a los estudiantes registrados con matrícula oficial en el </w:t>
            </w:r>
            <w:r w:rsidR="00EF2696">
              <w:rPr>
                <w:rFonts w:cs="Arial"/>
                <w:i/>
                <w:iCs/>
                <w:sz w:val="12"/>
                <w:szCs w:val="12"/>
              </w:rPr>
              <w:t xml:space="preserve">Resguardo Indígena Maguare </w:t>
            </w:r>
            <w:r w:rsidRPr="007A412F">
              <w:rPr>
                <w:rFonts w:cs="Arial"/>
                <w:i/>
                <w:iCs/>
                <w:sz w:val="12"/>
                <w:szCs w:val="12"/>
              </w:rPr>
              <w:t>del Municipio de Villavicencio</w:t>
            </w:r>
          </w:p>
        </w:tc>
        <w:tc>
          <w:tcPr>
            <w:tcW w:w="1248" w:type="dxa"/>
            <w:vAlign w:val="center"/>
          </w:tcPr>
          <w:p w14:paraId="5053316E"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$38.793.462</w:t>
            </w:r>
          </w:p>
        </w:tc>
        <w:tc>
          <w:tcPr>
            <w:tcW w:w="741" w:type="dxa"/>
            <w:vAlign w:val="center"/>
          </w:tcPr>
          <w:p w14:paraId="229C2127"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 xml:space="preserve">121 </w:t>
            </w:r>
            <w:r w:rsidRPr="001A38D5">
              <w:rPr>
                <w:rFonts w:eastAsia="Times New Roman" w:cs="Arial"/>
                <w:sz w:val="12"/>
                <w:szCs w:val="16"/>
                <w:lang w:val="es-CO" w:eastAsia="es-CO"/>
              </w:rPr>
              <w:t>días calendario escolar</w:t>
            </w:r>
          </w:p>
        </w:tc>
      </w:tr>
      <w:tr w:rsidR="001A38D5" w:rsidRPr="001A38D5" w14:paraId="631B5DFA" w14:textId="77777777" w:rsidTr="00A20990">
        <w:trPr>
          <w:trHeight w:val="20"/>
          <w:jc w:val="center"/>
        </w:trPr>
        <w:tc>
          <w:tcPr>
            <w:tcW w:w="1546" w:type="dxa"/>
            <w:vAlign w:val="center"/>
          </w:tcPr>
          <w:p w14:paraId="46031F3C"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Contrato No. 939 del 8 de abril de 2021</w:t>
            </w:r>
          </w:p>
        </w:tc>
        <w:tc>
          <w:tcPr>
            <w:tcW w:w="1458" w:type="dxa"/>
            <w:vAlign w:val="center"/>
          </w:tcPr>
          <w:p w14:paraId="00D22D26"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Almacenes Éxito SA</w:t>
            </w:r>
          </w:p>
        </w:tc>
        <w:tc>
          <w:tcPr>
            <w:tcW w:w="819" w:type="dxa"/>
            <w:vAlign w:val="center"/>
          </w:tcPr>
          <w:p w14:paraId="1A1AB0F2"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13 de abril de 2021</w:t>
            </w:r>
          </w:p>
        </w:tc>
        <w:tc>
          <w:tcPr>
            <w:tcW w:w="3256" w:type="dxa"/>
            <w:noWrap/>
            <w:vAlign w:val="center"/>
          </w:tcPr>
          <w:p w14:paraId="0D02F8DA" w14:textId="77777777" w:rsidR="00A20990" w:rsidRPr="007A412F" w:rsidRDefault="00A20990" w:rsidP="005140E1">
            <w:pPr>
              <w:contextualSpacing/>
              <w:jc w:val="center"/>
              <w:rPr>
                <w:rFonts w:eastAsia="Times New Roman" w:cs="Arial"/>
                <w:i/>
                <w:iCs/>
                <w:sz w:val="12"/>
                <w:szCs w:val="12"/>
                <w:lang w:val="es-CO" w:eastAsia="es-CO"/>
              </w:rPr>
            </w:pPr>
            <w:r w:rsidRPr="007A412F">
              <w:rPr>
                <w:rFonts w:cs="Arial"/>
                <w:i/>
                <w:iCs/>
                <w:sz w:val="12"/>
                <w:szCs w:val="12"/>
              </w:rPr>
              <w:t>Prestar el servicio de Alimentación Escolar mediante la operación del Programa de Alimentación Escolar (PAE) en el Municipio de Villavicencio, Meta.</w:t>
            </w:r>
          </w:p>
        </w:tc>
        <w:tc>
          <w:tcPr>
            <w:tcW w:w="1248" w:type="dxa"/>
            <w:vAlign w:val="center"/>
          </w:tcPr>
          <w:p w14:paraId="4611865E"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$4.915.575.720</w:t>
            </w:r>
          </w:p>
        </w:tc>
        <w:tc>
          <w:tcPr>
            <w:tcW w:w="741" w:type="dxa"/>
            <w:vAlign w:val="center"/>
          </w:tcPr>
          <w:p w14:paraId="295CAB10"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73</w:t>
            </w:r>
            <w:r w:rsidRPr="001A38D5">
              <w:rPr>
                <w:rFonts w:eastAsia="Times New Roman" w:cs="Arial"/>
                <w:sz w:val="12"/>
                <w:szCs w:val="16"/>
                <w:lang w:val="es-CO" w:eastAsia="es-CO"/>
              </w:rPr>
              <w:t xml:space="preserve"> días calendario escolar</w:t>
            </w:r>
          </w:p>
        </w:tc>
      </w:tr>
      <w:tr w:rsidR="001A38D5" w:rsidRPr="001A38D5" w14:paraId="5C5765CC" w14:textId="77777777" w:rsidTr="00A20990">
        <w:trPr>
          <w:trHeight w:val="20"/>
          <w:jc w:val="center"/>
        </w:trPr>
        <w:tc>
          <w:tcPr>
            <w:tcW w:w="1546" w:type="dxa"/>
            <w:vAlign w:val="center"/>
          </w:tcPr>
          <w:p w14:paraId="2BF11F81"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Contrato No. 1346 del 16 de julio de 2021</w:t>
            </w:r>
          </w:p>
        </w:tc>
        <w:tc>
          <w:tcPr>
            <w:tcW w:w="1458" w:type="dxa"/>
            <w:vAlign w:val="center"/>
          </w:tcPr>
          <w:p w14:paraId="5C526FFA"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Almacenes Éxito SA</w:t>
            </w:r>
          </w:p>
        </w:tc>
        <w:tc>
          <w:tcPr>
            <w:tcW w:w="819" w:type="dxa"/>
            <w:vAlign w:val="center"/>
          </w:tcPr>
          <w:p w14:paraId="619EBB09"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21 de julio de 2021</w:t>
            </w:r>
          </w:p>
        </w:tc>
        <w:tc>
          <w:tcPr>
            <w:tcW w:w="3256" w:type="dxa"/>
            <w:noWrap/>
            <w:vAlign w:val="center"/>
          </w:tcPr>
          <w:p w14:paraId="217A33B8" w14:textId="77777777" w:rsidR="00A20990" w:rsidRPr="007A412F" w:rsidRDefault="00A20990" w:rsidP="005140E1">
            <w:pPr>
              <w:contextualSpacing/>
              <w:jc w:val="center"/>
              <w:rPr>
                <w:rFonts w:eastAsia="Times New Roman" w:cs="Arial"/>
                <w:i/>
                <w:iCs/>
                <w:sz w:val="12"/>
                <w:szCs w:val="12"/>
                <w:lang w:val="es-CO" w:eastAsia="es-CO"/>
              </w:rPr>
            </w:pPr>
            <w:r w:rsidRPr="007A412F">
              <w:rPr>
                <w:rFonts w:cs="Arial"/>
                <w:i/>
                <w:iCs/>
                <w:sz w:val="12"/>
                <w:szCs w:val="12"/>
              </w:rPr>
              <w:t>Prestar el servicio de Alimentación Escolar mediante la operación del Programa de Alimentación Escolar (PAE) en el Municipio de Villavicencio, Meta.</w:t>
            </w:r>
          </w:p>
        </w:tc>
        <w:tc>
          <w:tcPr>
            <w:tcW w:w="1248" w:type="dxa"/>
            <w:vAlign w:val="center"/>
          </w:tcPr>
          <w:p w14:paraId="681EDF73"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$5.898.327.918</w:t>
            </w:r>
          </w:p>
        </w:tc>
        <w:tc>
          <w:tcPr>
            <w:tcW w:w="741" w:type="dxa"/>
            <w:vAlign w:val="center"/>
          </w:tcPr>
          <w:p w14:paraId="036F352B"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70</w:t>
            </w:r>
            <w:r w:rsidRPr="001A38D5">
              <w:rPr>
                <w:rFonts w:eastAsia="Times New Roman" w:cs="Arial"/>
                <w:sz w:val="12"/>
                <w:szCs w:val="16"/>
                <w:lang w:val="es-CO" w:eastAsia="es-CO"/>
              </w:rPr>
              <w:t xml:space="preserve"> días calendario escolar</w:t>
            </w:r>
          </w:p>
        </w:tc>
      </w:tr>
      <w:tr w:rsidR="001A38D5" w:rsidRPr="001A38D5" w14:paraId="46DE90C4" w14:textId="77777777" w:rsidTr="0031536F">
        <w:trPr>
          <w:trHeight w:val="20"/>
          <w:jc w:val="center"/>
        </w:trPr>
        <w:tc>
          <w:tcPr>
            <w:tcW w:w="1546" w:type="dxa"/>
            <w:tcBorders>
              <w:bottom w:val="single" w:sz="4" w:space="0" w:color="auto"/>
            </w:tcBorders>
            <w:vAlign w:val="center"/>
          </w:tcPr>
          <w:p w14:paraId="1FE91F46"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Contrato No. 2014 del 13 de octubre de 2021</w:t>
            </w:r>
          </w:p>
        </w:tc>
        <w:tc>
          <w:tcPr>
            <w:tcW w:w="1458" w:type="dxa"/>
            <w:tcBorders>
              <w:bottom w:val="single" w:sz="4" w:space="0" w:color="auto"/>
            </w:tcBorders>
            <w:vAlign w:val="center"/>
          </w:tcPr>
          <w:p w14:paraId="4D6183F1"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Almacenes Éxito SA</w:t>
            </w:r>
          </w:p>
        </w:tc>
        <w:tc>
          <w:tcPr>
            <w:tcW w:w="819" w:type="dxa"/>
            <w:tcBorders>
              <w:bottom w:val="single" w:sz="4" w:space="0" w:color="auto"/>
            </w:tcBorders>
            <w:vAlign w:val="center"/>
          </w:tcPr>
          <w:p w14:paraId="310F8147"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19 de octubre de 2021</w:t>
            </w:r>
          </w:p>
        </w:tc>
        <w:tc>
          <w:tcPr>
            <w:tcW w:w="3256" w:type="dxa"/>
            <w:tcBorders>
              <w:bottom w:val="single" w:sz="4" w:space="0" w:color="auto"/>
            </w:tcBorders>
            <w:noWrap/>
            <w:vAlign w:val="center"/>
          </w:tcPr>
          <w:p w14:paraId="3ADF5AA2" w14:textId="77777777" w:rsidR="00A20990" w:rsidRPr="007A412F" w:rsidRDefault="00A20990" w:rsidP="005140E1">
            <w:pPr>
              <w:contextualSpacing/>
              <w:jc w:val="center"/>
              <w:rPr>
                <w:rFonts w:eastAsia="Times New Roman" w:cs="Arial"/>
                <w:i/>
                <w:iCs/>
                <w:sz w:val="12"/>
                <w:szCs w:val="12"/>
                <w:lang w:val="es-CO" w:eastAsia="es-CO"/>
              </w:rPr>
            </w:pPr>
            <w:r w:rsidRPr="007A412F">
              <w:rPr>
                <w:rFonts w:cs="Arial"/>
                <w:i/>
                <w:iCs/>
                <w:sz w:val="12"/>
                <w:szCs w:val="12"/>
              </w:rPr>
              <w:t>Prestar el servicio de Alimentación Escolar mediante la operación del Programa de Alimentación Escolar (PAE) en el Municipio de Villavicencio, Meta.</w:t>
            </w:r>
          </w:p>
        </w:tc>
        <w:tc>
          <w:tcPr>
            <w:tcW w:w="1248" w:type="dxa"/>
            <w:tcBorders>
              <w:bottom w:val="single" w:sz="4" w:space="0" w:color="auto"/>
            </w:tcBorders>
            <w:vAlign w:val="center"/>
          </w:tcPr>
          <w:p w14:paraId="25A4CA86"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$5.494.929.895</w:t>
            </w:r>
          </w:p>
        </w:tc>
        <w:tc>
          <w:tcPr>
            <w:tcW w:w="741" w:type="dxa"/>
            <w:tcBorders>
              <w:bottom w:val="single" w:sz="4" w:space="0" w:color="auto"/>
            </w:tcBorders>
            <w:vAlign w:val="center"/>
          </w:tcPr>
          <w:p w14:paraId="3DFA5012"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45</w:t>
            </w:r>
            <w:r w:rsidRPr="001A38D5">
              <w:rPr>
                <w:rFonts w:eastAsia="Times New Roman" w:cs="Arial"/>
                <w:sz w:val="12"/>
                <w:szCs w:val="16"/>
                <w:lang w:val="es-CO" w:eastAsia="es-CO"/>
              </w:rPr>
              <w:t xml:space="preserve"> días calendario escolar</w:t>
            </w:r>
          </w:p>
        </w:tc>
      </w:tr>
      <w:tr w:rsidR="001A38D5" w:rsidRPr="001A38D5" w14:paraId="5E3A9AB2" w14:textId="77777777" w:rsidTr="0031536F">
        <w:trPr>
          <w:trHeight w:val="20"/>
          <w:jc w:val="center"/>
        </w:trPr>
        <w:tc>
          <w:tcPr>
            <w:tcW w:w="7079" w:type="dxa"/>
            <w:gridSpan w:val="4"/>
            <w:shd w:val="clear" w:color="auto" w:fill="FFC000"/>
            <w:vAlign w:val="center"/>
            <w:hideMark/>
          </w:tcPr>
          <w:p w14:paraId="63647AF4"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TOTAL CONTRATACIÓN PARA OPERAR EL PAE VIGENCIA 2021</w:t>
            </w:r>
          </w:p>
        </w:tc>
        <w:tc>
          <w:tcPr>
            <w:tcW w:w="1248" w:type="dxa"/>
            <w:shd w:val="clear" w:color="auto" w:fill="FFC000"/>
            <w:vAlign w:val="center"/>
            <w:hideMark/>
          </w:tcPr>
          <w:p w14:paraId="20CDD4FC" w14:textId="77777777" w:rsidR="00A20990" w:rsidRPr="001A38D5" w:rsidRDefault="00A20990" w:rsidP="005140E1">
            <w:pPr>
              <w:contextualSpacing/>
              <w:jc w:val="right"/>
              <w:rPr>
                <w:rFonts w:eastAsia="Times New Roman" w:cs="Arial"/>
                <w:b/>
                <w:sz w:val="14"/>
                <w:szCs w:val="16"/>
                <w:lang w:val="es-CO" w:eastAsia="es-CO"/>
              </w:rPr>
            </w:pPr>
            <w:r w:rsidRPr="001A38D5">
              <w:rPr>
                <w:rFonts w:eastAsia="Times New Roman" w:cs="Arial"/>
                <w:b/>
                <w:sz w:val="14"/>
                <w:szCs w:val="16"/>
                <w:lang w:val="es-CO" w:eastAsia="es-CO"/>
              </w:rPr>
              <w:t>$16.347.626.995</w:t>
            </w:r>
          </w:p>
        </w:tc>
        <w:tc>
          <w:tcPr>
            <w:tcW w:w="741" w:type="dxa"/>
            <w:shd w:val="clear" w:color="auto" w:fill="FFC000"/>
            <w:vAlign w:val="center"/>
          </w:tcPr>
          <w:p w14:paraId="1370821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b/>
                <w:bCs/>
                <w:sz w:val="12"/>
                <w:szCs w:val="16"/>
                <w:lang w:val="es-CO" w:eastAsia="es-CO"/>
              </w:rPr>
              <w:t>188 días</w:t>
            </w:r>
          </w:p>
        </w:tc>
      </w:tr>
      <w:tr w:rsidR="001A38D5" w:rsidRPr="001A38D5" w14:paraId="0413E466" w14:textId="77777777" w:rsidTr="00A20990">
        <w:trPr>
          <w:trHeight w:val="20"/>
          <w:jc w:val="center"/>
        </w:trPr>
        <w:tc>
          <w:tcPr>
            <w:tcW w:w="1546" w:type="dxa"/>
            <w:vAlign w:val="center"/>
          </w:tcPr>
          <w:p w14:paraId="094D7450"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Convenio interadministrativo No. 1932 del 17 de agosto de 2022</w:t>
            </w:r>
          </w:p>
        </w:tc>
        <w:tc>
          <w:tcPr>
            <w:tcW w:w="1458" w:type="dxa"/>
            <w:vAlign w:val="center"/>
          </w:tcPr>
          <w:p w14:paraId="7B73C5C6" w14:textId="77777777" w:rsidR="00A20990" w:rsidRPr="001A38D5" w:rsidRDefault="00EF2696" w:rsidP="005140E1">
            <w:pPr>
              <w:contextualSpacing/>
              <w:jc w:val="center"/>
              <w:rPr>
                <w:rFonts w:eastAsia="Times New Roman" w:cs="Arial"/>
                <w:sz w:val="12"/>
                <w:szCs w:val="12"/>
                <w:lang w:val="es-CO" w:eastAsia="es-CO"/>
              </w:rPr>
            </w:pPr>
            <w:r>
              <w:rPr>
                <w:rFonts w:cs="Arial"/>
                <w:sz w:val="12"/>
                <w:szCs w:val="12"/>
              </w:rPr>
              <w:t xml:space="preserve">Resguardo Indígena Maguare </w:t>
            </w:r>
            <w:r w:rsidR="00A20990" w:rsidRPr="001A38D5">
              <w:rPr>
                <w:rFonts w:cs="Arial"/>
                <w:sz w:val="12"/>
                <w:szCs w:val="12"/>
              </w:rPr>
              <w:t>- NIT. 901.053.503-9</w:t>
            </w:r>
          </w:p>
        </w:tc>
        <w:tc>
          <w:tcPr>
            <w:tcW w:w="819" w:type="dxa"/>
            <w:vAlign w:val="center"/>
          </w:tcPr>
          <w:p w14:paraId="23773D49"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17 de agosto de 2022</w:t>
            </w:r>
          </w:p>
        </w:tc>
        <w:tc>
          <w:tcPr>
            <w:tcW w:w="3256" w:type="dxa"/>
            <w:noWrap/>
            <w:vAlign w:val="center"/>
          </w:tcPr>
          <w:p w14:paraId="3076D2D7" w14:textId="77777777" w:rsidR="00A20990" w:rsidRPr="007A412F" w:rsidRDefault="00A20990" w:rsidP="005140E1">
            <w:pPr>
              <w:contextualSpacing/>
              <w:jc w:val="center"/>
              <w:rPr>
                <w:rFonts w:eastAsia="Times New Roman" w:cs="Arial"/>
                <w:i/>
                <w:iCs/>
                <w:sz w:val="12"/>
                <w:szCs w:val="12"/>
                <w:lang w:val="es-CO" w:eastAsia="es-CO"/>
              </w:rPr>
            </w:pPr>
            <w:r w:rsidRPr="007A412F">
              <w:rPr>
                <w:rFonts w:cs="Arial"/>
                <w:i/>
                <w:iCs/>
                <w:sz w:val="12"/>
                <w:szCs w:val="12"/>
              </w:rPr>
              <w:t xml:space="preserve">Operar el Programa de Alimentación Escolar PAE dirigido a los estudiantes registrados con matrícula oficial en el </w:t>
            </w:r>
            <w:r w:rsidR="00EF2696">
              <w:rPr>
                <w:rFonts w:cs="Arial"/>
                <w:i/>
                <w:iCs/>
                <w:sz w:val="12"/>
                <w:szCs w:val="12"/>
              </w:rPr>
              <w:t xml:space="preserve">Resguardo Indígena Maguare </w:t>
            </w:r>
            <w:r w:rsidRPr="007A412F">
              <w:rPr>
                <w:rFonts w:cs="Arial"/>
                <w:i/>
                <w:iCs/>
                <w:sz w:val="12"/>
                <w:szCs w:val="12"/>
              </w:rPr>
              <w:t>del Municipio de Villavicencio.</w:t>
            </w:r>
          </w:p>
        </w:tc>
        <w:tc>
          <w:tcPr>
            <w:tcW w:w="1248" w:type="dxa"/>
            <w:vAlign w:val="center"/>
          </w:tcPr>
          <w:p w14:paraId="59835A38"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$39.601.452</w:t>
            </w:r>
          </w:p>
        </w:tc>
        <w:tc>
          <w:tcPr>
            <w:tcW w:w="741" w:type="dxa"/>
            <w:vAlign w:val="center"/>
          </w:tcPr>
          <w:p w14:paraId="1F290790" w14:textId="77777777" w:rsidR="00A20990" w:rsidRPr="001A38D5" w:rsidRDefault="00A20990" w:rsidP="005140E1">
            <w:pPr>
              <w:contextualSpacing/>
              <w:jc w:val="center"/>
              <w:rPr>
                <w:rFonts w:eastAsia="Times New Roman" w:cs="Arial"/>
                <w:sz w:val="12"/>
                <w:szCs w:val="12"/>
                <w:lang w:val="es-CO" w:eastAsia="es-CO"/>
              </w:rPr>
            </w:pPr>
            <w:r w:rsidRPr="001A38D5">
              <w:rPr>
                <w:rFonts w:eastAsia="Times New Roman" w:cs="Arial"/>
                <w:sz w:val="12"/>
                <w:szCs w:val="12"/>
                <w:lang w:val="es-CO" w:eastAsia="es-CO"/>
              </w:rPr>
              <w:t xml:space="preserve">75 </w:t>
            </w:r>
            <w:r w:rsidRPr="001A38D5">
              <w:rPr>
                <w:rFonts w:eastAsia="Times New Roman" w:cs="Arial"/>
                <w:sz w:val="12"/>
                <w:szCs w:val="16"/>
                <w:lang w:val="es-CO" w:eastAsia="es-CO"/>
              </w:rPr>
              <w:t>días calendario escolar</w:t>
            </w:r>
          </w:p>
        </w:tc>
      </w:tr>
      <w:tr w:rsidR="001A38D5" w:rsidRPr="001A38D5" w14:paraId="74008AE7" w14:textId="77777777" w:rsidTr="00A20990">
        <w:trPr>
          <w:trHeight w:val="20"/>
          <w:jc w:val="center"/>
        </w:trPr>
        <w:tc>
          <w:tcPr>
            <w:tcW w:w="1546" w:type="dxa"/>
            <w:vAlign w:val="center"/>
          </w:tcPr>
          <w:p w14:paraId="0A2DE2AB"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 xml:space="preserve">Contrato de prestación de servicios No. 1719 del 25 de febrero de 2022 </w:t>
            </w:r>
          </w:p>
        </w:tc>
        <w:tc>
          <w:tcPr>
            <w:tcW w:w="1458" w:type="dxa"/>
            <w:vAlign w:val="center"/>
          </w:tcPr>
          <w:p w14:paraId="1D5D63C9"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Unión Temporal PAE 2022 - NIT 901.568.822-4</w:t>
            </w:r>
          </w:p>
        </w:tc>
        <w:tc>
          <w:tcPr>
            <w:tcW w:w="819" w:type="dxa"/>
            <w:vAlign w:val="center"/>
          </w:tcPr>
          <w:p w14:paraId="22C9C933"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7 de marzo de 2022</w:t>
            </w:r>
          </w:p>
        </w:tc>
        <w:tc>
          <w:tcPr>
            <w:tcW w:w="3256" w:type="dxa"/>
            <w:noWrap/>
            <w:vAlign w:val="center"/>
          </w:tcPr>
          <w:p w14:paraId="32385F54" w14:textId="77777777" w:rsidR="00A20990" w:rsidRPr="007A412F" w:rsidRDefault="00A20990" w:rsidP="005140E1">
            <w:pPr>
              <w:contextualSpacing/>
              <w:jc w:val="center"/>
              <w:rPr>
                <w:rFonts w:eastAsia="Times New Roman" w:cs="Arial"/>
                <w:i/>
                <w:iCs/>
                <w:sz w:val="12"/>
                <w:szCs w:val="12"/>
                <w:lang w:val="es-CO" w:eastAsia="es-CO"/>
              </w:rPr>
            </w:pPr>
            <w:r w:rsidRPr="007A412F">
              <w:rPr>
                <w:rFonts w:cs="Arial"/>
                <w:i/>
                <w:iCs/>
                <w:sz w:val="12"/>
                <w:szCs w:val="12"/>
              </w:rPr>
              <w:t xml:space="preserve">Operar el Programa de Alimentación Escolar PAE dirigido a los estudiantes registrados con </w:t>
            </w:r>
            <w:r w:rsidR="00E012A1" w:rsidRPr="007A412F">
              <w:rPr>
                <w:rFonts w:cs="Arial"/>
                <w:i/>
                <w:iCs/>
                <w:sz w:val="12"/>
                <w:szCs w:val="12"/>
              </w:rPr>
              <w:t>matrícula</w:t>
            </w:r>
            <w:r w:rsidRPr="007A412F">
              <w:rPr>
                <w:rFonts w:cs="Arial"/>
                <w:i/>
                <w:iCs/>
                <w:sz w:val="12"/>
                <w:szCs w:val="12"/>
              </w:rPr>
              <w:t xml:space="preserve"> oficial en el SIMAT del Municipio de Villavicencio, Meta.</w:t>
            </w:r>
          </w:p>
        </w:tc>
        <w:tc>
          <w:tcPr>
            <w:tcW w:w="1248" w:type="dxa"/>
            <w:vAlign w:val="center"/>
          </w:tcPr>
          <w:p w14:paraId="37ADDD07"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$5.382.049.085</w:t>
            </w:r>
          </w:p>
        </w:tc>
        <w:tc>
          <w:tcPr>
            <w:tcW w:w="741" w:type="dxa"/>
            <w:vAlign w:val="center"/>
          </w:tcPr>
          <w:p w14:paraId="24052246" w14:textId="77777777" w:rsidR="00A20990" w:rsidRPr="001A38D5" w:rsidRDefault="00A20990" w:rsidP="005140E1">
            <w:pPr>
              <w:contextualSpacing/>
              <w:jc w:val="center"/>
              <w:rPr>
                <w:rFonts w:eastAsia="Times New Roman" w:cs="Arial"/>
                <w:sz w:val="12"/>
                <w:szCs w:val="12"/>
                <w:lang w:val="es-CO" w:eastAsia="es-CO"/>
              </w:rPr>
            </w:pPr>
            <w:r w:rsidRPr="001A38D5">
              <w:rPr>
                <w:rFonts w:eastAsia="Times New Roman" w:cs="Arial"/>
                <w:sz w:val="12"/>
                <w:szCs w:val="12"/>
                <w:lang w:val="es-CO" w:eastAsia="es-CO"/>
              </w:rPr>
              <w:t xml:space="preserve">35 </w:t>
            </w:r>
            <w:r w:rsidRPr="001A38D5">
              <w:rPr>
                <w:rFonts w:eastAsia="Times New Roman" w:cs="Arial"/>
                <w:sz w:val="12"/>
                <w:szCs w:val="16"/>
                <w:lang w:val="es-CO" w:eastAsia="es-CO"/>
              </w:rPr>
              <w:t>días calendario escolar</w:t>
            </w:r>
          </w:p>
        </w:tc>
      </w:tr>
      <w:tr w:rsidR="001A38D5" w:rsidRPr="001A38D5" w14:paraId="3C441066" w14:textId="77777777" w:rsidTr="00A20990">
        <w:trPr>
          <w:trHeight w:val="20"/>
          <w:jc w:val="center"/>
        </w:trPr>
        <w:tc>
          <w:tcPr>
            <w:tcW w:w="1546" w:type="dxa"/>
            <w:vAlign w:val="center"/>
          </w:tcPr>
          <w:p w14:paraId="53DDB7F4"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Contrato de prestación de servicios y de apoyo logístico No. 1739 del 10 de mayo de 2022</w:t>
            </w:r>
          </w:p>
        </w:tc>
        <w:tc>
          <w:tcPr>
            <w:tcW w:w="1458" w:type="dxa"/>
            <w:vAlign w:val="center"/>
          </w:tcPr>
          <w:p w14:paraId="7BE6E52D"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Logística y suministros pentágono S.A.S - NIT 900.653.740-9</w:t>
            </w:r>
          </w:p>
        </w:tc>
        <w:tc>
          <w:tcPr>
            <w:tcW w:w="819" w:type="dxa"/>
            <w:vAlign w:val="center"/>
          </w:tcPr>
          <w:p w14:paraId="63F2F1DF"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18 de mayo de 2022</w:t>
            </w:r>
          </w:p>
        </w:tc>
        <w:tc>
          <w:tcPr>
            <w:tcW w:w="3256" w:type="dxa"/>
            <w:noWrap/>
            <w:vAlign w:val="center"/>
          </w:tcPr>
          <w:p w14:paraId="7A35E208" w14:textId="77777777" w:rsidR="00A20990" w:rsidRPr="007A412F" w:rsidRDefault="00A20990" w:rsidP="005140E1">
            <w:pPr>
              <w:contextualSpacing/>
              <w:jc w:val="center"/>
              <w:rPr>
                <w:rFonts w:eastAsia="Times New Roman" w:cs="Arial"/>
                <w:i/>
                <w:iCs/>
                <w:sz w:val="12"/>
                <w:szCs w:val="12"/>
                <w:lang w:val="es-CO" w:eastAsia="es-CO"/>
              </w:rPr>
            </w:pPr>
            <w:r w:rsidRPr="007A412F">
              <w:rPr>
                <w:rFonts w:cs="Arial"/>
                <w:i/>
                <w:iCs/>
                <w:sz w:val="12"/>
                <w:szCs w:val="12"/>
              </w:rPr>
              <w:t xml:space="preserve">Operar el Programa de Alimentación Escolar PAE dirigido a los estudiantes registrados con </w:t>
            </w:r>
            <w:r w:rsidR="00E012A1" w:rsidRPr="007A412F">
              <w:rPr>
                <w:rFonts w:cs="Arial"/>
                <w:i/>
                <w:iCs/>
                <w:sz w:val="12"/>
                <w:szCs w:val="12"/>
              </w:rPr>
              <w:t>matrícula</w:t>
            </w:r>
            <w:r w:rsidRPr="007A412F">
              <w:rPr>
                <w:rFonts w:cs="Arial"/>
                <w:i/>
                <w:iCs/>
                <w:sz w:val="12"/>
                <w:szCs w:val="12"/>
              </w:rPr>
              <w:t xml:space="preserve"> oficial en el SIMAT del Municipio de Villavicencio, Meta.</w:t>
            </w:r>
          </w:p>
        </w:tc>
        <w:tc>
          <w:tcPr>
            <w:tcW w:w="1248" w:type="dxa"/>
            <w:vAlign w:val="center"/>
          </w:tcPr>
          <w:p w14:paraId="002D4DF0"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$5.289.423.544</w:t>
            </w:r>
          </w:p>
        </w:tc>
        <w:tc>
          <w:tcPr>
            <w:tcW w:w="741" w:type="dxa"/>
            <w:vAlign w:val="center"/>
          </w:tcPr>
          <w:p w14:paraId="65139B92" w14:textId="77777777" w:rsidR="00A20990" w:rsidRPr="001A38D5" w:rsidRDefault="00A20990" w:rsidP="005140E1">
            <w:pPr>
              <w:contextualSpacing/>
              <w:jc w:val="center"/>
              <w:rPr>
                <w:rFonts w:eastAsia="Times New Roman" w:cs="Arial"/>
                <w:sz w:val="12"/>
                <w:szCs w:val="12"/>
                <w:lang w:val="es-CO" w:eastAsia="es-CO"/>
              </w:rPr>
            </w:pPr>
            <w:r w:rsidRPr="001A38D5">
              <w:rPr>
                <w:rFonts w:eastAsia="Times New Roman" w:cs="Arial"/>
                <w:sz w:val="12"/>
                <w:szCs w:val="12"/>
                <w:lang w:val="es-CO" w:eastAsia="es-CO"/>
              </w:rPr>
              <w:t xml:space="preserve">28 </w:t>
            </w:r>
            <w:r w:rsidRPr="001A38D5">
              <w:rPr>
                <w:rFonts w:eastAsia="Times New Roman" w:cs="Arial"/>
                <w:sz w:val="12"/>
                <w:szCs w:val="16"/>
                <w:lang w:val="es-CO" w:eastAsia="es-CO"/>
              </w:rPr>
              <w:t>días calendario escolar</w:t>
            </w:r>
          </w:p>
        </w:tc>
      </w:tr>
      <w:tr w:rsidR="001A38D5" w:rsidRPr="001A38D5" w14:paraId="15F54DD5" w14:textId="77777777" w:rsidTr="00A20990">
        <w:trPr>
          <w:trHeight w:val="20"/>
          <w:jc w:val="center"/>
        </w:trPr>
        <w:tc>
          <w:tcPr>
            <w:tcW w:w="1546" w:type="dxa"/>
            <w:vAlign w:val="center"/>
          </w:tcPr>
          <w:p w14:paraId="1A35F18C"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Contrato de prestación de servicios No. 1825 del 21 de julio de 2022</w:t>
            </w:r>
          </w:p>
        </w:tc>
        <w:tc>
          <w:tcPr>
            <w:tcW w:w="1458" w:type="dxa"/>
            <w:vAlign w:val="center"/>
          </w:tcPr>
          <w:p w14:paraId="22804F31"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Unión Temporal Villavicencio Solidario 2022 - NIT 901.614.837-1</w:t>
            </w:r>
          </w:p>
        </w:tc>
        <w:tc>
          <w:tcPr>
            <w:tcW w:w="819" w:type="dxa"/>
            <w:vAlign w:val="center"/>
          </w:tcPr>
          <w:p w14:paraId="2F6AE1A5"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21 de julio de 2022</w:t>
            </w:r>
          </w:p>
        </w:tc>
        <w:tc>
          <w:tcPr>
            <w:tcW w:w="3256" w:type="dxa"/>
            <w:noWrap/>
            <w:vAlign w:val="center"/>
          </w:tcPr>
          <w:p w14:paraId="325F3E6D" w14:textId="77777777" w:rsidR="00A20990" w:rsidRPr="007A412F" w:rsidRDefault="00A20990" w:rsidP="005140E1">
            <w:pPr>
              <w:contextualSpacing/>
              <w:jc w:val="center"/>
              <w:rPr>
                <w:rFonts w:eastAsia="Times New Roman" w:cs="Arial"/>
                <w:i/>
                <w:iCs/>
                <w:sz w:val="12"/>
                <w:szCs w:val="12"/>
                <w:lang w:val="es-CO" w:eastAsia="es-CO"/>
              </w:rPr>
            </w:pPr>
            <w:r w:rsidRPr="007A412F">
              <w:rPr>
                <w:rFonts w:cs="Arial"/>
                <w:i/>
                <w:iCs/>
                <w:sz w:val="12"/>
                <w:szCs w:val="12"/>
              </w:rPr>
              <w:t xml:space="preserve">Operar el Programa de Alimentación Escolar PAE dirigido a los estudiantes registrados con </w:t>
            </w:r>
            <w:r w:rsidR="00E012A1" w:rsidRPr="007A412F">
              <w:rPr>
                <w:rFonts w:cs="Arial"/>
                <w:i/>
                <w:iCs/>
                <w:sz w:val="12"/>
                <w:szCs w:val="12"/>
              </w:rPr>
              <w:t>matrícula</w:t>
            </w:r>
            <w:r w:rsidRPr="007A412F">
              <w:rPr>
                <w:rFonts w:cs="Arial"/>
                <w:i/>
                <w:iCs/>
                <w:sz w:val="12"/>
                <w:szCs w:val="12"/>
              </w:rPr>
              <w:t xml:space="preserve"> oficial en el SIMAT del Municipio de Villavicencio, Meta.</w:t>
            </w:r>
          </w:p>
        </w:tc>
        <w:tc>
          <w:tcPr>
            <w:tcW w:w="1248" w:type="dxa"/>
            <w:vAlign w:val="center"/>
          </w:tcPr>
          <w:p w14:paraId="0AEA9A04"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$7.373.891.226</w:t>
            </w:r>
          </w:p>
        </w:tc>
        <w:tc>
          <w:tcPr>
            <w:tcW w:w="741" w:type="dxa"/>
            <w:vAlign w:val="center"/>
          </w:tcPr>
          <w:p w14:paraId="65234AB1" w14:textId="77777777" w:rsidR="00A20990" w:rsidRPr="001A38D5" w:rsidRDefault="00A20990" w:rsidP="005140E1">
            <w:pPr>
              <w:contextualSpacing/>
              <w:jc w:val="center"/>
              <w:rPr>
                <w:rFonts w:eastAsia="Times New Roman" w:cs="Arial"/>
                <w:sz w:val="12"/>
                <w:szCs w:val="12"/>
                <w:lang w:val="es-CO" w:eastAsia="es-CO"/>
              </w:rPr>
            </w:pPr>
            <w:r w:rsidRPr="001A38D5">
              <w:rPr>
                <w:rFonts w:eastAsia="Times New Roman" w:cs="Arial"/>
                <w:sz w:val="12"/>
                <w:szCs w:val="12"/>
                <w:lang w:val="es-CO" w:eastAsia="es-CO"/>
              </w:rPr>
              <w:t xml:space="preserve">19 </w:t>
            </w:r>
            <w:r w:rsidRPr="001A38D5">
              <w:rPr>
                <w:rFonts w:eastAsia="Times New Roman" w:cs="Arial"/>
                <w:sz w:val="12"/>
                <w:szCs w:val="16"/>
                <w:lang w:val="es-CO" w:eastAsia="es-CO"/>
              </w:rPr>
              <w:t>días calendario escolar</w:t>
            </w:r>
          </w:p>
        </w:tc>
      </w:tr>
      <w:tr w:rsidR="001A38D5" w:rsidRPr="001A38D5" w14:paraId="70A8CDAD" w14:textId="77777777" w:rsidTr="00A20990">
        <w:trPr>
          <w:trHeight w:val="20"/>
          <w:jc w:val="center"/>
        </w:trPr>
        <w:tc>
          <w:tcPr>
            <w:tcW w:w="1546" w:type="dxa"/>
            <w:vAlign w:val="center"/>
          </w:tcPr>
          <w:p w14:paraId="7EB79C92"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Contrato de prestación de servicios No. 3122 del 16 de septiembre de 2022</w:t>
            </w:r>
          </w:p>
        </w:tc>
        <w:tc>
          <w:tcPr>
            <w:tcW w:w="1458" w:type="dxa"/>
            <w:vAlign w:val="center"/>
          </w:tcPr>
          <w:p w14:paraId="64FE9615"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Servicios de Alimentos y Logística S.A.S SEDEALCO S.A.S. - NIT: 901.084.024-5</w:t>
            </w:r>
          </w:p>
        </w:tc>
        <w:tc>
          <w:tcPr>
            <w:tcW w:w="819" w:type="dxa"/>
            <w:vAlign w:val="center"/>
          </w:tcPr>
          <w:p w14:paraId="15D08603" w14:textId="77777777" w:rsidR="00A20990" w:rsidRPr="001A38D5" w:rsidRDefault="00A20990" w:rsidP="005140E1">
            <w:pPr>
              <w:contextualSpacing/>
              <w:jc w:val="center"/>
              <w:rPr>
                <w:rFonts w:eastAsia="Times New Roman" w:cs="Arial"/>
                <w:sz w:val="12"/>
                <w:szCs w:val="12"/>
                <w:lang w:val="es-CO" w:eastAsia="es-CO"/>
              </w:rPr>
            </w:pPr>
            <w:r w:rsidRPr="001A38D5">
              <w:rPr>
                <w:rFonts w:eastAsia="Times New Roman" w:cs="Arial"/>
                <w:sz w:val="12"/>
                <w:szCs w:val="12"/>
                <w:lang w:val="es-CO" w:eastAsia="es-CO"/>
              </w:rPr>
              <w:t>16 de septiembre de 2022</w:t>
            </w:r>
          </w:p>
        </w:tc>
        <w:tc>
          <w:tcPr>
            <w:tcW w:w="3256" w:type="dxa"/>
            <w:noWrap/>
            <w:vAlign w:val="center"/>
          </w:tcPr>
          <w:p w14:paraId="7BB1E785" w14:textId="77777777" w:rsidR="00A20990" w:rsidRPr="007A412F" w:rsidRDefault="00A20990" w:rsidP="005140E1">
            <w:pPr>
              <w:contextualSpacing/>
              <w:jc w:val="center"/>
              <w:rPr>
                <w:rFonts w:eastAsia="Times New Roman" w:cs="Arial"/>
                <w:i/>
                <w:iCs/>
                <w:sz w:val="12"/>
                <w:szCs w:val="12"/>
                <w:lang w:val="es-CO" w:eastAsia="es-CO"/>
              </w:rPr>
            </w:pPr>
            <w:r w:rsidRPr="007A412F">
              <w:rPr>
                <w:rFonts w:cs="Arial"/>
                <w:i/>
                <w:iCs/>
                <w:sz w:val="12"/>
                <w:szCs w:val="12"/>
              </w:rPr>
              <w:t>Operar el Programa de Alimentación Escolar PAE dirigido a los estudiantes registrados con matricula oficial en el SIMAT del Municipio de Villavicencio, Meta.</w:t>
            </w:r>
          </w:p>
        </w:tc>
        <w:tc>
          <w:tcPr>
            <w:tcW w:w="1248" w:type="dxa"/>
            <w:vAlign w:val="center"/>
          </w:tcPr>
          <w:p w14:paraId="730BCFA0" w14:textId="77777777" w:rsidR="00A20990" w:rsidRPr="001A38D5" w:rsidRDefault="00A20990" w:rsidP="005140E1">
            <w:pPr>
              <w:contextualSpacing/>
              <w:jc w:val="center"/>
              <w:rPr>
                <w:rFonts w:eastAsia="Times New Roman" w:cs="Arial"/>
                <w:sz w:val="12"/>
                <w:szCs w:val="12"/>
                <w:lang w:val="es-CO" w:eastAsia="es-CO"/>
              </w:rPr>
            </w:pPr>
            <w:r w:rsidRPr="001A38D5">
              <w:rPr>
                <w:rFonts w:eastAsia="Times New Roman" w:cs="Arial"/>
                <w:sz w:val="12"/>
                <w:szCs w:val="12"/>
                <w:lang w:val="es-CO" w:eastAsia="es-CO"/>
              </w:rPr>
              <w:t>$4.538.575.834</w:t>
            </w:r>
          </w:p>
        </w:tc>
        <w:tc>
          <w:tcPr>
            <w:tcW w:w="741" w:type="dxa"/>
            <w:vAlign w:val="center"/>
          </w:tcPr>
          <w:p w14:paraId="27292623" w14:textId="77777777" w:rsidR="00A20990" w:rsidRPr="001A38D5" w:rsidRDefault="00A20990" w:rsidP="005140E1">
            <w:pPr>
              <w:contextualSpacing/>
              <w:jc w:val="center"/>
              <w:rPr>
                <w:rFonts w:eastAsia="Times New Roman" w:cs="Arial"/>
                <w:sz w:val="12"/>
                <w:szCs w:val="12"/>
                <w:lang w:val="es-CO" w:eastAsia="es-CO"/>
              </w:rPr>
            </w:pPr>
            <w:r w:rsidRPr="001A38D5">
              <w:rPr>
                <w:rFonts w:eastAsia="Times New Roman" w:cs="Arial"/>
                <w:sz w:val="12"/>
                <w:szCs w:val="12"/>
                <w:lang w:val="es-CO" w:eastAsia="es-CO"/>
              </w:rPr>
              <w:t xml:space="preserve">28 </w:t>
            </w:r>
            <w:r w:rsidRPr="001A38D5">
              <w:rPr>
                <w:rFonts w:eastAsia="Times New Roman" w:cs="Arial"/>
                <w:sz w:val="12"/>
                <w:szCs w:val="16"/>
                <w:lang w:val="es-CO" w:eastAsia="es-CO"/>
              </w:rPr>
              <w:t>días calendario escolar</w:t>
            </w:r>
          </w:p>
        </w:tc>
      </w:tr>
      <w:tr w:rsidR="001A38D5" w:rsidRPr="001A38D5" w14:paraId="74692C65" w14:textId="77777777" w:rsidTr="0031536F">
        <w:trPr>
          <w:trHeight w:val="20"/>
          <w:jc w:val="center"/>
        </w:trPr>
        <w:tc>
          <w:tcPr>
            <w:tcW w:w="1546" w:type="dxa"/>
            <w:tcBorders>
              <w:bottom w:val="single" w:sz="4" w:space="0" w:color="auto"/>
            </w:tcBorders>
            <w:vAlign w:val="center"/>
          </w:tcPr>
          <w:p w14:paraId="16E75232"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Contrato de prestación de servicios No. 3369 del 2 de noviembre de 2022</w:t>
            </w:r>
          </w:p>
        </w:tc>
        <w:tc>
          <w:tcPr>
            <w:tcW w:w="1458" w:type="dxa"/>
            <w:tcBorders>
              <w:bottom w:val="single" w:sz="4" w:space="0" w:color="auto"/>
            </w:tcBorders>
            <w:vAlign w:val="center"/>
          </w:tcPr>
          <w:p w14:paraId="434914D1"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Servicio de Alimentos y Logísticas S.A.S - NIT 901.084.024-5</w:t>
            </w:r>
          </w:p>
        </w:tc>
        <w:tc>
          <w:tcPr>
            <w:tcW w:w="819" w:type="dxa"/>
            <w:tcBorders>
              <w:bottom w:val="single" w:sz="4" w:space="0" w:color="auto"/>
            </w:tcBorders>
            <w:vAlign w:val="center"/>
          </w:tcPr>
          <w:p w14:paraId="65B068CB" w14:textId="77777777" w:rsidR="00A20990" w:rsidRPr="001A38D5" w:rsidRDefault="00A20990" w:rsidP="005140E1">
            <w:pPr>
              <w:contextualSpacing/>
              <w:jc w:val="center"/>
              <w:rPr>
                <w:rFonts w:eastAsia="Times New Roman" w:cs="Arial"/>
                <w:sz w:val="12"/>
                <w:szCs w:val="12"/>
                <w:lang w:val="es-CO" w:eastAsia="es-CO"/>
              </w:rPr>
            </w:pPr>
            <w:r w:rsidRPr="001A38D5">
              <w:rPr>
                <w:rFonts w:cs="Arial"/>
                <w:sz w:val="12"/>
                <w:szCs w:val="12"/>
              </w:rPr>
              <w:t>4 de noviembre de 2022</w:t>
            </w:r>
          </w:p>
        </w:tc>
        <w:tc>
          <w:tcPr>
            <w:tcW w:w="3256" w:type="dxa"/>
            <w:tcBorders>
              <w:bottom w:val="single" w:sz="4" w:space="0" w:color="auto"/>
            </w:tcBorders>
            <w:noWrap/>
            <w:vAlign w:val="center"/>
          </w:tcPr>
          <w:p w14:paraId="3BB12FE7" w14:textId="77777777" w:rsidR="00A20990" w:rsidRPr="007A412F" w:rsidRDefault="00A20990" w:rsidP="005140E1">
            <w:pPr>
              <w:contextualSpacing/>
              <w:jc w:val="center"/>
              <w:rPr>
                <w:rFonts w:eastAsia="Times New Roman" w:cs="Arial"/>
                <w:i/>
                <w:iCs/>
                <w:sz w:val="12"/>
                <w:szCs w:val="12"/>
                <w:lang w:val="es-CO" w:eastAsia="es-CO"/>
              </w:rPr>
            </w:pPr>
            <w:r w:rsidRPr="007A412F">
              <w:rPr>
                <w:rFonts w:cs="Arial"/>
                <w:i/>
                <w:iCs/>
                <w:sz w:val="12"/>
                <w:szCs w:val="12"/>
              </w:rPr>
              <w:t xml:space="preserve">Operar el Programa de Alimentación Escolar PAE dirigido a los estudiantes registrados con </w:t>
            </w:r>
            <w:r w:rsidR="00E012A1" w:rsidRPr="007A412F">
              <w:rPr>
                <w:rFonts w:cs="Arial"/>
                <w:i/>
                <w:iCs/>
                <w:sz w:val="12"/>
                <w:szCs w:val="12"/>
              </w:rPr>
              <w:t>matrícula</w:t>
            </w:r>
            <w:r w:rsidRPr="007A412F">
              <w:rPr>
                <w:rFonts w:cs="Arial"/>
                <w:i/>
                <w:iCs/>
                <w:sz w:val="12"/>
                <w:szCs w:val="12"/>
              </w:rPr>
              <w:t xml:space="preserve"> oficial en el SIMAT del Municipio de Villavicencio, Meta.</w:t>
            </w:r>
          </w:p>
        </w:tc>
        <w:tc>
          <w:tcPr>
            <w:tcW w:w="1248" w:type="dxa"/>
            <w:tcBorders>
              <w:bottom w:val="single" w:sz="4" w:space="0" w:color="auto"/>
            </w:tcBorders>
            <w:vAlign w:val="center"/>
          </w:tcPr>
          <w:p w14:paraId="178789F0" w14:textId="77777777" w:rsidR="00A20990" w:rsidRPr="001A38D5" w:rsidRDefault="00A20990" w:rsidP="005140E1">
            <w:pPr>
              <w:contextualSpacing/>
              <w:jc w:val="center"/>
              <w:rPr>
                <w:rFonts w:eastAsia="Times New Roman" w:cs="Arial"/>
                <w:sz w:val="12"/>
                <w:szCs w:val="12"/>
                <w:lang w:val="es-CO" w:eastAsia="es-CO"/>
              </w:rPr>
            </w:pPr>
            <w:r w:rsidRPr="001A38D5">
              <w:rPr>
                <w:rFonts w:eastAsia="Times New Roman" w:cs="Arial"/>
                <w:sz w:val="12"/>
                <w:szCs w:val="12"/>
                <w:lang w:val="es-CO" w:eastAsia="es-CO"/>
              </w:rPr>
              <w:t>$2.836.609.896</w:t>
            </w:r>
          </w:p>
        </w:tc>
        <w:tc>
          <w:tcPr>
            <w:tcW w:w="741" w:type="dxa"/>
            <w:tcBorders>
              <w:bottom w:val="single" w:sz="4" w:space="0" w:color="auto"/>
            </w:tcBorders>
            <w:vAlign w:val="center"/>
          </w:tcPr>
          <w:p w14:paraId="45C36792" w14:textId="77777777" w:rsidR="00A20990" w:rsidRPr="001A38D5" w:rsidRDefault="00A20990" w:rsidP="005140E1">
            <w:pPr>
              <w:contextualSpacing/>
              <w:jc w:val="center"/>
              <w:rPr>
                <w:rFonts w:eastAsia="Times New Roman" w:cs="Arial"/>
                <w:sz w:val="12"/>
                <w:szCs w:val="12"/>
                <w:lang w:val="es-CO" w:eastAsia="es-CO"/>
              </w:rPr>
            </w:pPr>
            <w:r w:rsidRPr="001A38D5">
              <w:rPr>
                <w:rFonts w:eastAsia="Times New Roman" w:cs="Arial"/>
                <w:sz w:val="12"/>
                <w:szCs w:val="12"/>
                <w:lang w:val="es-CO" w:eastAsia="es-CO"/>
              </w:rPr>
              <w:t xml:space="preserve">17 </w:t>
            </w:r>
            <w:r w:rsidRPr="001A38D5">
              <w:rPr>
                <w:rFonts w:eastAsia="Times New Roman" w:cs="Arial"/>
                <w:sz w:val="12"/>
                <w:szCs w:val="16"/>
                <w:lang w:val="es-CO" w:eastAsia="es-CO"/>
              </w:rPr>
              <w:t>días calendario escolar</w:t>
            </w:r>
          </w:p>
        </w:tc>
      </w:tr>
      <w:tr w:rsidR="001A38D5" w:rsidRPr="001A38D5" w14:paraId="6BF97475" w14:textId="77777777" w:rsidTr="0031536F">
        <w:trPr>
          <w:trHeight w:val="20"/>
          <w:jc w:val="center"/>
        </w:trPr>
        <w:tc>
          <w:tcPr>
            <w:tcW w:w="7079" w:type="dxa"/>
            <w:gridSpan w:val="4"/>
            <w:shd w:val="clear" w:color="auto" w:fill="FFC000"/>
            <w:vAlign w:val="center"/>
            <w:hideMark/>
          </w:tcPr>
          <w:p w14:paraId="01D90F2A"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TOTAL CONTRATACIÓN PARA OPERAR EL PAE VIGENCIA 2022</w:t>
            </w:r>
          </w:p>
        </w:tc>
        <w:tc>
          <w:tcPr>
            <w:tcW w:w="1248" w:type="dxa"/>
            <w:shd w:val="clear" w:color="auto" w:fill="FFC000"/>
            <w:vAlign w:val="center"/>
            <w:hideMark/>
          </w:tcPr>
          <w:p w14:paraId="7F276418" w14:textId="77777777" w:rsidR="00A20990" w:rsidRPr="001A38D5" w:rsidRDefault="00A20990" w:rsidP="005140E1">
            <w:pPr>
              <w:contextualSpacing/>
              <w:jc w:val="center"/>
              <w:rPr>
                <w:rFonts w:eastAsia="Times New Roman" w:cs="Arial"/>
                <w:b/>
                <w:bCs/>
                <w:sz w:val="14"/>
                <w:szCs w:val="16"/>
                <w:lang w:val="es-CO" w:eastAsia="es-CO"/>
              </w:rPr>
            </w:pPr>
            <w:r w:rsidRPr="001A38D5">
              <w:rPr>
                <w:rFonts w:eastAsia="Times New Roman" w:cs="Arial"/>
                <w:b/>
                <w:sz w:val="14"/>
                <w:szCs w:val="16"/>
                <w:lang w:val="es-CO" w:eastAsia="es-CO"/>
              </w:rPr>
              <w:t>$16.347.626.995</w:t>
            </w:r>
          </w:p>
        </w:tc>
        <w:tc>
          <w:tcPr>
            <w:tcW w:w="741" w:type="dxa"/>
            <w:shd w:val="clear" w:color="auto" w:fill="FFC000"/>
            <w:vAlign w:val="center"/>
          </w:tcPr>
          <w:p w14:paraId="2537E283"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2"/>
                <w:szCs w:val="16"/>
                <w:lang w:val="es-CO" w:eastAsia="es-CO"/>
              </w:rPr>
              <w:t>188 días</w:t>
            </w:r>
          </w:p>
        </w:tc>
      </w:tr>
    </w:tbl>
    <w:p w14:paraId="5BF5A789" w14:textId="77777777" w:rsidR="00A20990" w:rsidRPr="007A412F" w:rsidRDefault="00A20990" w:rsidP="005140E1">
      <w:pPr>
        <w:contextualSpacing/>
        <w:jc w:val="center"/>
        <w:rPr>
          <w:rFonts w:cs="Arial"/>
          <w:sz w:val="16"/>
          <w:szCs w:val="21"/>
        </w:rPr>
      </w:pPr>
      <w:r w:rsidRPr="007A412F">
        <w:rPr>
          <w:rFonts w:cs="Arial"/>
          <w:sz w:val="16"/>
          <w:szCs w:val="21"/>
        </w:rPr>
        <w:t>Fuente: Elaboración DAF con base en el reporte de la Categoría MEN PAE al Sistema Consolidador CHIP y el Sistema Electrónico de Contratación Pública SECOP.</w:t>
      </w:r>
    </w:p>
    <w:p w14:paraId="7A29167F" w14:textId="77777777" w:rsidR="00A20990" w:rsidRPr="00496D37" w:rsidRDefault="00A20990" w:rsidP="005140E1">
      <w:pPr>
        <w:contextualSpacing/>
        <w:jc w:val="both"/>
        <w:rPr>
          <w:rFonts w:cs="Arial"/>
        </w:rPr>
      </w:pPr>
    </w:p>
    <w:p w14:paraId="1550FD47" w14:textId="77777777" w:rsidR="00A20990" w:rsidRPr="001A38D5" w:rsidRDefault="00A20990" w:rsidP="005140E1">
      <w:pPr>
        <w:pStyle w:val="Ttulo1"/>
        <w:contextualSpacing/>
        <w:rPr>
          <w:rFonts w:ascii="Verdana" w:hAnsi="Verdana"/>
          <w:color w:val="auto"/>
        </w:rPr>
      </w:pPr>
      <w:r w:rsidRPr="001A38D5">
        <w:rPr>
          <w:rFonts w:ascii="Verdana" w:hAnsi="Verdana"/>
          <w:color w:val="auto"/>
        </w:rPr>
        <w:t>ANÁLISIS FINANCIERO Y SECTORIAL</w:t>
      </w:r>
      <w:r w:rsidR="00497A0B">
        <w:rPr>
          <w:rFonts w:ascii="Verdana" w:hAnsi="Verdana"/>
          <w:color w:val="auto"/>
        </w:rPr>
        <w:t>.</w:t>
      </w:r>
    </w:p>
    <w:p w14:paraId="5F113913" w14:textId="77777777" w:rsidR="00A20990" w:rsidRPr="001A38D5" w:rsidRDefault="00A20990" w:rsidP="005140E1">
      <w:pPr>
        <w:contextualSpacing/>
        <w:rPr>
          <w:rFonts w:cs="Arial"/>
          <w:lang w:val="es-CO"/>
        </w:rPr>
      </w:pPr>
    </w:p>
    <w:p w14:paraId="32C77528" w14:textId="77777777" w:rsidR="00A20990" w:rsidRPr="001A38D5" w:rsidRDefault="00A20990" w:rsidP="005140E1">
      <w:pPr>
        <w:pStyle w:val="Ttulo2"/>
        <w:numPr>
          <w:ilvl w:val="0"/>
          <w:numId w:val="17"/>
        </w:numPr>
        <w:contextualSpacing/>
        <w:rPr>
          <w:rFonts w:ascii="Verdana" w:hAnsi="Verdana"/>
        </w:rPr>
      </w:pPr>
      <w:r w:rsidRPr="001A38D5">
        <w:rPr>
          <w:rFonts w:ascii="Verdana" w:hAnsi="Verdana"/>
        </w:rPr>
        <w:t>Análisis financiero</w:t>
      </w:r>
      <w:r w:rsidR="00497A0B">
        <w:rPr>
          <w:rFonts w:ascii="Verdana" w:hAnsi="Verdana"/>
        </w:rPr>
        <w:t>.</w:t>
      </w:r>
    </w:p>
    <w:p w14:paraId="28E63E8C" w14:textId="77777777" w:rsidR="00A20990" w:rsidRPr="001A38D5" w:rsidRDefault="00A20990" w:rsidP="005140E1">
      <w:pPr>
        <w:contextualSpacing/>
        <w:rPr>
          <w:rFonts w:cs="Arial"/>
          <w:lang w:val="es-CO"/>
        </w:rPr>
      </w:pPr>
    </w:p>
    <w:p w14:paraId="23FA517C" w14:textId="77777777" w:rsidR="00A20990" w:rsidRPr="001A38D5" w:rsidRDefault="00A20990" w:rsidP="005140E1">
      <w:pPr>
        <w:pStyle w:val="Ttulo3"/>
        <w:contextualSpacing/>
        <w:rPr>
          <w:rFonts w:ascii="Verdana" w:hAnsi="Verdana"/>
        </w:rPr>
      </w:pPr>
      <w:r w:rsidRPr="001A38D5">
        <w:rPr>
          <w:rFonts w:ascii="Verdana" w:hAnsi="Verdana"/>
        </w:rPr>
        <w:t xml:space="preserve">Resumen análisis financiero 2019 </w:t>
      </w:r>
      <w:r w:rsidR="00497A0B">
        <w:rPr>
          <w:rFonts w:ascii="Verdana" w:hAnsi="Verdana"/>
        </w:rPr>
        <w:t>–</w:t>
      </w:r>
      <w:r w:rsidRPr="001A38D5">
        <w:rPr>
          <w:rFonts w:ascii="Verdana" w:hAnsi="Verdana"/>
        </w:rPr>
        <w:t xml:space="preserve"> 2022</w:t>
      </w:r>
      <w:r w:rsidR="00497A0B">
        <w:rPr>
          <w:rFonts w:ascii="Verdana" w:hAnsi="Verdana"/>
        </w:rPr>
        <w:t>.</w:t>
      </w:r>
    </w:p>
    <w:p w14:paraId="5514C69B" w14:textId="77777777" w:rsidR="00A20990" w:rsidRPr="001A38D5" w:rsidRDefault="00A20990" w:rsidP="005140E1">
      <w:pPr>
        <w:contextualSpacing/>
        <w:jc w:val="both"/>
        <w:rPr>
          <w:rFonts w:cs="Arial"/>
          <w:b/>
          <w:bCs/>
        </w:rPr>
      </w:pPr>
    </w:p>
    <w:p w14:paraId="191409DE" w14:textId="77777777" w:rsidR="00A20990" w:rsidRPr="001A38D5" w:rsidRDefault="00A20990" w:rsidP="005140E1">
      <w:pPr>
        <w:contextualSpacing/>
        <w:jc w:val="both"/>
        <w:rPr>
          <w:rFonts w:cs="Arial"/>
        </w:rPr>
      </w:pPr>
      <w:r w:rsidRPr="001A38D5">
        <w:rPr>
          <w:rFonts w:cs="Arial"/>
        </w:rPr>
        <w:t xml:space="preserve">El Ministerio de Hacienda y Crédito Público evaluó la consistencia de la información </w:t>
      </w:r>
      <w:r w:rsidRPr="001A38D5">
        <w:rPr>
          <w:rFonts w:cs="Arial"/>
        </w:rPr>
        <w:lastRenderedPageBreak/>
        <w:t xml:space="preserve">de la Asignación Especial para Alimentación Escolar de las ejecuciones presupuestales y la reportada por el Municipio en el Sistema Consolidador de Hacienda e Información Pública – CHIP, encontrándose el siguiente resultado: </w:t>
      </w:r>
    </w:p>
    <w:p w14:paraId="30CB5028" w14:textId="77777777" w:rsidR="00A20990" w:rsidRPr="001A38D5" w:rsidRDefault="00A20990" w:rsidP="005140E1">
      <w:pPr>
        <w:contextualSpacing/>
        <w:jc w:val="both"/>
        <w:rPr>
          <w:rFonts w:cs="Arial"/>
        </w:rPr>
      </w:pPr>
    </w:p>
    <w:p w14:paraId="02CEE574"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4</w:t>
      </w:r>
      <w:r w:rsidRPr="007A412F">
        <w:rPr>
          <w:rFonts w:ascii="Verdana" w:hAnsi="Verdana"/>
          <w:color w:val="auto"/>
          <w:sz w:val="20"/>
          <w:szCs w:val="20"/>
        </w:rPr>
        <w:fldChar w:fldCharType="end"/>
      </w:r>
      <w:r w:rsidRPr="007A412F">
        <w:rPr>
          <w:rFonts w:ascii="Verdana" w:hAnsi="Verdana"/>
          <w:color w:val="auto"/>
          <w:sz w:val="20"/>
          <w:szCs w:val="20"/>
        </w:rPr>
        <w:t xml:space="preserve"> Balance financiero Asignación Especial para Alimentación Escolar, 2019 - 2022 (valores en millones de pesos colombianos).</w:t>
      </w:r>
    </w:p>
    <w:tbl>
      <w:tblPr>
        <w:tblW w:w="5882" w:type="pct"/>
        <w:jc w:val="center"/>
        <w:tblLayout w:type="fixed"/>
        <w:tblCellMar>
          <w:left w:w="70" w:type="dxa"/>
          <w:right w:w="70" w:type="dxa"/>
        </w:tblCellMar>
        <w:tblLook w:val="04A0" w:firstRow="1" w:lastRow="0" w:firstColumn="1" w:lastColumn="0" w:noHBand="0" w:noVBand="1"/>
      </w:tblPr>
      <w:tblGrid>
        <w:gridCol w:w="346"/>
        <w:gridCol w:w="190"/>
        <w:gridCol w:w="1158"/>
        <w:gridCol w:w="1132"/>
        <w:gridCol w:w="968"/>
        <w:gridCol w:w="166"/>
        <w:gridCol w:w="1134"/>
        <w:gridCol w:w="986"/>
        <w:gridCol w:w="155"/>
        <w:gridCol w:w="7"/>
        <w:gridCol w:w="1125"/>
        <w:gridCol w:w="992"/>
        <w:gridCol w:w="283"/>
        <w:gridCol w:w="1134"/>
        <w:gridCol w:w="1003"/>
        <w:gridCol w:w="272"/>
      </w:tblGrid>
      <w:tr w:rsidR="001A38D5" w:rsidRPr="001A38D5" w14:paraId="308AD1C0" w14:textId="77777777" w:rsidTr="00AA6A91">
        <w:trPr>
          <w:trHeight w:val="20"/>
          <w:tblHeader/>
          <w:jc w:val="center"/>
        </w:trPr>
        <w:tc>
          <w:tcPr>
            <w:tcW w:w="766" w:type="pct"/>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56453B3A" w14:textId="77777777" w:rsidR="00A20990" w:rsidRPr="001A38D5" w:rsidRDefault="00A20990" w:rsidP="005140E1">
            <w:pPr>
              <w:contextualSpacing/>
              <w:jc w:val="center"/>
              <w:rPr>
                <w:rFonts w:eastAsia="Times New Roman" w:cs="Arial"/>
                <w:b/>
                <w:bCs/>
                <w:sz w:val="16"/>
                <w:szCs w:val="16"/>
                <w:lang w:eastAsia="es-CO"/>
              </w:rPr>
            </w:pPr>
            <w:r w:rsidRPr="001A38D5">
              <w:rPr>
                <w:rFonts w:eastAsia="Times New Roman" w:cs="Arial"/>
                <w:b/>
                <w:bCs/>
                <w:sz w:val="16"/>
                <w:szCs w:val="16"/>
                <w:lang w:eastAsia="es-CO"/>
              </w:rPr>
              <w:t>CAMPO</w:t>
            </w:r>
          </w:p>
        </w:tc>
        <w:tc>
          <w:tcPr>
            <w:tcW w:w="1025" w:type="pct"/>
            <w:gridSpan w:val="3"/>
            <w:tcBorders>
              <w:top w:val="single" w:sz="4" w:space="0" w:color="auto"/>
              <w:left w:val="nil"/>
              <w:bottom w:val="nil"/>
              <w:right w:val="single" w:sz="4" w:space="0" w:color="000000"/>
            </w:tcBorders>
            <w:shd w:val="clear" w:color="auto" w:fill="FFC000"/>
            <w:vAlign w:val="center"/>
            <w:hideMark/>
          </w:tcPr>
          <w:p w14:paraId="38FE00BB" w14:textId="77777777" w:rsidR="00A20990" w:rsidRPr="001A38D5" w:rsidRDefault="00A20990" w:rsidP="005140E1">
            <w:pPr>
              <w:contextualSpacing/>
              <w:jc w:val="center"/>
              <w:rPr>
                <w:rFonts w:eastAsia="Times New Roman" w:cs="Arial"/>
                <w:b/>
                <w:bCs/>
                <w:sz w:val="16"/>
                <w:szCs w:val="16"/>
                <w:lang w:eastAsia="es-CO"/>
              </w:rPr>
            </w:pPr>
            <w:r w:rsidRPr="001A38D5">
              <w:rPr>
                <w:rFonts w:eastAsia="Times New Roman" w:cs="Arial"/>
                <w:b/>
                <w:bCs/>
                <w:sz w:val="16"/>
                <w:szCs w:val="16"/>
                <w:lang w:eastAsia="es-CO"/>
              </w:rPr>
              <w:t>2019</w:t>
            </w:r>
          </w:p>
        </w:tc>
        <w:tc>
          <w:tcPr>
            <w:tcW w:w="1029" w:type="pct"/>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14:paraId="036EDC8E" w14:textId="77777777" w:rsidR="00A20990" w:rsidRPr="001A38D5" w:rsidRDefault="00A20990" w:rsidP="005140E1">
            <w:pPr>
              <w:contextualSpacing/>
              <w:jc w:val="center"/>
              <w:rPr>
                <w:rFonts w:eastAsia="Times New Roman" w:cs="Arial"/>
                <w:b/>
                <w:bCs/>
                <w:sz w:val="16"/>
                <w:szCs w:val="16"/>
                <w:lang w:eastAsia="es-CO"/>
              </w:rPr>
            </w:pPr>
            <w:r w:rsidRPr="001A38D5">
              <w:rPr>
                <w:rFonts w:eastAsia="Times New Roman" w:cs="Arial"/>
                <w:b/>
                <w:bCs/>
                <w:sz w:val="16"/>
                <w:szCs w:val="16"/>
                <w:lang w:eastAsia="es-CO"/>
              </w:rPr>
              <w:t>2020</w:t>
            </w:r>
          </w:p>
        </w:tc>
        <w:tc>
          <w:tcPr>
            <w:tcW w:w="1089" w:type="pct"/>
            <w:gridSpan w:val="4"/>
            <w:tcBorders>
              <w:top w:val="single" w:sz="4" w:space="0" w:color="auto"/>
              <w:left w:val="nil"/>
              <w:bottom w:val="single" w:sz="4" w:space="0" w:color="auto"/>
              <w:right w:val="single" w:sz="4" w:space="0" w:color="auto"/>
            </w:tcBorders>
            <w:shd w:val="clear" w:color="auto" w:fill="FFC000"/>
            <w:vAlign w:val="center"/>
            <w:hideMark/>
          </w:tcPr>
          <w:p w14:paraId="4F0FE629" w14:textId="77777777" w:rsidR="00A20990" w:rsidRPr="001A38D5" w:rsidRDefault="00A20990" w:rsidP="005140E1">
            <w:pPr>
              <w:contextualSpacing/>
              <w:jc w:val="center"/>
              <w:rPr>
                <w:rFonts w:eastAsia="Times New Roman" w:cs="Arial"/>
                <w:b/>
                <w:bCs/>
                <w:sz w:val="16"/>
                <w:szCs w:val="16"/>
                <w:lang w:eastAsia="es-CO"/>
              </w:rPr>
            </w:pPr>
            <w:r w:rsidRPr="001A38D5">
              <w:rPr>
                <w:rFonts w:eastAsia="Times New Roman" w:cs="Arial"/>
                <w:b/>
                <w:bCs/>
                <w:sz w:val="16"/>
                <w:szCs w:val="16"/>
                <w:lang w:eastAsia="es-CO"/>
              </w:rPr>
              <w:t>2021</w:t>
            </w:r>
          </w:p>
        </w:tc>
        <w:tc>
          <w:tcPr>
            <w:tcW w:w="1090" w:type="pct"/>
            <w:gridSpan w:val="3"/>
            <w:tcBorders>
              <w:top w:val="single" w:sz="4" w:space="0" w:color="auto"/>
              <w:left w:val="single" w:sz="4" w:space="0" w:color="auto"/>
              <w:bottom w:val="single" w:sz="4" w:space="0" w:color="auto"/>
              <w:right w:val="single" w:sz="4" w:space="0" w:color="000000"/>
            </w:tcBorders>
            <w:shd w:val="clear" w:color="auto" w:fill="FFC000"/>
            <w:vAlign w:val="center"/>
            <w:hideMark/>
          </w:tcPr>
          <w:p w14:paraId="2FFDA40A" w14:textId="77777777" w:rsidR="00A20990" w:rsidRPr="001A38D5" w:rsidRDefault="00A20990" w:rsidP="005140E1">
            <w:pPr>
              <w:contextualSpacing/>
              <w:jc w:val="center"/>
              <w:rPr>
                <w:rFonts w:eastAsia="Times New Roman" w:cs="Arial"/>
                <w:b/>
                <w:bCs/>
                <w:sz w:val="16"/>
                <w:szCs w:val="16"/>
                <w:lang w:eastAsia="es-CO"/>
              </w:rPr>
            </w:pPr>
            <w:r w:rsidRPr="001A38D5">
              <w:rPr>
                <w:rFonts w:eastAsia="Times New Roman" w:cs="Arial"/>
                <w:b/>
                <w:bCs/>
                <w:sz w:val="16"/>
                <w:szCs w:val="16"/>
                <w:lang w:eastAsia="es-CO"/>
              </w:rPr>
              <w:t>2022</w:t>
            </w:r>
          </w:p>
        </w:tc>
      </w:tr>
      <w:tr w:rsidR="00AA6A91" w:rsidRPr="001A38D5" w14:paraId="6C56A30F" w14:textId="77777777" w:rsidTr="00AA6A91">
        <w:trPr>
          <w:trHeight w:val="20"/>
          <w:tblHeader/>
          <w:jc w:val="center"/>
        </w:trPr>
        <w:tc>
          <w:tcPr>
            <w:tcW w:w="766" w:type="pct"/>
            <w:gridSpan w:val="3"/>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589D7C7A" w14:textId="77777777" w:rsidR="00A20990" w:rsidRPr="001A38D5" w:rsidRDefault="00A20990" w:rsidP="005140E1">
            <w:pPr>
              <w:contextualSpacing/>
              <w:rPr>
                <w:rFonts w:eastAsia="Times New Roman" w:cs="Arial"/>
                <w:b/>
                <w:bCs/>
                <w:sz w:val="16"/>
                <w:szCs w:val="16"/>
                <w:lang w:eastAsia="es-CO"/>
              </w:rPr>
            </w:pPr>
          </w:p>
        </w:tc>
        <w:tc>
          <w:tcPr>
            <w:tcW w:w="512" w:type="pct"/>
            <w:tcBorders>
              <w:top w:val="single" w:sz="4" w:space="0" w:color="auto"/>
              <w:left w:val="nil"/>
              <w:bottom w:val="single" w:sz="4" w:space="0" w:color="auto"/>
              <w:right w:val="single" w:sz="4" w:space="0" w:color="auto"/>
            </w:tcBorders>
            <w:shd w:val="clear" w:color="auto" w:fill="FFC000"/>
            <w:vAlign w:val="center"/>
            <w:hideMark/>
          </w:tcPr>
          <w:p w14:paraId="2CBD4A55" w14:textId="77777777" w:rsidR="00A20990" w:rsidRPr="00AA6A91" w:rsidRDefault="00A20990" w:rsidP="005140E1">
            <w:pPr>
              <w:contextualSpacing/>
              <w:jc w:val="center"/>
              <w:rPr>
                <w:rFonts w:eastAsia="Times New Roman" w:cs="Arial"/>
                <w:b/>
                <w:bCs/>
                <w:sz w:val="12"/>
                <w:szCs w:val="14"/>
                <w:lang w:eastAsia="es-CO"/>
              </w:rPr>
            </w:pPr>
            <w:r w:rsidRPr="00AA6A91">
              <w:rPr>
                <w:rFonts w:eastAsia="Times New Roman" w:cs="Arial"/>
                <w:b/>
                <w:bCs/>
                <w:sz w:val="12"/>
                <w:szCs w:val="14"/>
                <w:lang w:eastAsia="es-CO"/>
              </w:rPr>
              <w:t>Ejecución Presupuestal</w:t>
            </w:r>
          </w:p>
        </w:tc>
        <w:tc>
          <w:tcPr>
            <w:tcW w:w="438" w:type="pct"/>
            <w:tcBorders>
              <w:top w:val="single" w:sz="4" w:space="0" w:color="auto"/>
              <w:left w:val="nil"/>
              <w:bottom w:val="single" w:sz="4" w:space="0" w:color="auto"/>
              <w:right w:val="single" w:sz="4" w:space="0" w:color="auto"/>
            </w:tcBorders>
            <w:shd w:val="clear" w:color="auto" w:fill="FFC000"/>
            <w:vAlign w:val="center"/>
            <w:hideMark/>
          </w:tcPr>
          <w:p w14:paraId="74D97BF0" w14:textId="77777777" w:rsidR="00A20990" w:rsidRPr="00AA6A91" w:rsidRDefault="00A20990" w:rsidP="005140E1">
            <w:pPr>
              <w:contextualSpacing/>
              <w:jc w:val="center"/>
              <w:rPr>
                <w:rFonts w:eastAsia="Times New Roman" w:cs="Arial"/>
                <w:b/>
                <w:bCs/>
                <w:sz w:val="12"/>
                <w:szCs w:val="14"/>
                <w:lang w:eastAsia="es-CO"/>
              </w:rPr>
            </w:pPr>
            <w:r w:rsidRPr="00AA6A91">
              <w:rPr>
                <w:rFonts w:eastAsia="Times New Roman" w:cs="Arial"/>
                <w:b/>
                <w:bCs/>
                <w:sz w:val="12"/>
                <w:szCs w:val="14"/>
                <w:lang w:eastAsia="es-CO"/>
              </w:rPr>
              <w:t>FUT</w:t>
            </w:r>
          </w:p>
        </w:tc>
        <w:tc>
          <w:tcPr>
            <w:tcW w:w="75" w:type="pct"/>
            <w:tcBorders>
              <w:top w:val="single" w:sz="4" w:space="0" w:color="auto"/>
              <w:left w:val="nil"/>
              <w:bottom w:val="single" w:sz="4" w:space="0" w:color="auto"/>
              <w:right w:val="single" w:sz="4" w:space="0" w:color="auto"/>
            </w:tcBorders>
            <w:shd w:val="clear" w:color="auto" w:fill="FFC000"/>
            <w:vAlign w:val="center"/>
            <w:hideMark/>
          </w:tcPr>
          <w:p w14:paraId="567496F4" w14:textId="77777777" w:rsidR="00A20990" w:rsidRPr="00AA6A91" w:rsidRDefault="00A20990" w:rsidP="005140E1">
            <w:pPr>
              <w:contextualSpacing/>
              <w:jc w:val="center"/>
              <w:rPr>
                <w:rFonts w:eastAsia="Times New Roman" w:cs="Arial"/>
                <w:b/>
                <w:bCs/>
                <w:sz w:val="12"/>
                <w:szCs w:val="14"/>
                <w:lang w:eastAsia="es-CO"/>
              </w:rPr>
            </w:pPr>
          </w:p>
        </w:tc>
        <w:tc>
          <w:tcPr>
            <w:tcW w:w="513" w:type="pct"/>
            <w:tcBorders>
              <w:top w:val="nil"/>
              <w:left w:val="nil"/>
              <w:bottom w:val="single" w:sz="4" w:space="0" w:color="auto"/>
              <w:right w:val="single" w:sz="4" w:space="0" w:color="auto"/>
            </w:tcBorders>
            <w:shd w:val="clear" w:color="auto" w:fill="FFC000"/>
            <w:vAlign w:val="center"/>
            <w:hideMark/>
          </w:tcPr>
          <w:p w14:paraId="51CFF6B7" w14:textId="77777777" w:rsidR="00A20990" w:rsidRPr="00AA6A91" w:rsidRDefault="00A20990" w:rsidP="005140E1">
            <w:pPr>
              <w:contextualSpacing/>
              <w:jc w:val="center"/>
              <w:rPr>
                <w:rFonts w:eastAsia="Times New Roman" w:cs="Arial"/>
                <w:b/>
                <w:bCs/>
                <w:sz w:val="12"/>
                <w:szCs w:val="14"/>
                <w:lang w:eastAsia="es-CO"/>
              </w:rPr>
            </w:pPr>
            <w:r w:rsidRPr="00AA6A91">
              <w:rPr>
                <w:rFonts w:eastAsia="Times New Roman" w:cs="Arial"/>
                <w:b/>
                <w:bCs/>
                <w:sz w:val="12"/>
                <w:szCs w:val="14"/>
                <w:lang w:eastAsia="es-CO"/>
              </w:rPr>
              <w:t>Ejecución Presupuestal</w:t>
            </w:r>
          </w:p>
        </w:tc>
        <w:tc>
          <w:tcPr>
            <w:tcW w:w="446" w:type="pct"/>
            <w:tcBorders>
              <w:top w:val="nil"/>
              <w:left w:val="nil"/>
              <w:bottom w:val="single" w:sz="4" w:space="0" w:color="auto"/>
              <w:right w:val="single" w:sz="4" w:space="0" w:color="auto"/>
            </w:tcBorders>
            <w:shd w:val="clear" w:color="auto" w:fill="FFC000"/>
            <w:vAlign w:val="center"/>
            <w:hideMark/>
          </w:tcPr>
          <w:p w14:paraId="3238AFC9" w14:textId="77777777" w:rsidR="00A20990" w:rsidRPr="00AA6A91" w:rsidRDefault="00A20990" w:rsidP="005140E1">
            <w:pPr>
              <w:contextualSpacing/>
              <w:jc w:val="center"/>
              <w:rPr>
                <w:rFonts w:eastAsia="Times New Roman" w:cs="Arial"/>
                <w:b/>
                <w:bCs/>
                <w:sz w:val="12"/>
                <w:szCs w:val="14"/>
                <w:lang w:val="es-CO" w:eastAsia="es-CO"/>
              </w:rPr>
            </w:pPr>
            <w:r w:rsidRPr="00AA6A91">
              <w:rPr>
                <w:rFonts w:eastAsia="Times New Roman" w:cs="Arial"/>
                <w:b/>
                <w:bCs/>
                <w:sz w:val="12"/>
                <w:szCs w:val="14"/>
                <w:lang w:eastAsia="es-CO"/>
              </w:rPr>
              <w:t>FUT</w:t>
            </w:r>
          </w:p>
        </w:tc>
        <w:tc>
          <w:tcPr>
            <w:tcW w:w="73" w:type="pct"/>
            <w:gridSpan w:val="2"/>
            <w:tcBorders>
              <w:top w:val="nil"/>
              <w:left w:val="nil"/>
              <w:bottom w:val="single" w:sz="4" w:space="0" w:color="auto"/>
              <w:right w:val="single" w:sz="4" w:space="0" w:color="auto"/>
            </w:tcBorders>
            <w:shd w:val="clear" w:color="auto" w:fill="FFC000"/>
            <w:vAlign w:val="center"/>
            <w:hideMark/>
          </w:tcPr>
          <w:p w14:paraId="43BC7BAD" w14:textId="77777777" w:rsidR="00A20990" w:rsidRPr="00AA6A91" w:rsidRDefault="00A20990" w:rsidP="005140E1">
            <w:pPr>
              <w:contextualSpacing/>
              <w:jc w:val="center"/>
              <w:rPr>
                <w:rFonts w:eastAsia="Times New Roman" w:cs="Arial"/>
                <w:b/>
                <w:bCs/>
                <w:sz w:val="12"/>
                <w:szCs w:val="14"/>
                <w:lang w:eastAsia="es-CO"/>
              </w:rPr>
            </w:pPr>
            <w:r w:rsidRPr="00AA6A91">
              <w:rPr>
                <w:rFonts w:eastAsia="Times New Roman" w:cs="Arial"/>
                <w:b/>
                <w:bCs/>
                <w:sz w:val="12"/>
                <w:szCs w:val="14"/>
                <w:lang w:eastAsia="es-CO"/>
              </w:rPr>
              <w:t> </w:t>
            </w:r>
          </w:p>
        </w:tc>
        <w:tc>
          <w:tcPr>
            <w:tcW w:w="509" w:type="pct"/>
            <w:tcBorders>
              <w:top w:val="single" w:sz="4" w:space="0" w:color="auto"/>
              <w:left w:val="nil"/>
              <w:bottom w:val="single" w:sz="4" w:space="0" w:color="auto"/>
              <w:right w:val="single" w:sz="4" w:space="0" w:color="auto"/>
            </w:tcBorders>
            <w:shd w:val="clear" w:color="auto" w:fill="FFC000"/>
            <w:vAlign w:val="center"/>
            <w:hideMark/>
          </w:tcPr>
          <w:p w14:paraId="30E16488" w14:textId="77777777" w:rsidR="00A20990" w:rsidRPr="00AA6A91" w:rsidRDefault="00A20990" w:rsidP="005140E1">
            <w:pPr>
              <w:contextualSpacing/>
              <w:jc w:val="center"/>
              <w:rPr>
                <w:rFonts w:eastAsia="Times New Roman" w:cs="Arial"/>
                <w:b/>
                <w:bCs/>
                <w:sz w:val="12"/>
                <w:szCs w:val="14"/>
                <w:lang w:eastAsia="es-CO"/>
              </w:rPr>
            </w:pPr>
            <w:r w:rsidRPr="00AA6A91">
              <w:rPr>
                <w:rFonts w:eastAsia="Times New Roman" w:cs="Arial"/>
                <w:b/>
                <w:bCs/>
                <w:sz w:val="12"/>
                <w:szCs w:val="14"/>
                <w:lang w:eastAsia="es-CO"/>
              </w:rPr>
              <w:t>Ejecución Presupuestal</w:t>
            </w:r>
          </w:p>
        </w:tc>
        <w:tc>
          <w:tcPr>
            <w:tcW w:w="449" w:type="pct"/>
            <w:tcBorders>
              <w:top w:val="single" w:sz="4" w:space="0" w:color="auto"/>
              <w:left w:val="nil"/>
              <w:bottom w:val="single" w:sz="4" w:space="0" w:color="auto"/>
              <w:right w:val="single" w:sz="4" w:space="0" w:color="auto"/>
            </w:tcBorders>
            <w:shd w:val="clear" w:color="auto" w:fill="FFC000"/>
            <w:vAlign w:val="center"/>
            <w:hideMark/>
          </w:tcPr>
          <w:p w14:paraId="51DA7039" w14:textId="77777777" w:rsidR="00A20990" w:rsidRPr="00AA6A91" w:rsidRDefault="00A20990" w:rsidP="005140E1">
            <w:pPr>
              <w:contextualSpacing/>
              <w:jc w:val="center"/>
              <w:rPr>
                <w:rFonts w:eastAsia="Times New Roman" w:cs="Arial"/>
                <w:b/>
                <w:bCs/>
                <w:sz w:val="12"/>
                <w:szCs w:val="14"/>
                <w:lang w:eastAsia="es-CO"/>
              </w:rPr>
            </w:pPr>
            <w:r w:rsidRPr="00AA6A91">
              <w:rPr>
                <w:rFonts w:eastAsia="Times New Roman" w:cs="Arial"/>
                <w:b/>
                <w:bCs/>
                <w:sz w:val="12"/>
                <w:szCs w:val="14"/>
                <w:lang w:eastAsia="es-CO"/>
              </w:rPr>
              <w:t>FUT</w:t>
            </w:r>
          </w:p>
        </w:tc>
        <w:tc>
          <w:tcPr>
            <w:tcW w:w="128" w:type="pct"/>
            <w:tcBorders>
              <w:top w:val="single" w:sz="4" w:space="0" w:color="auto"/>
              <w:left w:val="nil"/>
              <w:bottom w:val="single" w:sz="4" w:space="0" w:color="auto"/>
              <w:right w:val="single" w:sz="4" w:space="0" w:color="auto"/>
            </w:tcBorders>
            <w:shd w:val="clear" w:color="auto" w:fill="FFC000"/>
            <w:vAlign w:val="center"/>
            <w:hideMark/>
          </w:tcPr>
          <w:p w14:paraId="44102B19" w14:textId="77777777" w:rsidR="00A20990" w:rsidRPr="00AA6A91" w:rsidRDefault="00A20990" w:rsidP="005140E1">
            <w:pPr>
              <w:contextualSpacing/>
              <w:jc w:val="center"/>
              <w:rPr>
                <w:rFonts w:eastAsia="Times New Roman" w:cs="Arial"/>
                <w:b/>
                <w:bCs/>
                <w:sz w:val="12"/>
                <w:szCs w:val="14"/>
                <w:lang w:eastAsia="es-CO"/>
              </w:rPr>
            </w:pPr>
            <w:r w:rsidRPr="00AA6A91">
              <w:rPr>
                <w:rFonts w:eastAsia="Times New Roman" w:cs="Arial"/>
                <w:b/>
                <w:bCs/>
                <w:sz w:val="12"/>
                <w:szCs w:val="14"/>
                <w:lang w:eastAsia="es-CO"/>
              </w:rPr>
              <w:t> </w:t>
            </w:r>
          </w:p>
        </w:tc>
        <w:tc>
          <w:tcPr>
            <w:tcW w:w="513" w:type="pct"/>
            <w:tcBorders>
              <w:top w:val="nil"/>
              <w:left w:val="nil"/>
              <w:bottom w:val="single" w:sz="4" w:space="0" w:color="auto"/>
              <w:right w:val="single" w:sz="4" w:space="0" w:color="auto"/>
            </w:tcBorders>
            <w:shd w:val="clear" w:color="auto" w:fill="FFC000"/>
            <w:vAlign w:val="center"/>
            <w:hideMark/>
          </w:tcPr>
          <w:p w14:paraId="3B52499B" w14:textId="77777777" w:rsidR="00A20990" w:rsidRPr="00AA6A91" w:rsidRDefault="00A20990" w:rsidP="005140E1">
            <w:pPr>
              <w:contextualSpacing/>
              <w:jc w:val="center"/>
              <w:rPr>
                <w:rFonts w:eastAsia="Times New Roman" w:cs="Arial"/>
                <w:b/>
                <w:bCs/>
                <w:sz w:val="12"/>
                <w:szCs w:val="14"/>
                <w:lang w:eastAsia="es-CO"/>
              </w:rPr>
            </w:pPr>
            <w:r w:rsidRPr="00AA6A91">
              <w:rPr>
                <w:rFonts w:eastAsia="Times New Roman" w:cs="Arial"/>
                <w:b/>
                <w:bCs/>
                <w:sz w:val="12"/>
                <w:szCs w:val="14"/>
                <w:lang w:eastAsia="es-CO"/>
              </w:rPr>
              <w:t>Ejecución Presupuestal</w:t>
            </w:r>
          </w:p>
        </w:tc>
        <w:tc>
          <w:tcPr>
            <w:tcW w:w="454" w:type="pct"/>
            <w:tcBorders>
              <w:top w:val="nil"/>
              <w:left w:val="nil"/>
              <w:bottom w:val="single" w:sz="4" w:space="0" w:color="auto"/>
              <w:right w:val="single" w:sz="4" w:space="0" w:color="auto"/>
            </w:tcBorders>
            <w:shd w:val="clear" w:color="auto" w:fill="FFC000"/>
            <w:vAlign w:val="center"/>
            <w:hideMark/>
          </w:tcPr>
          <w:p w14:paraId="5EDE8BE2" w14:textId="77777777" w:rsidR="00A20990" w:rsidRPr="00AA6A91" w:rsidRDefault="00A20990" w:rsidP="005140E1">
            <w:pPr>
              <w:contextualSpacing/>
              <w:jc w:val="center"/>
              <w:rPr>
                <w:rFonts w:eastAsia="Times New Roman" w:cs="Arial"/>
                <w:b/>
                <w:bCs/>
                <w:sz w:val="12"/>
                <w:szCs w:val="14"/>
                <w:lang w:eastAsia="es-CO"/>
              </w:rPr>
            </w:pPr>
            <w:r w:rsidRPr="00AA6A91">
              <w:rPr>
                <w:rFonts w:eastAsia="Times New Roman" w:cs="Arial"/>
                <w:b/>
                <w:bCs/>
                <w:sz w:val="12"/>
                <w:szCs w:val="14"/>
                <w:lang w:eastAsia="es-CO"/>
              </w:rPr>
              <w:t>CUIPO</w:t>
            </w:r>
          </w:p>
        </w:tc>
        <w:tc>
          <w:tcPr>
            <w:tcW w:w="123" w:type="pct"/>
            <w:tcBorders>
              <w:top w:val="nil"/>
              <w:left w:val="nil"/>
              <w:bottom w:val="single" w:sz="4" w:space="0" w:color="auto"/>
              <w:right w:val="single" w:sz="4" w:space="0" w:color="auto"/>
            </w:tcBorders>
            <w:shd w:val="clear" w:color="auto" w:fill="FFC000"/>
            <w:vAlign w:val="center"/>
            <w:hideMark/>
          </w:tcPr>
          <w:p w14:paraId="1AA94F5F" w14:textId="77777777" w:rsidR="00A20990" w:rsidRPr="001A38D5" w:rsidRDefault="00A20990" w:rsidP="005140E1">
            <w:pPr>
              <w:contextualSpacing/>
              <w:jc w:val="center"/>
              <w:rPr>
                <w:rFonts w:eastAsia="Times New Roman" w:cs="Arial"/>
                <w:b/>
                <w:bCs/>
                <w:sz w:val="14"/>
                <w:szCs w:val="14"/>
                <w:lang w:eastAsia="es-CO"/>
              </w:rPr>
            </w:pPr>
            <w:r w:rsidRPr="001A38D5">
              <w:rPr>
                <w:rFonts w:eastAsia="Times New Roman" w:cs="Arial"/>
                <w:b/>
                <w:bCs/>
                <w:sz w:val="14"/>
                <w:szCs w:val="14"/>
                <w:lang w:eastAsia="es-CO"/>
              </w:rPr>
              <w:t> </w:t>
            </w:r>
          </w:p>
        </w:tc>
      </w:tr>
      <w:tr w:rsidR="00AA6A91" w:rsidRPr="001A38D5" w14:paraId="0175E063" w14:textId="77777777" w:rsidTr="00AA6A91">
        <w:trPr>
          <w:trHeight w:val="20"/>
          <w:jc w:val="center"/>
        </w:trPr>
        <w:tc>
          <w:tcPr>
            <w:tcW w:w="766" w:type="pct"/>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14:paraId="52BA7574" w14:textId="77777777" w:rsidR="00A20990" w:rsidRPr="001A38D5" w:rsidRDefault="00A20990" w:rsidP="005140E1">
            <w:pPr>
              <w:contextualSpacing/>
              <w:rPr>
                <w:rFonts w:eastAsia="Times New Roman" w:cs="Arial"/>
                <w:b/>
                <w:bCs/>
                <w:sz w:val="14"/>
                <w:szCs w:val="14"/>
                <w:lang w:eastAsia="es-CO"/>
              </w:rPr>
            </w:pPr>
            <w:r w:rsidRPr="001A38D5">
              <w:rPr>
                <w:rFonts w:eastAsia="Times New Roman" w:cs="Arial"/>
                <w:b/>
                <w:bCs/>
                <w:sz w:val="16"/>
                <w:szCs w:val="14"/>
                <w:lang w:eastAsia="es-CO"/>
              </w:rPr>
              <w:t>Ingresos</w:t>
            </w:r>
          </w:p>
        </w:tc>
        <w:tc>
          <w:tcPr>
            <w:tcW w:w="512" w:type="pct"/>
            <w:tcBorders>
              <w:top w:val="nil"/>
              <w:left w:val="nil"/>
              <w:bottom w:val="single" w:sz="4" w:space="0" w:color="auto"/>
              <w:right w:val="single" w:sz="4" w:space="0" w:color="auto"/>
            </w:tcBorders>
            <w:shd w:val="clear" w:color="auto" w:fill="FFC000"/>
            <w:noWrap/>
            <w:vAlign w:val="center"/>
            <w:hideMark/>
          </w:tcPr>
          <w:p w14:paraId="5638B87C"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$1.573,05</w:t>
            </w:r>
          </w:p>
        </w:tc>
        <w:tc>
          <w:tcPr>
            <w:tcW w:w="438" w:type="pct"/>
            <w:tcBorders>
              <w:top w:val="nil"/>
              <w:left w:val="nil"/>
              <w:bottom w:val="single" w:sz="4" w:space="0" w:color="auto"/>
              <w:right w:val="single" w:sz="4" w:space="0" w:color="auto"/>
            </w:tcBorders>
            <w:shd w:val="clear" w:color="auto" w:fill="FFC000"/>
            <w:noWrap/>
            <w:vAlign w:val="center"/>
            <w:hideMark/>
          </w:tcPr>
          <w:p w14:paraId="590A429D"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$1.573,05</w:t>
            </w:r>
          </w:p>
        </w:tc>
        <w:tc>
          <w:tcPr>
            <w:tcW w:w="75" w:type="pct"/>
            <w:tcBorders>
              <w:top w:val="nil"/>
              <w:left w:val="nil"/>
              <w:bottom w:val="single" w:sz="4" w:space="0" w:color="auto"/>
              <w:right w:val="single" w:sz="4" w:space="0" w:color="auto"/>
            </w:tcBorders>
            <w:shd w:val="clear" w:color="auto" w:fill="FFC000"/>
            <w:noWrap/>
            <w:vAlign w:val="center"/>
            <w:hideMark/>
          </w:tcPr>
          <w:p w14:paraId="79AA6B81" w14:textId="77777777" w:rsidR="00A20990" w:rsidRPr="007A412F" w:rsidRDefault="00A20990" w:rsidP="005140E1">
            <w:pPr>
              <w:contextualSpacing/>
              <w:jc w:val="center"/>
              <w:rPr>
                <w:rFonts w:eastAsia="Times New Roman" w:cs="Arial"/>
                <w:b/>
                <w:bCs/>
                <w:sz w:val="14"/>
                <w:szCs w:val="14"/>
                <w:lang w:eastAsia="es-CO"/>
              </w:rPr>
            </w:pPr>
          </w:p>
        </w:tc>
        <w:tc>
          <w:tcPr>
            <w:tcW w:w="513" w:type="pct"/>
            <w:tcBorders>
              <w:top w:val="nil"/>
              <w:left w:val="nil"/>
              <w:bottom w:val="single" w:sz="4" w:space="0" w:color="auto"/>
              <w:right w:val="single" w:sz="4" w:space="0" w:color="auto"/>
            </w:tcBorders>
            <w:shd w:val="clear" w:color="auto" w:fill="FFC000"/>
            <w:noWrap/>
            <w:vAlign w:val="center"/>
            <w:hideMark/>
          </w:tcPr>
          <w:p w14:paraId="19EB3857"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$1.681,74</w:t>
            </w:r>
          </w:p>
        </w:tc>
        <w:tc>
          <w:tcPr>
            <w:tcW w:w="446" w:type="pct"/>
            <w:tcBorders>
              <w:top w:val="nil"/>
              <w:left w:val="nil"/>
              <w:bottom w:val="single" w:sz="4" w:space="0" w:color="auto"/>
              <w:right w:val="single" w:sz="4" w:space="0" w:color="auto"/>
            </w:tcBorders>
            <w:shd w:val="clear" w:color="auto" w:fill="FFC000"/>
            <w:noWrap/>
            <w:vAlign w:val="center"/>
            <w:hideMark/>
          </w:tcPr>
          <w:p w14:paraId="6FDD1A79"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$1.681,74</w:t>
            </w:r>
          </w:p>
        </w:tc>
        <w:tc>
          <w:tcPr>
            <w:tcW w:w="73" w:type="pct"/>
            <w:gridSpan w:val="2"/>
            <w:tcBorders>
              <w:top w:val="nil"/>
              <w:left w:val="nil"/>
              <w:bottom w:val="single" w:sz="4" w:space="0" w:color="auto"/>
              <w:right w:val="single" w:sz="4" w:space="0" w:color="auto"/>
            </w:tcBorders>
            <w:shd w:val="clear" w:color="auto" w:fill="FFC000"/>
            <w:noWrap/>
            <w:vAlign w:val="center"/>
            <w:hideMark/>
          </w:tcPr>
          <w:p w14:paraId="104D8EFE" w14:textId="77777777" w:rsidR="00A20990" w:rsidRPr="007A412F" w:rsidRDefault="00A20990" w:rsidP="005140E1">
            <w:pPr>
              <w:contextualSpacing/>
              <w:jc w:val="center"/>
              <w:rPr>
                <w:rFonts w:eastAsia="Times New Roman" w:cs="Arial"/>
                <w:b/>
                <w:bCs/>
                <w:sz w:val="14"/>
                <w:szCs w:val="14"/>
                <w:lang w:eastAsia="es-CO"/>
              </w:rPr>
            </w:pPr>
          </w:p>
        </w:tc>
        <w:tc>
          <w:tcPr>
            <w:tcW w:w="509" w:type="pct"/>
            <w:tcBorders>
              <w:top w:val="nil"/>
              <w:left w:val="nil"/>
              <w:bottom w:val="single" w:sz="4" w:space="0" w:color="auto"/>
              <w:right w:val="single" w:sz="4" w:space="0" w:color="auto"/>
            </w:tcBorders>
            <w:shd w:val="clear" w:color="auto" w:fill="FFC000"/>
            <w:noWrap/>
            <w:vAlign w:val="center"/>
            <w:hideMark/>
          </w:tcPr>
          <w:p w14:paraId="0A7363A5"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$1.316,71</w:t>
            </w:r>
          </w:p>
        </w:tc>
        <w:tc>
          <w:tcPr>
            <w:tcW w:w="449" w:type="pct"/>
            <w:tcBorders>
              <w:top w:val="nil"/>
              <w:left w:val="nil"/>
              <w:bottom w:val="single" w:sz="4" w:space="0" w:color="auto"/>
              <w:right w:val="single" w:sz="4" w:space="0" w:color="auto"/>
            </w:tcBorders>
            <w:shd w:val="clear" w:color="auto" w:fill="FFC000"/>
            <w:noWrap/>
            <w:vAlign w:val="center"/>
            <w:hideMark/>
          </w:tcPr>
          <w:p w14:paraId="07C25B5B"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$1.317,34</w:t>
            </w:r>
          </w:p>
        </w:tc>
        <w:tc>
          <w:tcPr>
            <w:tcW w:w="128" w:type="pct"/>
            <w:tcBorders>
              <w:top w:val="nil"/>
              <w:left w:val="nil"/>
              <w:bottom w:val="single" w:sz="4" w:space="0" w:color="auto"/>
              <w:right w:val="single" w:sz="4" w:space="0" w:color="auto"/>
            </w:tcBorders>
            <w:shd w:val="clear" w:color="auto" w:fill="FFC000"/>
            <w:noWrap/>
            <w:vAlign w:val="center"/>
            <w:hideMark/>
          </w:tcPr>
          <w:p w14:paraId="46375E31"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513" w:type="pct"/>
            <w:tcBorders>
              <w:top w:val="nil"/>
              <w:left w:val="nil"/>
              <w:bottom w:val="single" w:sz="4" w:space="0" w:color="auto"/>
              <w:right w:val="single" w:sz="4" w:space="0" w:color="auto"/>
            </w:tcBorders>
            <w:shd w:val="clear" w:color="auto" w:fill="FFC000"/>
            <w:noWrap/>
            <w:vAlign w:val="center"/>
            <w:hideMark/>
          </w:tcPr>
          <w:p w14:paraId="5525571D"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$1.131,70</w:t>
            </w:r>
          </w:p>
        </w:tc>
        <w:tc>
          <w:tcPr>
            <w:tcW w:w="454" w:type="pct"/>
            <w:tcBorders>
              <w:top w:val="nil"/>
              <w:left w:val="nil"/>
              <w:bottom w:val="single" w:sz="4" w:space="0" w:color="auto"/>
              <w:right w:val="single" w:sz="4" w:space="0" w:color="auto"/>
            </w:tcBorders>
            <w:shd w:val="clear" w:color="auto" w:fill="FFC000"/>
            <w:noWrap/>
            <w:vAlign w:val="center"/>
            <w:hideMark/>
          </w:tcPr>
          <w:p w14:paraId="148BE129"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$1.775,16</w:t>
            </w:r>
          </w:p>
        </w:tc>
        <w:tc>
          <w:tcPr>
            <w:tcW w:w="123" w:type="pct"/>
            <w:tcBorders>
              <w:top w:val="nil"/>
              <w:left w:val="nil"/>
              <w:bottom w:val="single" w:sz="4" w:space="0" w:color="auto"/>
              <w:right w:val="single" w:sz="4" w:space="0" w:color="auto"/>
            </w:tcBorders>
            <w:shd w:val="clear" w:color="auto" w:fill="FFC000"/>
            <w:noWrap/>
            <w:vAlign w:val="center"/>
            <w:hideMark/>
          </w:tcPr>
          <w:p w14:paraId="55498B67"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r>
      <w:tr w:rsidR="00AA6A91" w:rsidRPr="001A38D5" w14:paraId="0C1E3E28" w14:textId="77777777" w:rsidTr="00AA6A91">
        <w:trPr>
          <w:trHeight w:val="20"/>
          <w:jc w:val="center"/>
        </w:trPr>
        <w:tc>
          <w:tcPr>
            <w:tcW w:w="157" w:type="pct"/>
            <w:tcBorders>
              <w:top w:val="nil"/>
              <w:left w:val="single" w:sz="4" w:space="0" w:color="auto"/>
              <w:bottom w:val="single" w:sz="4" w:space="0" w:color="auto"/>
              <w:right w:val="nil"/>
            </w:tcBorders>
            <w:shd w:val="clear" w:color="auto" w:fill="auto"/>
            <w:vAlign w:val="center"/>
            <w:hideMark/>
          </w:tcPr>
          <w:p w14:paraId="222DF402"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610" w:type="pct"/>
            <w:gridSpan w:val="2"/>
            <w:tcBorders>
              <w:top w:val="single" w:sz="4" w:space="0" w:color="auto"/>
              <w:left w:val="nil"/>
              <w:bottom w:val="single" w:sz="4" w:space="0" w:color="auto"/>
              <w:right w:val="single" w:sz="4" w:space="0" w:color="auto"/>
            </w:tcBorders>
            <w:shd w:val="clear" w:color="auto" w:fill="auto"/>
            <w:vAlign w:val="center"/>
            <w:hideMark/>
          </w:tcPr>
          <w:p w14:paraId="57F6B37D"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Ingresos Corrientes</w:t>
            </w:r>
          </w:p>
        </w:tc>
        <w:tc>
          <w:tcPr>
            <w:tcW w:w="512" w:type="pct"/>
            <w:tcBorders>
              <w:top w:val="nil"/>
              <w:left w:val="nil"/>
              <w:bottom w:val="single" w:sz="4" w:space="0" w:color="auto"/>
              <w:right w:val="single" w:sz="4" w:space="0" w:color="auto"/>
            </w:tcBorders>
            <w:shd w:val="clear" w:color="auto" w:fill="auto"/>
            <w:noWrap/>
            <w:vAlign w:val="center"/>
            <w:hideMark/>
          </w:tcPr>
          <w:p w14:paraId="2E50A1AF"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$1.203,02</w:t>
            </w:r>
          </w:p>
        </w:tc>
        <w:tc>
          <w:tcPr>
            <w:tcW w:w="438" w:type="pct"/>
            <w:tcBorders>
              <w:top w:val="nil"/>
              <w:left w:val="nil"/>
              <w:bottom w:val="single" w:sz="4" w:space="0" w:color="auto"/>
              <w:right w:val="single" w:sz="4" w:space="0" w:color="auto"/>
            </w:tcBorders>
            <w:shd w:val="clear" w:color="auto" w:fill="auto"/>
            <w:noWrap/>
            <w:vAlign w:val="center"/>
            <w:hideMark/>
          </w:tcPr>
          <w:p w14:paraId="66577B82"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$1.203,02</w:t>
            </w:r>
          </w:p>
        </w:tc>
        <w:tc>
          <w:tcPr>
            <w:tcW w:w="75" w:type="pct"/>
            <w:tcBorders>
              <w:top w:val="nil"/>
              <w:left w:val="nil"/>
              <w:bottom w:val="single" w:sz="4" w:space="0" w:color="auto"/>
              <w:right w:val="single" w:sz="4" w:space="0" w:color="auto"/>
            </w:tcBorders>
            <w:shd w:val="clear" w:color="auto" w:fill="auto"/>
            <w:noWrap/>
            <w:vAlign w:val="center"/>
            <w:hideMark/>
          </w:tcPr>
          <w:p w14:paraId="452A0843" w14:textId="77777777" w:rsidR="00A20990" w:rsidRPr="007A412F" w:rsidRDefault="00A20990" w:rsidP="005140E1">
            <w:pPr>
              <w:contextualSpacing/>
              <w:jc w:val="center"/>
              <w:rPr>
                <w:rFonts w:eastAsia="Times New Roman" w:cs="Arial"/>
                <w:b/>
                <w:bCs/>
                <w:sz w:val="14"/>
                <w:szCs w:val="14"/>
                <w:lang w:eastAsia="es-CO"/>
              </w:rPr>
            </w:pPr>
          </w:p>
        </w:tc>
        <w:tc>
          <w:tcPr>
            <w:tcW w:w="513" w:type="pct"/>
            <w:tcBorders>
              <w:top w:val="nil"/>
              <w:left w:val="nil"/>
              <w:bottom w:val="single" w:sz="4" w:space="0" w:color="auto"/>
              <w:right w:val="single" w:sz="4" w:space="0" w:color="auto"/>
            </w:tcBorders>
            <w:shd w:val="clear" w:color="auto" w:fill="auto"/>
            <w:noWrap/>
            <w:vAlign w:val="center"/>
            <w:hideMark/>
          </w:tcPr>
          <w:p w14:paraId="788BCA9A"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$1.253,31</w:t>
            </w:r>
          </w:p>
        </w:tc>
        <w:tc>
          <w:tcPr>
            <w:tcW w:w="446" w:type="pct"/>
            <w:tcBorders>
              <w:top w:val="nil"/>
              <w:left w:val="nil"/>
              <w:bottom w:val="single" w:sz="4" w:space="0" w:color="auto"/>
              <w:right w:val="single" w:sz="4" w:space="0" w:color="auto"/>
            </w:tcBorders>
            <w:shd w:val="clear" w:color="auto" w:fill="auto"/>
            <w:noWrap/>
            <w:vAlign w:val="center"/>
            <w:hideMark/>
          </w:tcPr>
          <w:p w14:paraId="25E8751A"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$1.253,31</w:t>
            </w:r>
          </w:p>
        </w:tc>
        <w:tc>
          <w:tcPr>
            <w:tcW w:w="73" w:type="pct"/>
            <w:gridSpan w:val="2"/>
            <w:tcBorders>
              <w:top w:val="nil"/>
              <w:left w:val="nil"/>
              <w:bottom w:val="single" w:sz="4" w:space="0" w:color="auto"/>
              <w:right w:val="single" w:sz="4" w:space="0" w:color="auto"/>
            </w:tcBorders>
            <w:shd w:val="clear" w:color="auto" w:fill="auto"/>
            <w:noWrap/>
            <w:vAlign w:val="center"/>
            <w:hideMark/>
          </w:tcPr>
          <w:p w14:paraId="61E1235C" w14:textId="77777777" w:rsidR="00A20990" w:rsidRPr="007A412F" w:rsidRDefault="00A20990" w:rsidP="005140E1">
            <w:pPr>
              <w:contextualSpacing/>
              <w:jc w:val="center"/>
              <w:rPr>
                <w:rFonts w:eastAsia="Times New Roman" w:cs="Arial"/>
                <w:b/>
                <w:bCs/>
                <w:sz w:val="14"/>
                <w:szCs w:val="14"/>
                <w:lang w:eastAsia="es-CO"/>
              </w:rPr>
            </w:pPr>
          </w:p>
        </w:tc>
        <w:tc>
          <w:tcPr>
            <w:tcW w:w="509" w:type="pct"/>
            <w:tcBorders>
              <w:top w:val="nil"/>
              <w:left w:val="nil"/>
              <w:bottom w:val="single" w:sz="4" w:space="0" w:color="auto"/>
              <w:right w:val="single" w:sz="4" w:space="0" w:color="auto"/>
            </w:tcBorders>
            <w:shd w:val="clear" w:color="auto" w:fill="auto"/>
            <w:noWrap/>
            <w:vAlign w:val="center"/>
            <w:hideMark/>
          </w:tcPr>
          <w:p w14:paraId="1516741D"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$1.201,81</w:t>
            </w:r>
          </w:p>
        </w:tc>
        <w:tc>
          <w:tcPr>
            <w:tcW w:w="449" w:type="pct"/>
            <w:tcBorders>
              <w:top w:val="nil"/>
              <w:left w:val="nil"/>
              <w:bottom w:val="single" w:sz="4" w:space="0" w:color="auto"/>
              <w:right w:val="single" w:sz="4" w:space="0" w:color="auto"/>
            </w:tcBorders>
            <w:shd w:val="clear" w:color="auto" w:fill="auto"/>
            <w:noWrap/>
            <w:vAlign w:val="center"/>
            <w:hideMark/>
          </w:tcPr>
          <w:p w14:paraId="19714166"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$1.201,81</w:t>
            </w:r>
          </w:p>
        </w:tc>
        <w:tc>
          <w:tcPr>
            <w:tcW w:w="128" w:type="pct"/>
            <w:tcBorders>
              <w:top w:val="nil"/>
              <w:left w:val="nil"/>
              <w:bottom w:val="single" w:sz="4" w:space="0" w:color="auto"/>
              <w:right w:val="single" w:sz="4" w:space="0" w:color="auto"/>
            </w:tcBorders>
            <w:shd w:val="clear" w:color="auto" w:fill="auto"/>
            <w:noWrap/>
            <w:vAlign w:val="center"/>
            <w:hideMark/>
          </w:tcPr>
          <w:p w14:paraId="28E696C3"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513" w:type="pct"/>
            <w:tcBorders>
              <w:top w:val="nil"/>
              <w:left w:val="nil"/>
              <w:bottom w:val="single" w:sz="4" w:space="0" w:color="auto"/>
              <w:right w:val="single" w:sz="4" w:space="0" w:color="auto"/>
            </w:tcBorders>
            <w:shd w:val="clear" w:color="auto" w:fill="auto"/>
            <w:noWrap/>
            <w:vAlign w:val="center"/>
            <w:hideMark/>
          </w:tcPr>
          <w:p w14:paraId="31326CDD"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$1.103,49</w:t>
            </w:r>
          </w:p>
        </w:tc>
        <w:tc>
          <w:tcPr>
            <w:tcW w:w="454" w:type="pct"/>
            <w:tcBorders>
              <w:top w:val="nil"/>
              <w:left w:val="nil"/>
              <w:bottom w:val="single" w:sz="4" w:space="0" w:color="auto"/>
              <w:right w:val="single" w:sz="4" w:space="0" w:color="auto"/>
            </w:tcBorders>
            <w:shd w:val="clear" w:color="auto" w:fill="auto"/>
            <w:noWrap/>
            <w:vAlign w:val="center"/>
            <w:hideMark/>
          </w:tcPr>
          <w:p w14:paraId="768732B3"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$1.103,49</w:t>
            </w:r>
          </w:p>
        </w:tc>
        <w:tc>
          <w:tcPr>
            <w:tcW w:w="123" w:type="pct"/>
            <w:tcBorders>
              <w:top w:val="nil"/>
              <w:left w:val="nil"/>
              <w:bottom w:val="single" w:sz="4" w:space="0" w:color="auto"/>
              <w:right w:val="single" w:sz="4" w:space="0" w:color="auto"/>
            </w:tcBorders>
            <w:shd w:val="clear" w:color="auto" w:fill="auto"/>
            <w:noWrap/>
            <w:vAlign w:val="center"/>
            <w:hideMark/>
          </w:tcPr>
          <w:p w14:paraId="3BB0E3C1"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r>
      <w:tr w:rsidR="00AA6A91" w:rsidRPr="001A38D5" w14:paraId="610AA690" w14:textId="77777777" w:rsidTr="00AA6A91">
        <w:trPr>
          <w:trHeight w:val="20"/>
          <w:jc w:val="center"/>
        </w:trPr>
        <w:tc>
          <w:tcPr>
            <w:tcW w:w="157" w:type="pct"/>
            <w:tcBorders>
              <w:top w:val="nil"/>
              <w:left w:val="single" w:sz="4" w:space="0" w:color="auto"/>
              <w:bottom w:val="single" w:sz="4" w:space="0" w:color="auto"/>
              <w:right w:val="nil"/>
            </w:tcBorders>
            <w:shd w:val="clear" w:color="auto" w:fill="auto"/>
            <w:vAlign w:val="center"/>
            <w:hideMark/>
          </w:tcPr>
          <w:p w14:paraId="7F432C3D"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610" w:type="pct"/>
            <w:gridSpan w:val="2"/>
            <w:tcBorders>
              <w:top w:val="single" w:sz="4" w:space="0" w:color="auto"/>
              <w:left w:val="nil"/>
              <w:bottom w:val="single" w:sz="4" w:space="0" w:color="auto"/>
              <w:right w:val="single" w:sz="4" w:space="0" w:color="auto"/>
            </w:tcBorders>
            <w:shd w:val="clear" w:color="auto" w:fill="auto"/>
            <w:vAlign w:val="center"/>
            <w:hideMark/>
          </w:tcPr>
          <w:p w14:paraId="4F052AB4"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Recursos de Capital</w:t>
            </w:r>
          </w:p>
        </w:tc>
        <w:tc>
          <w:tcPr>
            <w:tcW w:w="512" w:type="pct"/>
            <w:tcBorders>
              <w:top w:val="nil"/>
              <w:left w:val="nil"/>
              <w:bottom w:val="single" w:sz="4" w:space="0" w:color="auto"/>
              <w:right w:val="single" w:sz="4" w:space="0" w:color="auto"/>
            </w:tcBorders>
            <w:shd w:val="clear" w:color="auto" w:fill="auto"/>
            <w:noWrap/>
            <w:vAlign w:val="center"/>
            <w:hideMark/>
          </w:tcPr>
          <w:p w14:paraId="14440FB0"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$370,03</w:t>
            </w:r>
          </w:p>
        </w:tc>
        <w:tc>
          <w:tcPr>
            <w:tcW w:w="438" w:type="pct"/>
            <w:tcBorders>
              <w:top w:val="nil"/>
              <w:left w:val="nil"/>
              <w:bottom w:val="single" w:sz="4" w:space="0" w:color="auto"/>
              <w:right w:val="single" w:sz="4" w:space="0" w:color="auto"/>
            </w:tcBorders>
            <w:shd w:val="clear" w:color="auto" w:fill="auto"/>
            <w:noWrap/>
            <w:vAlign w:val="center"/>
            <w:hideMark/>
          </w:tcPr>
          <w:p w14:paraId="121A93AE"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$370,03</w:t>
            </w:r>
          </w:p>
        </w:tc>
        <w:tc>
          <w:tcPr>
            <w:tcW w:w="75" w:type="pct"/>
            <w:tcBorders>
              <w:top w:val="nil"/>
              <w:left w:val="nil"/>
              <w:bottom w:val="single" w:sz="4" w:space="0" w:color="auto"/>
              <w:right w:val="single" w:sz="4" w:space="0" w:color="auto"/>
            </w:tcBorders>
            <w:shd w:val="clear" w:color="auto" w:fill="auto"/>
            <w:noWrap/>
            <w:vAlign w:val="center"/>
            <w:hideMark/>
          </w:tcPr>
          <w:p w14:paraId="20A02B4B" w14:textId="77777777" w:rsidR="00A20990" w:rsidRPr="007A412F" w:rsidRDefault="00A20990" w:rsidP="005140E1">
            <w:pPr>
              <w:contextualSpacing/>
              <w:jc w:val="center"/>
              <w:rPr>
                <w:rFonts w:eastAsia="Times New Roman" w:cs="Arial"/>
                <w:b/>
                <w:bCs/>
                <w:sz w:val="14"/>
                <w:szCs w:val="14"/>
                <w:lang w:eastAsia="es-CO"/>
              </w:rPr>
            </w:pPr>
          </w:p>
        </w:tc>
        <w:tc>
          <w:tcPr>
            <w:tcW w:w="513" w:type="pct"/>
            <w:tcBorders>
              <w:top w:val="nil"/>
              <w:left w:val="nil"/>
              <w:bottom w:val="single" w:sz="4" w:space="0" w:color="auto"/>
              <w:right w:val="single" w:sz="4" w:space="0" w:color="auto"/>
            </w:tcBorders>
            <w:shd w:val="clear" w:color="auto" w:fill="auto"/>
            <w:noWrap/>
            <w:vAlign w:val="center"/>
            <w:hideMark/>
          </w:tcPr>
          <w:p w14:paraId="3BA98EC0"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$428,43</w:t>
            </w:r>
          </w:p>
        </w:tc>
        <w:tc>
          <w:tcPr>
            <w:tcW w:w="446" w:type="pct"/>
            <w:tcBorders>
              <w:top w:val="nil"/>
              <w:left w:val="nil"/>
              <w:bottom w:val="single" w:sz="4" w:space="0" w:color="auto"/>
              <w:right w:val="single" w:sz="4" w:space="0" w:color="auto"/>
            </w:tcBorders>
            <w:shd w:val="clear" w:color="auto" w:fill="auto"/>
            <w:noWrap/>
            <w:vAlign w:val="center"/>
            <w:hideMark/>
          </w:tcPr>
          <w:p w14:paraId="72D61F8F"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$428,43</w:t>
            </w:r>
          </w:p>
        </w:tc>
        <w:tc>
          <w:tcPr>
            <w:tcW w:w="73" w:type="pct"/>
            <w:gridSpan w:val="2"/>
            <w:tcBorders>
              <w:top w:val="nil"/>
              <w:left w:val="nil"/>
              <w:bottom w:val="single" w:sz="4" w:space="0" w:color="auto"/>
              <w:right w:val="single" w:sz="4" w:space="0" w:color="auto"/>
            </w:tcBorders>
            <w:shd w:val="clear" w:color="auto" w:fill="auto"/>
            <w:noWrap/>
            <w:vAlign w:val="center"/>
            <w:hideMark/>
          </w:tcPr>
          <w:p w14:paraId="1B85998D" w14:textId="77777777" w:rsidR="00A20990" w:rsidRPr="007A412F" w:rsidRDefault="00A20990" w:rsidP="005140E1">
            <w:pPr>
              <w:contextualSpacing/>
              <w:jc w:val="center"/>
              <w:rPr>
                <w:rFonts w:eastAsia="Times New Roman" w:cs="Arial"/>
                <w:b/>
                <w:bCs/>
                <w:sz w:val="14"/>
                <w:szCs w:val="14"/>
                <w:lang w:eastAsia="es-CO"/>
              </w:rPr>
            </w:pPr>
          </w:p>
        </w:tc>
        <w:tc>
          <w:tcPr>
            <w:tcW w:w="509" w:type="pct"/>
            <w:tcBorders>
              <w:top w:val="nil"/>
              <w:left w:val="nil"/>
              <w:bottom w:val="single" w:sz="4" w:space="0" w:color="auto"/>
              <w:right w:val="single" w:sz="4" w:space="0" w:color="auto"/>
            </w:tcBorders>
            <w:shd w:val="clear" w:color="auto" w:fill="auto"/>
            <w:noWrap/>
            <w:vAlign w:val="center"/>
            <w:hideMark/>
          </w:tcPr>
          <w:p w14:paraId="6F607F93"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$114,90</w:t>
            </w:r>
          </w:p>
        </w:tc>
        <w:tc>
          <w:tcPr>
            <w:tcW w:w="449" w:type="pct"/>
            <w:tcBorders>
              <w:top w:val="nil"/>
              <w:left w:val="nil"/>
              <w:bottom w:val="single" w:sz="4" w:space="0" w:color="auto"/>
              <w:right w:val="single" w:sz="4" w:space="0" w:color="auto"/>
            </w:tcBorders>
            <w:shd w:val="clear" w:color="auto" w:fill="auto"/>
            <w:noWrap/>
            <w:vAlign w:val="center"/>
            <w:hideMark/>
          </w:tcPr>
          <w:p w14:paraId="640B23EF"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$115,53</w:t>
            </w:r>
          </w:p>
        </w:tc>
        <w:tc>
          <w:tcPr>
            <w:tcW w:w="128" w:type="pct"/>
            <w:tcBorders>
              <w:top w:val="nil"/>
              <w:left w:val="nil"/>
              <w:bottom w:val="single" w:sz="4" w:space="0" w:color="auto"/>
              <w:right w:val="single" w:sz="4" w:space="0" w:color="auto"/>
            </w:tcBorders>
            <w:shd w:val="clear" w:color="auto" w:fill="auto"/>
            <w:noWrap/>
            <w:vAlign w:val="center"/>
            <w:hideMark/>
          </w:tcPr>
          <w:p w14:paraId="1A6E79A5"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513" w:type="pct"/>
            <w:tcBorders>
              <w:top w:val="nil"/>
              <w:left w:val="nil"/>
              <w:bottom w:val="single" w:sz="4" w:space="0" w:color="auto"/>
              <w:right w:val="single" w:sz="4" w:space="0" w:color="auto"/>
            </w:tcBorders>
            <w:shd w:val="clear" w:color="auto" w:fill="auto"/>
            <w:noWrap/>
            <w:vAlign w:val="center"/>
            <w:hideMark/>
          </w:tcPr>
          <w:p w14:paraId="1B3D5F0C"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$28,21</w:t>
            </w:r>
          </w:p>
        </w:tc>
        <w:tc>
          <w:tcPr>
            <w:tcW w:w="454" w:type="pct"/>
            <w:tcBorders>
              <w:top w:val="nil"/>
              <w:left w:val="nil"/>
              <w:bottom w:val="single" w:sz="4" w:space="0" w:color="auto"/>
              <w:right w:val="single" w:sz="4" w:space="0" w:color="auto"/>
            </w:tcBorders>
            <w:shd w:val="clear" w:color="auto" w:fill="auto"/>
            <w:noWrap/>
            <w:vAlign w:val="center"/>
            <w:hideMark/>
          </w:tcPr>
          <w:p w14:paraId="1C741A5D"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$671,67</w:t>
            </w:r>
          </w:p>
        </w:tc>
        <w:tc>
          <w:tcPr>
            <w:tcW w:w="123" w:type="pct"/>
            <w:tcBorders>
              <w:top w:val="nil"/>
              <w:left w:val="nil"/>
              <w:bottom w:val="single" w:sz="4" w:space="0" w:color="auto"/>
              <w:right w:val="single" w:sz="4" w:space="0" w:color="auto"/>
            </w:tcBorders>
            <w:shd w:val="clear" w:color="auto" w:fill="auto"/>
            <w:noWrap/>
            <w:vAlign w:val="center"/>
            <w:hideMark/>
          </w:tcPr>
          <w:p w14:paraId="2D2434CF"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r>
      <w:tr w:rsidR="00AA6A91" w:rsidRPr="001A38D5" w14:paraId="6F9951FB" w14:textId="77777777" w:rsidTr="00AA6A91">
        <w:trPr>
          <w:trHeight w:val="20"/>
          <w:jc w:val="center"/>
        </w:trPr>
        <w:tc>
          <w:tcPr>
            <w:tcW w:w="157" w:type="pct"/>
            <w:tcBorders>
              <w:top w:val="nil"/>
              <w:left w:val="single" w:sz="4" w:space="0" w:color="auto"/>
              <w:bottom w:val="single" w:sz="4" w:space="0" w:color="auto"/>
              <w:right w:val="nil"/>
            </w:tcBorders>
            <w:shd w:val="clear" w:color="000000" w:fill="F2F2F2"/>
            <w:vAlign w:val="center"/>
            <w:hideMark/>
          </w:tcPr>
          <w:p w14:paraId="70A4D972"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86" w:type="pct"/>
            <w:tcBorders>
              <w:top w:val="single" w:sz="4" w:space="0" w:color="auto"/>
              <w:left w:val="nil"/>
              <w:bottom w:val="single" w:sz="4" w:space="0" w:color="auto"/>
              <w:right w:val="nil"/>
            </w:tcBorders>
            <w:shd w:val="clear" w:color="000000" w:fill="F2F2F2"/>
            <w:vAlign w:val="center"/>
            <w:hideMark/>
          </w:tcPr>
          <w:p w14:paraId="7F36E345"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524" w:type="pct"/>
            <w:tcBorders>
              <w:top w:val="nil"/>
              <w:left w:val="nil"/>
              <w:bottom w:val="single" w:sz="4" w:space="0" w:color="auto"/>
              <w:right w:val="single" w:sz="4" w:space="0" w:color="auto"/>
            </w:tcBorders>
            <w:shd w:val="clear" w:color="000000" w:fill="F2F2F2"/>
            <w:vAlign w:val="center"/>
            <w:hideMark/>
          </w:tcPr>
          <w:p w14:paraId="77B9CDD1" w14:textId="77777777" w:rsidR="00A20990" w:rsidRPr="001A38D5" w:rsidRDefault="00A20990" w:rsidP="005140E1">
            <w:pPr>
              <w:contextualSpacing/>
              <w:rPr>
                <w:rFonts w:eastAsia="Times New Roman" w:cs="Arial"/>
                <w:i/>
                <w:iCs/>
                <w:sz w:val="14"/>
                <w:szCs w:val="14"/>
                <w:lang w:eastAsia="es-CO"/>
              </w:rPr>
            </w:pPr>
            <w:r w:rsidRPr="001A38D5">
              <w:rPr>
                <w:rFonts w:eastAsia="Times New Roman" w:cs="Arial"/>
                <w:i/>
                <w:iCs/>
                <w:sz w:val="14"/>
                <w:szCs w:val="14"/>
                <w:lang w:eastAsia="es-CO"/>
              </w:rPr>
              <w:t>Rendimientos Financieros</w:t>
            </w:r>
          </w:p>
        </w:tc>
        <w:tc>
          <w:tcPr>
            <w:tcW w:w="512" w:type="pct"/>
            <w:tcBorders>
              <w:top w:val="nil"/>
              <w:left w:val="nil"/>
              <w:bottom w:val="single" w:sz="4" w:space="0" w:color="auto"/>
              <w:right w:val="single" w:sz="4" w:space="0" w:color="auto"/>
            </w:tcBorders>
            <w:shd w:val="clear" w:color="000000" w:fill="F2F2F2"/>
            <w:noWrap/>
            <w:vAlign w:val="center"/>
            <w:hideMark/>
          </w:tcPr>
          <w:p w14:paraId="2E19BF97"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$39,01</w:t>
            </w:r>
          </w:p>
        </w:tc>
        <w:tc>
          <w:tcPr>
            <w:tcW w:w="438" w:type="pct"/>
            <w:tcBorders>
              <w:top w:val="nil"/>
              <w:left w:val="nil"/>
              <w:bottom w:val="single" w:sz="4" w:space="0" w:color="auto"/>
              <w:right w:val="single" w:sz="4" w:space="0" w:color="auto"/>
            </w:tcBorders>
            <w:shd w:val="clear" w:color="000000" w:fill="F2F2F2"/>
            <w:noWrap/>
            <w:vAlign w:val="center"/>
            <w:hideMark/>
          </w:tcPr>
          <w:p w14:paraId="2CD7D6A7"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$9,74</w:t>
            </w:r>
          </w:p>
        </w:tc>
        <w:tc>
          <w:tcPr>
            <w:tcW w:w="75" w:type="pct"/>
            <w:tcBorders>
              <w:top w:val="nil"/>
              <w:left w:val="nil"/>
              <w:bottom w:val="single" w:sz="4" w:space="0" w:color="auto"/>
              <w:right w:val="single" w:sz="4" w:space="0" w:color="auto"/>
            </w:tcBorders>
            <w:shd w:val="clear" w:color="000000" w:fill="F2F2F2"/>
            <w:noWrap/>
            <w:vAlign w:val="center"/>
            <w:hideMark/>
          </w:tcPr>
          <w:p w14:paraId="6F52937D"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1</w:t>
            </w:r>
          </w:p>
        </w:tc>
        <w:tc>
          <w:tcPr>
            <w:tcW w:w="513" w:type="pct"/>
            <w:tcBorders>
              <w:top w:val="nil"/>
              <w:left w:val="nil"/>
              <w:bottom w:val="single" w:sz="4" w:space="0" w:color="auto"/>
              <w:right w:val="single" w:sz="4" w:space="0" w:color="auto"/>
            </w:tcBorders>
            <w:shd w:val="clear" w:color="000000" w:fill="F2F2F2"/>
            <w:noWrap/>
            <w:vAlign w:val="center"/>
            <w:hideMark/>
          </w:tcPr>
          <w:p w14:paraId="4DF125E9"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$22,98</w:t>
            </w:r>
          </w:p>
        </w:tc>
        <w:tc>
          <w:tcPr>
            <w:tcW w:w="446" w:type="pct"/>
            <w:tcBorders>
              <w:top w:val="nil"/>
              <w:left w:val="nil"/>
              <w:bottom w:val="single" w:sz="4" w:space="0" w:color="auto"/>
              <w:right w:val="single" w:sz="4" w:space="0" w:color="auto"/>
            </w:tcBorders>
            <w:shd w:val="clear" w:color="000000" w:fill="F2F2F2"/>
            <w:noWrap/>
            <w:vAlign w:val="center"/>
            <w:hideMark/>
          </w:tcPr>
          <w:p w14:paraId="37482D18"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$21,70</w:t>
            </w:r>
          </w:p>
        </w:tc>
        <w:tc>
          <w:tcPr>
            <w:tcW w:w="73" w:type="pct"/>
            <w:gridSpan w:val="2"/>
            <w:tcBorders>
              <w:top w:val="nil"/>
              <w:left w:val="nil"/>
              <w:bottom w:val="single" w:sz="4" w:space="0" w:color="auto"/>
              <w:right w:val="single" w:sz="4" w:space="0" w:color="auto"/>
            </w:tcBorders>
            <w:shd w:val="clear" w:color="auto" w:fill="auto"/>
            <w:noWrap/>
            <w:vAlign w:val="center"/>
            <w:hideMark/>
          </w:tcPr>
          <w:p w14:paraId="66F6B633"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1</w:t>
            </w:r>
          </w:p>
        </w:tc>
        <w:tc>
          <w:tcPr>
            <w:tcW w:w="509" w:type="pct"/>
            <w:tcBorders>
              <w:top w:val="nil"/>
              <w:left w:val="nil"/>
              <w:bottom w:val="single" w:sz="4" w:space="0" w:color="auto"/>
              <w:right w:val="single" w:sz="4" w:space="0" w:color="auto"/>
            </w:tcBorders>
            <w:shd w:val="clear" w:color="000000" w:fill="F2F2F2"/>
            <w:noWrap/>
            <w:vAlign w:val="center"/>
            <w:hideMark/>
          </w:tcPr>
          <w:p w14:paraId="21B8C37B"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$29,08</w:t>
            </w:r>
          </w:p>
        </w:tc>
        <w:tc>
          <w:tcPr>
            <w:tcW w:w="449" w:type="pct"/>
            <w:tcBorders>
              <w:top w:val="nil"/>
              <w:left w:val="nil"/>
              <w:bottom w:val="single" w:sz="4" w:space="0" w:color="auto"/>
              <w:right w:val="single" w:sz="4" w:space="0" w:color="auto"/>
            </w:tcBorders>
            <w:shd w:val="clear" w:color="000000" w:fill="F2F2F2"/>
            <w:noWrap/>
            <w:vAlign w:val="center"/>
            <w:hideMark/>
          </w:tcPr>
          <w:p w14:paraId="48301050"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$29,71</w:t>
            </w:r>
          </w:p>
        </w:tc>
        <w:tc>
          <w:tcPr>
            <w:tcW w:w="128" w:type="pct"/>
            <w:tcBorders>
              <w:top w:val="nil"/>
              <w:left w:val="nil"/>
              <w:bottom w:val="single" w:sz="4" w:space="0" w:color="auto"/>
              <w:right w:val="single" w:sz="4" w:space="0" w:color="auto"/>
            </w:tcBorders>
            <w:shd w:val="clear" w:color="auto" w:fill="auto"/>
            <w:noWrap/>
            <w:vAlign w:val="center"/>
            <w:hideMark/>
          </w:tcPr>
          <w:p w14:paraId="76EEA39A"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1</w:t>
            </w:r>
          </w:p>
        </w:tc>
        <w:tc>
          <w:tcPr>
            <w:tcW w:w="513" w:type="pct"/>
            <w:tcBorders>
              <w:top w:val="nil"/>
              <w:left w:val="nil"/>
              <w:bottom w:val="single" w:sz="4" w:space="0" w:color="auto"/>
              <w:right w:val="single" w:sz="4" w:space="0" w:color="auto"/>
            </w:tcBorders>
            <w:shd w:val="clear" w:color="auto" w:fill="auto"/>
            <w:noWrap/>
            <w:vAlign w:val="center"/>
            <w:hideMark/>
          </w:tcPr>
          <w:p w14:paraId="3C074348"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$14,50</w:t>
            </w:r>
          </w:p>
        </w:tc>
        <w:tc>
          <w:tcPr>
            <w:tcW w:w="454" w:type="pct"/>
            <w:tcBorders>
              <w:top w:val="nil"/>
              <w:left w:val="nil"/>
              <w:bottom w:val="single" w:sz="4" w:space="0" w:color="auto"/>
              <w:right w:val="single" w:sz="4" w:space="0" w:color="auto"/>
            </w:tcBorders>
            <w:shd w:val="clear" w:color="auto" w:fill="auto"/>
            <w:noWrap/>
            <w:vAlign w:val="center"/>
            <w:hideMark/>
          </w:tcPr>
          <w:p w14:paraId="7DACF034"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$255,24</w:t>
            </w:r>
          </w:p>
        </w:tc>
        <w:tc>
          <w:tcPr>
            <w:tcW w:w="123" w:type="pct"/>
            <w:tcBorders>
              <w:top w:val="nil"/>
              <w:left w:val="nil"/>
              <w:bottom w:val="single" w:sz="4" w:space="0" w:color="auto"/>
              <w:right w:val="single" w:sz="4" w:space="0" w:color="auto"/>
            </w:tcBorders>
            <w:shd w:val="clear" w:color="auto" w:fill="auto"/>
            <w:noWrap/>
            <w:vAlign w:val="center"/>
            <w:hideMark/>
          </w:tcPr>
          <w:p w14:paraId="6E87ECEE"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 1</w:t>
            </w:r>
          </w:p>
        </w:tc>
      </w:tr>
      <w:tr w:rsidR="00AA6A91" w:rsidRPr="001A38D5" w14:paraId="5DB8072C" w14:textId="77777777" w:rsidTr="00AA6A91">
        <w:trPr>
          <w:trHeight w:val="20"/>
          <w:jc w:val="center"/>
        </w:trPr>
        <w:tc>
          <w:tcPr>
            <w:tcW w:w="157" w:type="pct"/>
            <w:tcBorders>
              <w:top w:val="nil"/>
              <w:left w:val="single" w:sz="4" w:space="0" w:color="auto"/>
              <w:bottom w:val="single" w:sz="4" w:space="0" w:color="auto"/>
              <w:right w:val="nil"/>
            </w:tcBorders>
            <w:shd w:val="clear" w:color="000000" w:fill="F2F2F2"/>
            <w:vAlign w:val="center"/>
            <w:hideMark/>
          </w:tcPr>
          <w:p w14:paraId="67EAFD32"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86" w:type="pct"/>
            <w:tcBorders>
              <w:top w:val="nil"/>
              <w:left w:val="nil"/>
              <w:bottom w:val="single" w:sz="4" w:space="0" w:color="auto"/>
              <w:right w:val="nil"/>
            </w:tcBorders>
            <w:shd w:val="clear" w:color="000000" w:fill="F2F2F2"/>
            <w:vAlign w:val="center"/>
            <w:hideMark/>
          </w:tcPr>
          <w:p w14:paraId="3D006079"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524" w:type="pct"/>
            <w:tcBorders>
              <w:top w:val="nil"/>
              <w:left w:val="nil"/>
              <w:bottom w:val="single" w:sz="4" w:space="0" w:color="auto"/>
              <w:right w:val="single" w:sz="4" w:space="0" w:color="auto"/>
            </w:tcBorders>
            <w:shd w:val="clear" w:color="000000" w:fill="F2F2F2"/>
            <w:vAlign w:val="center"/>
            <w:hideMark/>
          </w:tcPr>
          <w:p w14:paraId="5281DEB8" w14:textId="77777777" w:rsidR="00A20990" w:rsidRPr="001A38D5" w:rsidRDefault="00A20990" w:rsidP="005140E1">
            <w:pPr>
              <w:contextualSpacing/>
              <w:rPr>
                <w:rFonts w:eastAsia="Times New Roman" w:cs="Arial"/>
                <w:i/>
                <w:iCs/>
                <w:sz w:val="14"/>
                <w:szCs w:val="14"/>
                <w:lang w:eastAsia="es-CO"/>
              </w:rPr>
            </w:pPr>
            <w:r w:rsidRPr="001A38D5">
              <w:rPr>
                <w:rFonts w:eastAsia="Times New Roman" w:cs="Arial"/>
                <w:i/>
                <w:iCs/>
                <w:sz w:val="14"/>
                <w:szCs w:val="14"/>
                <w:lang w:eastAsia="es-CO"/>
              </w:rPr>
              <w:t>Recursos del Balance</w:t>
            </w:r>
          </w:p>
        </w:tc>
        <w:tc>
          <w:tcPr>
            <w:tcW w:w="512" w:type="pct"/>
            <w:tcBorders>
              <w:top w:val="nil"/>
              <w:left w:val="nil"/>
              <w:bottom w:val="single" w:sz="4" w:space="0" w:color="auto"/>
              <w:right w:val="single" w:sz="4" w:space="0" w:color="auto"/>
            </w:tcBorders>
            <w:shd w:val="clear" w:color="000000" w:fill="F2F2F2"/>
            <w:noWrap/>
            <w:vAlign w:val="center"/>
            <w:hideMark/>
          </w:tcPr>
          <w:p w14:paraId="5B4A0DBC"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$331,03</w:t>
            </w:r>
          </w:p>
        </w:tc>
        <w:tc>
          <w:tcPr>
            <w:tcW w:w="438" w:type="pct"/>
            <w:tcBorders>
              <w:top w:val="nil"/>
              <w:left w:val="nil"/>
              <w:bottom w:val="single" w:sz="4" w:space="0" w:color="auto"/>
              <w:right w:val="single" w:sz="4" w:space="0" w:color="auto"/>
            </w:tcBorders>
            <w:shd w:val="clear" w:color="000000" w:fill="F2F2F2"/>
            <w:noWrap/>
            <w:vAlign w:val="center"/>
            <w:hideMark/>
          </w:tcPr>
          <w:p w14:paraId="42FDDDC8"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$360,30</w:t>
            </w:r>
          </w:p>
        </w:tc>
        <w:tc>
          <w:tcPr>
            <w:tcW w:w="75" w:type="pct"/>
            <w:tcBorders>
              <w:top w:val="nil"/>
              <w:left w:val="nil"/>
              <w:bottom w:val="single" w:sz="4" w:space="0" w:color="auto"/>
              <w:right w:val="single" w:sz="4" w:space="0" w:color="auto"/>
            </w:tcBorders>
            <w:shd w:val="clear" w:color="000000" w:fill="F2F2F2"/>
            <w:noWrap/>
            <w:vAlign w:val="center"/>
            <w:hideMark/>
          </w:tcPr>
          <w:p w14:paraId="20321E7F"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2</w:t>
            </w:r>
          </w:p>
        </w:tc>
        <w:tc>
          <w:tcPr>
            <w:tcW w:w="513" w:type="pct"/>
            <w:tcBorders>
              <w:top w:val="nil"/>
              <w:left w:val="nil"/>
              <w:bottom w:val="single" w:sz="4" w:space="0" w:color="auto"/>
              <w:right w:val="single" w:sz="4" w:space="0" w:color="auto"/>
            </w:tcBorders>
            <w:shd w:val="clear" w:color="000000" w:fill="F2F2F2"/>
            <w:noWrap/>
            <w:vAlign w:val="center"/>
            <w:hideMark/>
          </w:tcPr>
          <w:p w14:paraId="3DC8A3A3"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$405,45</w:t>
            </w:r>
          </w:p>
        </w:tc>
        <w:tc>
          <w:tcPr>
            <w:tcW w:w="446" w:type="pct"/>
            <w:tcBorders>
              <w:top w:val="nil"/>
              <w:left w:val="nil"/>
              <w:bottom w:val="single" w:sz="4" w:space="0" w:color="auto"/>
              <w:right w:val="single" w:sz="4" w:space="0" w:color="auto"/>
            </w:tcBorders>
            <w:shd w:val="clear" w:color="000000" w:fill="F2F2F2"/>
            <w:noWrap/>
            <w:vAlign w:val="center"/>
            <w:hideMark/>
          </w:tcPr>
          <w:p w14:paraId="553A7237"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$406,73</w:t>
            </w:r>
          </w:p>
        </w:tc>
        <w:tc>
          <w:tcPr>
            <w:tcW w:w="73" w:type="pct"/>
            <w:gridSpan w:val="2"/>
            <w:tcBorders>
              <w:top w:val="nil"/>
              <w:left w:val="nil"/>
              <w:bottom w:val="single" w:sz="4" w:space="0" w:color="auto"/>
              <w:right w:val="single" w:sz="4" w:space="0" w:color="auto"/>
            </w:tcBorders>
            <w:shd w:val="clear" w:color="auto" w:fill="auto"/>
            <w:noWrap/>
            <w:vAlign w:val="center"/>
            <w:hideMark/>
          </w:tcPr>
          <w:p w14:paraId="3E3C8531"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2</w:t>
            </w:r>
          </w:p>
        </w:tc>
        <w:tc>
          <w:tcPr>
            <w:tcW w:w="509" w:type="pct"/>
            <w:tcBorders>
              <w:top w:val="nil"/>
              <w:left w:val="nil"/>
              <w:bottom w:val="single" w:sz="4" w:space="0" w:color="auto"/>
              <w:right w:val="single" w:sz="4" w:space="0" w:color="auto"/>
            </w:tcBorders>
            <w:shd w:val="clear" w:color="000000" w:fill="F2F2F2"/>
            <w:noWrap/>
            <w:vAlign w:val="center"/>
            <w:hideMark/>
          </w:tcPr>
          <w:p w14:paraId="32CE8124"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$85,82</w:t>
            </w:r>
          </w:p>
        </w:tc>
        <w:tc>
          <w:tcPr>
            <w:tcW w:w="449" w:type="pct"/>
            <w:tcBorders>
              <w:top w:val="nil"/>
              <w:left w:val="nil"/>
              <w:bottom w:val="single" w:sz="4" w:space="0" w:color="auto"/>
              <w:right w:val="single" w:sz="4" w:space="0" w:color="auto"/>
            </w:tcBorders>
            <w:shd w:val="clear" w:color="000000" w:fill="F2F2F2"/>
            <w:noWrap/>
            <w:vAlign w:val="center"/>
            <w:hideMark/>
          </w:tcPr>
          <w:p w14:paraId="373D21D6"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$85,82</w:t>
            </w:r>
          </w:p>
        </w:tc>
        <w:tc>
          <w:tcPr>
            <w:tcW w:w="128" w:type="pct"/>
            <w:tcBorders>
              <w:top w:val="nil"/>
              <w:left w:val="nil"/>
              <w:bottom w:val="single" w:sz="4" w:space="0" w:color="auto"/>
              <w:right w:val="single" w:sz="4" w:space="0" w:color="auto"/>
            </w:tcBorders>
            <w:shd w:val="clear" w:color="auto" w:fill="auto"/>
            <w:noWrap/>
            <w:vAlign w:val="center"/>
            <w:hideMark/>
          </w:tcPr>
          <w:p w14:paraId="3F47EDD4"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2</w:t>
            </w:r>
          </w:p>
        </w:tc>
        <w:tc>
          <w:tcPr>
            <w:tcW w:w="513" w:type="pct"/>
            <w:tcBorders>
              <w:top w:val="nil"/>
              <w:left w:val="nil"/>
              <w:bottom w:val="single" w:sz="4" w:space="0" w:color="auto"/>
              <w:right w:val="single" w:sz="4" w:space="0" w:color="auto"/>
            </w:tcBorders>
            <w:shd w:val="clear" w:color="auto" w:fill="auto"/>
            <w:noWrap/>
            <w:vAlign w:val="center"/>
            <w:hideMark/>
          </w:tcPr>
          <w:p w14:paraId="457BA4BF"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$13,71</w:t>
            </w:r>
          </w:p>
        </w:tc>
        <w:tc>
          <w:tcPr>
            <w:tcW w:w="454" w:type="pct"/>
            <w:tcBorders>
              <w:top w:val="nil"/>
              <w:left w:val="nil"/>
              <w:bottom w:val="single" w:sz="4" w:space="0" w:color="auto"/>
              <w:right w:val="single" w:sz="4" w:space="0" w:color="auto"/>
            </w:tcBorders>
            <w:shd w:val="clear" w:color="auto" w:fill="auto"/>
            <w:noWrap/>
            <w:vAlign w:val="center"/>
            <w:hideMark/>
          </w:tcPr>
          <w:p w14:paraId="336C1F36"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$416,42</w:t>
            </w:r>
          </w:p>
        </w:tc>
        <w:tc>
          <w:tcPr>
            <w:tcW w:w="123" w:type="pct"/>
            <w:tcBorders>
              <w:top w:val="nil"/>
              <w:left w:val="nil"/>
              <w:bottom w:val="single" w:sz="4" w:space="0" w:color="auto"/>
              <w:right w:val="single" w:sz="4" w:space="0" w:color="auto"/>
            </w:tcBorders>
            <w:shd w:val="clear" w:color="auto" w:fill="auto"/>
            <w:noWrap/>
            <w:vAlign w:val="center"/>
            <w:hideMark/>
          </w:tcPr>
          <w:p w14:paraId="55F61CB4"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 2</w:t>
            </w:r>
          </w:p>
        </w:tc>
      </w:tr>
      <w:tr w:rsidR="00AA6A91" w:rsidRPr="001A38D5" w14:paraId="5F45C331" w14:textId="77777777" w:rsidTr="00AA6A91">
        <w:trPr>
          <w:trHeight w:val="20"/>
          <w:jc w:val="center"/>
        </w:trPr>
        <w:tc>
          <w:tcPr>
            <w:tcW w:w="766" w:type="pct"/>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14:paraId="77F7FE65" w14:textId="77777777" w:rsidR="00A20990" w:rsidRPr="001A38D5" w:rsidRDefault="00A20990" w:rsidP="005140E1">
            <w:pPr>
              <w:contextualSpacing/>
              <w:rPr>
                <w:rFonts w:eastAsia="Times New Roman" w:cs="Arial"/>
                <w:b/>
                <w:bCs/>
                <w:sz w:val="16"/>
                <w:szCs w:val="14"/>
                <w:lang w:eastAsia="es-CO"/>
              </w:rPr>
            </w:pPr>
            <w:r w:rsidRPr="001A38D5">
              <w:rPr>
                <w:rFonts w:eastAsia="Times New Roman" w:cs="Arial"/>
                <w:b/>
                <w:bCs/>
                <w:sz w:val="16"/>
                <w:szCs w:val="14"/>
                <w:lang w:eastAsia="es-CO"/>
              </w:rPr>
              <w:t>Gastos de inversión</w:t>
            </w:r>
          </w:p>
        </w:tc>
        <w:tc>
          <w:tcPr>
            <w:tcW w:w="512" w:type="pct"/>
            <w:tcBorders>
              <w:top w:val="nil"/>
              <w:left w:val="nil"/>
              <w:bottom w:val="single" w:sz="4" w:space="0" w:color="auto"/>
              <w:right w:val="single" w:sz="4" w:space="0" w:color="auto"/>
            </w:tcBorders>
            <w:shd w:val="clear" w:color="000000" w:fill="FFC000"/>
            <w:noWrap/>
            <w:vAlign w:val="center"/>
            <w:hideMark/>
          </w:tcPr>
          <w:p w14:paraId="7FE7599B"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438" w:type="pct"/>
            <w:tcBorders>
              <w:top w:val="nil"/>
              <w:left w:val="nil"/>
              <w:bottom w:val="single" w:sz="4" w:space="0" w:color="auto"/>
              <w:right w:val="single" w:sz="4" w:space="0" w:color="auto"/>
            </w:tcBorders>
            <w:shd w:val="clear" w:color="000000" w:fill="FFC000"/>
            <w:noWrap/>
            <w:vAlign w:val="center"/>
            <w:hideMark/>
          </w:tcPr>
          <w:p w14:paraId="69658552"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75" w:type="pct"/>
            <w:tcBorders>
              <w:top w:val="nil"/>
              <w:left w:val="nil"/>
              <w:bottom w:val="single" w:sz="4" w:space="0" w:color="auto"/>
              <w:right w:val="single" w:sz="4" w:space="0" w:color="auto"/>
            </w:tcBorders>
            <w:shd w:val="clear" w:color="000000" w:fill="FFC000"/>
            <w:noWrap/>
            <w:vAlign w:val="center"/>
            <w:hideMark/>
          </w:tcPr>
          <w:p w14:paraId="76B877EC" w14:textId="77777777" w:rsidR="00A20990" w:rsidRPr="007A412F" w:rsidRDefault="00A20990" w:rsidP="005140E1">
            <w:pPr>
              <w:contextualSpacing/>
              <w:jc w:val="center"/>
              <w:rPr>
                <w:rFonts w:eastAsia="Times New Roman" w:cs="Arial"/>
                <w:b/>
                <w:bCs/>
                <w:sz w:val="14"/>
                <w:szCs w:val="14"/>
                <w:lang w:eastAsia="es-CO"/>
              </w:rPr>
            </w:pPr>
          </w:p>
        </w:tc>
        <w:tc>
          <w:tcPr>
            <w:tcW w:w="513" w:type="pct"/>
            <w:tcBorders>
              <w:top w:val="nil"/>
              <w:left w:val="nil"/>
              <w:bottom w:val="single" w:sz="4" w:space="0" w:color="auto"/>
              <w:right w:val="single" w:sz="4" w:space="0" w:color="auto"/>
            </w:tcBorders>
            <w:shd w:val="clear" w:color="000000" w:fill="FFC000"/>
            <w:noWrap/>
            <w:vAlign w:val="center"/>
            <w:hideMark/>
          </w:tcPr>
          <w:p w14:paraId="1DDD9079"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446" w:type="pct"/>
            <w:tcBorders>
              <w:top w:val="nil"/>
              <w:left w:val="nil"/>
              <w:bottom w:val="single" w:sz="4" w:space="0" w:color="auto"/>
              <w:right w:val="single" w:sz="4" w:space="0" w:color="auto"/>
            </w:tcBorders>
            <w:shd w:val="clear" w:color="000000" w:fill="FFC000"/>
            <w:noWrap/>
            <w:vAlign w:val="center"/>
            <w:hideMark/>
          </w:tcPr>
          <w:p w14:paraId="57FC2F9F"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73" w:type="pct"/>
            <w:gridSpan w:val="2"/>
            <w:tcBorders>
              <w:top w:val="nil"/>
              <w:left w:val="nil"/>
              <w:bottom w:val="single" w:sz="4" w:space="0" w:color="auto"/>
              <w:right w:val="single" w:sz="4" w:space="0" w:color="auto"/>
            </w:tcBorders>
            <w:shd w:val="clear" w:color="000000" w:fill="FFC000"/>
            <w:noWrap/>
            <w:vAlign w:val="center"/>
            <w:hideMark/>
          </w:tcPr>
          <w:p w14:paraId="00BBD369" w14:textId="77777777" w:rsidR="00A20990" w:rsidRPr="007A412F" w:rsidRDefault="00A20990" w:rsidP="005140E1">
            <w:pPr>
              <w:contextualSpacing/>
              <w:jc w:val="center"/>
              <w:rPr>
                <w:rFonts w:eastAsia="Times New Roman" w:cs="Arial"/>
                <w:b/>
                <w:bCs/>
                <w:sz w:val="14"/>
                <w:szCs w:val="14"/>
                <w:lang w:eastAsia="es-CO"/>
              </w:rPr>
            </w:pPr>
          </w:p>
        </w:tc>
        <w:tc>
          <w:tcPr>
            <w:tcW w:w="509" w:type="pct"/>
            <w:tcBorders>
              <w:top w:val="nil"/>
              <w:left w:val="nil"/>
              <w:bottom w:val="single" w:sz="4" w:space="0" w:color="auto"/>
              <w:right w:val="single" w:sz="4" w:space="0" w:color="auto"/>
            </w:tcBorders>
            <w:shd w:val="clear" w:color="000000" w:fill="FFC000"/>
            <w:noWrap/>
            <w:vAlign w:val="center"/>
            <w:hideMark/>
          </w:tcPr>
          <w:p w14:paraId="40AA2528"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449" w:type="pct"/>
            <w:tcBorders>
              <w:top w:val="nil"/>
              <w:left w:val="nil"/>
              <w:bottom w:val="single" w:sz="4" w:space="0" w:color="auto"/>
              <w:right w:val="single" w:sz="4" w:space="0" w:color="auto"/>
            </w:tcBorders>
            <w:shd w:val="clear" w:color="000000" w:fill="FFC000"/>
            <w:noWrap/>
            <w:vAlign w:val="center"/>
            <w:hideMark/>
          </w:tcPr>
          <w:p w14:paraId="5A604A58"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128" w:type="pct"/>
            <w:tcBorders>
              <w:top w:val="nil"/>
              <w:left w:val="nil"/>
              <w:bottom w:val="single" w:sz="4" w:space="0" w:color="auto"/>
              <w:right w:val="single" w:sz="4" w:space="0" w:color="auto"/>
            </w:tcBorders>
            <w:shd w:val="clear" w:color="000000" w:fill="FFC000"/>
            <w:noWrap/>
            <w:vAlign w:val="center"/>
            <w:hideMark/>
          </w:tcPr>
          <w:p w14:paraId="3B10FCF8"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513" w:type="pct"/>
            <w:tcBorders>
              <w:top w:val="nil"/>
              <w:left w:val="nil"/>
              <w:bottom w:val="single" w:sz="4" w:space="0" w:color="auto"/>
              <w:right w:val="single" w:sz="4" w:space="0" w:color="auto"/>
            </w:tcBorders>
            <w:shd w:val="clear" w:color="000000" w:fill="FFC000"/>
            <w:noWrap/>
            <w:vAlign w:val="center"/>
            <w:hideMark/>
          </w:tcPr>
          <w:p w14:paraId="15C57842"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454" w:type="pct"/>
            <w:tcBorders>
              <w:top w:val="nil"/>
              <w:left w:val="nil"/>
              <w:bottom w:val="single" w:sz="4" w:space="0" w:color="auto"/>
              <w:right w:val="single" w:sz="4" w:space="0" w:color="auto"/>
            </w:tcBorders>
            <w:shd w:val="clear" w:color="000000" w:fill="FFC000"/>
            <w:noWrap/>
            <w:vAlign w:val="center"/>
            <w:hideMark/>
          </w:tcPr>
          <w:p w14:paraId="53A33E5D"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123" w:type="pct"/>
            <w:tcBorders>
              <w:top w:val="nil"/>
              <w:left w:val="nil"/>
              <w:bottom w:val="single" w:sz="4" w:space="0" w:color="auto"/>
              <w:right w:val="single" w:sz="4" w:space="0" w:color="auto"/>
            </w:tcBorders>
            <w:shd w:val="clear" w:color="000000" w:fill="FFC000"/>
            <w:noWrap/>
            <w:vAlign w:val="center"/>
            <w:hideMark/>
          </w:tcPr>
          <w:p w14:paraId="389C4D14"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r>
      <w:tr w:rsidR="00AA6A91" w:rsidRPr="001A38D5" w14:paraId="7F3B6C15" w14:textId="77777777" w:rsidTr="00AA6A91">
        <w:trPr>
          <w:trHeight w:val="20"/>
          <w:jc w:val="center"/>
        </w:trPr>
        <w:tc>
          <w:tcPr>
            <w:tcW w:w="157" w:type="pct"/>
            <w:tcBorders>
              <w:top w:val="nil"/>
              <w:left w:val="single" w:sz="4" w:space="0" w:color="auto"/>
              <w:bottom w:val="single" w:sz="4" w:space="0" w:color="auto"/>
              <w:right w:val="nil"/>
            </w:tcBorders>
            <w:shd w:val="clear" w:color="auto" w:fill="auto"/>
            <w:vAlign w:val="center"/>
            <w:hideMark/>
          </w:tcPr>
          <w:p w14:paraId="125E2138"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610" w:type="pct"/>
            <w:gridSpan w:val="2"/>
            <w:tcBorders>
              <w:top w:val="single" w:sz="4" w:space="0" w:color="auto"/>
              <w:left w:val="nil"/>
              <w:bottom w:val="single" w:sz="4" w:space="0" w:color="auto"/>
              <w:right w:val="single" w:sz="4" w:space="0" w:color="auto"/>
            </w:tcBorders>
            <w:shd w:val="clear" w:color="auto" w:fill="auto"/>
            <w:vAlign w:val="center"/>
            <w:hideMark/>
          </w:tcPr>
          <w:p w14:paraId="402D22D5"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Compromisos</w:t>
            </w:r>
          </w:p>
        </w:tc>
        <w:tc>
          <w:tcPr>
            <w:tcW w:w="512" w:type="pct"/>
            <w:tcBorders>
              <w:top w:val="nil"/>
              <w:left w:val="nil"/>
              <w:bottom w:val="single" w:sz="4" w:space="0" w:color="auto"/>
              <w:right w:val="single" w:sz="4" w:space="0" w:color="auto"/>
            </w:tcBorders>
            <w:shd w:val="clear" w:color="auto" w:fill="auto"/>
            <w:noWrap/>
            <w:vAlign w:val="center"/>
            <w:hideMark/>
          </w:tcPr>
          <w:p w14:paraId="1E9E15C8"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$1.323,97</w:t>
            </w:r>
          </w:p>
        </w:tc>
        <w:tc>
          <w:tcPr>
            <w:tcW w:w="438" w:type="pct"/>
            <w:tcBorders>
              <w:top w:val="nil"/>
              <w:left w:val="nil"/>
              <w:bottom w:val="single" w:sz="4" w:space="0" w:color="auto"/>
              <w:right w:val="single" w:sz="4" w:space="0" w:color="auto"/>
            </w:tcBorders>
            <w:shd w:val="clear" w:color="auto" w:fill="auto"/>
            <w:noWrap/>
            <w:vAlign w:val="center"/>
            <w:hideMark/>
          </w:tcPr>
          <w:p w14:paraId="31B64950"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$1.323,97</w:t>
            </w:r>
          </w:p>
        </w:tc>
        <w:tc>
          <w:tcPr>
            <w:tcW w:w="75" w:type="pct"/>
            <w:tcBorders>
              <w:top w:val="nil"/>
              <w:left w:val="nil"/>
              <w:bottom w:val="single" w:sz="4" w:space="0" w:color="auto"/>
              <w:right w:val="single" w:sz="4" w:space="0" w:color="auto"/>
            </w:tcBorders>
            <w:shd w:val="clear" w:color="auto" w:fill="auto"/>
            <w:noWrap/>
            <w:vAlign w:val="center"/>
            <w:hideMark/>
          </w:tcPr>
          <w:p w14:paraId="3927499F" w14:textId="77777777" w:rsidR="00A20990" w:rsidRPr="007A412F" w:rsidRDefault="00A20990" w:rsidP="005140E1">
            <w:pPr>
              <w:contextualSpacing/>
              <w:jc w:val="center"/>
              <w:rPr>
                <w:rFonts w:eastAsia="Times New Roman" w:cs="Arial"/>
                <w:b/>
                <w:bCs/>
                <w:sz w:val="14"/>
                <w:szCs w:val="14"/>
                <w:lang w:eastAsia="es-CO"/>
              </w:rPr>
            </w:pPr>
          </w:p>
        </w:tc>
        <w:tc>
          <w:tcPr>
            <w:tcW w:w="513" w:type="pct"/>
            <w:tcBorders>
              <w:top w:val="nil"/>
              <w:left w:val="nil"/>
              <w:bottom w:val="single" w:sz="4" w:space="0" w:color="auto"/>
              <w:right w:val="single" w:sz="4" w:space="0" w:color="auto"/>
            </w:tcBorders>
            <w:shd w:val="clear" w:color="auto" w:fill="auto"/>
            <w:noWrap/>
            <w:vAlign w:val="center"/>
            <w:hideMark/>
          </w:tcPr>
          <w:p w14:paraId="33401E25"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$1.616,67</w:t>
            </w:r>
          </w:p>
        </w:tc>
        <w:tc>
          <w:tcPr>
            <w:tcW w:w="446" w:type="pct"/>
            <w:tcBorders>
              <w:top w:val="nil"/>
              <w:left w:val="nil"/>
              <w:bottom w:val="single" w:sz="4" w:space="0" w:color="auto"/>
              <w:right w:val="single" w:sz="4" w:space="0" w:color="auto"/>
            </w:tcBorders>
            <w:shd w:val="clear" w:color="auto" w:fill="auto"/>
            <w:noWrap/>
            <w:vAlign w:val="center"/>
            <w:hideMark/>
          </w:tcPr>
          <w:p w14:paraId="3DD152EC"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$1.616,67</w:t>
            </w:r>
          </w:p>
        </w:tc>
        <w:tc>
          <w:tcPr>
            <w:tcW w:w="73" w:type="pct"/>
            <w:gridSpan w:val="2"/>
            <w:tcBorders>
              <w:top w:val="nil"/>
              <w:left w:val="nil"/>
              <w:bottom w:val="single" w:sz="4" w:space="0" w:color="auto"/>
              <w:right w:val="single" w:sz="4" w:space="0" w:color="auto"/>
            </w:tcBorders>
            <w:shd w:val="clear" w:color="auto" w:fill="auto"/>
            <w:noWrap/>
            <w:vAlign w:val="center"/>
            <w:hideMark/>
          </w:tcPr>
          <w:p w14:paraId="22670DA4"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3</w:t>
            </w:r>
          </w:p>
        </w:tc>
        <w:tc>
          <w:tcPr>
            <w:tcW w:w="509" w:type="pct"/>
            <w:tcBorders>
              <w:top w:val="nil"/>
              <w:left w:val="nil"/>
              <w:bottom w:val="single" w:sz="4" w:space="0" w:color="auto"/>
              <w:right w:val="single" w:sz="4" w:space="0" w:color="auto"/>
            </w:tcBorders>
            <w:shd w:val="clear" w:color="auto" w:fill="auto"/>
            <w:noWrap/>
            <w:vAlign w:val="center"/>
            <w:hideMark/>
          </w:tcPr>
          <w:p w14:paraId="66830140"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$1.303,63</w:t>
            </w:r>
          </w:p>
        </w:tc>
        <w:tc>
          <w:tcPr>
            <w:tcW w:w="449" w:type="pct"/>
            <w:tcBorders>
              <w:top w:val="nil"/>
              <w:left w:val="nil"/>
              <w:bottom w:val="single" w:sz="4" w:space="0" w:color="auto"/>
              <w:right w:val="single" w:sz="4" w:space="0" w:color="auto"/>
            </w:tcBorders>
            <w:shd w:val="clear" w:color="auto" w:fill="auto"/>
            <w:noWrap/>
            <w:vAlign w:val="center"/>
            <w:hideMark/>
          </w:tcPr>
          <w:p w14:paraId="4AD3E8B0"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$1.303,63</w:t>
            </w:r>
          </w:p>
        </w:tc>
        <w:tc>
          <w:tcPr>
            <w:tcW w:w="128" w:type="pct"/>
            <w:tcBorders>
              <w:top w:val="nil"/>
              <w:left w:val="nil"/>
              <w:bottom w:val="single" w:sz="4" w:space="0" w:color="auto"/>
              <w:right w:val="single" w:sz="4" w:space="0" w:color="auto"/>
            </w:tcBorders>
            <w:shd w:val="clear" w:color="auto" w:fill="auto"/>
            <w:noWrap/>
            <w:vAlign w:val="center"/>
            <w:hideMark/>
          </w:tcPr>
          <w:p w14:paraId="3E928C1E"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 </w:t>
            </w:r>
          </w:p>
        </w:tc>
        <w:tc>
          <w:tcPr>
            <w:tcW w:w="513" w:type="pct"/>
            <w:tcBorders>
              <w:top w:val="nil"/>
              <w:left w:val="nil"/>
              <w:bottom w:val="single" w:sz="4" w:space="0" w:color="auto"/>
              <w:right w:val="single" w:sz="4" w:space="0" w:color="auto"/>
            </w:tcBorders>
            <w:shd w:val="clear" w:color="auto" w:fill="auto"/>
            <w:noWrap/>
            <w:vAlign w:val="center"/>
            <w:hideMark/>
          </w:tcPr>
          <w:p w14:paraId="17162F1F"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$1.117,20</w:t>
            </w:r>
          </w:p>
        </w:tc>
        <w:tc>
          <w:tcPr>
            <w:tcW w:w="454" w:type="pct"/>
            <w:tcBorders>
              <w:top w:val="nil"/>
              <w:left w:val="nil"/>
              <w:bottom w:val="single" w:sz="4" w:space="0" w:color="auto"/>
              <w:right w:val="single" w:sz="4" w:space="0" w:color="auto"/>
            </w:tcBorders>
            <w:shd w:val="clear" w:color="auto" w:fill="auto"/>
            <w:noWrap/>
            <w:vAlign w:val="center"/>
            <w:hideMark/>
          </w:tcPr>
          <w:p w14:paraId="491A7208"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$1.117,20</w:t>
            </w:r>
          </w:p>
        </w:tc>
        <w:tc>
          <w:tcPr>
            <w:tcW w:w="123" w:type="pct"/>
            <w:tcBorders>
              <w:top w:val="nil"/>
              <w:left w:val="nil"/>
              <w:bottom w:val="single" w:sz="4" w:space="0" w:color="auto"/>
              <w:right w:val="single" w:sz="4" w:space="0" w:color="auto"/>
            </w:tcBorders>
            <w:shd w:val="clear" w:color="auto" w:fill="auto"/>
            <w:noWrap/>
            <w:vAlign w:val="center"/>
            <w:hideMark/>
          </w:tcPr>
          <w:p w14:paraId="16957879"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 </w:t>
            </w:r>
          </w:p>
        </w:tc>
      </w:tr>
      <w:tr w:rsidR="00AA6A91" w:rsidRPr="001A38D5" w14:paraId="68ADD9FE" w14:textId="77777777" w:rsidTr="00AA6A91">
        <w:trPr>
          <w:trHeight w:val="20"/>
          <w:jc w:val="center"/>
        </w:trPr>
        <w:tc>
          <w:tcPr>
            <w:tcW w:w="157" w:type="pct"/>
            <w:tcBorders>
              <w:top w:val="nil"/>
              <w:left w:val="single" w:sz="4" w:space="0" w:color="auto"/>
              <w:bottom w:val="single" w:sz="4" w:space="0" w:color="auto"/>
              <w:right w:val="nil"/>
            </w:tcBorders>
            <w:shd w:val="clear" w:color="auto" w:fill="auto"/>
            <w:vAlign w:val="center"/>
            <w:hideMark/>
          </w:tcPr>
          <w:p w14:paraId="25AE4F53"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610" w:type="pct"/>
            <w:gridSpan w:val="2"/>
            <w:tcBorders>
              <w:top w:val="single" w:sz="4" w:space="0" w:color="auto"/>
              <w:left w:val="nil"/>
              <w:bottom w:val="single" w:sz="4" w:space="0" w:color="auto"/>
              <w:right w:val="single" w:sz="4" w:space="0" w:color="auto"/>
            </w:tcBorders>
            <w:shd w:val="clear" w:color="auto" w:fill="auto"/>
            <w:vAlign w:val="center"/>
            <w:hideMark/>
          </w:tcPr>
          <w:p w14:paraId="2B25F9FF"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Obligaciones</w:t>
            </w:r>
          </w:p>
        </w:tc>
        <w:tc>
          <w:tcPr>
            <w:tcW w:w="512" w:type="pct"/>
            <w:tcBorders>
              <w:top w:val="nil"/>
              <w:left w:val="nil"/>
              <w:bottom w:val="single" w:sz="4" w:space="0" w:color="auto"/>
              <w:right w:val="single" w:sz="4" w:space="0" w:color="auto"/>
            </w:tcBorders>
            <w:shd w:val="clear" w:color="auto" w:fill="auto"/>
            <w:noWrap/>
            <w:vAlign w:val="center"/>
            <w:hideMark/>
          </w:tcPr>
          <w:p w14:paraId="6AF4731E"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$1.323,97</w:t>
            </w:r>
          </w:p>
        </w:tc>
        <w:tc>
          <w:tcPr>
            <w:tcW w:w="438" w:type="pct"/>
            <w:tcBorders>
              <w:top w:val="nil"/>
              <w:left w:val="nil"/>
              <w:bottom w:val="single" w:sz="4" w:space="0" w:color="auto"/>
              <w:right w:val="single" w:sz="4" w:space="0" w:color="auto"/>
            </w:tcBorders>
            <w:shd w:val="clear" w:color="auto" w:fill="auto"/>
            <w:noWrap/>
            <w:vAlign w:val="center"/>
            <w:hideMark/>
          </w:tcPr>
          <w:p w14:paraId="3EF12AAD"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$1.323,97</w:t>
            </w:r>
          </w:p>
        </w:tc>
        <w:tc>
          <w:tcPr>
            <w:tcW w:w="75" w:type="pct"/>
            <w:tcBorders>
              <w:top w:val="nil"/>
              <w:left w:val="nil"/>
              <w:bottom w:val="single" w:sz="4" w:space="0" w:color="auto"/>
              <w:right w:val="single" w:sz="4" w:space="0" w:color="auto"/>
            </w:tcBorders>
            <w:shd w:val="clear" w:color="auto" w:fill="auto"/>
            <w:noWrap/>
            <w:vAlign w:val="center"/>
            <w:hideMark/>
          </w:tcPr>
          <w:p w14:paraId="44FF1486" w14:textId="77777777" w:rsidR="00A20990" w:rsidRPr="007A412F" w:rsidRDefault="00A20990" w:rsidP="005140E1">
            <w:pPr>
              <w:contextualSpacing/>
              <w:jc w:val="center"/>
              <w:rPr>
                <w:rFonts w:eastAsia="Times New Roman" w:cs="Arial"/>
                <w:b/>
                <w:bCs/>
                <w:sz w:val="14"/>
                <w:szCs w:val="14"/>
                <w:lang w:eastAsia="es-CO"/>
              </w:rPr>
            </w:pPr>
          </w:p>
        </w:tc>
        <w:tc>
          <w:tcPr>
            <w:tcW w:w="513" w:type="pct"/>
            <w:tcBorders>
              <w:top w:val="nil"/>
              <w:left w:val="nil"/>
              <w:bottom w:val="single" w:sz="4" w:space="0" w:color="auto"/>
              <w:right w:val="single" w:sz="4" w:space="0" w:color="auto"/>
            </w:tcBorders>
            <w:shd w:val="clear" w:color="auto" w:fill="auto"/>
            <w:noWrap/>
            <w:vAlign w:val="center"/>
            <w:hideMark/>
          </w:tcPr>
          <w:p w14:paraId="08C3452E"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$1.049,83</w:t>
            </w:r>
          </w:p>
        </w:tc>
        <w:tc>
          <w:tcPr>
            <w:tcW w:w="446" w:type="pct"/>
            <w:tcBorders>
              <w:top w:val="nil"/>
              <w:left w:val="nil"/>
              <w:bottom w:val="single" w:sz="4" w:space="0" w:color="auto"/>
              <w:right w:val="single" w:sz="4" w:space="0" w:color="auto"/>
            </w:tcBorders>
            <w:shd w:val="clear" w:color="auto" w:fill="auto"/>
            <w:noWrap/>
            <w:vAlign w:val="center"/>
            <w:hideMark/>
          </w:tcPr>
          <w:p w14:paraId="4641A9C9"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$1.049,83</w:t>
            </w:r>
          </w:p>
        </w:tc>
        <w:tc>
          <w:tcPr>
            <w:tcW w:w="73" w:type="pct"/>
            <w:gridSpan w:val="2"/>
            <w:tcBorders>
              <w:top w:val="nil"/>
              <w:left w:val="nil"/>
              <w:bottom w:val="single" w:sz="4" w:space="0" w:color="auto"/>
              <w:right w:val="single" w:sz="4" w:space="0" w:color="auto"/>
            </w:tcBorders>
            <w:shd w:val="clear" w:color="auto" w:fill="auto"/>
            <w:noWrap/>
            <w:vAlign w:val="center"/>
            <w:hideMark/>
          </w:tcPr>
          <w:p w14:paraId="601B6713"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4</w:t>
            </w:r>
          </w:p>
        </w:tc>
        <w:tc>
          <w:tcPr>
            <w:tcW w:w="509" w:type="pct"/>
            <w:tcBorders>
              <w:top w:val="nil"/>
              <w:left w:val="nil"/>
              <w:bottom w:val="single" w:sz="4" w:space="0" w:color="auto"/>
              <w:right w:val="single" w:sz="4" w:space="0" w:color="auto"/>
            </w:tcBorders>
            <w:shd w:val="clear" w:color="auto" w:fill="auto"/>
            <w:noWrap/>
            <w:vAlign w:val="center"/>
            <w:hideMark/>
          </w:tcPr>
          <w:p w14:paraId="164E22B1"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$177,84</w:t>
            </w:r>
          </w:p>
        </w:tc>
        <w:tc>
          <w:tcPr>
            <w:tcW w:w="449" w:type="pct"/>
            <w:tcBorders>
              <w:top w:val="nil"/>
              <w:left w:val="nil"/>
              <w:bottom w:val="single" w:sz="4" w:space="0" w:color="auto"/>
              <w:right w:val="single" w:sz="4" w:space="0" w:color="auto"/>
            </w:tcBorders>
            <w:shd w:val="clear" w:color="auto" w:fill="auto"/>
            <w:noWrap/>
            <w:vAlign w:val="center"/>
            <w:hideMark/>
          </w:tcPr>
          <w:p w14:paraId="4E958B29"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$177,84</w:t>
            </w:r>
          </w:p>
        </w:tc>
        <w:tc>
          <w:tcPr>
            <w:tcW w:w="128" w:type="pct"/>
            <w:tcBorders>
              <w:top w:val="nil"/>
              <w:left w:val="nil"/>
              <w:bottom w:val="single" w:sz="4" w:space="0" w:color="auto"/>
              <w:right w:val="single" w:sz="4" w:space="0" w:color="auto"/>
            </w:tcBorders>
            <w:shd w:val="clear" w:color="auto" w:fill="auto"/>
            <w:noWrap/>
            <w:vAlign w:val="center"/>
            <w:hideMark/>
          </w:tcPr>
          <w:p w14:paraId="5A0879D6"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513" w:type="pct"/>
            <w:tcBorders>
              <w:top w:val="nil"/>
              <w:left w:val="nil"/>
              <w:bottom w:val="single" w:sz="4" w:space="0" w:color="auto"/>
              <w:right w:val="single" w:sz="4" w:space="0" w:color="auto"/>
            </w:tcBorders>
            <w:shd w:val="clear" w:color="auto" w:fill="auto"/>
            <w:noWrap/>
            <w:vAlign w:val="center"/>
            <w:hideMark/>
          </w:tcPr>
          <w:p w14:paraId="1236EDB2"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$1.116,57</w:t>
            </w:r>
          </w:p>
        </w:tc>
        <w:tc>
          <w:tcPr>
            <w:tcW w:w="454" w:type="pct"/>
            <w:tcBorders>
              <w:top w:val="nil"/>
              <w:left w:val="nil"/>
              <w:bottom w:val="single" w:sz="4" w:space="0" w:color="auto"/>
              <w:right w:val="single" w:sz="4" w:space="0" w:color="auto"/>
            </w:tcBorders>
            <w:shd w:val="clear" w:color="auto" w:fill="auto"/>
            <w:noWrap/>
            <w:vAlign w:val="center"/>
            <w:hideMark/>
          </w:tcPr>
          <w:p w14:paraId="60498F2B"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$1.116,57</w:t>
            </w:r>
          </w:p>
        </w:tc>
        <w:tc>
          <w:tcPr>
            <w:tcW w:w="123" w:type="pct"/>
            <w:tcBorders>
              <w:top w:val="nil"/>
              <w:left w:val="nil"/>
              <w:bottom w:val="single" w:sz="4" w:space="0" w:color="auto"/>
              <w:right w:val="single" w:sz="4" w:space="0" w:color="auto"/>
            </w:tcBorders>
            <w:shd w:val="clear" w:color="auto" w:fill="auto"/>
            <w:noWrap/>
            <w:vAlign w:val="center"/>
            <w:hideMark/>
          </w:tcPr>
          <w:p w14:paraId="010645BB"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r>
      <w:tr w:rsidR="00AA6A91" w:rsidRPr="001A38D5" w14:paraId="2BA5FA0D" w14:textId="77777777" w:rsidTr="00AA6A91">
        <w:trPr>
          <w:trHeight w:val="20"/>
          <w:jc w:val="center"/>
        </w:trPr>
        <w:tc>
          <w:tcPr>
            <w:tcW w:w="157" w:type="pct"/>
            <w:tcBorders>
              <w:top w:val="nil"/>
              <w:left w:val="single" w:sz="4" w:space="0" w:color="auto"/>
              <w:bottom w:val="single" w:sz="4" w:space="0" w:color="auto"/>
              <w:right w:val="nil"/>
            </w:tcBorders>
            <w:shd w:val="clear" w:color="auto" w:fill="auto"/>
            <w:vAlign w:val="center"/>
            <w:hideMark/>
          </w:tcPr>
          <w:p w14:paraId="7090D4EA"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610" w:type="pct"/>
            <w:gridSpan w:val="2"/>
            <w:tcBorders>
              <w:top w:val="single" w:sz="4" w:space="0" w:color="auto"/>
              <w:left w:val="nil"/>
              <w:bottom w:val="single" w:sz="4" w:space="0" w:color="auto"/>
              <w:right w:val="single" w:sz="4" w:space="0" w:color="auto"/>
            </w:tcBorders>
            <w:shd w:val="clear" w:color="auto" w:fill="auto"/>
            <w:vAlign w:val="center"/>
            <w:hideMark/>
          </w:tcPr>
          <w:p w14:paraId="7F451309"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Pagos</w:t>
            </w:r>
          </w:p>
        </w:tc>
        <w:tc>
          <w:tcPr>
            <w:tcW w:w="512" w:type="pct"/>
            <w:tcBorders>
              <w:top w:val="nil"/>
              <w:left w:val="nil"/>
              <w:bottom w:val="single" w:sz="4" w:space="0" w:color="auto"/>
              <w:right w:val="single" w:sz="4" w:space="0" w:color="auto"/>
            </w:tcBorders>
            <w:shd w:val="clear" w:color="auto" w:fill="auto"/>
            <w:noWrap/>
            <w:vAlign w:val="center"/>
            <w:hideMark/>
          </w:tcPr>
          <w:p w14:paraId="17F82E31"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$1.323,97</w:t>
            </w:r>
          </w:p>
        </w:tc>
        <w:tc>
          <w:tcPr>
            <w:tcW w:w="438" w:type="pct"/>
            <w:tcBorders>
              <w:top w:val="nil"/>
              <w:left w:val="nil"/>
              <w:bottom w:val="single" w:sz="4" w:space="0" w:color="auto"/>
              <w:right w:val="single" w:sz="4" w:space="0" w:color="auto"/>
            </w:tcBorders>
            <w:shd w:val="clear" w:color="auto" w:fill="auto"/>
            <w:noWrap/>
            <w:vAlign w:val="center"/>
            <w:hideMark/>
          </w:tcPr>
          <w:p w14:paraId="2710D343"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$1.323,97</w:t>
            </w:r>
          </w:p>
        </w:tc>
        <w:tc>
          <w:tcPr>
            <w:tcW w:w="75" w:type="pct"/>
            <w:tcBorders>
              <w:top w:val="nil"/>
              <w:left w:val="nil"/>
              <w:bottom w:val="single" w:sz="4" w:space="0" w:color="auto"/>
              <w:right w:val="single" w:sz="4" w:space="0" w:color="auto"/>
            </w:tcBorders>
            <w:shd w:val="clear" w:color="auto" w:fill="auto"/>
            <w:noWrap/>
            <w:vAlign w:val="center"/>
            <w:hideMark/>
          </w:tcPr>
          <w:p w14:paraId="4B85736D" w14:textId="77777777" w:rsidR="00A20990" w:rsidRPr="007A412F" w:rsidRDefault="00A20990" w:rsidP="005140E1">
            <w:pPr>
              <w:contextualSpacing/>
              <w:jc w:val="center"/>
              <w:rPr>
                <w:rFonts w:eastAsia="Times New Roman" w:cs="Arial"/>
                <w:b/>
                <w:bCs/>
                <w:sz w:val="14"/>
                <w:szCs w:val="14"/>
                <w:lang w:eastAsia="es-CO"/>
              </w:rPr>
            </w:pPr>
          </w:p>
        </w:tc>
        <w:tc>
          <w:tcPr>
            <w:tcW w:w="513" w:type="pct"/>
            <w:tcBorders>
              <w:top w:val="nil"/>
              <w:left w:val="nil"/>
              <w:bottom w:val="single" w:sz="4" w:space="0" w:color="auto"/>
              <w:right w:val="single" w:sz="4" w:space="0" w:color="auto"/>
            </w:tcBorders>
            <w:shd w:val="clear" w:color="auto" w:fill="auto"/>
            <w:noWrap/>
            <w:vAlign w:val="center"/>
            <w:hideMark/>
          </w:tcPr>
          <w:p w14:paraId="59A9FE61"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$1.005,31</w:t>
            </w:r>
          </w:p>
        </w:tc>
        <w:tc>
          <w:tcPr>
            <w:tcW w:w="446" w:type="pct"/>
            <w:tcBorders>
              <w:top w:val="nil"/>
              <w:left w:val="nil"/>
              <w:bottom w:val="single" w:sz="4" w:space="0" w:color="auto"/>
              <w:right w:val="single" w:sz="4" w:space="0" w:color="auto"/>
            </w:tcBorders>
            <w:shd w:val="clear" w:color="auto" w:fill="auto"/>
            <w:noWrap/>
            <w:vAlign w:val="center"/>
            <w:hideMark/>
          </w:tcPr>
          <w:p w14:paraId="6990AAA6"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$1.005,31</w:t>
            </w:r>
          </w:p>
        </w:tc>
        <w:tc>
          <w:tcPr>
            <w:tcW w:w="73" w:type="pct"/>
            <w:gridSpan w:val="2"/>
            <w:tcBorders>
              <w:top w:val="nil"/>
              <w:left w:val="nil"/>
              <w:bottom w:val="single" w:sz="4" w:space="0" w:color="auto"/>
              <w:right w:val="single" w:sz="4" w:space="0" w:color="auto"/>
            </w:tcBorders>
            <w:shd w:val="clear" w:color="auto" w:fill="auto"/>
            <w:noWrap/>
            <w:vAlign w:val="center"/>
            <w:hideMark/>
          </w:tcPr>
          <w:p w14:paraId="6DEF9338"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5</w:t>
            </w:r>
          </w:p>
        </w:tc>
        <w:tc>
          <w:tcPr>
            <w:tcW w:w="509" w:type="pct"/>
            <w:tcBorders>
              <w:top w:val="nil"/>
              <w:left w:val="nil"/>
              <w:bottom w:val="single" w:sz="4" w:space="0" w:color="auto"/>
              <w:right w:val="single" w:sz="4" w:space="0" w:color="auto"/>
            </w:tcBorders>
            <w:shd w:val="clear" w:color="auto" w:fill="auto"/>
            <w:noWrap/>
            <w:vAlign w:val="center"/>
            <w:hideMark/>
          </w:tcPr>
          <w:p w14:paraId="1AEFC149"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$177,84</w:t>
            </w:r>
          </w:p>
        </w:tc>
        <w:tc>
          <w:tcPr>
            <w:tcW w:w="449" w:type="pct"/>
            <w:tcBorders>
              <w:top w:val="nil"/>
              <w:left w:val="nil"/>
              <w:bottom w:val="single" w:sz="4" w:space="0" w:color="auto"/>
              <w:right w:val="single" w:sz="4" w:space="0" w:color="auto"/>
            </w:tcBorders>
            <w:shd w:val="clear" w:color="auto" w:fill="auto"/>
            <w:noWrap/>
            <w:vAlign w:val="center"/>
            <w:hideMark/>
          </w:tcPr>
          <w:p w14:paraId="7AD6BD65"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$177,84</w:t>
            </w:r>
          </w:p>
        </w:tc>
        <w:tc>
          <w:tcPr>
            <w:tcW w:w="128" w:type="pct"/>
            <w:tcBorders>
              <w:top w:val="nil"/>
              <w:left w:val="nil"/>
              <w:bottom w:val="single" w:sz="4" w:space="0" w:color="auto"/>
              <w:right w:val="single" w:sz="4" w:space="0" w:color="auto"/>
            </w:tcBorders>
            <w:shd w:val="clear" w:color="auto" w:fill="auto"/>
            <w:noWrap/>
            <w:vAlign w:val="center"/>
            <w:hideMark/>
          </w:tcPr>
          <w:p w14:paraId="1B2CCE85"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c>
          <w:tcPr>
            <w:tcW w:w="513" w:type="pct"/>
            <w:tcBorders>
              <w:top w:val="nil"/>
              <w:left w:val="nil"/>
              <w:bottom w:val="single" w:sz="4" w:space="0" w:color="auto"/>
              <w:right w:val="single" w:sz="4" w:space="0" w:color="auto"/>
            </w:tcBorders>
            <w:shd w:val="clear" w:color="auto" w:fill="auto"/>
            <w:noWrap/>
            <w:vAlign w:val="center"/>
            <w:hideMark/>
          </w:tcPr>
          <w:p w14:paraId="20FB7D7D"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$1.116,57</w:t>
            </w:r>
          </w:p>
        </w:tc>
        <w:tc>
          <w:tcPr>
            <w:tcW w:w="454" w:type="pct"/>
            <w:tcBorders>
              <w:top w:val="nil"/>
              <w:left w:val="nil"/>
              <w:bottom w:val="single" w:sz="4" w:space="0" w:color="auto"/>
              <w:right w:val="single" w:sz="4" w:space="0" w:color="auto"/>
            </w:tcBorders>
            <w:shd w:val="clear" w:color="auto" w:fill="auto"/>
            <w:noWrap/>
            <w:vAlign w:val="center"/>
            <w:hideMark/>
          </w:tcPr>
          <w:p w14:paraId="6B09EE96"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$1.116,57</w:t>
            </w:r>
          </w:p>
        </w:tc>
        <w:tc>
          <w:tcPr>
            <w:tcW w:w="123" w:type="pct"/>
            <w:tcBorders>
              <w:top w:val="nil"/>
              <w:left w:val="nil"/>
              <w:bottom w:val="single" w:sz="4" w:space="0" w:color="auto"/>
              <w:right w:val="single" w:sz="4" w:space="0" w:color="auto"/>
            </w:tcBorders>
            <w:shd w:val="clear" w:color="auto" w:fill="auto"/>
            <w:noWrap/>
            <w:vAlign w:val="center"/>
            <w:hideMark/>
          </w:tcPr>
          <w:p w14:paraId="7712E9F3" w14:textId="77777777" w:rsidR="00A20990" w:rsidRPr="007A412F" w:rsidRDefault="00A20990" w:rsidP="005140E1">
            <w:pPr>
              <w:contextualSpacing/>
              <w:rPr>
                <w:rFonts w:eastAsia="Times New Roman" w:cs="Arial"/>
                <w:b/>
                <w:bCs/>
                <w:sz w:val="14"/>
                <w:szCs w:val="14"/>
                <w:lang w:eastAsia="es-CO"/>
              </w:rPr>
            </w:pPr>
            <w:r w:rsidRPr="007A412F">
              <w:rPr>
                <w:rFonts w:eastAsia="Times New Roman" w:cs="Arial"/>
                <w:b/>
                <w:bCs/>
                <w:sz w:val="14"/>
                <w:szCs w:val="14"/>
                <w:lang w:eastAsia="es-CO"/>
              </w:rPr>
              <w:t> </w:t>
            </w:r>
          </w:p>
        </w:tc>
      </w:tr>
      <w:tr w:rsidR="00AA6A91" w:rsidRPr="001A38D5" w14:paraId="3797AB17" w14:textId="77777777" w:rsidTr="00AA6A91">
        <w:trPr>
          <w:trHeight w:val="20"/>
          <w:jc w:val="center"/>
        </w:trPr>
        <w:tc>
          <w:tcPr>
            <w:tcW w:w="766" w:type="pct"/>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14:paraId="1976986C" w14:textId="77777777" w:rsidR="00A20990" w:rsidRPr="001A38D5" w:rsidRDefault="00A20990" w:rsidP="005140E1">
            <w:pPr>
              <w:contextualSpacing/>
              <w:rPr>
                <w:rFonts w:eastAsia="Times New Roman" w:cs="Arial"/>
                <w:b/>
                <w:bCs/>
                <w:sz w:val="14"/>
                <w:szCs w:val="14"/>
                <w:lang w:eastAsia="es-CO"/>
              </w:rPr>
            </w:pPr>
            <w:r w:rsidRPr="001A38D5">
              <w:rPr>
                <w:rFonts w:eastAsia="Times New Roman" w:cs="Arial"/>
                <w:b/>
                <w:bCs/>
                <w:sz w:val="16"/>
                <w:szCs w:val="14"/>
                <w:lang w:eastAsia="es-CO"/>
              </w:rPr>
              <w:t>Cierre fiscal</w:t>
            </w:r>
          </w:p>
        </w:tc>
        <w:tc>
          <w:tcPr>
            <w:tcW w:w="512" w:type="pct"/>
            <w:tcBorders>
              <w:top w:val="nil"/>
              <w:left w:val="nil"/>
              <w:bottom w:val="single" w:sz="4" w:space="0" w:color="auto"/>
              <w:right w:val="single" w:sz="4" w:space="0" w:color="auto"/>
            </w:tcBorders>
            <w:shd w:val="clear" w:color="000000" w:fill="FFC000"/>
            <w:noWrap/>
            <w:vAlign w:val="center"/>
            <w:hideMark/>
          </w:tcPr>
          <w:p w14:paraId="75C21696"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w:t>
            </w:r>
          </w:p>
        </w:tc>
        <w:tc>
          <w:tcPr>
            <w:tcW w:w="438" w:type="pct"/>
            <w:tcBorders>
              <w:top w:val="nil"/>
              <w:left w:val="nil"/>
              <w:bottom w:val="single" w:sz="4" w:space="0" w:color="auto"/>
              <w:right w:val="single" w:sz="4" w:space="0" w:color="auto"/>
            </w:tcBorders>
            <w:shd w:val="clear" w:color="000000" w:fill="FFC000"/>
            <w:noWrap/>
            <w:vAlign w:val="center"/>
            <w:hideMark/>
          </w:tcPr>
          <w:p w14:paraId="31E970E7"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w:t>
            </w:r>
          </w:p>
        </w:tc>
        <w:tc>
          <w:tcPr>
            <w:tcW w:w="75" w:type="pct"/>
            <w:tcBorders>
              <w:top w:val="nil"/>
              <w:left w:val="nil"/>
              <w:bottom w:val="single" w:sz="4" w:space="0" w:color="auto"/>
              <w:right w:val="single" w:sz="4" w:space="0" w:color="auto"/>
            </w:tcBorders>
            <w:shd w:val="clear" w:color="000000" w:fill="FFC000"/>
            <w:noWrap/>
            <w:vAlign w:val="center"/>
            <w:hideMark/>
          </w:tcPr>
          <w:p w14:paraId="639D23DC" w14:textId="77777777" w:rsidR="00A20990" w:rsidRPr="007A412F" w:rsidRDefault="00A20990" w:rsidP="005140E1">
            <w:pPr>
              <w:contextualSpacing/>
              <w:jc w:val="center"/>
              <w:rPr>
                <w:rFonts w:eastAsia="Times New Roman" w:cs="Arial"/>
                <w:b/>
                <w:bCs/>
                <w:sz w:val="14"/>
                <w:szCs w:val="14"/>
                <w:lang w:eastAsia="es-CO"/>
              </w:rPr>
            </w:pPr>
          </w:p>
        </w:tc>
        <w:tc>
          <w:tcPr>
            <w:tcW w:w="513" w:type="pct"/>
            <w:tcBorders>
              <w:top w:val="nil"/>
              <w:left w:val="nil"/>
              <w:bottom w:val="single" w:sz="4" w:space="0" w:color="auto"/>
              <w:right w:val="single" w:sz="4" w:space="0" w:color="auto"/>
            </w:tcBorders>
            <w:shd w:val="clear" w:color="000000" w:fill="FFC000"/>
            <w:noWrap/>
            <w:vAlign w:val="center"/>
            <w:hideMark/>
          </w:tcPr>
          <w:p w14:paraId="1E7595E0"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w:t>
            </w:r>
          </w:p>
        </w:tc>
        <w:tc>
          <w:tcPr>
            <w:tcW w:w="446" w:type="pct"/>
            <w:tcBorders>
              <w:top w:val="nil"/>
              <w:left w:val="nil"/>
              <w:bottom w:val="single" w:sz="4" w:space="0" w:color="auto"/>
              <w:right w:val="single" w:sz="4" w:space="0" w:color="auto"/>
            </w:tcBorders>
            <w:shd w:val="clear" w:color="000000" w:fill="FFC000"/>
            <w:noWrap/>
            <w:vAlign w:val="center"/>
            <w:hideMark/>
          </w:tcPr>
          <w:p w14:paraId="20037BE2"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w:t>
            </w:r>
          </w:p>
        </w:tc>
        <w:tc>
          <w:tcPr>
            <w:tcW w:w="73" w:type="pct"/>
            <w:gridSpan w:val="2"/>
            <w:tcBorders>
              <w:top w:val="nil"/>
              <w:left w:val="nil"/>
              <w:bottom w:val="single" w:sz="4" w:space="0" w:color="auto"/>
              <w:right w:val="single" w:sz="4" w:space="0" w:color="auto"/>
            </w:tcBorders>
            <w:shd w:val="clear" w:color="000000" w:fill="FFC000"/>
            <w:noWrap/>
            <w:vAlign w:val="center"/>
            <w:hideMark/>
          </w:tcPr>
          <w:p w14:paraId="40B447D8" w14:textId="77777777" w:rsidR="00A20990" w:rsidRPr="007A412F" w:rsidRDefault="00A20990" w:rsidP="005140E1">
            <w:pPr>
              <w:contextualSpacing/>
              <w:jc w:val="center"/>
              <w:rPr>
                <w:rFonts w:eastAsia="Times New Roman" w:cs="Arial"/>
                <w:b/>
                <w:bCs/>
                <w:sz w:val="14"/>
                <w:szCs w:val="14"/>
                <w:lang w:eastAsia="es-CO"/>
              </w:rPr>
            </w:pPr>
          </w:p>
        </w:tc>
        <w:tc>
          <w:tcPr>
            <w:tcW w:w="509" w:type="pct"/>
            <w:tcBorders>
              <w:top w:val="nil"/>
              <w:left w:val="nil"/>
              <w:bottom w:val="single" w:sz="4" w:space="0" w:color="auto"/>
              <w:right w:val="single" w:sz="4" w:space="0" w:color="auto"/>
            </w:tcBorders>
            <w:shd w:val="clear" w:color="000000" w:fill="FFC000"/>
            <w:noWrap/>
            <w:vAlign w:val="center"/>
            <w:hideMark/>
          </w:tcPr>
          <w:p w14:paraId="5F3512E4"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w:t>
            </w:r>
          </w:p>
        </w:tc>
        <w:tc>
          <w:tcPr>
            <w:tcW w:w="449" w:type="pct"/>
            <w:tcBorders>
              <w:top w:val="nil"/>
              <w:left w:val="nil"/>
              <w:bottom w:val="single" w:sz="4" w:space="0" w:color="auto"/>
              <w:right w:val="single" w:sz="4" w:space="0" w:color="auto"/>
            </w:tcBorders>
            <w:shd w:val="clear" w:color="000000" w:fill="FFC000"/>
            <w:noWrap/>
            <w:vAlign w:val="center"/>
            <w:hideMark/>
          </w:tcPr>
          <w:p w14:paraId="1222A479"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w:t>
            </w:r>
          </w:p>
        </w:tc>
        <w:tc>
          <w:tcPr>
            <w:tcW w:w="128" w:type="pct"/>
            <w:tcBorders>
              <w:top w:val="nil"/>
              <w:left w:val="nil"/>
              <w:bottom w:val="single" w:sz="4" w:space="0" w:color="auto"/>
              <w:right w:val="single" w:sz="4" w:space="0" w:color="auto"/>
            </w:tcBorders>
            <w:shd w:val="clear" w:color="000000" w:fill="FFC000"/>
            <w:noWrap/>
            <w:vAlign w:val="center"/>
            <w:hideMark/>
          </w:tcPr>
          <w:p w14:paraId="560C8228"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 </w:t>
            </w:r>
          </w:p>
        </w:tc>
        <w:tc>
          <w:tcPr>
            <w:tcW w:w="513" w:type="pct"/>
            <w:tcBorders>
              <w:top w:val="nil"/>
              <w:left w:val="nil"/>
              <w:bottom w:val="single" w:sz="4" w:space="0" w:color="auto"/>
              <w:right w:val="single" w:sz="4" w:space="0" w:color="auto"/>
            </w:tcBorders>
            <w:shd w:val="clear" w:color="000000" w:fill="FFC000"/>
            <w:noWrap/>
            <w:vAlign w:val="center"/>
            <w:hideMark/>
          </w:tcPr>
          <w:p w14:paraId="38EA2E52"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w:t>
            </w:r>
          </w:p>
        </w:tc>
        <w:tc>
          <w:tcPr>
            <w:tcW w:w="454" w:type="pct"/>
            <w:tcBorders>
              <w:top w:val="nil"/>
              <w:left w:val="nil"/>
              <w:bottom w:val="single" w:sz="4" w:space="0" w:color="auto"/>
              <w:right w:val="single" w:sz="4" w:space="0" w:color="auto"/>
            </w:tcBorders>
            <w:shd w:val="clear" w:color="000000" w:fill="FFC000"/>
            <w:noWrap/>
            <w:vAlign w:val="center"/>
            <w:hideMark/>
          </w:tcPr>
          <w:p w14:paraId="0AFFC7F3"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w:t>
            </w:r>
          </w:p>
        </w:tc>
        <w:tc>
          <w:tcPr>
            <w:tcW w:w="123" w:type="pct"/>
            <w:tcBorders>
              <w:top w:val="nil"/>
              <w:left w:val="nil"/>
              <w:bottom w:val="single" w:sz="4" w:space="0" w:color="auto"/>
              <w:right w:val="single" w:sz="4" w:space="0" w:color="auto"/>
            </w:tcBorders>
            <w:shd w:val="clear" w:color="000000" w:fill="FFC000"/>
            <w:noWrap/>
            <w:vAlign w:val="center"/>
            <w:hideMark/>
          </w:tcPr>
          <w:p w14:paraId="11A665AF"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 </w:t>
            </w:r>
          </w:p>
        </w:tc>
      </w:tr>
      <w:tr w:rsidR="00AA6A91" w:rsidRPr="001A38D5" w14:paraId="3304CEF8" w14:textId="77777777" w:rsidTr="00AA6A91">
        <w:trPr>
          <w:trHeight w:val="20"/>
          <w:jc w:val="center"/>
        </w:trPr>
        <w:tc>
          <w:tcPr>
            <w:tcW w:w="157" w:type="pct"/>
            <w:tcBorders>
              <w:top w:val="nil"/>
              <w:left w:val="single" w:sz="4" w:space="0" w:color="auto"/>
              <w:bottom w:val="single" w:sz="4" w:space="0" w:color="auto"/>
              <w:right w:val="nil"/>
            </w:tcBorders>
            <w:shd w:val="clear" w:color="auto" w:fill="auto"/>
            <w:vAlign w:val="center"/>
            <w:hideMark/>
          </w:tcPr>
          <w:p w14:paraId="508B53E4"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610" w:type="pct"/>
            <w:gridSpan w:val="2"/>
            <w:tcBorders>
              <w:top w:val="single" w:sz="4" w:space="0" w:color="auto"/>
              <w:left w:val="nil"/>
              <w:bottom w:val="single" w:sz="4" w:space="0" w:color="auto"/>
              <w:right w:val="single" w:sz="4" w:space="0" w:color="auto"/>
            </w:tcBorders>
            <w:shd w:val="clear" w:color="auto" w:fill="auto"/>
            <w:vAlign w:val="center"/>
            <w:hideMark/>
          </w:tcPr>
          <w:p w14:paraId="0C1E370F"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Déficit o superávit</w:t>
            </w:r>
          </w:p>
        </w:tc>
        <w:tc>
          <w:tcPr>
            <w:tcW w:w="512" w:type="pct"/>
            <w:tcBorders>
              <w:top w:val="nil"/>
              <w:left w:val="nil"/>
              <w:bottom w:val="single" w:sz="4" w:space="0" w:color="auto"/>
              <w:right w:val="single" w:sz="4" w:space="0" w:color="auto"/>
            </w:tcBorders>
            <w:shd w:val="clear" w:color="auto" w:fill="auto"/>
            <w:noWrap/>
            <w:vAlign w:val="center"/>
            <w:hideMark/>
          </w:tcPr>
          <w:p w14:paraId="7E32FD22"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$249,08</w:t>
            </w:r>
          </w:p>
        </w:tc>
        <w:tc>
          <w:tcPr>
            <w:tcW w:w="438" w:type="pct"/>
            <w:tcBorders>
              <w:top w:val="nil"/>
              <w:left w:val="nil"/>
              <w:bottom w:val="single" w:sz="4" w:space="0" w:color="auto"/>
              <w:right w:val="single" w:sz="4" w:space="0" w:color="auto"/>
            </w:tcBorders>
            <w:shd w:val="clear" w:color="auto" w:fill="auto"/>
            <w:noWrap/>
            <w:vAlign w:val="center"/>
            <w:hideMark/>
          </w:tcPr>
          <w:p w14:paraId="0525F485"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$1.648,16</w:t>
            </w:r>
          </w:p>
        </w:tc>
        <w:tc>
          <w:tcPr>
            <w:tcW w:w="75" w:type="pct"/>
            <w:tcBorders>
              <w:top w:val="nil"/>
              <w:left w:val="nil"/>
              <w:bottom w:val="single" w:sz="4" w:space="0" w:color="auto"/>
              <w:right w:val="single" w:sz="4" w:space="0" w:color="auto"/>
            </w:tcBorders>
            <w:shd w:val="clear" w:color="auto" w:fill="auto"/>
            <w:noWrap/>
            <w:vAlign w:val="center"/>
            <w:hideMark/>
          </w:tcPr>
          <w:p w14:paraId="1C224CD7"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3</w:t>
            </w:r>
          </w:p>
        </w:tc>
        <w:tc>
          <w:tcPr>
            <w:tcW w:w="513" w:type="pct"/>
            <w:tcBorders>
              <w:top w:val="nil"/>
              <w:left w:val="nil"/>
              <w:bottom w:val="single" w:sz="4" w:space="0" w:color="auto"/>
              <w:right w:val="single" w:sz="4" w:space="0" w:color="auto"/>
            </w:tcBorders>
            <w:shd w:val="clear" w:color="auto" w:fill="auto"/>
            <w:noWrap/>
            <w:vAlign w:val="center"/>
            <w:hideMark/>
          </w:tcPr>
          <w:p w14:paraId="6AEA8242"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$65,06</w:t>
            </w:r>
          </w:p>
        </w:tc>
        <w:tc>
          <w:tcPr>
            <w:tcW w:w="446" w:type="pct"/>
            <w:tcBorders>
              <w:top w:val="nil"/>
              <w:left w:val="nil"/>
              <w:bottom w:val="single" w:sz="4" w:space="0" w:color="auto"/>
              <w:right w:val="single" w:sz="4" w:space="0" w:color="auto"/>
            </w:tcBorders>
            <w:shd w:val="clear" w:color="auto" w:fill="auto"/>
            <w:noWrap/>
            <w:vAlign w:val="center"/>
            <w:hideMark/>
          </w:tcPr>
          <w:p w14:paraId="419419FC"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$1.478,12</w:t>
            </w:r>
          </w:p>
        </w:tc>
        <w:tc>
          <w:tcPr>
            <w:tcW w:w="73" w:type="pct"/>
            <w:gridSpan w:val="2"/>
            <w:tcBorders>
              <w:top w:val="nil"/>
              <w:left w:val="nil"/>
              <w:bottom w:val="single" w:sz="4" w:space="0" w:color="auto"/>
              <w:right w:val="single" w:sz="4" w:space="0" w:color="auto"/>
            </w:tcBorders>
            <w:shd w:val="clear" w:color="auto" w:fill="auto"/>
            <w:noWrap/>
            <w:vAlign w:val="center"/>
          </w:tcPr>
          <w:p w14:paraId="69B5A3B3"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6</w:t>
            </w:r>
          </w:p>
        </w:tc>
        <w:tc>
          <w:tcPr>
            <w:tcW w:w="509" w:type="pct"/>
            <w:tcBorders>
              <w:top w:val="nil"/>
              <w:left w:val="nil"/>
              <w:bottom w:val="single" w:sz="4" w:space="0" w:color="auto"/>
              <w:right w:val="single" w:sz="4" w:space="0" w:color="auto"/>
            </w:tcBorders>
            <w:shd w:val="clear" w:color="auto" w:fill="auto"/>
            <w:noWrap/>
            <w:vAlign w:val="center"/>
            <w:hideMark/>
          </w:tcPr>
          <w:p w14:paraId="7855EAFB"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$13,08</w:t>
            </w:r>
          </w:p>
        </w:tc>
        <w:tc>
          <w:tcPr>
            <w:tcW w:w="449" w:type="pct"/>
            <w:tcBorders>
              <w:top w:val="nil"/>
              <w:left w:val="nil"/>
              <w:bottom w:val="single" w:sz="4" w:space="0" w:color="auto"/>
              <w:right w:val="single" w:sz="4" w:space="0" w:color="auto"/>
            </w:tcBorders>
            <w:shd w:val="clear" w:color="auto" w:fill="auto"/>
            <w:noWrap/>
            <w:vAlign w:val="center"/>
            <w:hideMark/>
          </w:tcPr>
          <w:p w14:paraId="1324A10A"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$525,83</w:t>
            </w:r>
          </w:p>
        </w:tc>
        <w:tc>
          <w:tcPr>
            <w:tcW w:w="128" w:type="pct"/>
            <w:tcBorders>
              <w:top w:val="nil"/>
              <w:left w:val="nil"/>
              <w:bottom w:val="single" w:sz="4" w:space="0" w:color="auto"/>
              <w:right w:val="single" w:sz="4" w:space="0" w:color="auto"/>
            </w:tcBorders>
            <w:shd w:val="clear" w:color="auto" w:fill="auto"/>
            <w:noWrap/>
            <w:vAlign w:val="center"/>
            <w:hideMark/>
          </w:tcPr>
          <w:p w14:paraId="7F42A7DD"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3 </w:t>
            </w:r>
          </w:p>
        </w:tc>
        <w:tc>
          <w:tcPr>
            <w:tcW w:w="513" w:type="pct"/>
            <w:tcBorders>
              <w:top w:val="nil"/>
              <w:left w:val="nil"/>
              <w:bottom w:val="single" w:sz="4" w:space="0" w:color="auto"/>
              <w:right w:val="single" w:sz="4" w:space="0" w:color="auto"/>
            </w:tcBorders>
            <w:shd w:val="clear" w:color="auto" w:fill="auto"/>
            <w:noWrap/>
            <w:vAlign w:val="center"/>
            <w:hideMark/>
          </w:tcPr>
          <w:p w14:paraId="3B2EC212"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$14,50</w:t>
            </w:r>
          </w:p>
        </w:tc>
        <w:tc>
          <w:tcPr>
            <w:tcW w:w="454" w:type="pct"/>
            <w:tcBorders>
              <w:top w:val="nil"/>
              <w:left w:val="nil"/>
              <w:bottom w:val="single" w:sz="4" w:space="0" w:color="auto"/>
              <w:right w:val="single" w:sz="4" w:space="0" w:color="auto"/>
            </w:tcBorders>
            <w:shd w:val="clear" w:color="auto" w:fill="auto"/>
            <w:noWrap/>
            <w:vAlign w:val="center"/>
            <w:hideMark/>
          </w:tcPr>
          <w:p w14:paraId="0BD7FEE4"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-$0,63</w:t>
            </w:r>
          </w:p>
        </w:tc>
        <w:tc>
          <w:tcPr>
            <w:tcW w:w="123" w:type="pct"/>
            <w:tcBorders>
              <w:top w:val="nil"/>
              <w:left w:val="nil"/>
              <w:bottom w:val="single" w:sz="4" w:space="0" w:color="auto"/>
              <w:right w:val="single" w:sz="4" w:space="0" w:color="auto"/>
            </w:tcBorders>
            <w:shd w:val="clear" w:color="auto" w:fill="auto"/>
            <w:noWrap/>
            <w:vAlign w:val="center"/>
            <w:hideMark/>
          </w:tcPr>
          <w:p w14:paraId="785A15D7"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3 </w:t>
            </w:r>
          </w:p>
        </w:tc>
      </w:tr>
      <w:tr w:rsidR="00AA6A91" w:rsidRPr="001A38D5" w14:paraId="28C6B59C" w14:textId="77777777" w:rsidTr="00AA6A91">
        <w:trPr>
          <w:trHeight w:val="20"/>
          <w:jc w:val="center"/>
        </w:trPr>
        <w:tc>
          <w:tcPr>
            <w:tcW w:w="157" w:type="pct"/>
            <w:tcBorders>
              <w:top w:val="nil"/>
              <w:left w:val="single" w:sz="4" w:space="0" w:color="auto"/>
              <w:bottom w:val="single" w:sz="4" w:space="0" w:color="auto"/>
              <w:right w:val="nil"/>
            </w:tcBorders>
            <w:shd w:val="clear" w:color="auto" w:fill="auto"/>
            <w:vAlign w:val="center"/>
            <w:hideMark/>
          </w:tcPr>
          <w:p w14:paraId="5A84CF4B"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610" w:type="pct"/>
            <w:gridSpan w:val="2"/>
            <w:tcBorders>
              <w:top w:val="single" w:sz="4" w:space="0" w:color="auto"/>
              <w:left w:val="nil"/>
              <w:bottom w:val="single" w:sz="4" w:space="0" w:color="auto"/>
              <w:right w:val="single" w:sz="4" w:space="0" w:color="auto"/>
            </w:tcBorders>
            <w:shd w:val="clear" w:color="auto" w:fill="auto"/>
            <w:vAlign w:val="center"/>
            <w:hideMark/>
          </w:tcPr>
          <w:p w14:paraId="341149DD"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Reservas</w:t>
            </w:r>
          </w:p>
        </w:tc>
        <w:tc>
          <w:tcPr>
            <w:tcW w:w="512" w:type="pct"/>
            <w:tcBorders>
              <w:top w:val="nil"/>
              <w:left w:val="nil"/>
              <w:bottom w:val="single" w:sz="4" w:space="0" w:color="auto"/>
              <w:right w:val="single" w:sz="4" w:space="0" w:color="auto"/>
            </w:tcBorders>
            <w:shd w:val="clear" w:color="auto" w:fill="auto"/>
            <w:noWrap/>
            <w:vAlign w:val="center"/>
            <w:hideMark/>
          </w:tcPr>
          <w:p w14:paraId="164B600E"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$0,00</w:t>
            </w:r>
          </w:p>
        </w:tc>
        <w:tc>
          <w:tcPr>
            <w:tcW w:w="438" w:type="pct"/>
            <w:tcBorders>
              <w:top w:val="nil"/>
              <w:left w:val="nil"/>
              <w:bottom w:val="single" w:sz="4" w:space="0" w:color="auto"/>
              <w:right w:val="single" w:sz="4" w:space="0" w:color="auto"/>
            </w:tcBorders>
            <w:shd w:val="clear" w:color="auto" w:fill="auto"/>
            <w:noWrap/>
            <w:vAlign w:val="center"/>
            <w:hideMark/>
          </w:tcPr>
          <w:p w14:paraId="64B0B879"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$0,00</w:t>
            </w:r>
          </w:p>
        </w:tc>
        <w:tc>
          <w:tcPr>
            <w:tcW w:w="75" w:type="pct"/>
            <w:tcBorders>
              <w:top w:val="nil"/>
              <w:left w:val="nil"/>
              <w:bottom w:val="single" w:sz="4" w:space="0" w:color="auto"/>
              <w:right w:val="single" w:sz="4" w:space="0" w:color="auto"/>
            </w:tcBorders>
            <w:shd w:val="clear" w:color="auto" w:fill="auto"/>
            <w:noWrap/>
            <w:vAlign w:val="center"/>
            <w:hideMark/>
          </w:tcPr>
          <w:p w14:paraId="6AA1ED6B" w14:textId="77777777" w:rsidR="00A20990" w:rsidRPr="007A412F" w:rsidRDefault="00A20990" w:rsidP="005140E1">
            <w:pPr>
              <w:contextualSpacing/>
              <w:jc w:val="center"/>
              <w:rPr>
                <w:rFonts w:eastAsia="Times New Roman" w:cs="Arial"/>
                <w:b/>
                <w:bCs/>
                <w:sz w:val="14"/>
                <w:szCs w:val="14"/>
                <w:lang w:eastAsia="es-CO"/>
              </w:rPr>
            </w:pPr>
          </w:p>
        </w:tc>
        <w:tc>
          <w:tcPr>
            <w:tcW w:w="513" w:type="pct"/>
            <w:tcBorders>
              <w:top w:val="nil"/>
              <w:left w:val="nil"/>
              <w:bottom w:val="single" w:sz="4" w:space="0" w:color="auto"/>
              <w:right w:val="single" w:sz="4" w:space="0" w:color="auto"/>
            </w:tcBorders>
            <w:shd w:val="clear" w:color="auto" w:fill="auto"/>
            <w:noWrap/>
            <w:vAlign w:val="center"/>
            <w:hideMark/>
          </w:tcPr>
          <w:p w14:paraId="611E1E8D"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$566,85</w:t>
            </w:r>
          </w:p>
        </w:tc>
        <w:tc>
          <w:tcPr>
            <w:tcW w:w="446" w:type="pct"/>
            <w:tcBorders>
              <w:top w:val="nil"/>
              <w:left w:val="nil"/>
              <w:bottom w:val="single" w:sz="4" w:space="0" w:color="auto"/>
              <w:right w:val="single" w:sz="4" w:space="0" w:color="auto"/>
            </w:tcBorders>
            <w:shd w:val="clear" w:color="auto" w:fill="auto"/>
            <w:noWrap/>
            <w:vAlign w:val="center"/>
            <w:hideMark/>
          </w:tcPr>
          <w:p w14:paraId="5B86EAA7"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$1.734,77</w:t>
            </w:r>
          </w:p>
        </w:tc>
        <w:tc>
          <w:tcPr>
            <w:tcW w:w="73" w:type="pct"/>
            <w:gridSpan w:val="2"/>
            <w:tcBorders>
              <w:top w:val="nil"/>
              <w:left w:val="nil"/>
              <w:bottom w:val="single" w:sz="4" w:space="0" w:color="auto"/>
              <w:right w:val="single" w:sz="4" w:space="0" w:color="auto"/>
            </w:tcBorders>
            <w:shd w:val="clear" w:color="auto" w:fill="auto"/>
            <w:noWrap/>
            <w:vAlign w:val="center"/>
          </w:tcPr>
          <w:p w14:paraId="61E4E3EE"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7</w:t>
            </w:r>
          </w:p>
        </w:tc>
        <w:tc>
          <w:tcPr>
            <w:tcW w:w="509" w:type="pct"/>
            <w:tcBorders>
              <w:top w:val="nil"/>
              <w:left w:val="nil"/>
              <w:bottom w:val="single" w:sz="4" w:space="0" w:color="auto"/>
              <w:right w:val="single" w:sz="4" w:space="0" w:color="auto"/>
            </w:tcBorders>
            <w:shd w:val="clear" w:color="auto" w:fill="auto"/>
            <w:noWrap/>
            <w:vAlign w:val="center"/>
            <w:hideMark/>
          </w:tcPr>
          <w:p w14:paraId="25090471"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$1.125,80</w:t>
            </w:r>
          </w:p>
        </w:tc>
        <w:tc>
          <w:tcPr>
            <w:tcW w:w="449" w:type="pct"/>
            <w:tcBorders>
              <w:top w:val="nil"/>
              <w:left w:val="nil"/>
              <w:bottom w:val="single" w:sz="4" w:space="0" w:color="auto"/>
              <w:right w:val="single" w:sz="4" w:space="0" w:color="auto"/>
            </w:tcBorders>
            <w:shd w:val="clear" w:color="auto" w:fill="auto"/>
            <w:noWrap/>
            <w:vAlign w:val="center"/>
            <w:hideMark/>
          </w:tcPr>
          <w:p w14:paraId="65FC3ADD"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$9.196,42</w:t>
            </w:r>
          </w:p>
        </w:tc>
        <w:tc>
          <w:tcPr>
            <w:tcW w:w="128" w:type="pct"/>
            <w:tcBorders>
              <w:top w:val="nil"/>
              <w:left w:val="nil"/>
              <w:bottom w:val="single" w:sz="4" w:space="0" w:color="auto"/>
              <w:right w:val="single" w:sz="4" w:space="0" w:color="auto"/>
            </w:tcBorders>
            <w:shd w:val="clear" w:color="auto" w:fill="auto"/>
            <w:noWrap/>
            <w:vAlign w:val="center"/>
            <w:hideMark/>
          </w:tcPr>
          <w:p w14:paraId="186B2BFF"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4 </w:t>
            </w:r>
          </w:p>
        </w:tc>
        <w:tc>
          <w:tcPr>
            <w:tcW w:w="513" w:type="pct"/>
            <w:tcBorders>
              <w:top w:val="nil"/>
              <w:left w:val="nil"/>
              <w:bottom w:val="single" w:sz="4" w:space="0" w:color="auto"/>
              <w:right w:val="single" w:sz="4" w:space="0" w:color="auto"/>
            </w:tcBorders>
            <w:shd w:val="clear" w:color="auto" w:fill="auto"/>
            <w:noWrap/>
            <w:vAlign w:val="center"/>
            <w:hideMark/>
          </w:tcPr>
          <w:p w14:paraId="628384D7"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$0,63</w:t>
            </w:r>
          </w:p>
        </w:tc>
        <w:tc>
          <w:tcPr>
            <w:tcW w:w="454" w:type="pct"/>
            <w:tcBorders>
              <w:top w:val="nil"/>
              <w:left w:val="nil"/>
              <w:bottom w:val="single" w:sz="4" w:space="0" w:color="auto"/>
              <w:right w:val="single" w:sz="4" w:space="0" w:color="auto"/>
            </w:tcBorders>
            <w:shd w:val="clear" w:color="auto" w:fill="auto"/>
            <w:noWrap/>
            <w:vAlign w:val="center"/>
            <w:hideMark/>
          </w:tcPr>
          <w:p w14:paraId="6A8C1694"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$0,00</w:t>
            </w:r>
          </w:p>
        </w:tc>
        <w:tc>
          <w:tcPr>
            <w:tcW w:w="123" w:type="pct"/>
            <w:tcBorders>
              <w:top w:val="nil"/>
              <w:left w:val="nil"/>
              <w:bottom w:val="single" w:sz="4" w:space="0" w:color="auto"/>
              <w:right w:val="single" w:sz="4" w:space="0" w:color="auto"/>
            </w:tcBorders>
            <w:shd w:val="clear" w:color="auto" w:fill="auto"/>
            <w:noWrap/>
            <w:vAlign w:val="center"/>
            <w:hideMark/>
          </w:tcPr>
          <w:p w14:paraId="1B4B09E1"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4 </w:t>
            </w:r>
          </w:p>
        </w:tc>
      </w:tr>
      <w:tr w:rsidR="00AA6A91" w:rsidRPr="001A38D5" w14:paraId="28D6DD86" w14:textId="77777777" w:rsidTr="00AA6A91">
        <w:trPr>
          <w:trHeight w:val="20"/>
          <w:jc w:val="center"/>
        </w:trPr>
        <w:tc>
          <w:tcPr>
            <w:tcW w:w="157" w:type="pct"/>
            <w:tcBorders>
              <w:top w:val="nil"/>
              <w:left w:val="single" w:sz="4" w:space="0" w:color="auto"/>
              <w:bottom w:val="single" w:sz="4" w:space="0" w:color="auto"/>
              <w:right w:val="nil"/>
            </w:tcBorders>
            <w:shd w:val="clear" w:color="auto" w:fill="auto"/>
            <w:vAlign w:val="center"/>
            <w:hideMark/>
          </w:tcPr>
          <w:p w14:paraId="6A31F657"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610" w:type="pct"/>
            <w:gridSpan w:val="2"/>
            <w:tcBorders>
              <w:top w:val="single" w:sz="4" w:space="0" w:color="auto"/>
              <w:left w:val="nil"/>
              <w:bottom w:val="single" w:sz="4" w:space="0" w:color="auto"/>
              <w:right w:val="single" w:sz="4" w:space="0" w:color="auto"/>
            </w:tcBorders>
            <w:shd w:val="clear" w:color="auto" w:fill="auto"/>
            <w:vAlign w:val="center"/>
            <w:hideMark/>
          </w:tcPr>
          <w:p w14:paraId="19C44B30"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Cuentas por pagar</w:t>
            </w:r>
          </w:p>
        </w:tc>
        <w:tc>
          <w:tcPr>
            <w:tcW w:w="512" w:type="pct"/>
            <w:tcBorders>
              <w:top w:val="nil"/>
              <w:left w:val="nil"/>
              <w:bottom w:val="single" w:sz="4" w:space="0" w:color="auto"/>
              <w:right w:val="single" w:sz="4" w:space="0" w:color="auto"/>
            </w:tcBorders>
            <w:shd w:val="clear" w:color="auto" w:fill="auto"/>
            <w:noWrap/>
            <w:vAlign w:val="center"/>
            <w:hideMark/>
          </w:tcPr>
          <w:p w14:paraId="1A853347"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$0,00</w:t>
            </w:r>
          </w:p>
        </w:tc>
        <w:tc>
          <w:tcPr>
            <w:tcW w:w="438" w:type="pct"/>
            <w:tcBorders>
              <w:top w:val="nil"/>
              <w:left w:val="nil"/>
              <w:bottom w:val="single" w:sz="4" w:space="0" w:color="auto"/>
              <w:right w:val="single" w:sz="4" w:space="0" w:color="auto"/>
            </w:tcBorders>
            <w:shd w:val="clear" w:color="auto" w:fill="auto"/>
            <w:noWrap/>
            <w:vAlign w:val="center"/>
            <w:hideMark/>
          </w:tcPr>
          <w:p w14:paraId="030CDF2C"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$0,00</w:t>
            </w:r>
          </w:p>
        </w:tc>
        <w:tc>
          <w:tcPr>
            <w:tcW w:w="75" w:type="pct"/>
            <w:tcBorders>
              <w:top w:val="nil"/>
              <w:left w:val="nil"/>
              <w:bottom w:val="single" w:sz="4" w:space="0" w:color="auto"/>
              <w:right w:val="single" w:sz="4" w:space="0" w:color="auto"/>
            </w:tcBorders>
            <w:shd w:val="clear" w:color="auto" w:fill="auto"/>
            <w:noWrap/>
            <w:vAlign w:val="center"/>
            <w:hideMark/>
          </w:tcPr>
          <w:p w14:paraId="1FDA4D30" w14:textId="77777777" w:rsidR="00A20990" w:rsidRPr="007A412F" w:rsidRDefault="00A20990" w:rsidP="005140E1">
            <w:pPr>
              <w:contextualSpacing/>
              <w:jc w:val="center"/>
              <w:rPr>
                <w:rFonts w:eastAsia="Times New Roman" w:cs="Arial"/>
                <w:b/>
                <w:bCs/>
                <w:sz w:val="14"/>
                <w:szCs w:val="14"/>
                <w:lang w:eastAsia="es-CO"/>
              </w:rPr>
            </w:pPr>
          </w:p>
        </w:tc>
        <w:tc>
          <w:tcPr>
            <w:tcW w:w="513" w:type="pct"/>
            <w:tcBorders>
              <w:top w:val="nil"/>
              <w:left w:val="nil"/>
              <w:bottom w:val="single" w:sz="4" w:space="0" w:color="auto"/>
              <w:right w:val="single" w:sz="4" w:space="0" w:color="auto"/>
            </w:tcBorders>
            <w:shd w:val="clear" w:color="auto" w:fill="auto"/>
            <w:noWrap/>
            <w:vAlign w:val="center"/>
            <w:hideMark/>
          </w:tcPr>
          <w:p w14:paraId="14CFF8BE"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$44,52</w:t>
            </w:r>
          </w:p>
        </w:tc>
        <w:tc>
          <w:tcPr>
            <w:tcW w:w="446" w:type="pct"/>
            <w:tcBorders>
              <w:top w:val="nil"/>
              <w:left w:val="nil"/>
              <w:bottom w:val="single" w:sz="4" w:space="0" w:color="auto"/>
              <w:right w:val="single" w:sz="4" w:space="0" w:color="auto"/>
            </w:tcBorders>
            <w:shd w:val="clear" w:color="auto" w:fill="auto"/>
            <w:noWrap/>
            <w:vAlign w:val="center"/>
            <w:hideMark/>
          </w:tcPr>
          <w:p w14:paraId="09865463"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$336,37</w:t>
            </w:r>
          </w:p>
        </w:tc>
        <w:tc>
          <w:tcPr>
            <w:tcW w:w="73" w:type="pct"/>
            <w:gridSpan w:val="2"/>
            <w:tcBorders>
              <w:top w:val="nil"/>
              <w:left w:val="nil"/>
              <w:bottom w:val="single" w:sz="4" w:space="0" w:color="auto"/>
              <w:right w:val="single" w:sz="4" w:space="0" w:color="auto"/>
            </w:tcBorders>
            <w:shd w:val="clear" w:color="auto" w:fill="auto"/>
            <w:noWrap/>
            <w:vAlign w:val="center"/>
          </w:tcPr>
          <w:p w14:paraId="016018C2"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8</w:t>
            </w:r>
          </w:p>
        </w:tc>
        <w:tc>
          <w:tcPr>
            <w:tcW w:w="509" w:type="pct"/>
            <w:tcBorders>
              <w:top w:val="nil"/>
              <w:left w:val="nil"/>
              <w:bottom w:val="single" w:sz="4" w:space="0" w:color="auto"/>
              <w:right w:val="single" w:sz="4" w:space="0" w:color="auto"/>
            </w:tcBorders>
            <w:shd w:val="clear" w:color="auto" w:fill="auto"/>
            <w:noWrap/>
            <w:vAlign w:val="center"/>
            <w:hideMark/>
          </w:tcPr>
          <w:p w14:paraId="5EA28631"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$0,00</w:t>
            </w:r>
          </w:p>
        </w:tc>
        <w:tc>
          <w:tcPr>
            <w:tcW w:w="449" w:type="pct"/>
            <w:tcBorders>
              <w:top w:val="nil"/>
              <w:left w:val="nil"/>
              <w:bottom w:val="single" w:sz="4" w:space="0" w:color="auto"/>
              <w:right w:val="single" w:sz="4" w:space="0" w:color="auto"/>
            </w:tcBorders>
            <w:shd w:val="clear" w:color="auto" w:fill="auto"/>
            <w:noWrap/>
            <w:vAlign w:val="center"/>
            <w:hideMark/>
          </w:tcPr>
          <w:p w14:paraId="1C02FD17"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$15,30</w:t>
            </w:r>
          </w:p>
        </w:tc>
        <w:tc>
          <w:tcPr>
            <w:tcW w:w="128" w:type="pct"/>
            <w:tcBorders>
              <w:top w:val="nil"/>
              <w:left w:val="nil"/>
              <w:bottom w:val="single" w:sz="4" w:space="0" w:color="auto"/>
              <w:right w:val="single" w:sz="4" w:space="0" w:color="auto"/>
            </w:tcBorders>
            <w:shd w:val="clear" w:color="auto" w:fill="auto"/>
            <w:noWrap/>
            <w:vAlign w:val="center"/>
            <w:hideMark/>
          </w:tcPr>
          <w:p w14:paraId="39B420E4"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5 </w:t>
            </w:r>
          </w:p>
        </w:tc>
        <w:tc>
          <w:tcPr>
            <w:tcW w:w="513" w:type="pct"/>
            <w:tcBorders>
              <w:top w:val="nil"/>
              <w:left w:val="nil"/>
              <w:bottom w:val="single" w:sz="4" w:space="0" w:color="auto"/>
              <w:right w:val="single" w:sz="4" w:space="0" w:color="auto"/>
            </w:tcBorders>
            <w:shd w:val="clear" w:color="auto" w:fill="auto"/>
            <w:noWrap/>
            <w:vAlign w:val="center"/>
            <w:hideMark/>
          </w:tcPr>
          <w:p w14:paraId="4E5E93E2"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$0,00</w:t>
            </w:r>
          </w:p>
        </w:tc>
        <w:tc>
          <w:tcPr>
            <w:tcW w:w="454" w:type="pct"/>
            <w:tcBorders>
              <w:top w:val="nil"/>
              <w:left w:val="nil"/>
              <w:bottom w:val="single" w:sz="4" w:space="0" w:color="auto"/>
              <w:right w:val="single" w:sz="4" w:space="0" w:color="auto"/>
            </w:tcBorders>
            <w:shd w:val="clear" w:color="auto" w:fill="auto"/>
            <w:noWrap/>
            <w:vAlign w:val="center"/>
            <w:hideMark/>
          </w:tcPr>
          <w:p w14:paraId="1D5C22C4"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$0,00</w:t>
            </w:r>
          </w:p>
        </w:tc>
        <w:tc>
          <w:tcPr>
            <w:tcW w:w="123" w:type="pct"/>
            <w:tcBorders>
              <w:top w:val="nil"/>
              <w:left w:val="nil"/>
              <w:bottom w:val="single" w:sz="4" w:space="0" w:color="auto"/>
              <w:right w:val="single" w:sz="4" w:space="0" w:color="auto"/>
            </w:tcBorders>
            <w:shd w:val="clear" w:color="auto" w:fill="auto"/>
            <w:noWrap/>
            <w:vAlign w:val="center"/>
            <w:hideMark/>
          </w:tcPr>
          <w:p w14:paraId="72AE6EA0"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5 </w:t>
            </w:r>
          </w:p>
        </w:tc>
      </w:tr>
      <w:tr w:rsidR="00AA6A91" w:rsidRPr="001A38D5" w14:paraId="3CDA85D2" w14:textId="77777777" w:rsidTr="00AA6A91">
        <w:trPr>
          <w:trHeight w:val="20"/>
          <w:jc w:val="center"/>
        </w:trPr>
        <w:tc>
          <w:tcPr>
            <w:tcW w:w="157" w:type="pct"/>
            <w:tcBorders>
              <w:top w:val="nil"/>
              <w:left w:val="single" w:sz="4" w:space="0" w:color="auto"/>
              <w:bottom w:val="single" w:sz="4" w:space="0" w:color="auto"/>
              <w:right w:val="nil"/>
            </w:tcBorders>
            <w:shd w:val="clear" w:color="auto" w:fill="auto"/>
            <w:vAlign w:val="center"/>
            <w:hideMark/>
          </w:tcPr>
          <w:p w14:paraId="55FD18A6"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 </w:t>
            </w:r>
          </w:p>
        </w:tc>
        <w:tc>
          <w:tcPr>
            <w:tcW w:w="610" w:type="pct"/>
            <w:gridSpan w:val="2"/>
            <w:tcBorders>
              <w:top w:val="single" w:sz="4" w:space="0" w:color="auto"/>
              <w:left w:val="nil"/>
              <w:bottom w:val="single" w:sz="4" w:space="0" w:color="auto"/>
              <w:right w:val="single" w:sz="4" w:space="0" w:color="auto"/>
            </w:tcBorders>
            <w:shd w:val="clear" w:color="auto" w:fill="auto"/>
            <w:vAlign w:val="center"/>
            <w:hideMark/>
          </w:tcPr>
          <w:p w14:paraId="69A77045" w14:textId="77777777" w:rsidR="00A20990" w:rsidRPr="001A38D5" w:rsidRDefault="00A20990" w:rsidP="005140E1">
            <w:pPr>
              <w:contextualSpacing/>
              <w:rPr>
                <w:rFonts w:eastAsia="Times New Roman" w:cs="Arial"/>
                <w:sz w:val="14"/>
                <w:szCs w:val="14"/>
                <w:lang w:eastAsia="es-CO"/>
              </w:rPr>
            </w:pPr>
            <w:r w:rsidRPr="001A38D5">
              <w:rPr>
                <w:rFonts w:eastAsia="Times New Roman" w:cs="Arial"/>
                <w:sz w:val="14"/>
                <w:szCs w:val="14"/>
                <w:lang w:eastAsia="es-CO"/>
              </w:rPr>
              <w:t>Saldo en caja y bancos</w:t>
            </w:r>
          </w:p>
        </w:tc>
        <w:tc>
          <w:tcPr>
            <w:tcW w:w="512" w:type="pct"/>
            <w:tcBorders>
              <w:top w:val="nil"/>
              <w:left w:val="nil"/>
              <w:bottom w:val="single" w:sz="4" w:space="0" w:color="auto"/>
              <w:right w:val="single" w:sz="4" w:space="0" w:color="auto"/>
            </w:tcBorders>
            <w:shd w:val="clear" w:color="auto" w:fill="auto"/>
            <w:noWrap/>
            <w:vAlign w:val="center"/>
            <w:hideMark/>
          </w:tcPr>
          <w:p w14:paraId="578AEA58"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$249,08</w:t>
            </w:r>
          </w:p>
        </w:tc>
        <w:tc>
          <w:tcPr>
            <w:tcW w:w="438" w:type="pct"/>
            <w:tcBorders>
              <w:top w:val="nil"/>
              <w:left w:val="nil"/>
              <w:bottom w:val="single" w:sz="4" w:space="0" w:color="auto"/>
              <w:right w:val="single" w:sz="4" w:space="0" w:color="auto"/>
            </w:tcBorders>
            <w:shd w:val="clear" w:color="auto" w:fill="auto"/>
            <w:noWrap/>
            <w:vAlign w:val="center"/>
            <w:hideMark/>
          </w:tcPr>
          <w:p w14:paraId="074D25A9" w14:textId="77777777" w:rsidR="00A20990" w:rsidRPr="007A412F" w:rsidRDefault="00A20990" w:rsidP="005140E1">
            <w:pPr>
              <w:contextualSpacing/>
              <w:jc w:val="right"/>
              <w:rPr>
                <w:rFonts w:eastAsia="Times New Roman" w:cs="Arial"/>
                <w:sz w:val="14"/>
                <w:szCs w:val="14"/>
                <w:lang w:eastAsia="es-CO"/>
              </w:rPr>
            </w:pPr>
            <w:r w:rsidRPr="007A412F">
              <w:rPr>
                <w:rFonts w:eastAsia="Times New Roman" w:cs="Arial"/>
                <w:sz w:val="14"/>
                <w:szCs w:val="14"/>
                <w:lang w:eastAsia="es-CO"/>
              </w:rPr>
              <w:t>$1.648,16</w:t>
            </w:r>
          </w:p>
        </w:tc>
        <w:tc>
          <w:tcPr>
            <w:tcW w:w="75" w:type="pct"/>
            <w:tcBorders>
              <w:top w:val="nil"/>
              <w:left w:val="nil"/>
              <w:bottom w:val="single" w:sz="4" w:space="0" w:color="auto"/>
              <w:right w:val="single" w:sz="4" w:space="0" w:color="auto"/>
            </w:tcBorders>
            <w:shd w:val="clear" w:color="auto" w:fill="auto"/>
            <w:noWrap/>
            <w:vAlign w:val="center"/>
            <w:hideMark/>
          </w:tcPr>
          <w:p w14:paraId="35AA8941"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4</w:t>
            </w:r>
          </w:p>
        </w:tc>
        <w:tc>
          <w:tcPr>
            <w:tcW w:w="513" w:type="pct"/>
            <w:tcBorders>
              <w:top w:val="nil"/>
              <w:left w:val="nil"/>
              <w:bottom w:val="single" w:sz="4" w:space="0" w:color="auto"/>
              <w:right w:val="single" w:sz="4" w:space="0" w:color="auto"/>
            </w:tcBorders>
            <w:shd w:val="clear" w:color="auto" w:fill="auto"/>
            <w:noWrap/>
            <w:vAlign w:val="center"/>
            <w:hideMark/>
          </w:tcPr>
          <w:p w14:paraId="6A6059AD"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$676,43</w:t>
            </w:r>
          </w:p>
        </w:tc>
        <w:tc>
          <w:tcPr>
            <w:tcW w:w="446" w:type="pct"/>
            <w:tcBorders>
              <w:top w:val="nil"/>
              <w:left w:val="nil"/>
              <w:bottom w:val="single" w:sz="4" w:space="0" w:color="auto"/>
              <w:right w:val="single" w:sz="4" w:space="0" w:color="auto"/>
            </w:tcBorders>
            <w:shd w:val="clear" w:color="auto" w:fill="auto"/>
            <w:noWrap/>
            <w:vAlign w:val="center"/>
            <w:hideMark/>
          </w:tcPr>
          <w:p w14:paraId="0D5D449A"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$3.549,25</w:t>
            </w:r>
          </w:p>
        </w:tc>
        <w:tc>
          <w:tcPr>
            <w:tcW w:w="73" w:type="pct"/>
            <w:gridSpan w:val="2"/>
            <w:tcBorders>
              <w:top w:val="nil"/>
              <w:left w:val="nil"/>
              <w:bottom w:val="single" w:sz="4" w:space="0" w:color="auto"/>
              <w:right w:val="single" w:sz="4" w:space="0" w:color="auto"/>
            </w:tcBorders>
            <w:shd w:val="clear" w:color="auto" w:fill="auto"/>
            <w:noWrap/>
            <w:vAlign w:val="center"/>
          </w:tcPr>
          <w:p w14:paraId="4E1D79FF" w14:textId="77777777" w:rsidR="00A20990" w:rsidRPr="007A412F" w:rsidRDefault="00A20990" w:rsidP="005140E1">
            <w:pPr>
              <w:contextualSpacing/>
              <w:jc w:val="center"/>
              <w:rPr>
                <w:rFonts w:eastAsia="Times New Roman" w:cs="Arial"/>
                <w:b/>
                <w:bCs/>
                <w:sz w:val="14"/>
                <w:szCs w:val="14"/>
                <w:lang w:eastAsia="es-CO"/>
              </w:rPr>
            </w:pPr>
            <w:r w:rsidRPr="007A412F">
              <w:rPr>
                <w:rFonts w:eastAsia="Times New Roman" w:cs="Arial"/>
                <w:b/>
                <w:bCs/>
                <w:sz w:val="14"/>
                <w:szCs w:val="14"/>
                <w:lang w:eastAsia="es-CO"/>
              </w:rPr>
              <w:t>9</w:t>
            </w:r>
          </w:p>
        </w:tc>
        <w:tc>
          <w:tcPr>
            <w:tcW w:w="509" w:type="pct"/>
            <w:tcBorders>
              <w:top w:val="nil"/>
              <w:left w:val="nil"/>
              <w:bottom w:val="single" w:sz="4" w:space="0" w:color="auto"/>
              <w:right w:val="single" w:sz="4" w:space="0" w:color="auto"/>
            </w:tcBorders>
            <w:shd w:val="clear" w:color="auto" w:fill="auto"/>
            <w:noWrap/>
            <w:vAlign w:val="center"/>
            <w:hideMark/>
          </w:tcPr>
          <w:p w14:paraId="5BDE125D"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$1.138,88</w:t>
            </w:r>
          </w:p>
        </w:tc>
        <w:tc>
          <w:tcPr>
            <w:tcW w:w="449" w:type="pct"/>
            <w:tcBorders>
              <w:top w:val="nil"/>
              <w:left w:val="nil"/>
              <w:bottom w:val="single" w:sz="4" w:space="0" w:color="auto"/>
              <w:right w:val="single" w:sz="4" w:space="0" w:color="auto"/>
            </w:tcBorders>
            <w:shd w:val="clear" w:color="auto" w:fill="auto"/>
            <w:noWrap/>
            <w:vAlign w:val="center"/>
            <w:hideMark/>
          </w:tcPr>
          <w:p w14:paraId="717354BF"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$9.907,39</w:t>
            </w:r>
          </w:p>
        </w:tc>
        <w:tc>
          <w:tcPr>
            <w:tcW w:w="128" w:type="pct"/>
            <w:tcBorders>
              <w:top w:val="nil"/>
              <w:left w:val="nil"/>
              <w:bottom w:val="single" w:sz="4" w:space="0" w:color="auto"/>
              <w:right w:val="single" w:sz="4" w:space="0" w:color="auto"/>
            </w:tcBorders>
            <w:shd w:val="clear" w:color="auto" w:fill="auto"/>
            <w:noWrap/>
            <w:vAlign w:val="center"/>
            <w:hideMark/>
          </w:tcPr>
          <w:p w14:paraId="708710DB"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6 </w:t>
            </w:r>
          </w:p>
        </w:tc>
        <w:tc>
          <w:tcPr>
            <w:tcW w:w="513" w:type="pct"/>
            <w:tcBorders>
              <w:top w:val="nil"/>
              <w:left w:val="nil"/>
              <w:bottom w:val="single" w:sz="4" w:space="0" w:color="auto"/>
              <w:right w:val="single" w:sz="4" w:space="0" w:color="auto"/>
            </w:tcBorders>
            <w:shd w:val="clear" w:color="auto" w:fill="auto"/>
            <w:noWrap/>
            <w:vAlign w:val="center"/>
            <w:hideMark/>
          </w:tcPr>
          <w:p w14:paraId="089E89F0"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$15,13</w:t>
            </w:r>
          </w:p>
        </w:tc>
        <w:tc>
          <w:tcPr>
            <w:tcW w:w="454" w:type="pct"/>
            <w:tcBorders>
              <w:top w:val="nil"/>
              <w:left w:val="nil"/>
              <w:bottom w:val="single" w:sz="4" w:space="0" w:color="auto"/>
              <w:right w:val="single" w:sz="4" w:space="0" w:color="auto"/>
            </w:tcBorders>
            <w:shd w:val="clear" w:color="auto" w:fill="auto"/>
            <w:noWrap/>
            <w:vAlign w:val="center"/>
            <w:hideMark/>
          </w:tcPr>
          <w:p w14:paraId="451E70B6" w14:textId="77777777" w:rsidR="00A20990" w:rsidRPr="007A412F" w:rsidRDefault="00A20990" w:rsidP="005140E1">
            <w:pPr>
              <w:contextualSpacing/>
              <w:jc w:val="center"/>
              <w:rPr>
                <w:rFonts w:eastAsia="Times New Roman" w:cs="Arial"/>
                <w:sz w:val="14"/>
                <w:szCs w:val="14"/>
                <w:lang w:eastAsia="es-CO"/>
              </w:rPr>
            </w:pPr>
            <w:r w:rsidRPr="007A412F">
              <w:rPr>
                <w:rFonts w:eastAsia="Times New Roman" w:cs="Arial"/>
                <w:sz w:val="14"/>
                <w:szCs w:val="14"/>
                <w:lang w:eastAsia="es-CO"/>
              </w:rPr>
              <w:t>$0,00</w:t>
            </w:r>
          </w:p>
        </w:tc>
        <w:tc>
          <w:tcPr>
            <w:tcW w:w="123" w:type="pct"/>
            <w:tcBorders>
              <w:top w:val="nil"/>
              <w:left w:val="nil"/>
              <w:bottom w:val="single" w:sz="4" w:space="0" w:color="auto"/>
              <w:right w:val="single" w:sz="4" w:space="0" w:color="auto"/>
            </w:tcBorders>
            <w:shd w:val="clear" w:color="auto" w:fill="auto"/>
            <w:noWrap/>
            <w:vAlign w:val="center"/>
            <w:hideMark/>
          </w:tcPr>
          <w:p w14:paraId="3BD6DC9F" w14:textId="77777777" w:rsidR="00A20990" w:rsidRPr="007A412F" w:rsidRDefault="00A20990" w:rsidP="005140E1">
            <w:pPr>
              <w:contextualSpacing/>
              <w:jc w:val="right"/>
              <w:rPr>
                <w:rFonts w:eastAsia="Times New Roman" w:cs="Arial"/>
                <w:b/>
                <w:bCs/>
                <w:sz w:val="14"/>
                <w:szCs w:val="14"/>
                <w:lang w:eastAsia="es-CO"/>
              </w:rPr>
            </w:pPr>
            <w:r w:rsidRPr="007A412F">
              <w:rPr>
                <w:rFonts w:eastAsia="Times New Roman" w:cs="Arial"/>
                <w:b/>
                <w:bCs/>
                <w:sz w:val="14"/>
                <w:szCs w:val="14"/>
                <w:lang w:eastAsia="es-CO"/>
              </w:rPr>
              <w:t>6 </w:t>
            </w:r>
          </w:p>
        </w:tc>
      </w:tr>
    </w:tbl>
    <w:p w14:paraId="264C9CC3" w14:textId="77777777" w:rsidR="00A20990" w:rsidRPr="001A38D5" w:rsidRDefault="00A20990" w:rsidP="005140E1">
      <w:pPr>
        <w:pStyle w:val="paragraph"/>
        <w:spacing w:before="0" w:beforeAutospacing="0" w:after="0" w:afterAutospacing="0"/>
        <w:contextualSpacing/>
        <w:jc w:val="center"/>
        <w:textAlignment w:val="baseline"/>
        <w:rPr>
          <w:rFonts w:ascii="Verdana" w:hAnsi="Verdana" w:cs="Arial"/>
        </w:rPr>
      </w:pPr>
      <w:r w:rsidRPr="001A38D5">
        <w:rPr>
          <w:rStyle w:val="normaltextrun"/>
          <w:rFonts w:ascii="Verdana" w:hAnsi="Verdana" w:cs="Arial"/>
          <w:sz w:val="16"/>
          <w:szCs w:val="16"/>
          <w:lang w:val="es-ES"/>
        </w:rPr>
        <w:t>Fuente: Elaboración DAF con base en ejecuciones presupuestales y el reporte FUT y CUIPO 2019-2022</w:t>
      </w:r>
      <w:r w:rsidRPr="001A38D5">
        <w:rPr>
          <w:rStyle w:val="eop"/>
          <w:rFonts w:ascii="Verdana" w:hAnsi="Verdana" w:cs="Arial"/>
          <w:sz w:val="16"/>
          <w:szCs w:val="16"/>
        </w:rPr>
        <w:t> </w:t>
      </w:r>
    </w:p>
    <w:p w14:paraId="6426A5A7" w14:textId="77777777" w:rsidR="00A20990" w:rsidRPr="001A38D5" w:rsidRDefault="00A20990" w:rsidP="005140E1">
      <w:pPr>
        <w:pStyle w:val="paragraph"/>
        <w:spacing w:before="0" w:beforeAutospacing="0" w:after="0" w:afterAutospacing="0"/>
        <w:contextualSpacing/>
        <w:jc w:val="center"/>
        <w:textAlignment w:val="baseline"/>
        <w:rPr>
          <w:rStyle w:val="eop"/>
          <w:rFonts w:ascii="Verdana" w:hAnsi="Verdana" w:cs="Arial"/>
          <w:sz w:val="16"/>
          <w:szCs w:val="16"/>
        </w:rPr>
      </w:pPr>
      <w:r w:rsidRPr="001A38D5">
        <w:rPr>
          <w:rStyle w:val="normaltextrun"/>
          <w:rFonts w:ascii="Verdana" w:hAnsi="Verdana" w:cs="Arial"/>
          <w:sz w:val="16"/>
          <w:szCs w:val="16"/>
          <w:lang w:val="es-ES"/>
        </w:rPr>
        <w:t>** Categoría de Cierre Fiscal del Formulario Único Territorial – FUT.</w:t>
      </w:r>
      <w:r w:rsidRPr="001A38D5">
        <w:rPr>
          <w:rStyle w:val="eop"/>
          <w:rFonts w:ascii="Verdana" w:hAnsi="Verdana" w:cs="Arial"/>
          <w:sz w:val="16"/>
          <w:szCs w:val="16"/>
        </w:rPr>
        <w:t> </w:t>
      </w:r>
    </w:p>
    <w:p w14:paraId="39ADD614" w14:textId="77777777" w:rsidR="00A20990" w:rsidRPr="007A412F" w:rsidRDefault="00A20990" w:rsidP="005140E1">
      <w:pPr>
        <w:pStyle w:val="paragraph"/>
        <w:spacing w:before="0" w:beforeAutospacing="0" w:after="0" w:afterAutospacing="0"/>
        <w:contextualSpacing/>
        <w:textAlignment w:val="baseline"/>
        <w:rPr>
          <w:rStyle w:val="eop"/>
          <w:rFonts w:ascii="Verdana" w:hAnsi="Verdana" w:cs="Arial"/>
          <w:sz w:val="22"/>
          <w:szCs w:val="22"/>
        </w:rPr>
      </w:pPr>
    </w:p>
    <w:p w14:paraId="5CFA9202" w14:textId="77777777" w:rsidR="00A20990" w:rsidRPr="001A38D5" w:rsidRDefault="00A20990" w:rsidP="005140E1">
      <w:pPr>
        <w:ind w:firstLine="709"/>
        <w:contextualSpacing/>
        <w:jc w:val="both"/>
        <w:rPr>
          <w:rFonts w:cs="Arial"/>
          <w:b/>
          <w:bCs/>
        </w:rPr>
      </w:pPr>
      <w:r w:rsidRPr="001A38D5">
        <w:rPr>
          <w:rFonts w:cs="Arial"/>
          <w:b/>
          <w:bCs/>
        </w:rPr>
        <w:t>Vigencia 2019</w:t>
      </w:r>
      <w:r w:rsidR="000A5527">
        <w:rPr>
          <w:rFonts w:cs="Arial"/>
          <w:b/>
          <w:bCs/>
        </w:rPr>
        <w:t>.</w:t>
      </w:r>
    </w:p>
    <w:p w14:paraId="13C04147" w14:textId="77777777" w:rsidR="00A20990" w:rsidRPr="001A38D5" w:rsidRDefault="00A20990" w:rsidP="005140E1">
      <w:pPr>
        <w:contextualSpacing/>
        <w:jc w:val="both"/>
        <w:rPr>
          <w:rFonts w:cs="Arial"/>
          <w:b/>
          <w:bCs/>
          <w:u w:val="single"/>
        </w:rPr>
      </w:pPr>
    </w:p>
    <w:p w14:paraId="5194FF82" w14:textId="77777777" w:rsidR="00A20990" w:rsidRPr="001A38D5" w:rsidRDefault="00A20990" w:rsidP="005140E1">
      <w:pPr>
        <w:contextualSpacing/>
        <w:jc w:val="both"/>
        <w:rPr>
          <w:rFonts w:cs="Arial"/>
        </w:rPr>
      </w:pPr>
      <w:r w:rsidRPr="001A38D5">
        <w:rPr>
          <w:rFonts w:cs="Arial"/>
        </w:rPr>
        <w:t>Para la vigencia 2019, al Municipio se le asignaron recursos por $1.203 millones de la AESGPAE, según los Documentos de Distribución SGP-33-2018 y SGP-36-2019.</w:t>
      </w:r>
    </w:p>
    <w:p w14:paraId="5C1AF957" w14:textId="77777777" w:rsidR="00A20990" w:rsidRPr="001A38D5" w:rsidRDefault="00A20990" w:rsidP="005140E1">
      <w:pPr>
        <w:contextualSpacing/>
        <w:jc w:val="both"/>
        <w:rPr>
          <w:rFonts w:cs="Arial"/>
        </w:rPr>
      </w:pPr>
    </w:p>
    <w:p w14:paraId="11DC53A7" w14:textId="77777777" w:rsidR="00A20990" w:rsidRPr="001A38D5" w:rsidRDefault="00A20990" w:rsidP="005140E1">
      <w:pPr>
        <w:contextualSpacing/>
        <w:jc w:val="both"/>
        <w:rPr>
          <w:rFonts w:cs="Arial"/>
        </w:rPr>
      </w:pPr>
      <w:r w:rsidRPr="001A38D5">
        <w:rPr>
          <w:rFonts w:cs="Arial"/>
        </w:rPr>
        <w:t>1. Al cierre de la vigencia 2019 la Entidad registró en su ejecución presupuestal el recaudo de $1.573,05 millones de la Asignación Especial para Alimentación Escolar del Sistema General de Participaciones, de los cuales el 76 % corresponde a recursos corrientes, guardando consistencia con el monto girado por la Nación al Municipio, así como con la información reportada en el Formulario Único Territorial – FUT por la Entidad Territorial. Ahora bien, con respecto a los recursos de capital, sobre los rendimientos financieros la Entidad reportó un recaudo de $9,7 millones, mientras que en su ejecución presupuestal reporta recursos por este concepto por $39 millones.</w:t>
      </w:r>
    </w:p>
    <w:p w14:paraId="4C81E75D" w14:textId="77777777" w:rsidR="00A20990" w:rsidRPr="001A38D5" w:rsidRDefault="00A20990" w:rsidP="005140E1">
      <w:pPr>
        <w:contextualSpacing/>
        <w:jc w:val="both"/>
        <w:rPr>
          <w:rFonts w:cs="Arial"/>
        </w:rPr>
      </w:pPr>
    </w:p>
    <w:p w14:paraId="2E95AF61" w14:textId="77777777" w:rsidR="00A20990" w:rsidRPr="001A38D5" w:rsidRDefault="00A20990" w:rsidP="005140E1">
      <w:pPr>
        <w:contextualSpacing/>
        <w:jc w:val="both"/>
        <w:rPr>
          <w:rFonts w:cs="Arial"/>
        </w:rPr>
      </w:pPr>
      <w:r w:rsidRPr="001A38D5">
        <w:rPr>
          <w:rFonts w:cs="Arial"/>
        </w:rPr>
        <w:t>2. Frente a los recursos del balance, se evidencia que la Entidad incorporó recursos por $331,03 millones, mientras que en el FUT se reportó un recaudo de $360,30</w:t>
      </w:r>
      <w:r w:rsidR="008535E6">
        <w:rPr>
          <w:rFonts w:cs="Arial"/>
        </w:rPr>
        <w:t xml:space="preserve"> millones</w:t>
      </w:r>
      <w:r w:rsidRPr="001A38D5">
        <w:rPr>
          <w:rFonts w:cs="Arial"/>
        </w:rPr>
        <w:t xml:space="preserve">. Lo anterior contrasta con el resultado fiscal de la vigencia 2018, en la que se presentó superávit por $360,2 millones, según lo reportado en la Categoría de Cierre Fiscal de 2018. Asimismo, el Decreto No. 1000-21/153 del 1 de abril de 2019 </w:t>
      </w:r>
      <w:r w:rsidRPr="001A38D5">
        <w:rPr>
          <w:rFonts w:cs="Arial"/>
        </w:rPr>
        <w:lastRenderedPageBreak/>
        <w:t>”</w:t>
      </w:r>
      <w:r w:rsidRPr="001A38D5">
        <w:rPr>
          <w:rFonts w:cs="Arial"/>
          <w:i/>
          <w:iCs/>
        </w:rPr>
        <w:t>Por medio del cual se modifica el Decreto No. 442 del 17 de diciembre de 2018, mediante el cual se liquida el Presupuesto de Rentas, Recursos de capital y apropiaciones de Gastos para el Municipio de Villavicencio - Vigencia fiscal 2019”,</w:t>
      </w:r>
      <w:r w:rsidRPr="001A38D5">
        <w:rPr>
          <w:rFonts w:cs="Arial"/>
        </w:rPr>
        <w:t xml:space="preserve"> adiciona el presupuesto de ingresos de la vigencia 2019, como sigue: $331 millones correspondientes a recursos del balance del SGP - Alimentación Escolar y $29,4 millones de rendimientos financieros de la AESGPAE.</w:t>
      </w:r>
    </w:p>
    <w:p w14:paraId="3F75F8DA" w14:textId="77777777" w:rsidR="00A20990" w:rsidRPr="001A38D5" w:rsidRDefault="00A20990" w:rsidP="005140E1">
      <w:pPr>
        <w:contextualSpacing/>
        <w:jc w:val="both"/>
        <w:rPr>
          <w:rFonts w:cs="Arial"/>
        </w:rPr>
      </w:pPr>
    </w:p>
    <w:p w14:paraId="2BD88A27" w14:textId="77777777" w:rsidR="00A20990" w:rsidRPr="001A38D5" w:rsidRDefault="00A20990" w:rsidP="005140E1">
      <w:pPr>
        <w:contextualSpacing/>
        <w:jc w:val="both"/>
        <w:rPr>
          <w:rFonts w:eastAsia="Times New Roman" w:cs="Arial"/>
          <w:lang w:eastAsia="es-CO"/>
        </w:rPr>
      </w:pPr>
      <w:r w:rsidRPr="001A38D5">
        <w:rPr>
          <w:rFonts w:cs="Arial"/>
        </w:rPr>
        <w:t xml:space="preserve">Frente a los gastos de inversión, para la vigencia 2019 la Entidad destinó recursos por $11.721 millones para la contratación con terceros para la provisión integral del Servicio de Alimentación Escolar, de los cuales $1.323,9 </w:t>
      </w:r>
      <w:r w:rsidR="008535E6">
        <w:rPr>
          <w:rFonts w:cs="Arial"/>
        </w:rPr>
        <w:t>millones</w:t>
      </w:r>
      <w:r w:rsidR="008535E6" w:rsidRPr="001A38D5">
        <w:rPr>
          <w:rFonts w:cs="Arial"/>
        </w:rPr>
        <w:t xml:space="preserve"> </w:t>
      </w:r>
      <w:r w:rsidRPr="001A38D5">
        <w:rPr>
          <w:rFonts w:cs="Arial"/>
        </w:rPr>
        <w:t xml:space="preserve">correspondían a recursos de la AESGPAE ($951,7 millones de recursos corrientes, $331 </w:t>
      </w:r>
      <w:r w:rsidR="008535E6">
        <w:rPr>
          <w:rFonts w:cs="Arial"/>
        </w:rPr>
        <w:t>millones</w:t>
      </w:r>
      <w:r w:rsidR="008535E6" w:rsidRPr="001A38D5">
        <w:rPr>
          <w:rFonts w:cs="Arial"/>
        </w:rPr>
        <w:t xml:space="preserve"> </w:t>
      </w:r>
      <w:r w:rsidRPr="001A38D5">
        <w:rPr>
          <w:rFonts w:cs="Arial"/>
        </w:rPr>
        <w:t>de recursos del balance y $41,2</w:t>
      </w:r>
      <w:r w:rsidR="008535E6">
        <w:rPr>
          <w:rFonts w:cs="Arial"/>
        </w:rPr>
        <w:t xml:space="preserve"> millones</w:t>
      </w:r>
      <w:r w:rsidRPr="001A38D5">
        <w:rPr>
          <w:rFonts w:cs="Arial"/>
        </w:rPr>
        <w:t xml:space="preserve"> de rendimientos financieros). El Municipio obligó y pagó el 100</w:t>
      </w:r>
      <w:r w:rsidR="000A5527">
        <w:rPr>
          <w:rFonts w:cs="Arial"/>
        </w:rPr>
        <w:t xml:space="preserve"> </w:t>
      </w:r>
      <w:r w:rsidRPr="001A38D5">
        <w:rPr>
          <w:rFonts w:cs="Arial"/>
        </w:rPr>
        <w:t xml:space="preserve">% de lo comprometido, según lo muestran las </w:t>
      </w:r>
      <w:r w:rsidR="000A5527">
        <w:rPr>
          <w:rFonts w:cs="Arial"/>
        </w:rPr>
        <w:t>Ó</w:t>
      </w:r>
      <w:r w:rsidRPr="001A38D5">
        <w:rPr>
          <w:rFonts w:cs="Arial"/>
        </w:rPr>
        <w:t xml:space="preserve">rdenes de </w:t>
      </w:r>
      <w:r w:rsidR="000A5527">
        <w:rPr>
          <w:rFonts w:cs="Arial"/>
        </w:rPr>
        <w:t>P</w:t>
      </w:r>
      <w:r w:rsidRPr="001A38D5">
        <w:rPr>
          <w:rFonts w:cs="Arial"/>
        </w:rPr>
        <w:t xml:space="preserve">ago 3089, 5089 y 10081 y los </w:t>
      </w:r>
      <w:r w:rsidR="000A5527">
        <w:rPr>
          <w:rFonts w:cs="Arial"/>
        </w:rPr>
        <w:t>C</w:t>
      </w:r>
      <w:r w:rsidRPr="001A38D5">
        <w:rPr>
          <w:rFonts w:cs="Arial"/>
        </w:rPr>
        <w:t xml:space="preserve">omprobantes de </w:t>
      </w:r>
      <w:r w:rsidR="000A5527">
        <w:rPr>
          <w:rFonts w:cs="Arial"/>
        </w:rPr>
        <w:t>E</w:t>
      </w:r>
      <w:r w:rsidRPr="001A38D5">
        <w:rPr>
          <w:rFonts w:cs="Arial"/>
        </w:rPr>
        <w:t xml:space="preserve">greso </w:t>
      </w:r>
      <w:r w:rsidRPr="001A38D5">
        <w:rPr>
          <w:rFonts w:eastAsia="Times New Roman" w:cs="Arial"/>
          <w:lang w:eastAsia="es-CO"/>
        </w:rPr>
        <w:t>3736, 5989 y 11441 de 2019 de los Contratos No. 077 y 1198 de 2019.</w:t>
      </w:r>
    </w:p>
    <w:p w14:paraId="2D38D488" w14:textId="77777777" w:rsidR="00A20990" w:rsidRPr="001A38D5" w:rsidRDefault="00A20990" w:rsidP="005140E1">
      <w:pPr>
        <w:contextualSpacing/>
        <w:jc w:val="both"/>
        <w:rPr>
          <w:rFonts w:eastAsia="Times New Roman" w:cs="Arial"/>
          <w:lang w:eastAsia="es-CO"/>
        </w:rPr>
      </w:pPr>
    </w:p>
    <w:p w14:paraId="783E417D" w14:textId="77777777" w:rsidR="00A20990" w:rsidRPr="001A38D5" w:rsidRDefault="00A20990" w:rsidP="005140E1">
      <w:pPr>
        <w:contextualSpacing/>
        <w:jc w:val="both"/>
        <w:rPr>
          <w:rFonts w:cs="Arial"/>
        </w:rPr>
      </w:pPr>
      <w:r w:rsidRPr="001A38D5">
        <w:rPr>
          <w:rFonts w:cs="Arial"/>
        </w:rPr>
        <w:t>3. A partir de las ejecuciones presupuestales de ingresos y gastos, el resultado del ejercicio presupuestal para la vigencia 2019 fue superavitario por $249,08 millones</w:t>
      </w:r>
      <w:r w:rsidR="000A5527">
        <w:rPr>
          <w:rFonts w:cs="Arial"/>
        </w:rPr>
        <w:t>;</w:t>
      </w:r>
      <w:r w:rsidRPr="001A38D5">
        <w:rPr>
          <w:rFonts w:cs="Arial"/>
        </w:rPr>
        <w:t xml:space="preserve"> sin embargo, la Entidad reportó en la Categoría Cierre Fiscal del FUT un superávit por $1.648,16 millones, con una diferencia de $1.399 millones. </w:t>
      </w:r>
    </w:p>
    <w:p w14:paraId="076361AF" w14:textId="77777777" w:rsidR="00A20990" w:rsidRPr="001A38D5" w:rsidRDefault="00A20990" w:rsidP="005140E1">
      <w:pPr>
        <w:contextualSpacing/>
        <w:jc w:val="both"/>
        <w:rPr>
          <w:rFonts w:cs="Arial"/>
        </w:rPr>
      </w:pPr>
    </w:p>
    <w:p w14:paraId="0AA72110" w14:textId="77777777" w:rsidR="00A20990" w:rsidRPr="001A38D5" w:rsidRDefault="00A20990" w:rsidP="005140E1">
      <w:pPr>
        <w:contextualSpacing/>
        <w:jc w:val="both"/>
        <w:rPr>
          <w:rFonts w:cs="Arial"/>
        </w:rPr>
      </w:pPr>
      <w:r w:rsidRPr="001A38D5">
        <w:rPr>
          <w:rFonts w:cs="Arial"/>
        </w:rPr>
        <w:t>4. No se constituyeron reservas presupuestales, ni cuentas por pagar, por lo que a partir de las ejecuciones presupuestales de ingresos y gasto se tendría un saldo en caja y bancos de $249,08</w:t>
      </w:r>
      <w:r w:rsidR="008535E6">
        <w:rPr>
          <w:rFonts w:cs="Arial"/>
        </w:rPr>
        <w:t xml:space="preserve"> millones</w:t>
      </w:r>
      <w:r w:rsidR="000A5527">
        <w:rPr>
          <w:rFonts w:cs="Arial"/>
        </w:rPr>
        <w:t>;</w:t>
      </w:r>
      <w:r w:rsidRPr="001A38D5">
        <w:rPr>
          <w:rFonts w:cs="Arial"/>
        </w:rPr>
        <w:t xml:space="preserve"> no obstante, la Entidad reportó $1.648,16 millones por este concepto en la Categoría Cierre Fiscal del FUT.</w:t>
      </w:r>
    </w:p>
    <w:p w14:paraId="48AC15EA" w14:textId="77777777" w:rsidR="00A20990" w:rsidRPr="001A38D5" w:rsidRDefault="00A20990" w:rsidP="005140E1">
      <w:pPr>
        <w:contextualSpacing/>
        <w:jc w:val="both"/>
        <w:rPr>
          <w:rFonts w:cs="Arial"/>
        </w:rPr>
      </w:pPr>
    </w:p>
    <w:p w14:paraId="0CD18734" w14:textId="77777777" w:rsidR="00A20990" w:rsidRPr="001A38D5" w:rsidRDefault="00A20990" w:rsidP="005140E1">
      <w:pPr>
        <w:ind w:firstLine="709"/>
        <w:contextualSpacing/>
        <w:jc w:val="both"/>
        <w:rPr>
          <w:rFonts w:cs="Arial"/>
          <w:b/>
          <w:bCs/>
        </w:rPr>
      </w:pPr>
      <w:r w:rsidRPr="001A38D5">
        <w:rPr>
          <w:rFonts w:cs="Arial"/>
          <w:b/>
          <w:bCs/>
        </w:rPr>
        <w:t>Vigencia 2020</w:t>
      </w:r>
      <w:r w:rsidR="000A5527">
        <w:rPr>
          <w:rFonts w:cs="Arial"/>
          <w:b/>
          <w:bCs/>
        </w:rPr>
        <w:t>.</w:t>
      </w:r>
    </w:p>
    <w:p w14:paraId="5D3C9D85" w14:textId="77777777" w:rsidR="00A20990" w:rsidRPr="001A38D5" w:rsidRDefault="00A20990" w:rsidP="005140E1">
      <w:pPr>
        <w:contextualSpacing/>
        <w:jc w:val="both"/>
        <w:rPr>
          <w:rFonts w:cs="Arial"/>
          <w:b/>
          <w:bCs/>
          <w:u w:val="single"/>
        </w:rPr>
      </w:pPr>
    </w:p>
    <w:p w14:paraId="7973EA07" w14:textId="77777777" w:rsidR="00A20990" w:rsidRPr="001A38D5" w:rsidRDefault="00A20990" w:rsidP="005140E1">
      <w:pPr>
        <w:contextualSpacing/>
        <w:jc w:val="both"/>
        <w:rPr>
          <w:rFonts w:cs="Arial"/>
        </w:rPr>
      </w:pPr>
      <w:r w:rsidRPr="001A38D5">
        <w:rPr>
          <w:rFonts w:cs="Arial"/>
        </w:rPr>
        <w:t>Para la vigencia 2020, al Municipio se le asignaron recursos por $1.253 millones de la AESGPAE, según los Documentos de Distribución SGP-39-2019, SGP-42-2020 y SGP-48-2020.</w:t>
      </w:r>
    </w:p>
    <w:p w14:paraId="6EE61244" w14:textId="77777777" w:rsidR="00A20990" w:rsidRPr="001A38D5" w:rsidRDefault="00A20990" w:rsidP="005140E1">
      <w:pPr>
        <w:contextualSpacing/>
        <w:jc w:val="both"/>
        <w:rPr>
          <w:rFonts w:cs="Arial"/>
        </w:rPr>
      </w:pPr>
    </w:p>
    <w:p w14:paraId="0B57A122" w14:textId="77777777" w:rsidR="00A20990" w:rsidRPr="001A38D5" w:rsidRDefault="00A20990" w:rsidP="005140E1">
      <w:pPr>
        <w:contextualSpacing/>
        <w:jc w:val="both"/>
        <w:rPr>
          <w:rFonts w:cs="Arial"/>
        </w:rPr>
      </w:pPr>
      <w:r w:rsidRPr="001A38D5">
        <w:rPr>
          <w:rFonts w:cs="Arial"/>
        </w:rPr>
        <w:t>1. Sobre los recursos de capital se presentan diferencias, toda vez que la ejecución presupuestal muestra recaudo por concepto de recursos no ejecutados de vigencias anteriores por $405,45 millones, mientras que el reporte de la Categoría de Ingresos del FUT registra un recaudo por $406,73 millones. Asimismo, el reporte no coincide con el resultado evidenciado en la vigencia 2019 ($249,08 millones).</w:t>
      </w:r>
    </w:p>
    <w:p w14:paraId="3BCD5484" w14:textId="77777777" w:rsidR="00A20990" w:rsidRPr="001A38D5" w:rsidRDefault="00A20990" w:rsidP="005140E1">
      <w:pPr>
        <w:contextualSpacing/>
        <w:jc w:val="both"/>
        <w:rPr>
          <w:rFonts w:cs="Arial"/>
        </w:rPr>
      </w:pPr>
    </w:p>
    <w:p w14:paraId="4F302A83" w14:textId="77777777" w:rsidR="00A20990" w:rsidRPr="001A38D5" w:rsidRDefault="00A20990" w:rsidP="005140E1">
      <w:pPr>
        <w:contextualSpacing/>
        <w:jc w:val="both"/>
        <w:rPr>
          <w:rFonts w:cs="Arial"/>
        </w:rPr>
      </w:pPr>
      <w:r w:rsidRPr="001A38D5">
        <w:rPr>
          <w:rFonts w:cs="Arial"/>
        </w:rPr>
        <w:t xml:space="preserve">2. Asimismo, para los rendimientos financieros de la AESPGAE, la Entidad reporta $21,7 millones en la Categoría de Ingresos del FUT, mientras que en su Ejecución se registran $22,98 millones. </w:t>
      </w:r>
    </w:p>
    <w:p w14:paraId="05DBC646" w14:textId="77777777" w:rsidR="00A20990" w:rsidRPr="001A38D5" w:rsidRDefault="00A20990" w:rsidP="005140E1">
      <w:pPr>
        <w:contextualSpacing/>
        <w:jc w:val="both"/>
        <w:rPr>
          <w:rFonts w:cs="Arial"/>
        </w:rPr>
      </w:pPr>
    </w:p>
    <w:p w14:paraId="5B52275F" w14:textId="77777777" w:rsidR="00A20990" w:rsidRPr="001A38D5" w:rsidRDefault="00A20990" w:rsidP="005140E1">
      <w:pPr>
        <w:contextualSpacing/>
        <w:jc w:val="both"/>
        <w:rPr>
          <w:rFonts w:cs="Arial"/>
        </w:rPr>
      </w:pPr>
      <w:r w:rsidRPr="001A38D5">
        <w:rPr>
          <w:rFonts w:cs="Arial"/>
        </w:rPr>
        <w:t xml:space="preserve">3. En lo referente a los gastos, para la vigencia 2020 la Entidad destinó recursos por $12.671 millones para la contratación con terceros para la provisión integral del Servicio de Alimentación Escolar, de los cuales $1.167,49 millones correspondían a recursos corrientes de la AESGPAE y $449,2 a recursos de capital. Pese a que lo </w:t>
      </w:r>
      <w:r w:rsidRPr="001A38D5">
        <w:rPr>
          <w:rFonts w:cs="Arial"/>
        </w:rPr>
        <w:lastRenderedPageBreak/>
        <w:t>registrado en la ejecución presupuestal y la Categoría de Gastos del FUT coincide, los CDP y RDP expedidos para la ejecución de los Contratos 049, 594 de 2020 y 1961 del 13 de 2020 dan cuenta de compromisos por $1.167,49</w:t>
      </w:r>
      <w:r w:rsidR="008535E6">
        <w:rPr>
          <w:rFonts w:cs="Arial"/>
        </w:rPr>
        <w:t xml:space="preserve"> millones</w:t>
      </w:r>
      <w:r w:rsidRPr="001A38D5">
        <w:rPr>
          <w:rFonts w:cs="Arial"/>
        </w:rPr>
        <w:t xml:space="preserve"> de recursos corrientes de la Asignación y $459,14 </w:t>
      </w:r>
      <w:r w:rsidR="008535E6">
        <w:rPr>
          <w:rFonts w:cs="Arial"/>
        </w:rPr>
        <w:t xml:space="preserve">millones </w:t>
      </w:r>
      <w:r w:rsidRPr="001A38D5">
        <w:rPr>
          <w:rFonts w:cs="Arial"/>
        </w:rPr>
        <w:t>de recursos de capital.</w:t>
      </w:r>
    </w:p>
    <w:p w14:paraId="79BD4D56" w14:textId="77777777" w:rsidR="00A20990" w:rsidRPr="001A38D5" w:rsidRDefault="00A20990" w:rsidP="005140E1">
      <w:pPr>
        <w:contextualSpacing/>
        <w:jc w:val="both"/>
        <w:rPr>
          <w:rFonts w:cs="Arial"/>
        </w:rPr>
      </w:pPr>
    </w:p>
    <w:p w14:paraId="6E4CD6AC" w14:textId="77777777" w:rsidR="00A20990" w:rsidRPr="001A38D5" w:rsidRDefault="00A20990" w:rsidP="005140E1">
      <w:pPr>
        <w:contextualSpacing/>
        <w:jc w:val="both"/>
        <w:rPr>
          <w:rFonts w:eastAsia="Times New Roman" w:cs="Arial"/>
          <w:lang w:eastAsia="es-CO"/>
        </w:rPr>
      </w:pPr>
      <w:r w:rsidRPr="001A38D5">
        <w:rPr>
          <w:rFonts w:cs="Arial"/>
        </w:rPr>
        <w:t xml:space="preserve">4. Al cierre de la vigencia 2020, la Entidad Territorial obligó el 65 % de los recursos comprometidos. No obstante, los documentos de ejecución de los contratos financiados con recursos de la AEGPAE dan cuenta de la ejecución de recursos por $1.586,97 millones, lo que representa una diferencia de </w:t>
      </w:r>
      <w:r w:rsidRPr="001A38D5">
        <w:rPr>
          <w:rFonts w:eastAsia="Times New Roman" w:cs="Arial"/>
          <w:lang w:eastAsia="es-CO"/>
        </w:rPr>
        <w:t xml:space="preserve">$537,14 </w:t>
      </w:r>
      <w:r w:rsidR="008535E6">
        <w:rPr>
          <w:rFonts w:eastAsia="Times New Roman" w:cs="Arial"/>
          <w:lang w:eastAsia="es-CO"/>
        </w:rPr>
        <w:t xml:space="preserve">millones </w:t>
      </w:r>
      <w:r w:rsidRPr="001A38D5">
        <w:rPr>
          <w:rFonts w:eastAsia="Times New Roman" w:cs="Arial"/>
          <w:lang w:eastAsia="es-CO"/>
        </w:rPr>
        <w:t>con lo reportado en la ejecución presupuestal y en la Categoría de Gastos del FUT.</w:t>
      </w:r>
    </w:p>
    <w:p w14:paraId="14D47D32" w14:textId="77777777" w:rsidR="00A20990" w:rsidRPr="001A38D5" w:rsidRDefault="00A20990" w:rsidP="005140E1">
      <w:pPr>
        <w:contextualSpacing/>
        <w:jc w:val="both"/>
        <w:rPr>
          <w:rFonts w:eastAsia="Times New Roman" w:cs="Arial"/>
          <w:lang w:eastAsia="es-CO"/>
        </w:rPr>
      </w:pPr>
    </w:p>
    <w:p w14:paraId="36D3B29E" w14:textId="77777777" w:rsidR="00A20990" w:rsidRPr="001A38D5" w:rsidRDefault="00A20990" w:rsidP="005140E1">
      <w:pPr>
        <w:contextualSpacing/>
        <w:jc w:val="both"/>
        <w:rPr>
          <w:rFonts w:eastAsia="Times New Roman" w:cs="Arial"/>
          <w:lang w:eastAsia="es-CO"/>
        </w:rPr>
      </w:pPr>
      <w:r w:rsidRPr="001A38D5">
        <w:rPr>
          <w:rFonts w:cs="Arial"/>
        </w:rPr>
        <w:t>5. En lo que respecta a los pagos, la Entidad reporta pagos por $1.005,31</w:t>
      </w:r>
      <w:r w:rsidR="008535E6">
        <w:rPr>
          <w:rFonts w:cs="Arial"/>
        </w:rPr>
        <w:t xml:space="preserve"> millones</w:t>
      </w:r>
      <w:r w:rsidRPr="001A38D5">
        <w:rPr>
          <w:rFonts w:cs="Arial"/>
        </w:rPr>
        <w:t xml:space="preserve">, tanto en su </w:t>
      </w:r>
      <w:r w:rsidRPr="001A38D5">
        <w:rPr>
          <w:rFonts w:eastAsia="Times New Roman" w:cs="Arial"/>
          <w:lang w:eastAsia="es-CO"/>
        </w:rPr>
        <w:t xml:space="preserve">ejecución presupuestal, como en la Categoría de Gastos del FUT. No obstante, las </w:t>
      </w:r>
      <w:r w:rsidR="000A5527">
        <w:rPr>
          <w:rFonts w:eastAsia="Times New Roman" w:cs="Arial"/>
          <w:lang w:eastAsia="es-CO"/>
        </w:rPr>
        <w:t>Ó</w:t>
      </w:r>
      <w:r w:rsidRPr="001A38D5">
        <w:rPr>
          <w:rFonts w:eastAsia="Times New Roman" w:cs="Arial"/>
          <w:lang w:eastAsia="es-CO"/>
        </w:rPr>
        <w:t xml:space="preserve">rdenes de </w:t>
      </w:r>
      <w:r w:rsidR="000A5527">
        <w:rPr>
          <w:rFonts w:eastAsia="Times New Roman" w:cs="Arial"/>
          <w:lang w:eastAsia="es-CO"/>
        </w:rPr>
        <w:t>P</w:t>
      </w:r>
      <w:r w:rsidRPr="001A38D5">
        <w:rPr>
          <w:rFonts w:eastAsia="Times New Roman" w:cs="Arial"/>
          <w:lang w:eastAsia="es-CO"/>
        </w:rPr>
        <w:t xml:space="preserve">ago 3205, 6210, 10355, 11324 y 11326, dan cuenta de la autorización de pagos por $1.816,68 millones con cargo a la AESGPAE (imputación presupuestal 0402-3-2432111-86) y la </w:t>
      </w:r>
      <w:r w:rsidR="000A5527">
        <w:rPr>
          <w:rFonts w:eastAsia="Times New Roman" w:cs="Arial"/>
          <w:lang w:eastAsia="es-CO"/>
        </w:rPr>
        <w:t>O</w:t>
      </w:r>
      <w:r w:rsidRPr="001A38D5">
        <w:rPr>
          <w:rFonts w:eastAsia="Times New Roman" w:cs="Arial"/>
          <w:lang w:eastAsia="es-CO"/>
        </w:rPr>
        <w:t>rden 10357 de 2020 de $9,95 millones de rendimientos financieros de la Asignación (imputación presupuestal 0402-3-2432111-866).</w:t>
      </w:r>
    </w:p>
    <w:p w14:paraId="72782DDD" w14:textId="77777777" w:rsidR="00A20990" w:rsidRPr="001A38D5" w:rsidRDefault="00A20990" w:rsidP="005140E1">
      <w:pPr>
        <w:contextualSpacing/>
        <w:jc w:val="both"/>
        <w:rPr>
          <w:rFonts w:eastAsia="Times New Roman" w:cs="Arial"/>
          <w:lang w:eastAsia="es-CO"/>
        </w:rPr>
      </w:pPr>
    </w:p>
    <w:p w14:paraId="078468A8" w14:textId="77777777" w:rsidR="00A20990" w:rsidRPr="001A38D5" w:rsidRDefault="00A20990" w:rsidP="005140E1">
      <w:pPr>
        <w:contextualSpacing/>
        <w:jc w:val="both"/>
        <w:rPr>
          <w:rFonts w:eastAsia="Times New Roman" w:cs="Arial"/>
          <w:lang w:eastAsia="es-CO"/>
        </w:rPr>
      </w:pPr>
      <w:r w:rsidRPr="001A38D5">
        <w:rPr>
          <w:rFonts w:eastAsia="Times New Roman" w:cs="Arial"/>
          <w:lang w:eastAsia="es-CO"/>
        </w:rPr>
        <w:t>6. El superávit fiscal de la vigencia 2020 difiere para las dos fuentes de información consultadas, registrándose un mayor valor en la Categoría de Cierre Fiscal del FUT ($65,06 millones, frente a $1.478,11 millones).</w:t>
      </w:r>
    </w:p>
    <w:p w14:paraId="7DAFA1C3" w14:textId="77777777" w:rsidR="00A20990" w:rsidRPr="001A38D5" w:rsidRDefault="00A20990" w:rsidP="005140E1">
      <w:pPr>
        <w:contextualSpacing/>
        <w:jc w:val="both"/>
        <w:rPr>
          <w:rFonts w:eastAsia="Times New Roman" w:cs="Arial"/>
          <w:lang w:eastAsia="es-CO"/>
        </w:rPr>
      </w:pPr>
    </w:p>
    <w:p w14:paraId="55DDA089" w14:textId="77777777" w:rsidR="00A20990" w:rsidRPr="001A38D5" w:rsidRDefault="00A20990" w:rsidP="005140E1">
      <w:pPr>
        <w:contextualSpacing/>
        <w:jc w:val="both"/>
        <w:rPr>
          <w:rFonts w:eastAsia="Times New Roman" w:cs="Arial"/>
          <w:lang w:eastAsia="es-CO"/>
        </w:rPr>
      </w:pPr>
      <w:r w:rsidRPr="001A38D5">
        <w:rPr>
          <w:rFonts w:eastAsia="Times New Roman" w:cs="Arial"/>
          <w:lang w:eastAsia="es-CO"/>
        </w:rPr>
        <w:t>7. Según lo registrado en las ejecuciones presupuestales de ingresos y gastos, se debían constituir reservas por $566,85 millones. Por su parte, la Resolución No. 1650-67.13/06 del 20 de enero de 2021 “</w:t>
      </w:r>
      <w:r w:rsidRPr="001A38D5">
        <w:rPr>
          <w:rFonts w:eastAsia="Times New Roman" w:cs="Arial"/>
          <w:i/>
          <w:iCs/>
          <w:lang w:eastAsia="es-CO"/>
        </w:rPr>
        <w:t>Por medio del cual</w:t>
      </w:r>
      <w:r w:rsidRPr="001A38D5">
        <w:rPr>
          <w:rFonts w:eastAsia="Times New Roman" w:cs="Arial"/>
          <w:lang w:eastAsia="es-CO"/>
        </w:rPr>
        <w:t xml:space="preserve"> </w:t>
      </w:r>
      <w:r w:rsidRPr="001A38D5">
        <w:rPr>
          <w:rFonts w:eastAsia="Times New Roman" w:cs="Arial"/>
          <w:i/>
          <w:iCs/>
          <w:lang w:eastAsia="es-CO"/>
        </w:rPr>
        <w:t>se constituye en reservas presupuestales vigencia 2020 y se dictan otras disposiciones”</w:t>
      </w:r>
      <w:r w:rsidRPr="001A38D5">
        <w:rPr>
          <w:rFonts w:eastAsia="Times New Roman" w:cs="Arial"/>
          <w:lang w:eastAsia="es-CO"/>
        </w:rPr>
        <w:t xml:space="preserve"> resuelve la constitución de reservas de la AESGPAE por $566,85 millones, así: recursos corrientes por $127,62 millones, de recursos del balance por $405,44 millones y de rendimientos financieros por $33,78 millones. Esta información coincide con la consignada por la Entidad en el Reporte Reservas Presupuestales del FUT. Sin embargo, en la Categoría Cierre Fiscal del FUT se reportan reservas por $1.734,77 millones para la AESGPAE.</w:t>
      </w:r>
    </w:p>
    <w:p w14:paraId="32649AC9" w14:textId="77777777" w:rsidR="00A20990" w:rsidRPr="001A38D5" w:rsidRDefault="00A20990" w:rsidP="005140E1">
      <w:pPr>
        <w:contextualSpacing/>
        <w:jc w:val="both"/>
        <w:rPr>
          <w:rFonts w:eastAsia="Times New Roman" w:cs="Arial"/>
          <w:lang w:eastAsia="es-CO"/>
        </w:rPr>
      </w:pPr>
    </w:p>
    <w:p w14:paraId="5892E3E4" w14:textId="77777777" w:rsidR="00A20990" w:rsidRPr="001A38D5" w:rsidRDefault="00A20990" w:rsidP="005140E1">
      <w:pPr>
        <w:contextualSpacing/>
        <w:jc w:val="both"/>
        <w:rPr>
          <w:rFonts w:eastAsia="Times New Roman" w:cs="Arial"/>
          <w:lang w:eastAsia="es-CO"/>
        </w:rPr>
      </w:pPr>
      <w:r w:rsidRPr="001A38D5">
        <w:rPr>
          <w:rFonts w:eastAsia="Times New Roman" w:cs="Arial"/>
          <w:lang w:eastAsia="es-CO"/>
        </w:rPr>
        <w:t xml:space="preserve">8. Asimismo, según lo registrado en las ejecuciones presupuestales de ingresos y gastos, se debían constituir cuentas por pagar por $44,52 millones, lo que se corresponde con la Resolución No. 1650-67.13/001 del 12 de enero de 2021 </w:t>
      </w:r>
      <w:r w:rsidRPr="001A38D5">
        <w:rPr>
          <w:rFonts w:eastAsia="Times New Roman" w:cs="Arial"/>
          <w:i/>
          <w:iCs/>
          <w:lang w:eastAsia="es-CO"/>
        </w:rPr>
        <w:t>“Por medio de la cual se constituyen las cuentas por pagar de la vigencia 2020"</w:t>
      </w:r>
      <w:r w:rsidRPr="001A38D5">
        <w:rPr>
          <w:rFonts w:eastAsia="Times New Roman" w:cs="Arial"/>
          <w:lang w:eastAsia="es-CO"/>
        </w:rPr>
        <w:t>, la cual advierte de la constitución de cuentas por pagar de recursos corrientes de la AESGPAE por $34,56 millones y de rendimientos financieros de la Asignación por $9,96 millones, para un total de $44,52</w:t>
      </w:r>
      <w:r w:rsidR="00496D37">
        <w:rPr>
          <w:rFonts w:eastAsia="Times New Roman" w:cs="Arial"/>
          <w:lang w:eastAsia="es-CO"/>
        </w:rPr>
        <w:t xml:space="preserve"> millones</w:t>
      </w:r>
      <w:r w:rsidRPr="001A38D5">
        <w:rPr>
          <w:rFonts w:eastAsia="Times New Roman" w:cs="Arial"/>
          <w:lang w:eastAsia="es-CO"/>
        </w:rPr>
        <w:t>. Mientras tanto, en la Categoría Cierre Fiscal del FUT se reportaron cuentas por pagar por $336,37</w:t>
      </w:r>
      <w:r w:rsidR="00496D37">
        <w:rPr>
          <w:rFonts w:eastAsia="Times New Roman" w:cs="Arial"/>
          <w:lang w:eastAsia="es-CO"/>
        </w:rPr>
        <w:t xml:space="preserve"> millones</w:t>
      </w:r>
      <w:r w:rsidRPr="001A38D5">
        <w:rPr>
          <w:rFonts w:eastAsia="Times New Roman" w:cs="Arial"/>
          <w:lang w:eastAsia="es-CO"/>
        </w:rPr>
        <w:t xml:space="preserve">. Además, en el reporte de Cuentas por Pagar del FUT la Entidad registró cuentas por pagar contraídas con recursos de la AESGPAE por $243,24 millones. </w:t>
      </w:r>
    </w:p>
    <w:p w14:paraId="163D77A0" w14:textId="77777777" w:rsidR="00A20990" w:rsidRPr="001A38D5" w:rsidRDefault="00A20990" w:rsidP="005140E1">
      <w:pPr>
        <w:contextualSpacing/>
        <w:jc w:val="both"/>
        <w:rPr>
          <w:rFonts w:eastAsia="Times New Roman" w:cs="Arial"/>
          <w:lang w:eastAsia="es-CO"/>
        </w:rPr>
      </w:pPr>
    </w:p>
    <w:p w14:paraId="4F22E7C7" w14:textId="77777777" w:rsidR="00A20990" w:rsidRPr="001A38D5" w:rsidRDefault="00A20990" w:rsidP="005140E1">
      <w:pPr>
        <w:contextualSpacing/>
        <w:jc w:val="both"/>
        <w:rPr>
          <w:rFonts w:eastAsia="Times New Roman" w:cs="Arial"/>
          <w:lang w:eastAsia="es-CO"/>
        </w:rPr>
      </w:pPr>
      <w:r w:rsidRPr="001A38D5">
        <w:rPr>
          <w:rFonts w:eastAsia="Times New Roman" w:cs="Arial"/>
          <w:lang w:eastAsia="es-CO"/>
        </w:rPr>
        <w:t xml:space="preserve">9. Finalmente, se observa una diferencia de $2.872,83 millones en el saldo en caja y bancos entre lo reportado en la Categoría Cierre Fiscal y el resultado de las </w:t>
      </w:r>
      <w:r w:rsidRPr="001A38D5">
        <w:rPr>
          <w:rFonts w:eastAsia="Times New Roman" w:cs="Arial"/>
          <w:lang w:eastAsia="es-CO"/>
        </w:rPr>
        <w:lastRenderedPageBreak/>
        <w:t>ejecuciones presupuestales de ingresos y gastos.</w:t>
      </w:r>
    </w:p>
    <w:p w14:paraId="09228F0B" w14:textId="77777777" w:rsidR="00A20990" w:rsidRPr="001A38D5" w:rsidRDefault="00A20990" w:rsidP="005140E1">
      <w:pPr>
        <w:contextualSpacing/>
        <w:jc w:val="both"/>
        <w:rPr>
          <w:rFonts w:eastAsia="Times New Roman" w:cs="Arial"/>
          <w:lang w:eastAsia="es-CO"/>
        </w:rPr>
      </w:pPr>
    </w:p>
    <w:p w14:paraId="0DD652FE" w14:textId="77777777" w:rsidR="00A20990" w:rsidRPr="001A38D5" w:rsidRDefault="00A20990" w:rsidP="005140E1">
      <w:pPr>
        <w:ind w:firstLine="709"/>
        <w:contextualSpacing/>
        <w:jc w:val="both"/>
        <w:rPr>
          <w:rFonts w:cs="Arial"/>
          <w:b/>
          <w:bCs/>
        </w:rPr>
      </w:pPr>
      <w:r w:rsidRPr="001A38D5">
        <w:rPr>
          <w:rFonts w:cs="Arial"/>
          <w:b/>
          <w:bCs/>
        </w:rPr>
        <w:t>Vigencia 2021</w:t>
      </w:r>
      <w:r w:rsidR="002C4DAD">
        <w:rPr>
          <w:rFonts w:cs="Arial"/>
          <w:b/>
          <w:bCs/>
        </w:rPr>
        <w:t>.</w:t>
      </w:r>
    </w:p>
    <w:p w14:paraId="723AA460" w14:textId="77777777" w:rsidR="00A20990" w:rsidRPr="001A38D5" w:rsidRDefault="00A20990" w:rsidP="005140E1">
      <w:pPr>
        <w:contextualSpacing/>
        <w:jc w:val="both"/>
        <w:rPr>
          <w:rFonts w:cs="Arial"/>
          <w:b/>
          <w:bCs/>
          <w:u w:val="single"/>
        </w:rPr>
      </w:pPr>
    </w:p>
    <w:p w14:paraId="4EC0E95D" w14:textId="77777777" w:rsidR="00A20990" w:rsidRPr="001A38D5" w:rsidRDefault="00A20990" w:rsidP="005140E1">
      <w:pPr>
        <w:contextualSpacing/>
        <w:jc w:val="both"/>
        <w:rPr>
          <w:rFonts w:cs="Arial"/>
        </w:rPr>
      </w:pPr>
      <w:r w:rsidRPr="001A38D5">
        <w:rPr>
          <w:rFonts w:cs="Arial"/>
        </w:rPr>
        <w:t xml:space="preserve">Para la vigencia 2021, el Municipio recibió $1.202 </w:t>
      </w:r>
      <w:r w:rsidR="00496D37">
        <w:rPr>
          <w:rFonts w:cs="Arial"/>
        </w:rPr>
        <w:t xml:space="preserve">millones </w:t>
      </w:r>
      <w:r w:rsidRPr="001A38D5">
        <w:rPr>
          <w:rFonts w:cs="Arial"/>
        </w:rPr>
        <w:t>de la AESGPAE, según los Documentos de Distribución SGP-52-2020 y SGP-55-2021.</w:t>
      </w:r>
    </w:p>
    <w:p w14:paraId="59C5839A" w14:textId="77777777" w:rsidR="00A20990" w:rsidRPr="001A38D5" w:rsidRDefault="00A20990" w:rsidP="005140E1">
      <w:pPr>
        <w:contextualSpacing/>
        <w:jc w:val="both"/>
        <w:rPr>
          <w:rFonts w:cs="Arial"/>
        </w:rPr>
      </w:pPr>
    </w:p>
    <w:p w14:paraId="09569D97" w14:textId="77777777" w:rsidR="00A20990" w:rsidRPr="001A38D5" w:rsidRDefault="00A20990" w:rsidP="005140E1">
      <w:pPr>
        <w:contextualSpacing/>
        <w:jc w:val="both"/>
        <w:rPr>
          <w:rFonts w:cs="Arial"/>
        </w:rPr>
      </w:pPr>
      <w:r w:rsidRPr="001A38D5">
        <w:rPr>
          <w:rFonts w:cs="Arial"/>
        </w:rPr>
        <w:t>1. Para los recursos de capital se presentan diferencias, toda vez que la ejecución presupuestal muestra recaudo por concepto de rendimientos financieros de la AESPGAE por $29,08 millones, mientras que el reporte en la Categoría de Ingresos del FUT muestra un recaudo total de $29,71 millones.</w:t>
      </w:r>
    </w:p>
    <w:p w14:paraId="5AE859E2" w14:textId="77777777" w:rsidR="00A20990" w:rsidRPr="001A38D5" w:rsidRDefault="00A20990" w:rsidP="005140E1">
      <w:pPr>
        <w:contextualSpacing/>
        <w:jc w:val="both"/>
        <w:rPr>
          <w:rFonts w:cs="Arial"/>
        </w:rPr>
      </w:pPr>
    </w:p>
    <w:p w14:paraId="1ECD1D81" w14:textId="77777777" w:rsidR="00A20990" w:rsidRPr="001A38D5" w:rsidRDefault="00A20990" w:rsidP="005140E1">
      <w:pPr>
        <w:contextualSpacing/>
        <w:jc w:val="both"/>
        <w:rPr>
          <w:rFonts w:cs="Arial"/>
        </w:rPr>
      </w:pPr>
      <w:r w:rsidRPr="001A38D5">
        <w:rPr>
          <w:rFonts w:cs="Arial"/>
        </w:rPr>
        <w:t>2. En cuanto a los recursos no ejecutados de vigencias anteriores, si bien los reportes son consistentes, estos no guardan relación con el resultado evidenciado en la vigencia 2020.</w:t>
      </w:r>
    </w:p>
    <w:p w14:paraId="3DF18EA4" w14:textId="77777777" w:rsidR="007A0F4F" w:rsidRDefault="007A0F4F" w:rsidP="005140E1">
      <w:pPr>
        <w:contextualSpacing/>
        <w:jc w:val="both"/>
        <w:rPr>
          <w:rFonts w:cs="Arial"/>
        </w:rPr>
      </w:pPr>
    </w:p>
    <w:p w14:paraId="76FA0CEE" w14:textId="77777777" w:rsidR="00A20990" w:rsidRPr="001A38D5" w:rsidRDefault="00A20990" w:rsidP="005140E1">
      <w:pPr>
        <w:contextualSpacing/>
        <w:jc w:val="both"/>
        <w:rPr>
          <w:rFonts w:cs="Arial"/>
        </w:rPr>
      </w:pPr>
      <w:r w:rsidRPr="001A38D5">
        <w:rPr>
          <w:rFonts w:cs="Arial"/>
        </w:rPr>
        <w:t xml:space="preserve">En lo correspondiente al gasto, la Administración Municipal comprometió recursos de la AESGPAE por $1.303,63 millones ($1.201,8 millones de ingresos corrientes de la Asignación, $85,82 millones de recursos del balance y $16 millones de rendimiento financieros) para la contratación con terceros para la provisión integral del Servicio de Alimentación Escolar a través de los Contratos No. 939 y 1346 de 2021, suscritos con Almacenes Éxito S.A. para la entrega de raciones en la modalidad transitoria de Bonos Alimentarios. Al cierre de la vigencia 2021 la Entidad obligó y pagó el 14 % de los recursos comprometidos. </w:t>
      </w:r>
    </w:p>
    <w:p w14:paraId="71CF011E" w14:textId="77777777" w:rsidR="00A20990" w:rsidRPr="001A38D5" w:rsidRDefault="00A20990" w:rsidP="005140E1">
      <w:pPr>
        <w:contextualSpacing/>
        <w:jc w:val="both"/>
        <w:rPr>
          <w:rFonts w:cs="Arial"/>
        </w:rPr>
      </w:pPr>
    </w:p>
    <w:p w14:paraId="2D6AC313" w14:textId="77777777" w:rsidR="00A20990" w:rsidRPr="001A38D5" w:rsidRDefault="00A20990" w:rsidP="005140E1">
      <w:pPr>
        <w:contextualSpacing/>
        <w:jc w:val="both"/>
        <w:rPr>
          <w:rFonts w:cs="Arial"/>
        </w:rPr>
      </w:pPr>
      <w:r w:rsidRPr="001A38D5">
        <w:rPr>
          <w:rFonts w:cs="Arial"/>
        </w:rPr>
        <w:t>3. En virtud de lo anterior, a partir de las ejecuciones presupuestales de ingresos y gastos la Entidad Territorial resultado superavitario por $13,08 millones</w:t>
      </w:r>
      <w:r w:rsidR="007A0F4F">
        <w:rPr>
          <w:rFonts w:cs="Arial"/>
        </w:rPr>
        <w:t>;</w:t>
      </w:r>
      <w:r w:rsidRPr="001A38D5">
        <w:rPr>
          <w:rFonts w:cs="Arial"/>
        </w:rPr>
        <w:t xml:space="preserve"> sin embargo, en la Categoría Cierre Fiscal del FUT se reportó superávit por 525,83 millones.</w:t>
      </w:r>
    </w:p>
    <w:p w14:paraId="73CA8E62" w14:textId="77777777" w:rsidR="00A20990" w:rsidRPr="001A38D5" w:rsidRDefault="00A20990" w:rsidP="005140E1">
      <w:pPr>
        <w:contextualSpacing/>
        <w:jc w:val="both"/>
        <w:rPr>
          <w:rFonts w:cs="Arial"/>
        </w:rPr>
      </w:pPr>
    </w:p>
    <w:p w14:paraId="3CC547AD" w14:textId="77777777" w:rsidR="00A20990" w:rsidRPr="001A38D5" w:rsidRDefault="00A20990" w:rsidP="005140E1">
      <w:pPr>
        <w:contextualSpacing/>
        <w:jc w:val="both"/>
        <w:rPr>
          <w:rFonts w:cs="Arial"/>
        </w:rPr>
      </w:pPr>
      <w:r w:rsidRPr="001A38D5">
        <w:rPr>
          <w:rFonts w:cs="Arial"/>
        </w:rPr>
        <w:t>4. Adicionalmente, se debía constituir reservas presupuestales por $1.125,8 millones</w:t>
      </w:r>
      <w:r w:rsidR="007A0F4F">
        <w:rPr>
          <w:rFonts w:cs="Arial"/>
        </w:rPr>
        <w:t>;</w:t>
      </w:r>
      <w:r w:rsidRPr="001A38D5">
        <w:rPr>
          <w:rFonts w:cs="Arial"/>
        </w:rPr>
        <w:t xml:space="preserve"> no obstante, la Entidad reportó reservas por $9.196,42 millones de la Asignación Especial en la Categoría Cierre Fiscal del FUT. </w:t>
      </w:r>
    </w:p>
    <w:p w14:paraId="775B9E46" w14:textId="77777777" w:rsidR="00A20990" w:rsidRPr="001A38D5" w:rsidRDefault="00A20990" w:rsidP="005140E1">
      <w:pPr>
        <w:contextualSpacing/>
        <w:jc w:val="both"/>
        <w:rPr>
          <w:rFonts w:cs="Arial"/>
        </w:rPr>
      </w:pPr>
    </w:p>
    <w:p w14:paraId="10D3C8E3" w14:textId="77777777" w:rsidR="00A20990" w:rsidRPr="001A38D5" w:rsidRDefault="00A20990" w:rsidP="005140E1">
      <w:pPr>
        <w:contextualSpacing/>
        <w:jc w:val="both"/>
        <w:rPr>
          <w:rFonts w:cs="Arial"/>
        </w:rPr>
      </w:pPr>
      <w:r w:rsidRPr="001A38D5">
        <w:rPr>
          <w:rFonts w:cs="Arial"/>
        </w:rPr>
        <w:t>5. Del mismo modo, a partir del análisis de las ejecuciones presupuestales de ingresos y gastos la Entidad Territorial se evidencia que no se debía constituir cuentas por pagar</w:t>
      </w:r>
      <w:r w:rsidR="007A0F4F">
        <w:rPr>
          <w:rFonts w:cs="Arial"/>
        </w:rPr>
        <w:t>;</w:t>
      </w:r>
      <w:r w:rsidRPr="001A38D5">
        <w:rPr>
          <w:rFonts w:cs="Arial"/>
        </w:rPr>
        <w:t xml:space="preserve"> sin embargo, en la Categoría de Cierre Fiscal del FUT se registran cuentas por pagar de la AESPAE por $15,30 millones.</w:t>
      </w:r>
    </w:p>
    <w:p w14:paraId="27CE5DD8" w14:textId="77777777" w:rsidR="00A20990" w:rsidRPr="001A38D5" w:rsidRDefault="00A20990" w:rsidP="005140E1">
      <w:pPr>
        <w:contextualSpacing/>
        <w:jc w:val="both"/>
        <w:rPr>
          <w:rFonts w:cs="Arial"/>
        </w:rPr>
      </w:pPr>
    </w:p>
    <w:p w14:paraId="32F2F5D8" w14:textId="77777777" w:rsidR="00A20990" w:rsidRPr="001A38D5" w:rsidRDefault="00A20990" w:rsidP="005140E1">
      <w:pPr>
        <w:contextualSpacing/>
        <w:jc w:val="both"/>
        <w:rPr>
          <w:rFonts w:eastAsia="Times New Roman" w:cs="Arial"/>
          <w:lang w:eastAsia="es-CO"/>
        </w:rPr>
      </w:pPr>
      <w:r w:rsidRPr="001A38D5">
        <w:rPr>
          <w:rFonts w:cs="Arial"/>
        </w:rPr>
        <w:t xml:space="preserve">6. Por último, se observa una diferencia de $8.768,51 millones en saldo en caja y bancos </w:t>
      </w:r>
      <w:r w:rsidRPr="001A38D5">
        <w:rPr>
          <w:rFonts w:eastAsia="Times New Roman" w:cs="Arial"/>
          <w:lang w:eastAsia="es-CO"/>
        </w:rPr>
        <w:t>entre lo reportado en la Categoría Cierre Fiscal y el resultado de las ejecuciones presupuestales de ingresos y gastos.</w:t>
      </w:r>
    </w:p>
    <w:p w14:paraId="2DCE3929" w14:textId="77777777" w:rsidR="00A20990" w:rsidRPr="001A38D5" w:rsidRDefault="00A20990" w:rsidP="005140E1">
      <w:pPr>
        <w:contextualSpacing/>
        <w:rPr>
          <w:rFonts w:cs="Arial"/>
          <w:lang w:val="es-CO"/>
        </w:rPr>
      </w:pPr>
    </w:p>
    <w:p w14:paraId="5B739DA1" w14:textId="77777777" w:rsidR="00A20990" w:rsidRPr="001A38D5" w:rsidRDefault="00A20990" w:rsidP="005140E1">
      <w:pPr>
        <w:ind w:firstLine="709"/>
        <w:contextualSpacing/>
        <w:rPr>
          <w:rFonts w:cs="Arial"/>
          <w:b/>
          <w:lang w:val="es-CO"/>
        </w:rPr>
      </w:pPr>
      <w:r w:rsidRPr="001A38D5">
        <w:rPr>
          <w:rFonts w:cs="Arial"/>
          <w:b/>
          <w:lang w:val="es-CO"/>
        </w:rPr>
        <w:t>Vigencia 2022</w:t>
      </w:r>
      <w:r w:rsidR="007A0F4F">
        <w:rPr>
          <w:rFonts w:cs="Arial"/>
          <w:b/>
          <w:lang w:val="es-CO"/>
        </w:rPr>
        <w:t>.</w:t>
      </w:r>
    </w:p>
    <w:p w14:paraId="7D730B1E" w14:textId="77777777" w:rsidR="00A20990" w:rsidRPr="001A38D5" w:rsidRDefault="00A20990" w:rsidP="005140E1">
      <w:pPr>
        <w:contextualSpacing/>
        <w:rPr>
          <w:rFonts w:cs="Arial"/>
          <w:b/>
          <w:u w:val="single"/>
          <w:lang w:val="es-CO"/>
        </w:rPr>
      </w:pPr>
    </w:p>
    <w:p w14:paraId="417E71BD" w14:textId="77777777" w:rsidR="00A20990" w:rsidRPr="001A38D5" w:rsidRDefault="00A20990" w:rsidP="005140E1">
      <w:pPr>
        <w:contextualSpacing/>
        <w:jc w:val="both"/>
        <w:rPr>
          <w:rFonts w:cs="Arial"/>
          <w:lang w:val="es-CO"/>
        </w:rPr>
      </w:pPr>
      <w:r w:rsidRPr="001A38D5">
        <w:rPr>
          <w:rFonts w:cs="Arial"/>
          <w:lang w:val="es-CO"/>
        </w:rPr>
        <w:t xml:space="preserve">Para la vigencia 2022 se asignaron recursos de SGP para Alimentación Escolar por </w:t>
      </w:r>
      <w:r w:rsidRPr="001A38D5">
        <w:rPr>
          <w:rFonts w:cs="Arial"/>
          <w:lang w:val="es-CO"/>
        </w:rPr>
        <w:lastRenderedPageBreak/>
        <w:t>$1.103 millones al Municipio, según los Documentos de Distribución SGP-62-2022 y SGP-67-2022.</w:t>
      </w:r>
    </w:p>
    <w:p w14:paraId="2ADE329B" w14:textId="77777777" w:rsidR="00A20990" w:rsidRPr="001A38D5" w:rsidRDefault="00A20990" w:rsidP="005140E1">
      <w:pPr>
        <w:contextualSpacing/>
        <w:jc w:val="both"/>
        <w:rPr>
          <w:rFonts w:cs="Arial"/>
          <w:lang w:val="es-CO"/>
        </w:rPr>
      </w:pPr>
    </w:p>
    <w:p w14:paraId="29484112" w14:textId="77777777" w:rsidR="00A20990" w:rsidRPr="001A38D5" w:rsidRDefault="00A20990" w:rsidP="005140E1">
      <w:pPr>
        <w:contextualSpacing/>
        <w:jc w:val="both"/>
        <w:rPr>
          <w:rFonts w:cs="Arial"/>
          <w:lang w:val="es-CO"/>
        </w:rPr>
      </w:pPr>
      <w:r w:rsidRPr="001A38D5">
        <w:rPr>
          <w:rFonts w:cs="Arial"/>
          <w:lang w:val="es-CO"/>
        </w:rPr>
        <w:t xml:space="preserve">1. Para la vigencia 2022, la Entidad Territorial reportó en el Formulario de </w:t>
      </w:r>
      <w:r w:rsidR="007A0F4F">
        <w:rPr>
          <w:rFonts w:cs="Arial"/>
          <w:lang w:val="es-CO"/>
        </w:rPr>
        <w:t>E</w:t>
      </w:r>
      <w:r w:rsidRPr="001A38D5">
        <w:rPr>
          <w:rFonts w:cs="Arial"/>
          <w:lang w:val="es-CO"/>
        </w:rPr>
        <w:t xml:space="preserve">jecución de </w:t>
      </w:r>
      <w:r w:rsidR="007A0F4F">
        <w:rPr>
          <w:rFonts w:cs="Arial"/>
          <w:lang w:val="es-CO"/>
        </w:rPr>
        <w:t>I</w:t>
      </w:r>
      <w:r w:rsidRPr="001A38D5">
        <w:rPr>
          <w:rFonts w:cs="Arial"/>
          <w:lang w:val="es-CO"/>
        </w:rPr>
        <w:t xml:space="preserve">ngresos de la Categoría Única de Información del Presupuesto Ordinario </w:t>
      </w:r>
      <w:r w:rsidR="007A0F4F">
        <w:rPr>
          <w:rFonts w:cs="Arial"/>
          <w:lang w:val="es-CO"/>
        </w:rPr>
        <w:t xml:space="preserve">- </w:t>
      </w:r>
      <w:r w:rsidRPr="001A38D5">
        <w:rPr>
          <w:rFonts w:cs="Arial"/>
          <w:lang w:val="es-CO"/>
        </w:rPr>
        <w:t xml:space="preserve">CUIPO un recaudo $1.777,16 millones, $1.103,49 millones por ingresos corrientes y $671,67 millones por recursos de capital. En contraste, en la ejecución presupuestal de ingresos se registra un recaudo total de $1.131,7 millones por concepto de Asignación Especial para Alimentación Escolar y los recursos de capital. Sobre el particular, por un lado, se identifican diferencias en el valor de los rendimientos financieros, con la incorporación de rendimientos financieros por $14,5 millones en la ejecución presupuestal y de $255,24 millones en el Formulario de </w:t>
      </w:r>
      <w:r w:rsidR="007A0F4F">
        <w:rPr>
          <w:rFonts w:cs="Arial"/>
          <w:lang w:val="es-CO"/>
        </w:rPr>
        <w:t>E</w:t>
      </w:r>
      <w:r w:rsidRPr="001A38D5">
        <w:rPr>
          <w:rFonts w:cs="Arial"/>
          <w:lang w:val="es-CO"/>
        </w:rPr>
        <w:t xml:space="preserve">jecución de </w:t>
      </w:r>
      <w:r w:rsidR="007A0F4F">
        <w:rPr>
          <w:rFonts w:cs="Arial"/>
          <w:lang w:val="es-CO"/>
        </w:rPr>
        <w:t>I</w:t>
      </w:r>
      <w:r w:rsidRPr="001A38D5">
        <w:rPr>
          <w:rFonts w:cs="Arial"/>
          <w:lang w:val="es-CO"/>
        </w:rPr>
        <w:t>ngresos de la Categoría CUIPO.</w:t>
      </w:r>
    </w:p>
    <w:p w14:paraId="53F5246F" w14:textId="77777777" w:rsidR="00A20990" w:rsidRPr="001A38D5" w:rsidRDefault="00A20990" w:rsidP="005140E1">
      <w:pPr>
        <w:contextualSpacing/>
        <w:rPr>
          <w:rFonts w:cs="Arial"/>
          <w:lang w:val="es-CO"/>
        </w:rPr>
      </w:pPr>
    </w:p>
    <w:p w14:paraId="7E838871" w14:textId="77777777" w:rsidR="00A20990" w:rsidRPr="001A38D5" w:rsidRDefault="00A20990" w:rsidP="005140E1">
      <w:pPr>
        <w:contextualSpacing/>
        <w:jc w:val="both"/>
        <w:rPr>
          <w:rFonts w:cs="Arial"/>
          <w:lang w:val="es-CO"/>
        </w:rPr>
      </w:pPr>
      <w:r w:rsidRPr="001A38D5">
        <w:rPr>
          <w:rFonts w:cs="Arial"/>
          <w:lang w:val="es-CO"/>
        </w:rPr>
        <w:t xml:space="preserve">2. Por otro lado, se identifican diferencias en el valor de superávit entre el monto recaudado en la ejecución presupuestal de ingresos respecto a lo reportado como recaudado en el Formulario de </w:t>
      </w:r>
      <w:r w:rsidR="00A61821">
        <w:rPr>
          <w:rFonts w:cs="Arial"/>
          <w:lang w:val="es-CO"/>
        </w:rPr>
        <w:t>E</w:t>
      </w:r>
      <w:r w:rsidRPr="001A38D5">
        <w:rPr>
          <w:rFonts w:cs="Arial"/>
          <w:lang w:val="es-CO"/>
        </w:rPr>
        <w:t xml:space="preserve">jecución de </w:t>
      </w:r>
      <w:r w:rsidR="00A61821">
        <w:rPr>
          <w:rFonts w:cs="Arial"/>
          <w:lang w:val="es-CO"/>
        </w:rPr>
        <w:t>I</w:t>
      </w:r>
      <w:r w:rsidRPr="001A38D5">
        <w:rPr>
          <w:rFonts w:cs="Arial"/>
          <w:lang w:val="es-CO"/>
        </w:rPr>
        <w:t>ngresos de la Categoría CUIPO, toda vez que en la primera es $13,71 millones y en la última $416,42 millones. Asimismo, los valores no coinciden con el cierre fiscal calculado para la vigencia 2021, analizado en el apartado anterior.</w:t>
      </w:r>
    </w:p>
    <w:p w14:paraId="17165A41" w14:textId="77777777" w:rsidR="00A20990" w:rsidRPr="001A38D5" w:rsidRDefault="00A20990" w:rsidP="005140E1">
      <w:pPr>
        <w:contextualSpacing/>
        <w:jc w:val="both"/>
        <w:rPr>
          <w:rFonts w:cs="Arial"/>
          <w:lang w:val="es-CO"/>
        </w:rPr>
      </w:pPr>
    </w:p>
    <w:p w14:paraId="4F912530" w14:textId="77777777" w:rsidR="00A20990" w:rsidRPr="001A38D5" w:rsidRDefault="00A20990" w:rsidP="005140E1">
      <w:pPr>
        <w:contextualSpacing/>
        <w:jc w:val="both"/>
        <w:rPr>
          <w:rFonts w:cs="Arial"/>
          <w:lang w:val="es-CO"/>
        </w:rPr>
      </w:pPr>
      <w:r w:rsidRPr="001A38D5">
        <w:rPr>
          <w:rFonts w:cs="Arial"/>
          <w:lang w:val="es-CO"/>
        </w:rPr>
        <w:t>Al 31 de diciembre de 2022, el gasto ejecutado por el Municipio con los recursos correspondientes a la Asignación Especial para Alimentación Escolar del SGP ascendió a $1.117,2 millones, de los cuales se obligaron y pagaron $1.116,57 millones.</w:t>
      </w:r>
    </w:p>
    <w:p w14:paraId="0E4C7769" w14:textId="77777777" w:rsidR="00A20990" w:rsidRPr="001A38D5" w:rsidRDefault="00A20990" w:rsidP="005140E1">
      <w:pPr>
        <w:contextualSpacing/>
        <w:jc w:val="both"/>
        <w:rPr>
          <w:rFonts w:cs="Arial"/>
          <w:lang w:val="es-CO"/>
        </w:rPr>
      </w:pPr>
    </w:p>
    <w:p w14:paraId="268DA9DF" w14:textId="77777777" w:rsidR="00A20990" w:rsidRPr="001A38D5" w:rsidRDefault="00A20990" w:rsidP="005140E1">
      <w:pPr>
        <w:contextualSpacing/>
        <w:jc w:val="both"/>
        <w:rPr>
          <w:rFonts w:cs="Arial"/>
          <w:lang w:val="es-CO"/>
        </w:rPr>
      </w:pPr>
      <w:r w:rsidRPr="001A38D5">
        <w:rPr>
          <w:rFonts w:cs="Arial"/>
          <w:lang w:val="es-CO"/>
        </w:rPr>
        <w:t>3. Con esto, según las ejecuciones presupuestales de ingresos y gastos, al cierre de la vigencia fiscal 2022 se recaudaron $1.131,70 millones, de los cuales se comprometieron $1.117,2 millones, lo que generó un superávit presupuestal de $14,5</w:t>
      </w:r>
      <w:r w:rsidR="00A61821">
        <w:rPr>
          <w:rFonts w:cs="Arial"/>
          <w:lang w:val="es-CO"/>
        </w:rPr>
        <w:t xml:space="preserve"> </w:t>
      </w:r>
      <w:r w:rsidRPr="001A38D5">
        <w:rPr>
          <w:rFonts w:cs="Arial"/>
          <w:lang w:val="es-CO"/>
        </w:rPr>
        <w:t>millones. Sin embargo, la información reportada en la Categoría Cierre Fiscal del Formulario Único Territorial no coincide con lo reportado en las Categorías de Ingresos y Gastos de Inversión del FUT ni con lo calculado según ejecuciones presupuestales (déficit de $0,63 millones).</w:t>
      </w:r>
    </w:p>
    <w:p w14:paraId="23BAA8BB" w14:textId="77777777" w:rsidR="00A20990" w:rsidRPr="001A38D5" w:rsidRDefault="00A20990" w:rsidP="005140E1">
      <w:pPr>
        <w:contextualSpacing/>
        <w:jc w:val="both"/>
        <w:rPr>
          <w:rFonts w:cs="Arial"/>
          <w:lang w:val="es-CO"/>
        </w:rPr>
      </w:pPr>
    </w:p>
    <w:p w14:paraId="4AE7C3CF" w14:textId="77777777" w:rsidR="00A20990" w:rsidRPr="001A38D5" w:rsidRDefault="00A20990" w:rsidP="005140E1">
      <w:pPr>
        <w:contextualSpacing/>
        <w:jc w:val="both"/>
        <w:rPr>
          <w:rFonts w:cs="Arial"/>
          <w:lang w:val="es-CO"/>
        </w:rPr>
      </w:pPr>
      <w:r w:rsidRPr="001A38D5">
        <w:rPr>
          <w:rFonts w:cs="Arial"/>
          <w:lang w:val="es-CO"/>
        </w:rPr>
        <w:t xml:space="preserve">4. Asimismo, se observa que se generaron reservas presupuestales por $0,63 millones. No obstante, en la Categoría Cierre Fiscal del Formulario Único Territorial no se reportaron reservas de la AESGPAE, ni en la </w:t>
      </w:r>
      <w:r w:rsidRPr="001A38D5">
        <w:rPr>
          <w:rFonts w:cs="Arial"/>
        </w:rPr>
        <w:t xml:space="preserve">Resolución No. 1650.67.13/05 del 18 de enero de2023 </w:t>
      </w:r>
      <w:r w:rsidRPr="001A38D5">
        <w:rPr>
          <w:rFonts w:cs="Arial"/>
          <w:i/>
          <w:iCs/>
        </w:rPr>
        <w:t>“Por medio de la cual se constituyen reservas presupuestales vigencia 2022 y se dictan otras disposiciones”</w:t>
      </w:r>
      <w:r w:rsidRPr="001A38D5">
        <w:rPr>
          <w:rFonts w:cs="Arial"/>
        </w:rPr>
        <w:t xml:space="preserve"> no incluye reservas de la AESGPAE.</w:t>
      </w:r>
    </w:p>
    <w:p w14:paraId="384FA6AE" w14:textId="77777777" w:rsidR="00A20990" w:rsidRPr="001A38D5" w:rsidRDefault="00A20990" w:rsidP="005140E1">
      <w:pPr>
        <w:contextualSpacing/>
        <w:jc w:val="both"/>
        <w:rPr>
          <w:rFonts w:cs="Arial"/>
          <w:lang w:val="es-CO"/>
        </w:rPr>
      </w:pPr>
    </w:p>
    <w:p w14:paraId="62BA29D1" w14:textId="77777777" w:rsidR="00A20990" w:rsidRPr="001A38D5" w:rsidRDefault="00A20990" w:rsidP="005140E1">
      <w:pPr>
        <w:contextualSpacing/>
        <w:jc w:val="both"/>
        <w:rPr>
          <w:rFonts w:cs="Arial"/>
          <w:lang w:val="es-CO"/>
        </w:rPr>
      </w:pPr>
      <w:r w:rsidRPr="001A38D5">
        <w:rPr>
          <w:rFonts w:cs="Arial"/>
          <w:lang w:val="es-CO"/>
        </w:rPr>
        <w:t xml:space="preserve">Las obligaciones se pagaron en su totalidad; por tanto, no se constituyeron cuentas por pagar. </w:t>
      </w:r>
    </w:p>
    <w:p w14:paraId="1AE31124" w14:textId="77777777" w:rsidR="00A20990" w:rsidRPr="001A38D5" w:rsidRDefault="00A20990" w:rsidP="005140E1">
      <w:pPr>
        <w:contextualSpacing/>
        <w:jc w:val="both"/>
        <w:rPr>
          <w:rFonts w:cs="Arial"/>
          <w:lang w:val="es-CO"/>
        </w:rPr>
      </w:pPr>
    </w:p>
    <w:p w14:paraId="1415603B" w14:textId="77777777" w:rsidR="00A20990" w:rsidRPr="001A38D5" w:rsidRDefault="00A20990" w:rsidP="005140E1">
      <w:pPr>
        <w:contextualSpacing/>
        <w:jc w:val="both"/>
        <w:rPr>
          <w:rFonts w:cs="Arial"/>
          <w:lang w:val="es-CO"/>
        </w:rPr>
      </w:pPr>
      <w:r w:rsidRPr="001A38D5">
        <w:rPr>
          <w:rFonts w:cs="Arial"/>
          <w:lang w:val="es-CO"/>
        </w:rPr>
        <w:t>5. Finalmente el saldo en caja y bancos no coincide entre lo calculado según ejecuciones presupuestales y lo reportado en la Categoría Cierre Fiscal del Formulario Único Territorial al cierre de la vigencia 2022.</w:t>
      </w:r>
    </w:p>
    <w:p w14:paraId="13197C39" w14:textId="77777777" w:rsidR="00A20990" w:rsidRPr="001A38D5" w:rsidRDefault="00A20990" w:rsidP="005140E1">
      <w:pPr>
        <w:contextualSpacing/>
        <w:jc w:val="both"/>
        <w:rPr>
          <w:rFonts w:cs="Arial"/>
          <w:lang w:val="es-CO"/>
        </w:rPr>
      </w:pPr>
    </w:p>
    <w:p w14:paraId="53BF4071" w14:textId="77777777" w:rsidR="00A20990" w:rsidRPr="001A38D5" w:rsidRDefault="00A20990" w:rsidP="005140E1">
      <w:pPr>
        <w:pStyle w:val="Ttulo3"/>
        <w:contextualSpacing/>
        <w:rPr>
          <w:rFonts w:ascii="Verdana" w:hAnsi="Verdana"/>
        </w:rPr>
      </w:pPr>
      <w:r w:rsidRPr="001A38D5">
        <w:rPr>
          <w:rFonts w:ascii="Verdana" w:hAnsi="Verdana"/>
        </w:rPr>
        <w:lastRenderedPageBreak/>
        <w:t>Cuenta Maestra de 2019 a 2022</w:t>
      </w:r>
      <w:r w:rsidR="00A61821">
        <w:rPr>
          <w:rFonts w:ascii="Verdana" w:hAnsi="Verdana"/>
        </w:rPr>
        <w:t>.</w:t>
      </w:r>
    </w:p>
    <w:p w14:paraId="6B180F8E" w14:textId="77777777" w:rsidR="00A20990" w:rsidRDefault="00A20990" w:rsidP="005140E1">
      <w:pPr>
        <w:contextualSpacing/>
        <w:rPr>
          <w:rFonts w:cs="Arial"/>
          <w:lang w:val="es-CO"/>
        </w:rPr>
      </w:pPr>
    </w:p>
    <w:p w14:paraId="1519B8FE" w14:textId="77777777" w:rsidR="00C159DF" w:rsidRDefault="0007655E" w:rsidP="005140E1">
      <w:pPr>
        <w:contextualSpacing/>
        <w:jc w:val="both"/>
        <w:rPr>
          <w:rFonts w:cs="Arial"/>
          <w:lang w:val="es-CO"/>
        </w:rPr>
      </w:pPr>
      <w:r>
        <w:rPr>
          <w:rFonts w:cs="Arial"/>
          <w:lang w:val="es-CO"/>
        </w:rPr>
        <w:t>E</w:t>
      </w:r>
      <w:r w:rsidRPr="0007655E">
        <w:rPr>
          <w:rFonts w:cs="Arial"/>
          <w:lang w:val="es-CO"/>
        </w:rPr>
        <w:t xml:space="preserve">l manejo de las </w:t>
      </w:r>
      <w:r w:rsidR="00D704F6">
        <w:rPr>
          <w:rFonts w:cs="Arial"/>
          <w:lang w:val="es-CO"/>
        </w:rPr>
        <w:t>C</w:t>
      </w:r>
      <w:r w:rsidRPr="0007655E">
        <w:rPr>
          <w:rFonts w:cs="Arial"/>
          <w:lang w:val="es-CO"/>
        </w:rPr>
        <w:t xml:space="preserve">uentas </w:t>
      </w:r>
      <w:r w:rsidR="00D704F6">
        <w:rPr>
          <w:rFonts w:cs="Arial"/>
          <w:lang w:val="es-CO"/>
        </w:rPr>
        <w:t>M</w:t>
      </w:r>
      <w:r w:rsidRPr="0007655E">
        <w:rPr>
          <w:rFonts w:cs="Arial"/>
          <w:lang w:val="es-CO"/>
        </w:rPr>
        <w:t xml:space="preserve">aestras del Programa de Alimentación Escolar en Colombia se encuentra </w:t>
      </w:r>
      <w:r w:rsidR="0054157A">
        <w:rPr>
          <w:rFonts w:cs="Arial"/>
          <w:lang w:val="es-CO"/>
        </w:rPr>
        <w:t>desarrollado</w:t>
      </w:r>
      <w:r w:rsidR="00C159DF">
        <w:rPr>
          <w:rFonts w:cs="Arial"/>
          <w:lang w:val="es-CO"/>
        </w:rPr>
        <w:t xml:space="preserve"> normativamente</w:t>
      </w:r>
      <w:r w:rsidR="0054157A">
        <w:rPr>
          <w:rFonts w:cs="Arial"/>
          <w:lang w:val="es-CO"/>
        </w:rPr>
        <w:t xml:space="preserve"> en la Resolución No. </w:t>
      </w:r>
      <w:r w:rsidR="0054157A" w:rsidRPr="0054157A">
        <w:rPr>
          <w:rFonts w:cs="Arial"/>
          <w:lang w:val="es-CO"/>
        </w:rPr>
        <w:t>4835 del 29 de diciembre de 2015</w:t>
      </w:r>
      <w:r w:rsidR="00A87D55">
        <w:rPr>
          <w:rStyle w:val="Refdenotaalpie"/>
          <w:lang w:val="es-CO"/>
        </w:rPr>
        <w:footnoteReference w:id="4"/>
      </w:r>
      <w:r w:rsidR="0054157A">
        <w:rPr>
          <w:rFonts w:cs="Arial"/>
          <w:lang w:val="es-CO"/>
        </w:rPr>
        <w:t xml:space="preserve"> del Ministerio de Hacienda y Crédito Público, la Resolución No. </w:t>
      </w:r>
      <w:r w:rsidR="0054157A" w:rsidRPr="0054157A">
        <w:rPr>
          <w:rFonts w:cs="Arial"/>
          <w:lang w:val="es-CO"/>
        </w:rPr>
        <w:t>2248 del 30 de julio de 2018</w:t>
      </w:r>
      <w:r w:rsidR="00C159DF">
        <w:rPr>
          <w:rFonts w:cs="Arial"/>
          <w:lang w:val="es-CO"/>
        </w:rPr>
        <w:t>,</w:t>
      </w:r>
      <w:r w:rsidR="0054157A">
        <w:rPr>
          <w:rFonts w:cs="Arial"/>
          <w:lang w:val="es-CO"/>
        </w:rPr>
        <w:t xml:space="preserve"> </w:t>
      </w:r>
      <w:r w:rsidR="0054157A" w:rsidRPr="0054157A">
        <w:rPr>
          <w:rFonts w:cs="Arial"/>
          <w:lang w:val="es-CO"/>
        </w:rPr>
        <w:t>firmada conjuntamente por los Ministerios de Educación Nacional y de Hacienda y Crédito Público</w:t>
      </w:r>
      <w:r w:rsidR="00C159DF">
        <w:rPr>
          <w:rFonts w:cs="Arial"/>
          <w:lang w:val="es-CO"/>
        </w:rPr>
        <w:t>,</w:t>
      </w:r>
      <w:r w:rsidR="0054157A">
        <w:rPr>
          <w:rFonts w:cs="Arial"/>
          <w:lang w:val="es-CO"/>
        </w:rPr>
        <w:t xml:space="preserve"> p</w:t>
      </w:r>
      <w:r w:rsidR="0054157A" w:rsidRPr="0054157A">
        <w:rPr>
          <w:rFonts w:cs="Arial"/>
          <w:lang w:val="es-CO"/>
        </w:rPr>
        <w:t>or la cual se reglamentan la Cuentas Maestras</w:t>
      </w:r>
      <w:r w:rsidR="0054157A">
        <w:rPr>
          <w:rFonts w:cs="Arial"/>
          <w:lang w:val="es-CO"/>
        </w:rPr>
        <w:t xml:space="preserve"> </w:t>
      </w:r>
      <w:r w:rsidR="0054157A" w:rsidRPr="0054157A">
        <w:rPr>
          <w:rFonts w:cs="Arial"/>
          <w:lang w:val="es-CO"/>
        </w:rPr>
        <w:t xml:space="preserve">para la administración del </w:t>
      </w:r>
      <w:r w:rsidR="0054157A">
        <w:rPr>
          <w:rFonts w:cs="Arial"/>
          <w:lang w:val="es-CO"/>
        </w:rPr>
        <w:t xml:space="preserve">PAE y la Resolución No. </w:t>
      </w:r>
      <w:r w:rsidR="0054157A" w:rsidRPr="0054157A">
        <w:rPr>
          <w:rFonts w:cs="Arial"/>
          <w:lang w:val="es-CO"/>
        </w:rPr>
        <w:t>0660 del 9 de marzo de 2018</w:t>
      </w:r>
      <w:r w:rsidR="0054157A">
        <w:rPr>
          <w:rFonts w:cs="Arial"/>
          <w:lang w:val="es-CO"/>
        </w:rPr>
        <w:t xml:space="preserve"> de</w:t>
      </w:r>
      <w:r w:rsidR="00D704F6">
        <w:rPr>
          <w:rFonts w:cs="Arial"/>
          <w:lang w:val="es-CO"/>
        </w:rPr>
        <w:t xml:space="preserve"> </w:t>
      </w:r>
      <w:r w:rsidR="0054157A">
        <w:rPr>
          <w:rFonts w:cs="Arial"/>
          <w:lang w:val="es-CO"/>
        </w:rPr>
        <w:t>l</w:t>
      </w:r>
      <w:r w:rsidR="00D704F6">
        <w:rPr>
          <w:rFonts w:cs="Arial"/>
          <w:lang w:val="es-CO"/>
        </w:rPr>
        <w:t>os</w:t>
      </w:r>
      <w:r w:rsidR="0054157A">
        <w:rPr>
          <w:rFonts w:cs="Arial"/>
          <w:lang w:val="es-CO"/>
        </w:rPr>
        <w:t xml:space="preserve"> Ministerio</w:t>
      </w:r>
      <w:r w:rsidR="00D704F6">
        <w:rPr>
          <w:rFonts w:cs="Arial"/>
          <w:lang w:val="es-CO"/>
        </w:rPr>
        <w:t>s</w:t>
      </w:r>
      <w:r w:rsidR="0054157A">
        <w:rPr>
          <w:rFonts w:cs="Arial"/>
          <w:lang w:val="es-CO"/>
        </w:rPr>
        <w:t xml:space="preserve"> </w:t>
      </w:r>
      <w:r w:rsidR="0054157A" w:rsidRPr="0054157A">
        <w:rPr>
          <w:rFonts w:cs="Arial"/>
          <w:lang w:val="es-CO"/>
        </w:rPr>
        <w:t>de Hacienda y Crédito Público</w:t>
      </w:r>
      <w:r w:rsidR="0054157A">
        <w:rPr>
          <w:rFonts w:cs="Arial"/>
          <w:lang w:val="es-CO"/>
        </w:rPr>
        <w:t>,</w:t>
      </w:r>
      <w:r w:rsidR="00D704F6">
        <w:rPr>
          <w:rFonts w:cs="Arial"/>
          <w:lang w:val="es-CO"/>
        </w:rPr>
        <w:t xml:space="preserve"> Educación Nacional y vivienda, Ciudad y Territorio</w:t>
      </w:r>
      <w:r w:rsidR="0054157A">
        <w:rPr>
          <w:rFonts w:cs="Arial"/>
          <w:lang w:val="es-CO"/>
        </w:rPr>
        <w:t xml:space="preserve"> p</w:t>
      </w:r>
      <w:r w:rsidR="00C159DF">
        <w:rPr>
          <w:rFonts w:cs="Arial"/>
          <w:lang w:val="es-CO"/>
        </w:rPr>
        <w:t>or la cual se reglamenta</w:t>
      </w:r>
      <w:r w:rsidR="0054157A" w:rsidRPr="0054157A">
        <w:rPr>
          <w:rFonts w:cs="Arial"/>
          <w:lang w:val="es-CO"/>
        </w:rPr>
        <w:t xml:space="preserve"> la Cuenta</w:t>
      </w:r>
      <w:r w:rsidR="00C159DF">
        <w:rPr>
          <w:rFonts w:cs="Arial"/>
          <w:lang w:val="es-CO"/>
        </w:rPr>
        <w:t xml:space="preserve"> Maestra</w:t>
      </w:r>
      <w:r w:rsidR="0054157A">
        <w:rPr>
          <w:rFonts w:cs="Arial"/>
          <w:lang w:val="es-CO"/>
        </w:rPr>
        <w:t xml:space="preserve"> </w:t>
      </w:r>
      <w:r w:rsidR="00C159DF">
        <w:rPr>
          <w:rFonts w:cs="Arial"/>
          <w:lang w:val="es-CO"/>
        </w:rPr>
        <w:t xml:space="preserve">Pagadora de </w:t>
      </w:r>
      <w:r w:rsidR="0054157A" w:rsidRPr="0054157A">
        <w:rPr>
          <w:rFonts w:cs="Arial"/>
          <w:lang w:val="es-CO"/>
        </w:rPr>
        <w:t>la</w:t>
      </w:r>
      <w:r w:rsidR="00C159DF">
        <w:rPr>
          <w:rFonts w:cs="Arial"/>
          <w:lang w:val="es-CO"/>
        </w:rPr>
        <w:t xml:space="preserve"> AESGPAE. </w:t>
      </w:r>
    </w:p>
    <w:p w14:paraId="16DAAC3C" w14:textId="77777777" w:rsidR="00C159DF" w:rsidRDefault="00C159DF" w:rsidP="005140E1">
      <w:pPr>
        <w:contextualSpacing/>
        <w:jc w:val="both"/>
        <w:rPr>
          <w:rFonts w:cs="Arial"/>
          <w:lang w:val="es-CO"/>
        </w:rPr>
      </w:pPr>
    </w:p>
    <w:p w14:paraId="5E0E49F8" w14:textId="77777777" w:rsidR="0007655E" w:rsidRDefault="00C159DF" w:rsidP="005140E1">
      <w:pPr>
        <w:contextualSpacing/>
        <w:jc w:val="both"/>
        <w:rPr>
          <w:rFonts w:cs="Arial"/>
          <w:lang w:val="es-CO"/>
        </w:rPr>
      </w:pPr>
      <w:r>
        <w:rPr>
          <w:rFonts w:cs="Arial"/>
          <w:lang w:val="es-CO"/>
        </w:rPr>
        <w:t xml:space="preserve">El análisis de la </w:t>
      </w:r>
      <w:r w:rsidR="00DC319E">
        <w:rPr>
          <w:rFonts w:cs="Arial"/>
          <w:lang w:val="es-CO"/>
        </w:rPr>
        <w:t xml:space="preserve">Cuenta Maestra </w:t>
      </w:r>
      <w:r>
        <w:rPr>
          <w:rFonts w:cs="Arial"/>
          <w:lang w:val="es-CO"/>
        </w:rPr>
        <w:t xml:space="preserve">del PAE y de su </w:t>
      </w:r>
      <w:r w:rsidR="00DC319E">
        <w:rPr>
          <w:rFonts w:cs="Arial"/>
          <w:lang w:val="es-CO"/>
        </w:rPr>
        <w:t xml:space="preserve">Cuenta Maestra Pagadora </w:t>
      </w:r>
      <w:r>
        <w:rPr>
          <w:rFonts w:cs="Arial"/>
          <w:lang w:val="es-CO"/>
        </w:rPr>
        <w:t>para el Municipio de Villavicencio en las vigencias 2019 a 2022 se realiza en observancia de las disposiciones contenidas en esta normatividad</w:t>
      </w:r>
      <w:r w:rsidR="00D704F6">
        <w:rPr>
          <w:rFonts w:cs="Arial"/>
          <w:lang w:val="es-CO"/>
        </w:rPr>
        <w:t>;</w:t>
      </w:r>
      <w:r>
        <w:rPr>
          <w:rFonts w:cs="Arial"/>
          <w:lang w:val="es-CO"/>
        </w:rPr>
        <w:t xml:space="preserve"> sin embargo, es importante resaltar que estas fueron recogidas en la </w:t>
      </w:r>
      <w:r w:rsidR="0007655E" w:rsidRPr="0007655E">
        <w:rPr>
          <w:rFonts w:cs="Arial"/>
          <w:lang w:val="es-CO"/>
        </w:rPr>
        <w:t xml:space="preserve">Resolución </w:t>
      </w:r>
      <w:r>
        <w:rPr>
          <w:rFonts w:cs="Arial"/>
          <w:lang w:val="es-CO"/>
        </w:rPr>
        <w:t xml:space="preserve">No. </w:t>
      </w:r>
      <w:r w:rsidR="0007655E" w:rsidRPr="0007655E">
        <w:rPr>
          <w:rFonts w:cs="Arial"/>
          <w:lang w:val="es-CO"/>
        </w:rPr>
        <w:t xml:space="preserve">2394 del 21 de septiembre de 2023 </w:t>
      </w:r>
      <w:r w:rsidR="00BE0FA7" w:rsidRPr="00BE0FA7">
        <w:rPr>
          <w:rFonts w:cs="Arial"/>
          <w:lang w:val="es-CO"/>
        </w:rPr>
        <w:t>de los Ministerios de Hacienda y Crédito Público, Educación Nacional, Vivienda, Ciudad y Territorio y la Unidad Administrativa Especial de Al</w:t>
      </w:r>
      <w:r w:rsidR="00A81C6B">
        <w:rPr>
          <w:rFonts w:cs="Arial"/>
          <w:lang w:val="es-CO"/>
        </w:rPr>
        <w:t>imentación Escolar - Alimentos p</w:t>
      </w:r>
      <w:r w:rsidR="00BE0FA7" w:rsidRPr="00BE0FA7">
        <w:rPr>
          <w:rFonts w:cs="Arial"/>
          <w:lang w:val="es-CO"/>
        </w:rPr>
        <w:t xml:space="preserve">ara Aprender </w:t>
      </w:r>
      <w:r w:rsidR="0007655E" w:rsidRPr="00C159DF">
        <w:rPr>
          <w:rFonts w:cs="Arial"/>
          <w:i/>
          <w:lang w:val="es-CO"/>
        </w:rPr>
        <w:t>“Por la cual se fijan las condiciones de apertura, registro, operación, cancelación y sustitución de las Cuentas Maestras y de las Cuentas Maestras para Pagos Electrónicos (PSE) en las cuales se administran los recursos de las Participaciones de Agua Potable y Saneamiento Básico, Educación, Propósito General, las Asignaciones Especiales y la Asignación para la Atención Integral a la Primera Infancia del Sistema General de Participaciones y en el Sector Educación las demás fuentes del Programa de Alimentación Escolar (PAE)</w:t>
      </w:r>
      <w:r w:rsidR="0007655E" w:rsidRPr="0007655E">
        <w:rPr>
          <w:rFonts w:cs="Arial"/>
          <w:lang w:val="es-CO"/>
        </w:rPr>
        <w:t>”.</w:t>
      </w:r>
    </w:p>
    <w:p w14:paraId="65389691" w14:textId="77777777" w:rsidR="0007655E" w:rsidRPr="001A38D5" w:rsidRDefault="006E130C" w:rsidP="005140E1">
      <w:pPr>
        <w:contextualSpacing/>
        <w:rPr>
          <w:rFonts w:cs="Arial"/>
          <w:lang w:val="es-CO"/>
        </w:rPr>
      </w:pPr>
      <w:r>
        <w:rPr>
          <w:rFonts w:cs="Arial"/>
          <w:lang w:val="es-CO"/>
        </w:rPr>
        <w:t xml:space="preserve"> </w:t>
      </w:r>
    </w:p>
    <w:p w14:paraId="46F532F5" w14:textId="77777777" w:rsidR="00A20990" w:rsidRPr="001A38D5" w:rsidRDefault="00A20990" w:rsidP="005140E1">
      <w:pPr>
        <w:contextualSpacing/>
        <w:jc w:val="both"/>
        <w:rPr>
          <w:rFonts w:cs="Arial"/>
          <w:lang w:val="es-CO"/>
        </w:rPr>
      </w:pPr>
      <w:r w:rsidRPr="001A38D5">
        <w:rPr>
          <w:rFonts w:cs="Arial"/>
          <w:lang w:val="es-CO"/>
        </w:rPr>
        <w:t>A continuación, se establece el estado de la Cuenta Maestra de Ahorros No 36456549068 de Bancolombia para la administración de los recursos del Programa de Alimentación Escolar – PAE del Municipio para el periodo comprendido entre el 1 de enero de 2019 al 31 de diciembre de 2022.</w:t>
      </w:r>
    </w:p>
    <w:p w14:paraId="47B0CBA0" w14:textId="77777777" w:rsidR="00A20990" w:rsidRPr="001A38D5" w:rsidRDefault="00A20990" w:rsidP="005140E1">
      <w:pPr>
        <w:contextualSpacing/>
        <w:rPr>
          <w:rFonts w:cs="Arial"/>
          <w:lang w:val="es-CO"/>
        </w:rPr>
      </w:pPr>
    </w:p>
    <w:p w14:paraId="6480A52B"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5</w:t>
      </w:r>
      <w:r w:rsidRPr="007A412F">
        <w:rPr>
          <w:rFonts w:ascii="Verdana" w:hAnsi="Verdana"/>
          <w:color w:val="auto"/>
          <w:sz w:val="20"/>
          <w:szCs w:val="20"/>
        </w:rPr>
        <w:fldChar w:fldCharType="end"/>
      </w:r>
      <w:r w:rsidRPr="007A412F">
        <w:rPr>
          <w:rFonts w:ascii="Verdana" w:hAnsi="Verdana"/>
          <w:color w:val="auto"/>
          <w:sz w:val="20"/>
          <w:szCs w:val="20"/>
        </w:rPr>
        <w:t xml:space="preserve"> Cuenta Maestra del PAE del Municipio de Villavicencio - Meta (valores en millones de pesos colombianos).</w:t>
      </w:r>
    </w:p>
    <w:tbl>
      <w:tblPr>
        <w:tblW w:w="5000" w:type="pct"/>
        <w:tblCellMar>
          <w:left w:w="70" w:type="dxa"/>
          <w:right w:w="70" w:type="dxa"/>
        </w:tblCellMar>
        <w:tblLook w:val="04A0" w:firstRow="1" w:lastRow="0" w:firstColumn="1" w:lastColumn="0" w:noHBand="0" w:noVBand="1"/>
      </w:tblPr>
      <w:tblGrid>
        <w:gridCol w:w="2582"/>
        <w:gridCol w:w="537"/>
        <w:gridCol w:w="1166"/>
        <w:gridCol w:w="537"/>
        <w:gridCol w:w="1166"/>
        <w:gridCol w:w="537"/>
        <w:gridCol w:w="1166"/>
        <w:gridCol w:w="537"/>
        <w:gridCol w:w="1166"/>
      </w:tblGrid>
      <w:tr w:rsidR="001A38D5" w:rsidRPr="001A38D5" w14:paraId="76CF77E6" w14:textId="77777777" w:rsidTr="001029CF">
        <w:trPr>
          <w:trHeight w:val="20"/>
        </w:trPr>
        <w:tc>
          <w:tcPr>
            <w:tcW w:w="1443" w:type="pct"/>
            <w:vMerge w:val="restart"/>
            <w:tcBorders>
              <w:top w:val="single" w:sz="4" w:space="0" w:color="auto"/>
              <w:left w:val="single" w:sz="4" w:space="0" w:color="auto"/>
              <w:bottom w:val="single" w:sz="4" w:space="0" w:color="000000"/>
              <w:right w:val="single" w:sz="4" w:space="0" w:color="auto"/>
            </w:tcBorders>
            <w:shd w:val="clear" w:color="auto" w:fill="FFC000"/>
            <w:vAlign w:val="center"/>
            <w:hideMark/>
          </w:tcPr>
          <w:p w14:paraId="364D5FFA"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Concepto</w:t>
            </w:r>
          </w:p>
        </w:tc>
        <w:tc>
          <w:tcPr>
            <w:tcW w:w="883" w:type="pct"/>
            <w:gridSpan w:val="2"/>
            <w:tcBorders>
              <w:top w:val="single" w:sz="4" w:space="0" w:color="auto"/>
              <w:left w:val="nil"/>
              <w:bottom w:val="single" w:sz="4" w:space="0" w:color="auto"/>
              <w:right w:val="single" w:sz="4" w:space="0" w:color="auto"/>
            </w:tcBorders>
            <w:shd w:val="clear" w:color="auto" w:fill="FFC000"/>
            <w:vAlign w:val="center"/>
            <w:hideMark/>
          </w:tcPr>
          <w:p w14:paraId="5167CF3D"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Operaciones 2019</w:t>
            </w:r>
          </w:p>
        </w:tc>
        <w:tc>
          <w:tcPr>
            <w:tcW w:w="883" w:type="pct"/>
            <w:gridSpan w:val="2"/>
            <w:tcBorders>
              <w:top w:val="single" w:sz="4" w:space="0" w:color="auto"/>
              <w:left w:val="nil"/>
              <w:bottom w:val="single" w:sz="4" w:space="0" w:color="auto"/>
              <w:right w:val="single" w:sz="4" w:space="0" w:color="auto"/>
            </w:tcBorders>
            <w:shd w:val="clear" w:color="auto" w:fill="FFC000"/>
            <w:vAlign w:val="center"/>
            <w:hideMark/>
          </w:tcPr>
          <w:p w14:paraId="168633B3"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Operaciones 2020</w:t>
            </w:r>
          </w:p>
        </w:tc>
        <w:tc>
          <w:tcPr>
            <w:tcW w:w="883" w:type="pct"/>
            <w:gridSpan w:val="2"/>
            <w:tcBorders>
              <w:top w:val="single" w:sz="4" w:space="0" w:color="auto"/>
              <w:left w:val="nil"/>
              <w:bottom w:val="single" w:sz="4" w:space="0" w:color="auto"/>
              <w:right w:val="single" w:sz="4" w:space="0" w:color="auto"/>
            </w:tcBorders>
            <w:shd w:val="clear" w:color="auto" w:fill="FFC000"/>
            <w:vAlign w:val="center"/>
            <w:hideMark/>
          </w:tcPr>
          <w:p w14:paraId="357A1A04"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Operaciones 2021</w:t>
            </w:r>
          </w:p>
        </w:tc>
        <w:tc>
          <w:tcPr>
            <w:tcW w:w="908" w:type="pct"/>
            <w:gridSpan w:val="2"/>
            <w:tcBorders>
              <w:top w:val="single" w:sz="4" w:space="0" w:color="auto"/>
              <w:left w:val="nil"/>
              <w:bottom w:val="single" w:sz="4" w:space="0" w:color="auto"/>
              <w:right w:val="single" w:sz="4" w:space="0" w:color="auto"/>
            </w:tcBorders>
            <w:shd w:val="clear" w:color="auto" w:fill="FFC000"/>
            <w:vAlign w:val="center"/>
            <w:hideMark/>
          </w:tcPr>
          <w:p w14:paraId="2844E9F1"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Operaciones 2022</w:t>
            </w:r>
          </w:p>
        </w:tc>
      </w:tr>
      <w:tr w:rsidR="001A38D5" w:rsidRPr="001A38D5" w14:paraId="064BEFAA" w14:textId="77777777" w:rsidTr="001029CF">
        <w:trPr>
          <w:trHeight w:val="20"/>
        </w:trPr>
        <w:tc>
          <w:tcPr>
            <w:tcW w:w="1443" w:type="pct"/>
            <w:vMerge/>
            <w:tcBorders>
              <w:top w:val="single" w:sz="4" w:space="0" w:color="auto"/>
              <w:left w:val="single" w:sz="4" w:space="0" w:color="auto"/>
              <w:bottom w:val="single" w:sz="4" w:space="0" w:color="000000"/>
              <w:right w:val="single" w:sz="4" w:space="0" w:color="auto"/>
            </w:tcBorders>
            <w:shd w:val="clear" w:color="auto" w:fill="FFC000"/>
            <w:vAlign w:val="center"/>
            <w:hideMark/>
          </w:tcPr>
          <w:p w14:paraId="103798FC" w14:textId="77777777" w:rsidR="00A20990" w:rsidRPr="001A38D5" w:rsidRDefault="00A20990" w:rsidP="005140E1">
            <w:pPr>
              <w:contextualSpacing/>
              <w:rPr>
                <w:rFonts w:eastAsia="Times New Roman" w:cs="Arial"/>
                <w:b/>
                <w:bCs/>
                <w:sz w:val="16"/>
                <w:szCs w:val="16"/>
                <w:lang w:val="es-CO" w:eastAsia="es-CO"/>
              </w:rPr>
            </w:pPr>
          </w:p>
        </w:tc>
        <w:tc>
          <w:tcPr>
            <w:tcW w:w="321" w:type="pct"/>
            <w:tcBorders>
              <w:top w:val="nil"/>
              <w:left w:val="nil"/>
              <w:bottom w:val="single" w:sz="4" w:space="0" w:color="auto"/>
              <w:right w:val="single" w:sz="4" w:space="0" w:color="auto"/>
            </w:tcBorders>
            <w:shd w:val="clear" w:color="auto" w:fill="FFC000"/>
            <w:vAlign w:val="center"/>
            <w:hideMark/>
          </w:tcPr>
          <w:p w14:paraId="3FF4BAB6"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Total</w:t>
            </w:r>
          </w:p>
        </w:tc>
        <w:tc>
          <w:tcPr>
            <w:tcW w:w="562" w:type="pct"/>
            <w:tcBorders>
              <w:top w:val="nil"/>
              <w:left w:val="nil"/>
              <w:bottom w:val="single" w:sz="4" w:space="0" w:color="auto"/>
              <w:right w:val="single" w:sz="4" w:space="0" w:color="auto"/>
            </w:tcBorders>
            <w:shd w:val="clear" w:color="auto" w:fill="FFC000"/>
            <w:vAlign w:val="center"/>
            <w:hideMark/>
          </w:tcPr>
          <w:p w14:paraId="2AABB6AE"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Valor </w:t>
            </w:r>
          </w:p>
        </w:tc>
        <w:tc>
          <w:tcPr>
            <w:tcW w:w="321" w:type="pct"/>
            <w:tcBorders>
              <w:top w:val="nil"/>
              <w:left w:val="nil"/>
              <w:bottom w:val="single" w:sz="4" w:space="0" w:color="auto"/>
              <w:right w:val="single" w:sz="4" w:space="0" w:color="auto"/>
            </w:tcBorders>
            <w:shd w:val="clear" w:color="auto" w:fill="FFC000"/>
            <w:vAlign w:val="center"/>
            <w:hideMark/>
          </w:tcPr>
          <w:p w14:paraId="188BED88"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Total</w:t>
            </w:r>
          </w:p>
        </w:tc>
        <w:tc>
          <w:tcPr>
            <w:tcW w:w="562" w:type="pct"/>
            <w:tcBorders>
              <w:top w:val="nil"/>
              <w:left w:val="nil"/>
              <w:bottom w:val="single" w:sz="4" w:space="0" w:color="auto"/>
              <w:right w:val="single" w:sz="4" w:space="0" w:color="auto"/>
            </w:tcBorders>
            <w:shd w:val="clear" w:color="auto" w:fill="FFC000"/>
            <w:vAlign w:val="center"/>
            <w:hideMark/>
          </w:tcPr>
          <w:p w14:paraId="4B24365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Valor </w:t>
            </w:r>
          </w:p>
        </w:tc>
        <w:tc>
          <w:tcPr>
            <w:tcW w:w="321" w:type="pct"/>
            <w:tcBorders>
              <w:top w:val="nil"/>
              <w:left w:val="nil"/>
              <w:bottom w:val="single" w:sz="4" w:space="0" w:color="auto"/>
              <w:right w:val="single" w:sz="4" w:space="0" w:color="auto"/>
            </w:tcBorders>
            <w:shd w:val="clear" w:color="auto" w:fill="FFC000"/>
            <w:vAlign w:val="center"/>
            <w:hideMark/>
          </w:tcPr>
          <w:p w14:paraId="4745DA2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Total</w:t>
            </w:r>
          </w:p>
        </w:tc>
        <w:tc>
          <w:tcPr>
            <w:tcW w:w="562" w:type="pct"/>
            <w:tcBorders>
              <w:top w:val="nil"/>
              <w:left w:val="nil"/>
              <w:bottom w:val="single" w:sz="4" w:space="0" w:color="auto"/>
              <w:right w:val="single" w:sz="4" w:space="0" w:color="auto"/>
            </w:tcBorders>
            <w:shd w:val="clear" w:color="auto" w:fill="FFC000"/>
            <w:vAlign w:val="center"/>
            <w:hideMark/>
          </w:tcPr>
          <w:p w14:paraId="5DCF2AF6"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Valor </w:t>
            </w:r>
          </w:p>
        </w:tc>
        <w:tc>
          <w:tcPr>
            <w:tcW w:w="322" w:type="pct"/>
            <w:tcBorders>
              <w:top w:val="nil"/>
              <w:left w:val="nil"/>
              <w:bottom w:val="single" w:sz="4" w:space="0" w:color="auto"/>
              <w:right w:val="single" w:sz="4" w:space="0" w:color="auto"/>
            </w:tcBorders>
            <w:shd w:val="clear" w:color="auto" w:fill="FFC000"/>
            <w:vAlign w:val="center"/>
            <w:hideMark/>
          </w:tcPr>
          <w:p w14:paraId="6FB017ED"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Total</w:t>
            </w:r>
          </w:p>
        </w:tc>
        <w:tc>
          <w:tcPr>
            <w:tcW w:w="586" w:type="pct"/>
            <w:tcBorders>
              <w:top w:val="nil"/>
              <w:left w:val="nil"/>
              <w:bottom w:val="single" w:sz="4" w:space="0" w:color="auto"/>
              <w:right w:val="single" w:sz="4" w:space="0" w:color="auto"/>
            </w:tcBorders>
            <w:shd w:val="clear" w:color="auto" w:fill="FFC000"/>
            <w:vAlign w:val="center"/>
            <w:hideMark/>
          </w:tcPr>
          <w:p w14:paraId="5192C2E7"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Valor </w:t>
            </w:r>
          </w:p>
        </w:tc>
      </w:tr>
      <w:tr w:rsidR="001A38D5" w:rsidRPr="001A38D5" w14:paraId="77D6DD3B" w14:textId="77777777" w:rsidTr="00A20990">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14:paraId="2A35F4C5"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Saldo Inicial (500) - 01 de enero</w:t>
            </w:r>
          </w:p>
        </w:tc>
        <w:tc>
          <w:tcPr>
            <w:tcW w:w="321" w:type="pct"/>
            <w:tcBorders>
              <w:top w:val="nil"/>
              <w:left w:val="nil"/>
              <w:bottom w:val="single" w:sz="4" w:space="0" w:color="auto"/>
              <w:right w:val="single" w:sz="4" w:space="0" w:color="auto"/>
            </w:tcBorders>
            <w:shd w:val="clear" w:color="auto" w:fill="auto"/>
            <w:vAlign w:val="center"/>
            <w:hideMark/>
          </w:tcPr>
          <w:p w14:paraId="72FC034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w:t>
            </w:r>
          </w:p>
        </w:tc>
        <w:tc>
          <w:tcPr>
            <w:tcW w:w="562" w:type="pct"/>
            <w:tcBorders>
              <w:top w:val="nil"/>
              <w:left w:val="nil"/>
              <w:bottom w:val="single" w:sz="4" w:space="0" w:color="auto"/>
              <w:right w:val="single" w:sz="4" w:space="0" w:color="auto"/>
            </w:tcBorders>
            <w:shd w:val="clear" w:color="auto" w:fill="auto"/>
            <w:vAlign w:val="center"/>
            <w:hideMark/>
          </w:tcPr>
          <w:p w14:paraId="4915BEB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$3.558,21</w:t>
            </w:r>
          </w:p>
        </w:tc>
        <w:tc>
          <w:tcPr>
            <w:tcW w:w="321" w:type="pct"/>
            <w:tcBorders>
              <w:top w:val="nil"/>
              <w:left w:val="nil"/>
              <w:bottom w:val="single" w:sz="4" w:space="0" w:color="auto"/>
              <w:right w:val="single" w:sz="4" w:space="0" w:color="auto"/>
            </w:tcBorders>
            <w:shd w:val="clear" w:color="auto" w:fill="auto"/>
            <w:vAlign w:val="center"/>
            <w:hideMark/>
          </w:tcPr>
          <w:p w14:paraId="62422DB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w:t>
            </w:r>
          </w:p>
        </w:tc>
        <w:tc>
          <w:tcPr>
            <w:tcW w:w="562" w:type="pct"/>
            <w:tcBorders>
              <w:top w:val="nil"/>
              <w:left w:val="nil"/>
              <w:bottom w:val="single" w:sz="4" w:space="0" w:color="auto"/>
              <w:right w:val="single" w:sz="4" w:space="0" w:color="auto"/>
            </w:tcBorders>
            <w:shd w:val="clear" w:color="auto" w:fill="auto"/>
            <w:vAlign w:val="center"/>
            <w:hideMark/>
          </w:tcPr>
          <w:p w14:paraId="1FE1EC3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$1.648,16</w:t>
            </w:r>
          </w:p>
        </w:tc>
        <w:tc>
          <w:tcPr>
            <w:tcW w:w="321" w:type="pct"/>
            <w:tcBorders>
              <w:top w:val="nil"/>
              <w:left w:val="nil"/>
              <w:bottom w:val="single" w:sz="4" w:space="0" w:color="auto"/>
              <w:right w:val="single" w:sz="4" w:space="0" w:color="auto"/>
            </w:tcBorders>
            <w:shd w:val="clear" w:color="auto" w:fill="auto"/>
            <w:vAlign w:val="center"/>
            <w:hideMark/>
          </w:tcPr>
          <w:p w14:paraId="39303FD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w:t>
            </w:r>
          </w:p>
        </w:tc>
        <w:tc>
          <w:tcPr>
            <w:tcW w:w="562" w:type="pct"/>
            <w:tcBorders>
              <w:top w:val="nil"/>
              <w:left w:val="nil"/>
              <w:bottom w:val="single" w:sz="4" w:space="0" w:color="auto"/>
              <w:right w:val="single" w:sz="4" w:space="0" w:color="auto"/>
            </w:tcBorders>
            <w:shd w:val="clear" w:color="auto" w:fill="auto"/>
            <w:vAlign w:val="center"/>
            <w:hideMark/>
          </w:tcPr>
          <w:p w14:paraId="0B0EF67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$4.257,28</w:t>
            </w:r>
          </w:p>
        </w:tc>
        <w:tc>
          <w:tcPr>
            <w:tcW w:w="322" w:type="pct"/>
            <w:tcBorders>
              <w:top w:val="nil"/>
              <w:left w:val="nil"/>
              <w:bottom w:val="single" w:sz="4" w:space="0" w:color="auto"/>
              <w:right w:val="single" w:sz="4" w:space="0" w:color="auto"/>
            </w:tcBorders>
            <w:shd w:val="clear" w:color="auto" w:fill="auto"/>
            <w:vAlign w:val="center"/>
            <w:hideMark/>
          </w:tcPr>
          <w:p w14:paraId="58125D1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w:t>
            </w:r>
          </w:p>
        </w:tc>
        <w:tc>
          <w:tcPr>
            <w:tcW w:w="586" w:type="pct"/>
            <w:tcBorders>
              <w:top w:val="nil"/>
              <w:left w:val="nil"/>
              <w:bottom w:val="single" w:sz="4" w:space="0" w:color="auto"/>
              <w:right w:val="single" w:sz="4" w:space="0" w:color="auto"/>
            </w:tcBorders>
            <w:shd w:val="clear" w:color="auto" w:fill="auto"/>
            <w:vAlign w:val="center"/>
            <w:hideMark/>
          </w:tcPr>
          <w:p w14:paraId="538A3317"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$9.907,39</w:t>
            </w:r>
          </w:p>
        </w:tc>
      </w:tr>
      <w:tr w:rsidR="001A38D5" w:rsidRPr="001A38D5" w14:paraId="16C8F72C" w14:textId="77777777" w:rsidTr="00A20990">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14:paraId="08F22583"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Ingresos (100)</w:t>
            </w:r>
          </w:p>
        </w:tc>
        <w:tc>
          <w:tcPr>
            <w:tcW w:w="321" w:type="pct"/>
            <w:tcBorders>
              <w:top w:val="nil"/>
              <w:left w:val="nil"/>
              <w:bottom w:val="single" w:sz="4" w:space="0" w:color="auto"/>
              <w:right w:val="single" w:sz="4" w:space="0" w:color="auto"/>
            </w:tcBorders>
            <w:shd w:val="clear" w:color="auto" w:fill="auto"/>
            <w:vAlign w:val="center"/>
            <w:hideMark/>
          </w:tcPr>
          <w:p w14:paraId="4C95B67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41</w:t>
            </w:r>
          </w:p>
        </w:tc>
        <w:tc>
          <w:tcPr>
            <w:tcW w:w="562" w:type="pct"/>
            <w:tcBorders>
              <w:top w:val="nil"/>
              <w:left w:val="nil"/>
              <w:bottom w:val="single" w:sz="4" w:space="0" w:color="auto"/>
              <w:right w:val="single" w:sz="4" w:space="0" w:color="auto"/>
            </w:tcBorders>
            <w:shd w:val="clear" w:color="auto" w:fill="auto"/>
            <w:vAlign w:val="center"/>
            <w:hideMark/>
          </w:tcPr>
          <w:p w14:paraId="268666C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$10.003,98</w:t>
            </w:r>
          </w:p>
        </w:tc>
        <w:tc>
          <w:tcPr>
            <w:tcW w:w="321" w:type="pct"/>
            <w:tcBorders>
              <w:top w:val="nil"/>
              <w:left w:val="nil"/>
              <w:bottom w:val="single" w:sz="4" w:space="0" w:color="auto"/>
              <w:right w:val="single" w:sz="4" w:space="0" w:color="auto"/>
            </w:tcBorders>
            <w:shd w:val="clear" w:color="auto" w:fill="auto"/>
            <w:vAlign w:val="center"/>
            <w:hideMark/>
          </w:tcPr>
          <w:p w14:paraId="0D2093F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36</w:t>
            </w:r>
          </w:p>
        </w:tc>
        <w:tc>
          <w:tcPr>
            <w:tcW w:w="562" w:type="pct"/>
            <w:tcBorders>
              <w:top w:val="nil"/>
              <w:left w:val="nil"/>
              <w:bottom w:val="single" w:sz="4" w:space="0" w:color="auto"/>
              <w:right w:val="single" w:sz="4" w:space="0" w:color="auto"/>
            </w:tcBorders>
            <w:shd w:val="clear" w:color="auto" w:fill="auto"/>
            <w:vAlign w:val="center"/>
            <w:hideMark/>
          </w:tcPr>
          <w:p w14:paraId="35D937C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$9.623,45</w:t>
            </w:r>
          </w:p>
        </w:tc>
        <w:tc>
          <w:tcPr>
            <w:tcW w:w="321" w:type="pct"/>
            <w:tcBorders>
              <w:top w:val="nil"/>
              <w:left w:val="nil"/>
              <w:bottom w:val="single" w:sz="4" w:space="0" w:color="auto"/>
              <w:right w:val="single" w:sz="4" w:space="0" w:color="auto"/>
            </w:tcBorders>
            <w:shd w:val="clear" w:color="auto" w:fill="auto"/>
            <w:vAlign w:val="center"/>
            <w:hideMark/>
          </w:tcPr>
          <w:p w14:paraId="693CDCD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30</w:t>
            </w:r>
          </w:p>
        </w:tc>
        <w:tc>
          <w:tcPr>
            <w:tcW w:w="562" w:type="pct"/>
            <w:tcBorders>
              <w:top w:val="nil"/>
              <w:left w:val="nil"/>
              <w:bottom w:val="single" w:sz="4" w:space="0" w:color="auto"/>
              <w:right w:val="single" w:sz="4" w:space="0" w:color="auto"/>
            </w:tcBorders>
            <w:shd w:val="clear" w:color="auto" w:fill="auto"/>
            <w:vAlign w:val="center"/>
            <w:hideMark/>
          </w:tcPr>
          <w:p w14:paraId="5EF0723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$12.936,52</w:t>
            </w:r>
          </w:p>
        </w:tc>
        <w:tc>
          <w:tcPr>
            <w:tcW w:w="322" w:type="pct"/>
            <w:tcBorders>
              <w:top w:val="nil"/>
              <w:left w:val="nil"/>
              <w:bottom w:val="single" w:sz="4" w:space="0" w:color="auto"/>
              <w:right w:val="single" w:sz="4" w:space="0" w:color="auto"/>
            </w:tcBorders>
            <w:shd w:val="clear" w:color="auto" w:fill="auto"/>
            <w:vAlign w:val="center"/>
            <w:hideMark/>
          </w:tcPr>
          <w:p w14:paraId="495A0FC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19</w:t>
            </w:r>
          </w:p>
        </w:tc>
        <w:tc>
          <w:tcPr>
            <w:tcW w:w="586" w:type="pct"/>
            <w:tcBorders>
              <w:top w:val="nil"/>
              <w:left w:val="nil"/>
              <w:bottom w:val="single" w:sz="4" w:space="0" w:color="auto"/>
              <w:right w:val="single" w:sz="4" w:space="0" w:color="auto"/>
            </w:tcBorders>
            <w:shd w:val="clear" w:color="auto" w:fill="auto"/>
            <w:vAlign w:val="center"/>
            <w:hideMark/>
          </w:tcPr>
          <w:p w14:paraId="1F1C2BC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$10.094,33</w:t>
            </w:r>
          </w:p>
        </w:tc>
      </w:tr>
      <w:tr w:rsidR="001A38D5" w:rsidRPr="001A38D5" w14:paraId="52D1A808" w14:textId="77777777" w:rsidTr="001029CF">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14:paraId="36BF0018"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Ingresos por Rendimientos Financieros (110)</w:t>
            </w:r>
          </w:p>
        </w:tc>
        <w:tc>
          <w:tcPr>
            <w:tcW w:w="321" w:type="pct"/>
            <w:tcBorders>
              <w:top w:val="nil"/>
              <w:left w:val="nil"/>
              <w:bottom w:val="single" w:sz="4" w:space="0" w:color="auto"/>
              <w:right w:val="single" w:sz="4" w:space="0" w:color="auto"/>
            </w:tcBorders>
            <w:shd w:val="clear" w:color="auto" w:fill="auto"/>
            <w:vAlign w:val="center"/>
            <w:hideMark/>
          </w:tcPr>
          <w:p w14:paraId="5873598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70</w:t>
            </w:r>
          </w:p>
        </w:tc>
        <w:tc>
          <w:tcPr>
            <w:tcW w:w="562" w:type="pct"/>
            <w:tcBorders>
              <w:top w:val="nil"/>
              <w:left w:val="nil"/>
              <w:bottom w:val="single" w:sz="4" w:space="0" w:color="auto"/>
              <w:right w:val="single" w:sz="4" w:space="0" w:color="auto"/>
            </w:tcBorders>
            <w:shd w:val="clear" w:color="auto" w:fill="auto"/>
            <w:vAlign w:val="center"/>
            <w:hideMark/>
          </w:tcPr>
          <w:p w14:paraId="5C3E94D1"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$117,02</w:t>
            </w:r>
          </w:p>
        </w:tc>
        <w:tc>
          <w:tcPr>
            <w:tcW w:w="321" w:type="pct"/>
            <w:tcBorders>
              <w:top w:val="nil"/>
              <w:left w:val="nil"/>
              <w:bottom w:val="single" w:sz="4" w:space="0" w:color="auto"/>
              <w:right w:val="single" w:sz="4" w:space="0" w:color="auto"/>
            </w:tcBorders>
            <w:shd w:val="clear" w:color="auto" w:fill="auto"/>
            <w:vAlign w:val="center"/>
            <w:hideMark/>
          </w:tcPr>
          <w:p w14:paraId="67DFEAA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68</w:t>
            </w:r>
          </w:p>
        </w:tc>
        <w:tc>
          <w:tcPr>
            <w:tcW w:w="562" w:type="pct"/>
            <w:tcBorders>
              <w:top w:val="nil"/>
              <w:left w:val="nil"/>
              <w:bottom w:val="single" w:sz="4" w:space="0" w:color="auto"/>
              <w:right w:val="single" w:sz="4" w:space="0" w:color="auto"/>
            </w:tcBorders>
            <w:shd w:val="clear" w:color="auto" w:fill="auto"/>
            <w:vAlign w:val="center"/>
            <w:hideMark/>
          </w:tcPr>
          <w:p w14:paraId="143A8CA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$127,81</w:t>
            </w:r>
          </w:p>
        </w:tc>
        <w:tc>
          <w:tcPr>
            <w:tcW w:w="321" w:type="pct"/>
            <w:tcBorders>
              <w:top w:val="nil"/>
              <w:left w:val="nil"/>
              <w:bottom w:val="single" w:sz="4" w:space="0" w:color="auto"/>
              <w:right w:val="single" w:sz="4" w:space="0" w:color="auto"/>
            </w:tcBorders>
            <w:shd w:val="clear" w:color="auto" w:fill="auto"/>
            <w:vAlign w:val="center"/>
            <w:hideMark/>
          </w:tcPr>
          <w:p w14:paraId="2533613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117</w:t>
            </w:r>
          </w:p>
        </w:tc>
        <w:tc>
          <w:tcPr>
            <w:tcW w:w="562" w:type="pct"/>
            <w:tcBorders>
              <w:top w:val="nil"/>
              <w:left w:val="nil"/>
              <w:bottom w:val="single" w:sz="4" w:space="0" w:color="auto"/>
              <w:right w:val="single" w:sz="4" w:space="0" w:color="auto"/>
            </w:tcBorders>
            <w:shd w:val="clear" w:color="auto" w:fill="auto"/>
            <w:vAlign w:val="center"/>
            <w:hideMark/>
          </w:tcPr>
          <w:p w14:paraId="3F24BCA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$168,40</w:t>
            </w:r>
          </w:p>
        </w:tc>
        <w:tc>
          <w:tcPr>
            <w:tcW w:w="322" w:type="pct"/>
            <w:tcBorders>
              <w:top w:val="nil"/>
              <w:left w:val="nil"/>
              <w:bottom w:val="single" w:sz="4" w:space="0" w:color="auto"/>
              <w:right w:val="single" w:sz="4" w:space="0" w:color="auto"/>
            </w:tcBorders>
            <w:shd w:val="clear" w:color="auto" w:fill="auto"/>
            <w:vAlign w:val="center"/>
            <w:hideMark/>
          </w:tcPr>
          <w:p w14:paraId="7F65B49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84</w:t>
            </w:r>
          </w:p>
        </w:tc>
        <w:tc>
          <w:tcPr>
            <w:tcW w:w="586" w:type="pct"/>
            <w:tcBorders>
              <w:top w:val="nil"/>
              <w:left w:val="nil"/>
              <w:bottom w:val="single" w:sz="4" w:space="0" w:color="auto"/>
              <w:right w:val="single" w:sz="4" w:space="0" w:color="auto"/>
            </w:tcBorders>
            <w:shd w:val="clear" w:color="auto" w:fill="auto"/>
            <w:vAlign w:val="center"/>
            <w:hideMark/>
          </w:tcPr>
          <w:p w14:paraId="7BCF17D1"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$145,84</w:t>
            </w:r>
          </w:p>
        </w:tc>
      </w:tr>
      <w:tr w:rsidR="001A38D5" w:rsidRPr="001A38D5" w14:paraId="67103251" w14:textId="77777777" w:rsidTr="001029CF">
        <w:trPr>
          <w:trHeight w:val="20"/>
        </w:trPr>
        <w:tc>
          <w:tcPr>
            <w:tcW w:w="144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0282587"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Total Saldo en Caja + Ingresos</w:t>
            </w:r>
          </w:p>
        </w:tc>
        <w:tc>
          <w:tcPr>
            <w:tcW w:w="321" w:type="pct"/>
            <w:tcBorders>
              <w:top w:val="single" w:sz="4" w:space="0" w:color="auto"/>
              <w:left w:val="nil"/>
              <w:bottom w:val="single" w:sz="4" w:space="0" w:color="auto"/>
              <w:right w:val="single" w:sz="4" w:space="0" w:color="auto"/>
            </w:tcBorders>
            <w:shd w:val="clear" w:color="000000" w:fill="FFC000"/>
            <w:vAlign w:val="center"/>
            <w:hideMark/>
          </w:tcPr>
          <w:p w14:paraId="2F349817"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62" w:type="pct"/>
            <w:tcBorders>
              <w:top w:val="single" w:sz="4" w:space="0" w:color="auto"/>
              <w:left w:val="nil"/>
              <w:bottom w:val="single" w:sz="4" w:space="0" w:color="auto"/>
              <w:right w:val="single" w:sz="4" w:space="0" w:color="auto"/>
            </w:tcBorders>
            <w:shd w:val="clear" w:color="000000" w:fill="FFC000"/>
            <w:vAlign w:val="center"/>
            <w:hideMark/>
          </w:tcPr>
          <w:p w14:paraId="0FBB815A"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$13.679,20</w:t>
            </w:r>
          </w:p>
        </w:tc>
        <w:tc>
          <w:tcPr>
            <w:tcW w:w="321" w:type="pct"/>
            <w:tcBorders>
              <w:top w:val="single" w:sz="4" w:space="0" w:color="auto"/>
              <w:left w:val="nil"/>
              <w:bottom w:val="single" w:sz="4" w:space="0" w:color="auto"/>
              <w:right w:val="single" w:sz="4" w:space="0" w:color="auto"/>
            </w:tcBorders>
            <w:shd w:val="clear" w:color="000000" w:fill="FFC000"/>
            <w:vAlign w:val="center"/>
            <w:hideMark/>
          </w:tcPr>
          <w:p w14:paraId="275E08C1"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62" w:type="pct"/>
            <w:tcBorders>
              <w:top w:val="single" w:sz="4" w:space="0" w:color="auto"/>
              <w:left w:val="nil"/>
              <w:bottom w:val="single" w:sz="4" w:space="0" w:color="auto"/>
              <w:right w:val="single" w:sz="4" w:space="0" w:color="auto"/>
            </w:tcBorders>
            <w:shd w:val="clear" w:color="000000" w:fill="FFC000"/>
            <w:vAlign w:val="center"/>
            <w:hideMark/>
          </w:tcPr>
          <w:p w14:paraId="5D828A49"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$11.399,42</w:t>
            </w:r>
          </w:p>
        </w:tc>
        <w:tc>
          <w:tcPr>
            <w:tcW w:w="321" w:type="pct"/>
            <w:tcBorders>
              <w:top w:val="single" w:sz="4" w:space="0" w:color="auto"/>
              <w:left w:val="nil"/>
              <w:bottom w:val="single" w:sz="4" w:space="0" w:color="auto"/>
              <w:right w:val="single" w:sz="4" w:space="0" w:color="auto"/>
            </w:tcBorders>
            <w:shd w:val="clear" w:color="000000" w:fill="FFC000"/>
            <w:vAlign w:val="center"/>
            <w:hideMark/>
          </w:tcPr>
          <w:p w14:paraId="73FFF8DE"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62" w:type="pct"/>
            <w:tcBorders>
              <w:top w:val="single" w:sz="4" w:space="0" w:color="auto"/>
              <w:left w:val="nil"/>
              <w:bottom w:val="single" w:sz="4" w:space="0" w:color="auto"/>
              <w:right w:val="single" w:sz="4" w:space="0" w:color="auto"/>
            </w:tcBorders>
            <w:shd w:val="clear" w:color="000000" w:fill="FFC000"/>
            <w:vAlign w:val="center"/>
            <w:hideMark/>
          </w:tcPr>
          <w:p w14:paraId="3DFB617F"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$17.362,20</w:t>
            </w:r>
          </w:p>
        </w:tc>
        <w:tc>
          <w:tcPr>
            <w:tcW w:w="322" w:type="pct"/>
            <w:tcBorders>
              <w:top w:val="single" w:sz="4" w:space="0" w:color="auto"/>
              <w:left w:val="nil"/>
              <w:bottom w:val="single" w:sz="4" w:space="0" w:color="auto"/>
              <w:right w:val="single" w:sz="4" w:space="0" w:color="auto"/>
            </w:tcBorders>
            <w:shd w:val="clear" w:color="000000" w:fill="FFC000"/>
            <w:vAlign w:val="center"/>
            <w:hideMark/>
          </w:tcPr>
          <w:p w14:paraId="6FD820EC"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86" w:type="pct"/>
            <w:tcBorders>
              <w:top w:val="single" w:sz="4" w:space="0" w:color="auto"/>
              <w:left w:val="nil"/>
              <w:bottom w:val="single" w:sz="4" w:space="0" w:color="auto"/>
              <w:right w:val="single" w:sz="4" w:space="0" w:color="auto"/>
            </w:tcBorders>
            <w:shd w:val="clear" w:color="000000" w:fill="FFC000"/>
            <w:vAlign w:val="center"/>
            <w:hideMark/>
          </w:tcPr>
          <w:p w14:paraId="5173EB21"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$20.147,56</w:t>
            </w:r>
          </w:p>
        </w:tc>
      </w:tr>
      <w:tr w:rsidR="001A38D5" w:rsidRPr="001A38D5" w14:paraId="567DA652" w14:textId="77777777" w:rsidTr="001029CF">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14:paraId="73674BC1"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Egresos Asignaciones Especiales (320)</w:t>
            </w:r>
          </w:p>
        </w:tc>
        <w:tc>
          <w:tcPr>
            <w:tcW w:w="321" w:type="pct"/>
            <w:tcBorders>
              <w:top w:val="nil"/>
              <w:left w:val="nil"/>
              <w:bottom w:val="single" w:sz="4" w:space="0" w:color="auto"/>
              <w:right w:val="single" w:sz="4" w:space="0" w:color="auto"/>
            </w:tcBorders>
            <w:shd w:val="clear" w:color="auto" w:fill="auto"/>
            <w:vAlign w:val="center"/>
            <w:hideMark/>
          </w:tcPr>
          <w:p w14:paraId="5CD20E6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79</w:t>
            </w:r>
          </w:p>
        </w:tc>
        <w:tc>
          <w:tcPr>
            <w:tcW w:w="562" w:type="pct"/>
            <w:tcBorders>
              <w:top w:val="nil"/>
              <w:left w:val="nil"/>
              <w:bottom w:val="single" w:sz="4" w:space="0" w:color="auto"/>
              <w:right w:val="single" w:sz="4" w:space="0" w:color="auto"/>
            </w:tcBorders>
            <w:shd w:val="clear" w:color="auto" w:fill="auto"/>
            <w:vAlign w:val="center"/>
            <w:hideMark/>
          </w:tcPr>
          <w:p w14:paraId="017F061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$12.031,04</w:t>
            </w:r>
          </w:p>
        </w:tc>
        <w:tc>
          <w:tcPr>
            <w:tcW w:w="321" w:type="pct"/>
            <w:tcBorders>
              <w:top w:val="nil"/>
              <w:left w:val="nil"/>
              <w:bottom w:val="single" w:sz="4" w:space="0" w:color="auto"/>
              <w:right w:val="single" w:sz="4" w:space="0" w:color="auto"/>
            </w:tcBorders>
            <w:shd w:val="clear" w:color="auto" w:fill="auto"/>
            <w:vAlign w:val="center"/>
            <w:hideMark/>
          </w:tcPr>
          <w:p w14:paraId="0119928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81</w:t>
            </w:r>
          </w:p>
        </w:tc>
        <w:tc>
          <w:tcPr>
            <w:tcW w:w="562" w:type="pct"/>
            <w:tcBorders>
              <w:top w:val="nil"/>
              <w:left w:val="nil"/>
              <w:bottom w:val="single" w:sz="4" w:space="0" w:color="auto"/>
              <w:right w:val="single" w:sz="4" w:space="0" w:color="auto"/>
            </w:tcBorders>
            <w:shd w:val="clear" w:color="auto" w:fill="auto"/>
            <w:vAlign w:val="center"/>
            <w:hideMark/>
          </w:tcPr>
          <w:p w14:paraId="4D17D7CE"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$7.142,14</w:t>
            </w:r>
          </w:p>
        </w:tc>
        <w:tc>
          <w:tcPr>
            <w:tcW w:w="321" w:type="pct"/>
            <w:tcBorders>
              <w:top w:val="nil"/>
              <w:left w:val="nil"/>
              <w:bottom w:val="single" w:sz="4" w:space="0" w:color="auto"/>
              <w:right w:val="single" w:sz="4" w:space="0" w:color="auto"/>
            </w:tcBorders>
            <w:shd w:val="clear" w:color="auto" w:fill="auto"/>
            <w:vAlign w:val="center"/>
            <w:hideMark/>
          </w:tcPr>
          <w:p w14:paraId="26BEE21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174</w:t>
            </w:r>
          </w:p>
        </w:tc>
        <w:tc>
          <w:tcPr>
            <w:tcW w:w="562" w:type="pct"/>
            <w:tcBorders>
              <w:top w:val="nil"/>
              <w:left w:val="nil"/>
              <w:bottom w:val="single" w:sz="4" w:space="0" w:color="auto"/>
              <w:right w:val="single" w:sz="4" w:space="0" w:color="auto"/>
            </w:tcBorders>
            <w:shd w:val="clear" w:color="auto" w:fill="auto"/>
            <w:vAlign w:val="center"/>
            <w:hideMark/>
          </w:tcPr>
          <w:p w14:paraId="03F4A5A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$7.454,82</w:t>
            </w:r>
          </w:p>
        </w:tc>
        <w:tc>
          <w:tcPr>
            <w:tcW w:w="322" w:type="pct"/>
            <w:tcBorders>
              <w:top w:val="nil"/>
              <w:left w:val="nil"/>
              <w:bottom w:val="single" w:sz="4" w:space="0" w:color="auto"/>
              <w:right w:val="single" w:sz="4" w:space="0" w:color="auto"/>
            </w:tcBorders>
            <w:shd w:val="clear" w:color="auto" w:fill="auto"/>
            <w:vAlign w:val="center"/>
            <w:hideMark/>
          </w:tcPr>
          <w:p w14:paraId="5B84104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139</w:t>
            </w:r>
          </w:p>
        </w:tc>
        <w:tc>
          <w:tcPr>
            <w:tcW w:w="586" w:type="pct"/>
            <w:tcBorders>
              <w:top w:val="nil"/>
              <w:left w:val="nil"/>
              <w:bottom w:val="single" w:sz="4" w:space="0" w:color="auto"/>
              <w:right w:val="single" w:sz="4" w:space="0" w:color="auto"/>
            </w:tcBorders>
            <w:shd w:val="clear" w:color="auto" w:fill="auto"/>
            <w:vAlign w:val="center"/>
            <w:hideMark/>
          </w:tcPr>
          <w:p w14:paraId="74720D8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$16.934,34</w:t>
            </w:r>
          </w:p>
        </w:tc>
      </w:tr>
      <w:tr w:rsidR="001A38D5" w:rsidRPr="001A38D5" w14:paraId="56CE7BD7" w14:textId="77777777" w:rsidTr="001029CF">
        <w:trPr>
          <w:trHeight w:val="20"/>
        </w:trPr>
        <w:tc>
          <w:tcPr>
            <w:tcW w:w="144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D626D22"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Total Egresos</w:t>
            </w:r>
          </w:p>
        </w:tc>
        <w:tc>
          <w:tcPr>
            <w:tcW w:w="321" w:type="pct"/>
            <w:tcBorders>
              <w:top w:val="single" w:sz="4" w:space="0" w:color="auto"/>
              <w:left w:val="nil"/>
              <w:bottom w:val="single" w:sz="4" w:space="0" w:color="auto"/>
              <w:right w:val="single" w:sz="4" w:space="0" w:color="auto"/>
            </w:tcBorders>
            <w:shd w:val="clear" w:color="000000" w:fill="FFC000"/>
            <w:vAlign w:val="center"/>
            <w:hideMark/>
          </w:tcPr>
          <w:p w14:paraId="340186EC"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62" w:type="pct"/>
            <w:tcBorders>
              <w:top w:val="single" w:sz="4" w:space="0" w:color="auto"/>
              <w:left w:val="nil"/>
              <w:bottom w:val="single" w:sz="4" w:space="0" w:color="auto"/>
              <w:right w:val="single" w:sz="4" w:space="0" w:color="auto"/>
            </w:tcBorders>
            <w:shd w:val="clear" w:color="000000" w:fill="FFC000"/>
            <w:vAlign w:val="center"/>
            <w:hideMark/>
          </w:tcPr>
          <w:p w14:paraId="39A1CFD8"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$12.031,04</w:t>
            </w:r>
          </w:p>
        </w:tc>
        <w:tc>
          <w:tcPr>
            <w:tcW w:w="321" w:type="pct"/>
            <w:tcBorders>
              <w:top w:val="single" w:sz="4" w:space="0" w:color="auto"/>
              <w:left w:val="nil"/>
              <w:bottom w:val="single" w:sz="4" w:space="0" w:color="auto"/>
              <w:right w:val="single" w:sz="4" w:space="0" w:color="auto"/>
            </w:tcBorders>
            <w:shd w:val="clear" w:color="000000" w:fill="FFC000"/>
            <w:vAlign w:val="center"/>
            <w:hideMark/>
          </w:tcPr>
          <w:p w14:paraId="0FAF6F95"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62" w:type="pct"/>
            <w:tcBorders>
              <w:top w:val="single" w:sz="4" w:space="0" w:color="auto"/>
              <w:left w:val="nil"/>
              <w:bottom w:val="single" w:sz="4" w:space="0" w:color="auto"/>
              <w:right w:val="single" w:sz="4" w:space="0" w:color="auto"/>
            </w:tcBorders>
            <w:shd w:val="clear" w:color="000000" w:fill="FFC000"/>
            <w:vAlign w:val="center"/>
            <w:hideMark/>
          </w:tcPr>
          <w:p w14:paraId="58586000"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$7.142,14</w:t>
            </w:r>
          </w:p>
        </w:tc>
        <w:tc>
          <w:tcPr>
            <w:tcW w:w="321" w:type="pct"/>
            <w:tcBorders>
              <w:top w:val="single" w:sz="4" w:space="0" w:color="auto"/>
              <w:left w:val="nil"/>
              <w:bottom w:val="single" w:sz="4" w:space="0" w:color="auto"/>
              <w:right w:val="single" w:sz="4" w:space="0" w:color="auto"/>
            </w:tcBorders>
            <w:shd w:val="clear" w:color="000000" w:fill="FFC000"/>
            <w:vAlign w:val="center"/>
            <w:hideMark/>
          </w:tcPr>
          <w:p w14:paraId="5167B4AB"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62" w:type="pct"/>
            <w:tcBorders>
              <w:top w:val="single" w:sz="4" w:space="0" w:color="auto"/>
              <w:left w:val="nil"/>
              <w:bottom w:val="single" w:sz="4" w:space="0" w:color="auto"/>
              <w:right w:val="single" w:sz="4" w:space="0" w:color="auto"/>
            </w:tcBorders>
            <w:shd w:val="clear" w:color="000000" w:fill="FFC000"/>
            <w:vAlign w:val="center"/>
            <w:hideMark/>
          </w:tcPr>
          <w:p w14:paraId="128AE7B4"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$7.454,82</w:t>
            </w:r>
          </w:p>
        </w:tc>
        <w:tc>
          <w:tcPr>
            <w:tcW w:w="322" w:type="pct"/>
            <w:tcBorders>
              <w:top w:val="single" w:sz="4" w:space="0" w:color="auto"/>
              <w:left w:val="nil"/>
              <w:bottom w:val="single" w:sz="4" w:space="0" w:color="auto"/>
              <w:right w:val="single" w:sz="4" w:space="0" w:color="auto"/>
            </w:tcBorders>
            <w:shd w:val="clear" w:color="000000" w:fill="FFC000"/>
            <w:vAlign w:val="center"/>
            <w:hideMark/>
          </w:tcPr>
          <w:p w14:paraId="75E7A739"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86" w:type="pct"/>
            <w:tcBorders>
              <w:top w:val="single" w:sz="4" w:space="0" w:color="auto"/>
              <w:left w:val="nil"/>
              <w:bottom w:val="single" w:sz="4" w:space="0" w:color="auto"/>
              <w:right w:val="single" w:sz="4" w:space="0" w:color="auto"/>
            </w:tcBorders>
            <w:shd w:val="clear" w:color="000000" w:fill="FFC000"/>
            <w:vAlign w:val="center"/>
            <w:hideMark/>
          </w:tcPr>
          <w:p w14:paraId="530736CF"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$16.934,34</w:t>
            </w:r>
          </w:p>
        </w:tc>
      </w:tr>
      <w:tr w:rsidR="001A38D5" w:rsidRPr="001A38D5" w14:paraId="68BF81D6" w14:textId="77777777" w:rsidTr="001029CF">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14:paraId="4A71BC60"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Saldo Final (600)</w:t>
            </w:r>
          </w:p>
        </w:tc>
        <w:tc>
          <w:tcPr>
            <w:tcW w:w="321" w:type="pct"/>
            <w:tcBorders>
              <w:top w:val="nil"/>
              <w:left w:val="nil"/>
              <w:bottom w:val="single" w:sz="4" w:space="0" w:color="auto"/>
              <w:right w:val="single" w:sz="4" w:space="0" w:color="auto"/>
            </w:tcBorders>
            <w:shd w:val="clear" w:color="auto" w:fill="auto"/>
            <w:vAlign w:val="center"/>
            <w:hideMark/>
          </w:tcPr>
          <w:p w14:paraId="08547D7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w:t>
            </w:r>
          </w:p>
        </w:tc>
        <w:tc>
          <w:tcPr>
            <w:tcW w:w="562" w:type="pct"/>
            <w:tcBorders>
              <w:top w:val="nil"/>
              <w:left w:val="nil"/>
              <w:bottom w:val="single" w:sz="4" w:space="0" w:color="auto"/>
              <w:right w:val="single" w:sz="4" w:space="0" w:color="auto"/>
            </w:tcBorders>
            <w:shd w:val="clear" w:color="auto" w:fill="auto"/>
            <w:vAlign w:val="center"/>
            <w:hideMark/>
          </w:tcPr>
          <w:p w14:paraId="2C5E798D"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$1.648,16</w:t>
            </w:r>
          </w:p>
        </w:tc>
        <w:tc>
          <w:tcPr>
            <w:tcW w:w="321" w:type="pct"/>
            <w:tcBorders>
              <w:top w:val="nil"/>
              <w:left w:val="nil"/>
              <w:bottom w:val="single" w:sz="4" w:space="0" w:color="auto"/>
              <w:right w:val="single" w:sz="4" w:space="0" w:color="auto"/>
            </w:tcBorders>
            <w:shd w:val="clear" w:color="auto" w:fill="auto"/>
            <w:vAlign w:val="center"/>
            <w:hideMark/>
          </w:tcPr>
          <w:p w14:paraId="3F69F3F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w:t>
            </w:r>
          </w:p>
        </w:tc>
        <w:tc>
          <w:tcPr>
            <w:tcW w:w="562" w:type="pct"/>
            <w:tcBorders>
              <w:top w:val="nil"/>
              <w:left w:val="nil"/>
              <w:bottom w:val="single" w:sz="4" w:space="0" w:color="auto"/>
              <w:right w:val="single" w:sz="4" w:space="0" w:color="auto"/>
            </w:tcBorders>
            <w:shd w:val="clear" w:color="auto" w:fill="auto"/>
            <w:vAlign w:val="center"/>
            <w:hideMark/>
          </w:tcPr>
          <w:p w14:paraId="5EC0E0C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$4.257,28</w:t>
            </w:r>
          </w:p>
        </w:tc>
        <w:tc>
          <w:tcPr>
            <w:tcW w:w="321" w:type="pct"/>
            <w:tcBorders>
              <w:top w:val="nil"/>
              <w:left w:val="nil"/>
              <w:bottom w:val="single" w:sz="4" w:space="0" w:color="auto"/>
              <w:right w:val="single" w:sz="4" w:space="0" w:color="auto"/>
            </w:tcBorders>
            <w:shd w:val="clear" w:color="auto" w:fill="auto"/>
            <w:vAlign w:val="center"/>
            <w:hideMark/>
          </w:tcPr>
          <w:p w14:paraId="287B5BC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w:t>
            </w:r>
          </w:p>
        </w:tc>
        <w:tc>
          <w:tcPr>
            <w:tcW w:w="562" w:type="pct"/>
            <w:tcBorders>
              <w:top w:val="nil"/>
              <w:left w:val="nil"/>
              <w:bottom w:val="single" w:sz="4" w:space="0" w:color="auto"/>
              <w:right w:val="single" w:sz="4" w:space="0" w:color="auto"/>
            </w:tcBorders>
            <w:shd w:val="clear" w:color="auto" w:fill="auto"/>
            <w:vAlign w:val="center"/>
            <w:hideMark/>
          </w:tcPr>
          <w:p w14:paraId="1F7BB67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$9.907,39</w:t>
            </w:r>
          </w:p>
        </w:tc>
        <w:tc>
          <w:tcPr>
            <w:tcW w:w="322" w:type="pct"/>
            <w:tcBorders>
              <w:top w:val="nil"/>
              <w:left w:val="nil"/>
              <w:bottom w:val="single" w:sz="4" w:space="0" w:color="auto"/>
              <w:right w:val="single" w:sz="4" w:space="0" w:color="auto"/>
            </w:tcBorders>
            <w:shd w:val="clear" w:color="auto" w:fill="auto"/>
            <w:vAlign w:val="center"/>
            <w:hideMark/>
          </w:tcPr>
          <w:p w14:paraId="68137AF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w:t>
            </w:r>
          </w:p>
        </w:tc>
        <w:tc>
          <w:tcPr>
            <w:tcW w:w="586" w:type="pct"/>
            <w:tcBorders>
              <w:top w:val="nil"/>
              <w:left w:val="nil"/>
              <w:bottom w:val="single" w:sz="4" w:space="0" w:color="auto"/>
              <w:right w:val="single" w:sz="4" w:space="0" w:color="auto"/>
            </w:tcBorders>
            <w:shd w:val="clear" w:color="auto" w:fill="auto"/>
            <w:vAlign w:val="center"/>
            <w:hideMark/>
          </w:tcPr>
          <w:p w14:paraId="4E608AF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$3.213,21</w:t>
            </w:r>
          </w:p>
        </w:tc>
      </w:tr>
      <w:tr w:rsidR="001A38D5" w:rsidRPr="001A38D5" w14:paraId="3D194B6A" w14:textId="77777777" w:rsidTr="001029CF">
        <w:trPr>
          <w:trHeight w:val="20"/>
        </w:trPr>
        <w:tc>
          <w:tcPr>
            <w:tcW w:w="144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5E4EEB9"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Ingresos–Egresos</w:t>
            </w:r>
          </w:p>
        </w:tc>
        <w:tc>
          <w:tcPr>
            <w:tcW w:w="321" w:type="pct"/>
            <w:tcBorders>
              <w:top w:val="single" w:sz="4" w:space="0" w:color="auto"/>
              <w:left w:val="nil"/>
              <w:bottom w:val="single" w:sz="4" w:space="0" w:color="auto"/>
              <w:right w:val="single" w:sz="4" w:space="0" w:color="auto"/>
            </w:tcBorders>
            <w:shd w:val="clear" w:color="000000" w:fill="FFC000"/>
            <w:vAlign w:val="center"/>
            <w:hideMark/>
          </w:tcPr>
          <w:p w14:paraId="0AA6EBFA"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62" w:type="pct"/>
            <w:tcBorders>
              <w:top w:val="single" w:sz="4" w:space="0" w:color="auto"/>
              <w:left w:val="nil"/>
              <w:bottom w:val="single" w:sz="4" w:space="0" w:color="auto"/>
              <w:right w:val="single" w:sz="4" w:space="0" w:color="auto"/>
            </w:tcBorders>
            <w:shd w:val="clear" w:color="000000" w:fill="FFC000"/>
            <w:vAlign w:val="center"/>
            <w:hideMark/>
          </w:tcPr>
          <w:p w14:paraId="40B79536"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$1.648,16</w:t>
            </w:r>
          </w:p>
        </w:tc>
        <w:tc>
          <w:tcPr>
            <w:tcW w:w="321" w:type="pct"/>
            <w:tcBorders>
              <w:top w:val="single" w:sz="4" w:space="0" w:color="auto"/>
              <w:left w:val="nil"/>
              <w:bottom w:val="single" w:sz="4" w:space="0" w:color="auto"/>
              <w:right w:val="single" w:sz="4" w:space="0" w:color="auto"/>
            </w:tcBorders>
            <w:shd w:val="clear" w:color="000000" w:fill="FFC000"/>
            <w:vAlign w:val="center"/>
            <w:hideMark/>
          </w:tcPr>
          <w:p w14:paraId="5DE405B8"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62" w:type="pct"/>
            <w:tcBorders>
              <w:top w:val="single" w:sz="4" w:space="0" w:color="auto"/>
              <w:left w:val="nil"/>
              <w:bottom w:val="single" w:sz="4" w:space="0" w:color="auto"/>
              <w:right w:val="single" w:sz="4" w:space="0" w:color="auto"/>
            </w:tcBorders>
            <w:shd w:val="clear" w:color="000000" w:fill="FFC000"/>
            <w:vAlign w:val="center"/>
            <w:hideMark/>
          </w:tcPr>
          <w:p w14:paraId="0FBC3A2A"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$4.257,28</w:t>
            </w:r>
          </w:p>
        </w:tc>
        <w:tc>
          <w:tcPr>
            <w:tcW w:w="321" w:type="pct"/>
            <w:tcBorders>
              <w:top w:val="single" w:sz="4" w:space="0" w:color="auto"/>
              <w:left w:val="nil"/>
              <w:bottom w:val="single" w:sz="4" w:space="0" w:color="auto"/>
              <w:right w:val="single" w:sz="4" w:space="0" w:color="auto"/>
            </w:tcBorders>
            <w:shd w:val="clear" w:color="000000" w:fill="FFC000"/>
            <w:vAlign w:val="center"/>
            <w:hideMark/>
          </w:tcPr>
          <w:p w14:paraId="43101A53"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62" w:type="pct"/>
            <w:tcBorders>
              <w:top w:val="single" w:sz="4" w:space="0" w:color="auto"/>
              <w:left w:val="nil"/>
              <w:bottom w:val="single" w:sz="4" w:space="0" w:color="auto"/>
              <w:right w:val="single" w:sz="4" w:space="0" w:color="auto"/>
            </w:tcBorders>
            <w:shd w:val="clear" w:color="000000" w:fill="FFC000"/>
            <w:vAlign w:val="center"/>
            <w:hideMark/>
          </w:tcPr>
          <w:p w14:paraId="5BCEBD6A"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$9.907,39</w:t>
            </w:r>
          </w:p>
        </w:tc>
        <w:tc>
          <w:tcPr>
            <w:tcW w:w="322" w:type="pct"/>
            <w:tcBorders>
              <w:top w:val="single" w:sz="4" w:space="0" w:color="auto"/>
              <w:left w:val="nil"/>
              <w:bottom w:val="single" w:sz="4" w:space="0" w:color="auto"/>
              <w:right w:val="single" w:sz="4" w:space="0" w:color="auto"/>
            </w:tcBorders>
            <w:shd w:val="clear" w:color="000000" w:fill="FFC000"/>
            <w:vAlign w:val="center"/>
            <w:hideMark/>
          </w:tcPr>
          <w:p w14:paraId="25456E7D"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 </w:t>
            </w:r>
          </w:p>
        </w:tc>
        <w:tc>
          <w:tcPr>
            <w:tcW w:w="586" w:type="pct"/>
            <w:tcBorders>
              <w:top w:val="single" w:sz="4" w:space="0" w:color="auto"/>
              <w:left w:val="nil"/>
              <w:bottom w:val="single" w:sz="4" w:space="0" w:color="auto"/>
              <w:right w:val="single" w:sz="4" w:space="0" w:color="auto"/>
            </w:tcBorders>
            <w:shd w:val="clear" w:color="000000" w:fill="FFC000"/>
            <w:vAlign w:val="center"/>
            <w:hideMark/>
          </w:tcPr>
          <w:p w14:paraId="73AC8939"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$3.213,21</w:t>
            </w:r>
          </w:p>
        </w:tc>
      </w:tr>
    </w:tbl>
    <w:p w14:paraId="0E6EF727" w14:textId="77777777" w:rsidR="00A20990" w:rsidRPr="007A412F" w:rsidRDefault="00A20990" w:rsidP="005140E1">
      <w:pPr>
        <w:contextualSpacing/>
        <w:jc w:val="center"/>
        <w:rPr>
          <w:rFonts w:cs="Arial"/>
          <w:sz w:val="16"/>
          <w:szCs w:val="21"/>
          <w:lang w:val="es-CO"/>
        </w:rPr>
      </w:pPr>
      <w:r w:rsidRPr="007A412F">
        <w:rPr>
          <w:rFonts w:cs="Arial"/>
          <w:sz w:val="16"/>
          <w:szCs w:val="21"/>
          <w:lang w:val="es-CO"/>
        </w:rPr>
        <w:lastRenderedPageBreak/>
        <w:t>Fuente: Elaboración DAF con base en la Información del Sistema PISIS.</w:t>
      </w:r>
    </w:p>
    <w:p w14:paraId="520C5E3F" w14:textId="77777777" w:rsidR="00A20990" w:rsidRPr="007A412F" w:rsidRDefault="00A20990" w:rsidP="005140E1">
      <w:pPr>
        <w:contextualSpacing/>
        <w:rPr>
          <w:rFonts w:cs="Arial"/>
          <w:lang w:val="es-CO"/>
        </w:rPr>
      </w:pPr>
    </w:p>
    <w:p w14:paraId="3F8870E0"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Ilustración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Ilustración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2</w:t>
      </w:r>
      <w:r w:rsidRPr="007A412F">
        <w:rPr>
          <w:rFonts w:ascii="Verdana" w:hAnsi="Verdana"/>
          <w:color w:val="auto"/>
          <w:sz w:val="20"/>
          <w:szCs w:val="20"/>
        </w:rPr>
        <w:fldChar w:fldCharType="end"/>
      </w:r>
      <w:r w:rsidRPr="007A412F">
        <w:rPr>
          <w:rFonts w:ascii="Verdana" w:hAnsi="Verdana"/>
          <w:color w:val="auto"/>
          <w:sz w:val="20"/>
          <w:szCs w:val="20"/>
        </w:rPr>
        <w:t xml:space="preserve"> Comportamiento Cuenta Maestra PAE del Municipio de Villavicencio - Meta</w:t>
      </w:r>
    </w:p>
    <w:p w14:paraId="705F20FB" w14:textId="77777777" w:rsidR="00A20990" w:rsidRPr="001A38D5" w:rsidRDefault="00A20990" w:rsidP="005140E1">
      <w:pPr>
        <w:contextualSpacing/>
        <w:jc w:val="center"/>
        <w:rPr>
          <w:rFonts w:eastAsia="Times New Roman" w:cs="Arial"/>
          <w:lang w:val="es-CO" w:eastAsia="es-CO"/>
        </w:rPr>
      </w:pPr>
      <w:r w:rsidRPr="001A38D5">
        <w:rPr>
          <w:rFonts w:cs="Arial"/>
          <w:noProof/>
          <w:lang w:val="es-CO" w:eastAsia="es-CO"/>
        </w:rPr>
        <w:drawing>
          <wp:inline distT="0" distB="0" distL="0" distR="0" wp14:anchorId="42B8438A" wp14:editId="3203DF93">
            <wp:extent cx="4909551" cy="2167467"/>
            <wp:effectExtent l="0" t="0" r="5715" b="4445"/>
            <wp:docPr id="14" name="Imagen 1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nterfaz de usuario gráfica, Aplicación&#10;&#10;Descripción generada automáticamente"/>
                    <pic:cNvPicPr/>
                  </pic:nvPicPr>
                  <pic:blipFill>
                    <a:blip r:embed="rId16"/>
                    <a:stretch>
                      <a:fillRect/>
                    </a:stretch>
                  </pic:blipFill>
                  <pic:spPr>
                    <a:xfrm>
                      <a:off x="0" y="0"/>
                      <a:ext cx="4939530" cy="2180702"/>
                    </a:xfrm>
                    <a:prstGeom prst="rect">
                      <a:avLst/>
                    </a:prstGeom>
                  </pic:spPr>
                </pic:pic>
              </a:graphicData>
            </a:graphic>
          </wp:inline>
        </w:drawing>
      </w:r>
    </w:p>
    <w:p w14:paraId="0C8134B3" w14:textId="77777777" w:rsidR="00A20990" w:rsidRPr="007A412F" w:rsidRDefault="00A20990" w:rsidP="005140E1">
      <w:pPr>
        <w:pStyle w:val="Sinespaciado"/>
        <w:contextualSpacing/>
        <w:jc w:val="center"/>
        <w:rPr>
          <w:rFonts w:ascii="Verdana" w:hAnsi="Verdana" w:cs="Arial"/>
          <w:sz w:val="16"/>
          <w:szCs w:val="21"/>
        </w:rPr>
      </w:pPr>
      <w:r w:rsidRPr="007A412F">
        <w:rPr>
          <w:rFonts w:ascii="Verdana" w:hAnsi="Verdana" w:cs="Arial"/>
          <w:sz w:val="16"/>
          <w:szCs w:val="21"/>
        </w:rPr>
        <w:t>Fuente: Power Bi. DAF con base en el reporte bancario de Bancolombia en el Sistema PISIS.</w:t>
      </w:r>
    </w:p>
    <w:p w14:paraId="53CF5FB6" w14:textId="77777777" w:rsidR="00A20990" w:rsidRPr="007A412F" w:rsidRDefault="00A20990" w:rsidP="005140E1">
      <w:pPr>
        <w:pStyle w:val="Sinespaciado"/>
        <w:contextualSpacing/>
        <w:rPr>
          <w:rFonts w:ascii="Verdana" w:hAnsi="Verdana" w:cs="Arial"/>
        </w:rPr>
      </w:pPr>
    </w:p>
    <w:p w14:paraId="5597BB28" w14:textId="77777777" w:rsidR="00A20990" w:rsidRPr="001A38D5" w:rsidRDefault="00A20990" w:rsidP="005140E1">
      <w:pPr>
        <w:contextualSpacing/>
        <w:jc w:val="both"/>
        <w:rPr>
          <w:rFonts w:cs="Arial"/>
          <w:lang w:val="es-CO"/>
        </w:rPr>
      </w:pPr>
      <w:r w:rsidRPr="001A38D5">
        <w:rPr>
          <w:rFonts w:cs="Arial"/>
          <w:lang w:val="es-CO"/>
        </w:rPr>
        <w:t>De acuerdo con la información que reposa en esta Dirección para la Cuenta Maestra de Ahorros No 36456549068 de Bancolombia para la administración de los recursos del Programa de Alimentación Escolar – PAE del Municipio para el periodo comprendido entre el 1 de enero de 2019 y el 31 de diciembre de 2022, se encontró que el saldo final corresponde con la diferencia entre los movimientos de los ingresos y egresos el cual equivale a $3.213,21 millones.</w:t>
      </w:r>
    </w:p>
    <w:p w14:paraId="38F3D8E7" w14:textId="77777777" w:rsidR="00A20990" w:rsidRPr="001A38D5" w:rsidRDefault="00A20990" w:rsidP="005140E1">
      <w:pPr>
        <w:contextualSpacing/>
        <w:jc w:val="both"/>
        <w:rPr>
          <w:rFonts w:cs="Arial"/>
          <w:lang w:val="es-CO"/>
        </w:rPr>
      </w:pPr>
    </w:p>
    <w:p w14:paraId="7DD4FAEB" w14:textId="77777777" w:rsidR="00A20990" w:rsidRPr="001A38D5" w:rsidRDefault="00A20990" w:rsidP="005140E1">
      <w:pPr>
        <w:contextualSpacing/>
        <w:jc w:val="both"/>
        <w:rPr>
          <w:rFonts w:cs="Arial"/>
          <w:lang w:val="es-CO"/>
        </w:rPr>
      </w:pPr>
      <w:r w:rsidRPr="001A38D5">
        <w:rPr>
          <w:rFonts w:cs="Arial"/>
          <w:lang w:val="es-CO"/>
        </w:rPr>
        <w:t>Respecto a la información de los ingresos se registran en total 151 operaciones crédito por el tipo de movimiento 100 “</w:t>
      </w:r>
      <w:r w:rsidRPr="007A412F">
        <w:rPr>
          <w:rFonts w:cs="Arial"/>
          <w:i/>
          <w:iCs/>
          <w:lang w:val="es-CO"/>
        </w:rPr>
        <w:t>Ingresos</w:t>
      </w:r>
      <w:r w:rsidRPr="001A38D5">
        <w:rPr>
          <w:rFonts w:cs="Arial"/>
          <w:lang w:val="es-CO"/>
        </w:rPr>
        <w:t>” por un valor total de $48.165,54 millones, de los cuales el 90 % ($43.333,92 millones) proviene de la Dirección del Tesoro Nacional correspondientes a los giros que realiza la Nación por los conceptos de la AESGPAE, del PGN para PAE y de los recursos del CONPES 151 de 2012. El 10</w:t>
      </w:r>
      <w:r w:rsidR="003E19D7">
        <w:rPr>
          <w:rFonts w:cs="Arial"/>
          <w:lang w:val="es-CO"/>
        </w:rPr>
        <w:t xml:space="preserve"> </w:t>
      </w:r>
      <w:r w:rsidRPr="001A38D5">
        <w:rPr>
          <w:rFonts w:cs="Arial"/>
          <w:lang w:val="es-CO"/>
        </w:rPr>
        <w:t>% restante ($4.831,63 millones) corresponde a recursos del Municipio. Así mismo, se evidencian 374 operaciones de crédito correspondientes al tipo de movimiento 110 “</w:t>
      </w:r>
      <w:r w:rsidRPr="007A412F">
        <w:rPr>
          <w:rFonts w:cs="Arial"/>
          <w:i/>
          <w:iCs/>
          <w:lang w:val="es-CO"/>
        </w:rPr>
        <w:t>Ingresos por rendimientos financieros</w:t>
      </w:r>
      <w:r w:rsidRPr="001A38D5">
        <w:rPr>
          <w:rFonts w:cs="Arial"/>
          <w:lang w:val="es-CO"/>
        </w:rPr>
        <w:t>” por un valor total de $588,22 millones.</w:t>
      </w:r>
    </w:p>
    <w:p w14:paraId="6EAB03E0" w14:textId="77777777" w:rsidR="00A20990" w:rsidRPr="001A38D5" w:rsidRDefault="00A20990" w:rsidP="005140E1">
      <w:pPr>
        <w:contextualSpacing/>
        <w:jc w:val="both"/>
        <w:rPr>
          <w:rFonts w:cs="Arial"/>
          <w:lang w:val="es-CO"/>
        </w:rPr>
      </w:pPr>
    </w:p>
    <w:p w14:paraId="31C0A7FB" w14:textId="77777777" w:rsidR="00A20990" w:rsidRPr="001A38D5" w:rsidRDefault="00A20990" w:rsidP="005140E1">
      <w:pPr>
        <w:contextualSpacing/>
        <w:jc w:val="both"/>
        <w:rPr>
          <w:rFonts w:cs="Arial"/>
          <w:lang w:val="es-CO"/>
        </w:rPr>
      </w:pPr>
      <w:r w:rsidRPr="001A38D5">
        <w:rPr>
          <w:rFonts w:cs="Arial"/>
          <w:lang w:val="es-CO"/>
        </w:rPr>
        <w:t>Frente a la información de los egresos se evidenciaron un total de 493 movimientos para el periodo consultado por un valor total de $45.623,51 millones: 242 operaciones por valor de $737,84 millones correspondieron a giros a personas naturales; 179 operaciones por valor de $5.410,44 millones a nombre del Municipio y 81 operaciones por la suma de $39.475,23 millones a personas jurídicas.</w:t>
      </w:r>
    </w:p>
    <w:p w14:paraId="46F9088C" w14:textId="77777777" w:rsidR="00A20990" w:rsidRPr="001A38D5" w:rsidRDefault="00A20990" w:rsidP="005140E1">
      <w:pPr>
        <w:contextualSpacing/>
        <w:jc w:val="both"/>
        <w:rPr>
          <w:rFonts w:cs="Arial"/>
          <w:lang w:val="es-CO"/>
        </w:rPr>
      </w:pPr>
    </w:p>
    <w:p w14:paraId="5AC9BDD2" w14:textId="77777777" w:rsidR="00A20990" w:rsidRPr="001A38D5" w:rsidRDefault="00A20990" w:rsidP="005140E1">
      <w:pPr>
        <w:contextualSpacing/>
        <w:jc w:val="both"/>
        <w:rPr>
          <w:rFonts w:cs="Arial"/>
          <w:lang w:val="es-CO"/>
        </w:rPr>
      </w:pPr>
      <w:r w:rsidRPr="001A38D5">
        <w:rPr>
          <w:rFonts w:cs="Arial"/>
          <w:lang w:val="es-CO"/>
        </w:rPr>
        <w:t xml:space="preserve">Estas operaciones fueron realizadas por el tipo de movimiento 320 </w:t>
      </w:r>
      <w:r w:rsidRPr="001A38D5">
        <w:rPr>
          <w:rFonts w:cs="Arial"/>
          <w:i/>
          <w:lang w:val="es-CO"/>
        </w:rPr>
        <w:t xml:space="preserve">“Egresos Asignaciones Especiales Alimentación Escolar, municipios Ribereños, Resguardos Indígenas y Primera Infancia”, </w:t>
      </w:r>
      <w:r w:rsidRPr="001A38D5">
        <w:rPr>
          <w:rFonts w:cs="Arial"/>
          <w:lang w:val="es-CO"/>
        </w:rPr>
        <w:t>sobre los cuales es importante indicar que al ser una Entidad Certificada en Educación debería realizar la totalidad de los egresos por el tipo de movimiento 321 “</w:t>
      </w:r>
      <w:r w:rsidRPr="001A38D5">
        <w:rPr>
          <w:rFonts w:cs="Arial"/>
          <w:i/>
          <w:lang w:val="es-CO"/>
        </w:rPr>
        <w:t>Egresos Programa de Alimentación Escolar – PAE</w:t>
      </w:r>
      <w:r w:rsidRPr="001A38D5">
        <w:rPr>
          <w:rFonts w:cs="Arial"/>
          <w:lang w:val="es-CO"/>
        </w:rPr>
        <w:t>”.</w:t>
      </w:r>
    </w:p>
    <w:p w14:paraId="08840EC3" w14:textId="77777777" w:rsidR="00A20990" w:rsidRPr="001A38D5" w:rsidRDefault="00A20990" w:rsidP="005140E1">
      <w:pPr>
        <w:contextualSpacing/>
        <w:jc w:val="both"/>
        <w:rPr>
          <w:rFonts w:cs="Arial"/>
          <w:lang w:val="es-CO"/>
        </w:rPr>
      </w:pPr>
    </w:p>
    <w:p w14:paraId="4D3710C7" w14:textId="77777777" w:rsidR="00A20990" w:rsidRPr="001A38D5" w:rsidRDefault="00A20990" w:rsidP="005140E1">
      <w:pPr>
        <w:contextualSpacing/>
        <w:jc w:val="both"/>
        <w:rPr>
          <w:rFonts w:cs="Arial"/>
          <w:lang w:val="es-CO"/>
        </w:rPr>
      </w:pPr>
      <w:r w:rsidRPr="001A38D5">
        <w:rPr>
          <w:rFonts w:cs="Arial"/>
          <w:lang w:val="es-CO"/>
        </w:rPr>
        <w:t xml:space="preserve">Del detalle de los egresos para la ejecución de contratos del Programa de </w:t>
      </w:r>
      <w:r w:rsidRPr="001A38D5">
        <w:rPr>
          <w:rFonts w:cs="Arial"/>
          <w:lang w:val="es-CO"/>
        </w:rPr>
        <w:lastRenderedPageBreak/>
        <w:t xml:space="preserve">Alimentación Escolar – PAE en las vigencias analizadas se destaca: </w:t>
      </w:r>
    </w:p>
    <w:p w14:paraId="548B7623" w14:textId="77777777" w:rsidR="00A20990" w:rsidRPr="001A38D5" w:rsidRDefault="00A20990" w:rsidP="005140E1">
      <w:pPr>
        <w:contextualSpacing/>
        <w:jc w:val="both"/>
        <w:rPr>
          <w:rFonts w:cs="Arial"/>
          <w:lang w:val="es-CO"/>
        </w:rPr>
      </w:pPr>
    </w:p>
    <w:p w14:paraId="05400060" w14:textId="77777777" w:rsidR="00A20990" w:rsidRPr="001A38D5" w:rsidRDefault="00A20990" w:rsidP="005140E1">
      <w:pPr>
        <w:contextualSpacing/>
        <w:jc w:val="both"/>
        <w:rPr>
          <w:rFonts w:cs="Arial"/>
          <w:lang w:val="es-CO"/>
        </w:rPr>
      </w:pPr>
      <w:r w:rsidRPr="001A38D5">
        <w:rPr>
          <w:rFonts w:cs="Arial"/>
          <w:lang w:val="es-CO"/>
        </w:rPr>
        <w:t>Para las vigencias analizadas, de acuerdo con la información disponible en la Plataforma de Integración de Datos del Ministerio de Salud y Protección Social sobre la Cuenta Maestra de Programa de Alimentación Escolar del Municipio, se observa inadecuado registro de la descripción de los movimientos, toda vez que reportaron los rubros presupuestales afectados en las operaciones realizadas entre 2019 y 2022 como sigue: 0000000000001 con 213 movimientos por $23.889,08 millones, 0000000013201 con 262 movimientos por $21.691,34 millones y el rubro 1 3201 con 18 movimientos por $43,10 millones. Estos códigos no se pueden identificar en los CDP, RDP y ejecuciones aportadas por la Entidad Territorial, por lo que se dificulta el seguimiento a los recursos que se manejan en esta Cuenta.</w:t>
      </w:r>
    </w:p>
    <w:p w14:paraId="035B0652" w14:textId="77777777" w:rsidR="00A20990" w:rsidRPr="001A38D5" w:rsidRDefault="00A20990" w:rsidP="005140E1">
      <w:pPr>
        <w:contextualSpacing/>
        <w:jc w:val="both"/>
        <w:rPr>
          <w:rFonts w:cs="Arial"/>
          <w:lang w:val="es-CO"/>
        </w:rPr>
      </w:pPr>
    </w:p>
    <w:p w14:paraId="560E280B" w14:textId="77777777" w:rsidR="00A20990" w:rsidRPr="001A38D5" w:rsidRDefault="00A20990" w:rsidP="005140E1">
      <w:pPr>
        <w:contextualSpacing/>
        <w:jc w:val="both"/>
        <w:rPr>
          <w:rFonts w:cs="Arial"/>
          <w:lang w:val="es-CO"/>
        </w:rPr>
      </w:pPr>
      <w:r w:rsidRPr="001A38D5">
        <w:rPr>
          <w:rFonts w:cs="Arial"/>
          <w:lang w:val="es-CO"/>
        </w:rPr>
        <w:t xml:space="preserve">En 2019 se realizaron 5 movimientos débito por $4.269 millones, tres a favor de </w:t>
      </w:r>
      <w:r w:rsidR="00554FC1">
        <w:rPr>
          <w:rFonts w:cs="Arial"/>
          <w:lang w:val="es-CO"/>
        </w:rPr>
        <w:t xml:space="preserve">la </w:t>
      </w:r>
      <w:r w:rsidR="00A87D55" w:rsidRPr="001A38D5">
        <w:rPr>
          <w:rFonts w:cs="Arial"/>
          <w:lang w:val="es-CO"/>
        </w:rPr>
        <w:t>Unión</w:t>
      </w:r>
      <w:r w:rsidR="00554FC1" w:rsidRPr="001A38D5">
        <w:rPr>
          <w:rFonts w:cs="Arial"/>
          <w:lang w:val="es-CO"/>
        </w:rPr>
        <w:t xml:space="preserve"> Temporal </w:t>
      </w:r>
      <w:r w:rsidRPr="001A38D5">
        <w:rPr>
          <w:rFonts w:cs="Arial"/>
          <w:lang w:val="es-CO"/>
        </w:rPr>
        <w:t xml:space="preserve">PAE y dos teniendo por beneficiario a la </w:t>
      </w:r>
      <w:r w:rsidR="00DC319E" w:rsidRPr="001A38D5">
        <w:rPr>
          <w:rFonts w:cs="Arial"/>
          <w:lang w:val="es-CO"/>
        </w:rPr>
        <w:t>Unión</w:t>
      </w:r>
      <w:r w:rsidR="00554FC1" w:rsidRPr="001A38D5">
        <w:rPr>
          <w:rFonts w:cs="Arial"/>
          <w:lang w:val="es-CO"/>
        </w:rPr>
        <w:t xml:space="preserve"> Temporal </w:t>
      </w:r>
      <w:r w:rsidRPr="001A38D5">
        <w:rPr>
          <w:rFonts w:cs="Arial"/>
          <w:lang w:val="es-CO"/>
        </w:rPr>
        <w:t xml:space="preserve">PAE </w:t>
      </w:r>
      <w:r w:rsidR="00554FC1" w:rsidRPr="001A38D5">
        <w:rPr>
          <w:rFonts w:cs="Arial"/>
          <w:lang w:val="es-CO"/>
        </w:rPr>
        <w:t xml:space="preserve">Villavicencio </w:t>
      </w:r>
      <w:r w:rsidRPr="001A38D5">
        <w:rPr>
          <w:rFonts w:cs="Arial"/>
          <w:lang w:val="es-CO"/>
        </w:rPr>
        <w:t xml:space="preserve">2019. Estos egresos corresponden al pago de las obligaciones surgidas del Contrato de </w:t>
      </w:r>
      <w:r w:rsidR="00554FC1">
        <w:rPr>
          <w:rFonts w:cs="Arial"/>
          <w:lang w:val="es-CO"/>
        </w:rPr>
        <w:t>P</w:t>
      </w:r>
      <w:r w:rsidRPr="001A38D5">
        <w:rPr>
          <w:rFonts w:cs="Arial"/>
          <w:lang w:val="es-CO"/>
        </w:rPr>
        <w:t xml:space="preserve">restación de </w:t>
      </w:r>
      <w:r w:rsidR="00554FC1">
        <w:rPr>
          <w:rFonts w:cs="Arial"/>
          <w:lang w:val="es-CO"/>
        </w:rPr>
        <w:t>S</w:t>
      </w:r>
      <w:r w:rsidRPr="001A38D5">
        <w:rPr>
          <w:rFonts w:cs="Arial"/>
          <w:lang w:val="es-CO"/>
        </w:rPr>
        <w:t xml:space="preserve">ervicios No. 077 del 30 de enero de 2019, suscrito con la Unión Temporal PAE para Villavicencio 2019 con NIT 901.248.776-0, según figura en su RUT. Asimismo, se realizaron 7 pagos a la UT PAE </w:t>
      </w:r>
      <w:r w:rsidR="00554FC1" w:rsidRPr="001A38D5">
        <w:rPr>
          <w:rFonts w:cs="Arial"/>
          <w:lang w:val="es-CO"/>
        </w:rPr>
        <w:t xml:space="preserve">Villavicencio </w:t>
      </w:r>
      <w:r w:rsidRPr="001A38D5">
        <w:rPr>
          <w:rFonts w:cs="Arial"/>
          <w:lang w:val="es-CO"/>
        </w:rPr>
        <w:t xml:space="preserve">2019 con NIT 901.288.823-1 por $6.057,5 millones. Estos movimientos se realizaron en el marco de la ejecución del Contrato de </w:t>
      </w:r>
      <w:r w:rsidR="00554FC1">
        <w:rPr>
          <w:rFonts w:cs="Arial"/>
          <w:lang w:val="es-CO"/>
        </w:rPr>
        <w:t>P</w:t>
      </w:r>
      <w:r w:rsidRPr="001A38D5">
        <w:rPr>
          <w:rFonts w:cs="Arial"/>
          <w:lang w:val="es-CO"/>
        </w:rPr>
        <w:t xml:space="preserve">restación de </w:t>
      </w:r>
      <w:r w:rsidR="00554FC1">
        <w:rPr>
          <w:rFonts w:cs="Arial"/>
          <w:lang w:val="es-CO"/>
        </w:rPr>
        <w:t>S</w:t>
      </w:r>
      <w:r w:rsidRPr="001A38D5">
        <w:rPr>
          <w:rFonts w:cs="Arial"/>
          <w:lang w:val="es-CO"/>
        </w:rPr>
        <w:t xml:space="preserve">ervicios No. 1198 del 30 de mayo de 2019, cuyo operador era la Unión Temporal PAE para Villavicencio 2019 II con NIT 901.288.823-1, según su Registro Único Tributario. </w:t>
      </w:r>
    </w:p>
    <w:p w14:paraId="782306EF" w14:textId="77777777" w:rsidR="00A20990" w:rsidRPr="001A38D5" w:rsidRDefault="00A20990" w:rsidP="005140E1">
      <w:pPr>
        <w:contextualSpacing/>
        <w:jc w:val="both"/>
        <w:rPr>
          <w:rFonts w:cs="Arial"/>
          <w:lang w:val="es-CO"/>
        </w:rPr>
      </w:pPr>
    </w:p>
    <w:p w14:paraId="72CDEFF7" w14:textId="77777777" w:rsidR="00A20990" w:rsidRPr="001A38D5" w:rsidRDefault="00A20990" w:rsidP="005140E1">
      <w:pPr>
        <w:contextualSpacing/>
        <w:jc w:val="both"/>
        <w:rPr>
          <w:rFonts w:cs="Arial"/>
          <w:lang w:val="es-CO"/>
        </w:rPr>
      </w:pPr>
      <w:r w:rsidRPr="001A38D5">
        <w:rPr>
          <w:rFonts w:cs="Arial"/>
          <w:lang w:val="es-CO"/>
        </w:rPr>
        <w:t xml:space="preserve">Frente a la inscripción de los beneficiarios, se evidencia incumplimiento de las disposiciones de la Resolución No. 4835 de 2015 del Ministerio de Hacienda y Crédito Público, que establece en su Anexo Técnico que para el </w:t>
      </w:r>
      <w:r w:rsidR="00554FC1">
        <w:rPr>
          <w:rFonts w:cs="Arial"/>
          <w:lang w:val="es-CO"/>
        </w:rPr>
        <w:t>C</w:t>
      </w:r>
      <w:r w:rsidRPr="001A38D5">
        <w:rPr>
          <w:rFonts w:cs="Arial"/>
          <w:lang w:val="es-CO"/>
        </w:rPr>
        <w:t>ampo No. 10 “</w:t>
      </w:r>
      <w:r w:rsidRPr="007A412F">
        <w:rPr>
          <w:rFonts w:cs="Arial"/>
          <w:i/>
          <w:iCs/>
          <w:lang w:val="es-CO"/>
        </w:rPr>
        <w:t>Nombre o Razón Social del Beneficiario</w:t>
      </w:r>
      <w:r w:rsidRPr="001A38D5">
        <w:rPr>
          <w:rFonts w:cs="Arial"/>
          <w:lang w:val="es-CO"/>
        </w:rPr>
        <w:t>” del “</w:t>
      </w:r>
      <w:r w:rsidRPr="007A412F">
        <w:rPr>
          <w:rFonts w:cs="Arial"/>
          <w:i/>
          <w:iCs/>
          <w:lang w:val="es-CO"/>
        </w:rPr>
        <w:t>Registro Tipo 3</w:t>
      </w:r>
      <w:r w:rsidRPr="001A38D5">
        <w:rPr>
          <w:rFonts w:cs="Arial"/>
          <w:lang w:val="es-CO"/>
        </w:rPr>
        <w:t>”, el diligenciamiento de la Razón Social o nombre se debe realizar tal y como aparecen en el Registro Único Tributario – RUT.</w:t>
      </w:r>
    </w:p>
    <w:p w14:paraId="617BBB5C" w14:textId="77777777" w:rsidR="00A20990" w:rsidRPr="001A38D5" w:rsidRDefault="00A20990" w:rsidP="005140E1">
      <w:pPr>
        <w:contextualSpacing/>
        <w:jc w:val="both"/>
        <w:rPr>
          <w:rFonts w:cs="Arial"/>
          <w:lang w:val="es-CO"/>
        </w:rPr>
      </w:pPr>
    </w:p>
    <w:p w14:paraId="62CF9029" w14:textId="77777777" w:rsidR="00A20990" w:rsidRPr="001A38D5" w:rsidRDefault="00A20990" w:rsidP="005140E1">
      <w:pPr>
        <w:contextualSpacing/>
        <w:jc w:val="both"/>
        <w:rPr>
          <w:rFonts w:cs="Arial"/>
          <w:lang w:val="es-CO"/>
        </w:rPr>
      </w:pPr>
      <w:r w:rsidRPr="001A38D5">
        <w:rPr>
          <w:rFonts w:cs="Arial"/>
          <w:lang w:val="es-CO"/>
        </w:rPr>
        <w:t xml:space="preserve">Se realizaron 37 operaciones crédito por $122,74 millones a favor de personas naturales, en ejecución de los Contratos de </w:t>
      </w:r>
      <w:r w:rsidR="00554FC1">
        <w:rPr>
          <w:rFonts w:cs="Arial"/>
          <w:lang w:val="es-CO"/>
        </w:rPr>
        <w:t>P</w:t>
      </w:r>
      <w:r w:rsidRPr="001A38D5">
        <w:rPr>
          <w:rFonts w:cs="Arial"/>
          <w:lang w:val="es-CO"/>
        </w:rPr>
        <w:t xml:space="preserve">restación de </w:t>
      </w:r>
      <w:r w:rsidR="00554FC1">
        <w:rPr>
          <w:rFonts w:cs="Arial"/>
          <w:lang w:val="es-CO"/>
        </w:rPr>
        <w:t>S</w:t>
      </w:r>
      <w:r w:rsidRPr="001A38D5">
        <w:rPr>
          <w:rFonts w:cs="Arial"/>
          <w:lang w:val="es-CO"/>
        </w:rPr>
        <w:t xml:space="preserve">ervicios y de </w:t>
      </w:r>
      <w:r w:rsidR="00554FC1">
        <w:rPr>
          <w:rFonts w:cs="Arial"/>
          <w:lang w:val="es-CO"/>
        </w:rPr>
        <w:t>A</w:t>
      </w:r>
      <w:r w:rsidRPr="001A38D5">
        <w:rPr>
          <w:rFonts w:cs="Arial"/>
          <w:lang w:val="es-CO"/>
        </w:rPr>
        <w:t xml:space="preserve">poyo a la </w:t>
      </w:r>
      <w:r w:rsidR="00554FC1">
        <w:rPr>
          <w:rFonts w:cs="Arial"/>
          <w:lang w:val="es-CO"/>
        </w:rPr>
        <w:t>G</w:t>
      </w:r>
      <w:r w:rsidRPr="001A38D5">
        <w:rPr>
          <w:rFonts w:cs="Arial"/>
          <w:lang w:val="es-CO"/>
        </w:rPr>
        <w:t xml:space="preserve">estión por inversión No. 2107, 2108 y 2109 del 28 de diciembre de 2018. </w:t>
      </w:r>
    </w:p>
    <w:p w14:paraId="4FDA69A2" w14:textId="77777777" w:rsidR="00A20990" w:rsidRPr="001A38D5" w:rsidRDefault="00A20990" w:rsidP="005140E1">
      <w:pPr>
        <w:contextualSpacing/>
        <w:jc w:val="both"/>
        <w:rPr>
          <w:rFonts w:cs="Arial"/>
          <w:lang w:val="es-CO"/>
        </w:rPr>
      </w:pPr>
    </w:p>
    <w:p w14:paraId="0913458B" w14:textId="77777777" w:rsidR="00A20990" w:rsidRPr="001A38D5" w:rsidRDefault="00A20990" w:rsidP="005140E1">
      <w:pPr>
        <w:contextualSpacing/>
        <w:jc w:val="both"/>
        <w:rPr>
          <w:rFonts w:cs="Arial"/>
          <w:lang w:val="es-CO"/>
        </w:rPr>
      </w:pPr>
      <w:r w:rsidRPr="001A38D5">
        <w:rPr>
          <w:rFonts w:cs="Arial"/>
          <w:lang w:val="es-CO"/>
        </w:rPr>
        <w:t>Al cierre de la vigencia 2019 se registraron 30 movimientos débito por $1.581,71</w:t>
      </w:r>
      <w:r w:rsidR="00496D37">
        <w:rPr>
          <w:rFonts w:cs="Arial"/>
          <w:lang w:val="es-CO"/>
        </w:rPr>
        <w:t xml:space="preserve"> millones</w:t>
      </w:r>
      <w:r w:rsidRPr="001A38D5">
        <w:rPr>
          <w:rFonts w:cs="Arial"/>
          <w:lang w:val="es-CO"/>
        </w:rPr>
        <w:t xml:space="preserve"> a favor del Municipio, con el siguiente detalle: i) 28 movimientos por $1.277,18 </w:t>
      </w:r>
      <w:r w:rsidR="00496D37">
        <w:rPr>
          <w:rFonts w:cs="Arial"/>
          <w:lang w:val="es-CO"/>
        </w:rPr>
        <w:t xml:space="preserve">millones </w:t>
      </w:r>
      <w:r w:rsidRPr="001A38D5">
        <w:rPr>
          <w:rFonts w:cs="Arial"/>
          <w:lang w:val="es-CO"/>
        </w:rPr>
        <w:t>a la cuenta No. 364618579 del Banco de Bogotá denominada “</w:t>
      </w:r>
      <w:r w:rsidRPr="001A38D5">
        <w:rPr>
          <w:rFonts w:cs="Arial"/>
          <w:i/>
          <w:iCs/>
          <w:lang w:val="es-CO"/>
        </w:rPr>
        <w:t>Mpio Vcio – Descuentos de ley</w:t>
      </w:r>
      <w:r w:rsidRPr="001A38D5">
        <w:rPr>
          <w:rFonts w:cs="Arial"/>
          <w:lang w:val="es-CO"/>
        </w:rPr>
        <w:t xml:space="preserve">”; ii) 1 movimiento por $303,82 millones a la cuenta No. 70900026429 de Bancolombia no identificada por la Entidad Territorial; iii) 1 movimiento a la cuenta No. 70900026430 del Banco de Bogotá no identificada por la Entidad Territorial por $0,71 millones. </w:t>
      </w:r>
    </w:p>
    <w:p w14:paraId="435FA93B" w14:textId="77777777" w:rsidR="00A20990" w:rsidRPr="001A38D5" w:rsidRDefault="00A20990" w:rsidP="005140E1">
      <w:pPr>
        <w:contextualSpacing/>
        <w:jc w:val="both"/>
        <w:rPr>
          <w:rFonts w:cs="Arial"/>
          <w:lang w:val="es-CO"/>
        </w:rPr>
      </w:pPr>
    </w:p>
    <w:p w14:paraId="47EC1E11" w14:textId="77777777" w:rsidR="00A20990" w:rsidRPr="001A38D5" w:rsidRDefault="00A20990" w:rsidP="005140E1">
      <w:pPr>
        <w:contextualSpacing/>
        <w:jc w:val="both"/>
        <w:rPr>
          <w:rFonts w:cs="Arial"/>
          <w:lang w:val="es-CO"/>
        </w:rPr>
      </w:pPr>
      <w:r w:rsidRPr="001A38D5">
        <w:rPr>
          <w:rFonts w:cs="Arial"/>
          <w:lang w:val="es-CO"/>
        </w:rPr>
        <w:t xml:space="preserve">Sobre la cuenta de descuentos de ley resulta importante señalar que de la ejecución de los contratos suscritos para la ejecución del PAE y la conformación del Equipo PAE en la vigencia 2019 se realizaron descuentos por $1.265,95 millones, distribuidos en </w:t>
      </w:r>
      <w:r w:rsidRPr="001A38D5">
        <w:rPr>
          <w:rFonts w:cs="Arial"/>
          <w:lang w:val="es-CO"/>
        </w:rPr>
        <w:lastRenderedPageBreak/>
        <w:t xml:space="preserve">$405,74 millones de Retención en la Fuente, $231,85 millones de Estampilla Procultura, $231,85 millones de Estampilla Adulto Mayor, $231,85 millones de Estampilla Proturismo, $118,29 </w:t>
      </w:r>
      <w:r w:rsidR="00496D37">
        <w:rPr>
          <w:rFonts w:cs="Arial"/>
          <w:lang w:val="es-CO"/>
        </w:rPr>
        <w:t xml:space="preserve">millones </w:t>
      </w:r>
      <w:r w:rsidRPr="001A38D5">
        <w:rPr>
          <w:rFonts w:cs="Arial"/>
          <w:lang w:val="es-CO"/>
        </w:rPr>
        <w:t>de Estampilla Unillanos y $46,37 millones de ReteICA.</w:t>
      </w:r>
    </w:p>
    <w:p w14:paraId="484A3FA7" w14:textId="77777777" w:rsidR="00A20990" w:rsidRPr="001A38D5" w:rsidRDefault="00A20990" w:rsidP="005140E1">
      <w:pPr>
        <w:contextualSpacing/>
        <w:jc w:val="both"/>
        <w:rPr>
          <w:rFonts w:cs="Arial"/>
          <w:lang w:val="es-CO"/>
        </w:rPr>
      </w:pPr>
    </w:p>
    <w:p w14:paraId="6378BC76" w14:textId="77777777" w:rsidR="00A20990" w:rsidRPr="001A38D5" w:rsidRDefault="00A20990" w:rsidP="005140E1">
      <w:pPr>
        <w:adjustRightInd w:val="0"/>
        <w:contextualSpacing/>
        <w:jc w:val="both"/>
        <w:rPr>
          <w:rFonts w:eastAsiaTheme="minorHAnsi" w:cs="Arial"/>
          <w:lang w:val="es-CO"/>
        </w:rPr>
      </w:pPr>
      <w:r w:rsidRPr="00C159DF">
        <w:rPr>
          <w:rFonts w:cs="Arial"/>
          <w:lang w:val="es-CO"/>
        </w:rPr>
        <w:t xml:space="preserve">Al respecto, se debe tener en cuenta que, al tenor de lo dispuesto en el parágrafo del artículo 11 de la Resolución </w:t>
      </w:r>
      <w:r w:rsidR="00B163DE">
        <w:rPr>
          <w:rFonts w:cs="Arial"/>
          <w:lang w:val="es-CO"/>
        </w:rPr>
        <w:t xml:space="preserve">No. </w:t>
      </w:r>
      <w:r w:rsidRPr="00C159DF">
        <w:rPr>
          <w:rFonts w:cs="Arial"/>
          <w:lang w:val="es-CO"/>
        </w:rPr>
        <w:t>2248 de 2018 de</w:t>
      </w:r>
      <w:r w:rsidR="00B163DE">
        <w:rPr>
          <w:rFonts w:cs="Arial"/>
          <w:lang w:val="es-CO"/>
        </w:rPr>
        <w:t xml:space="preserve"> </w:t>
      </w:r>
      <w:r w:rsidRPr="00C159DF">
        <w:rPr>
          <w:rFonts w:cs="Arial"/>
          <w:lang w:val="es-CO"/>
        </w:rPr>
        <w:t>l</w:t>
      </w:r>
      <w:r w:rsidR="00B163DE">
        <w:rPr>
          <w:rFonts w:cs="Arial"/>
          <w:lang w:val="es-CO"/>
        </w:rPr>
        <w:t>os</w:t>
      </w:r>
      <w:r w:rsidRPr="00C159DF">
        <w:rPr>
          <w:rFonts w:cs="Arial"/>
          <w:lang w:val="es-CO"/>
        </w:rPr>
        <w:t xml:space="preserve"> Ministerio</w:t>
      </w:r>
      <w:r w:rsidR="00B163DE">
        <w:rPr>
          <w:rFonts w:cs="Arial"/>
          <w:lang w:val="es-CO"/>
        </w:rPr>
        <w:t>s</w:t>
      </w:r>
      <w:r w:rsidRPr="00C159DF">
        <w:rPr>
          <w:rFonts w:cs="Arial"/>
          <w:lang w:val="es-CO"/>
        </w:rPr>
        <w:t xml:space="preserve"> de Hacienda y Crédito Público</w:t>
      </w:r>
      <w:r w:rsidR="00B163DE">
        <w:rPr>
          <w:rFonts w:cs="Arial"/>
          <w:lang w:val="es-CO"/>
        </w:rPr>
        <w:t xml:space="preserve"> y de Educación Nacional</w:t>
      </w:r>
      <w:r w:rsidRPr="00C159DF">
        <w:rPr>
          <w:rFonts w:cs="Arial"/>
          <w:lang w:val="es-CO"/>
        </w:rPr>
        <w:t>,</w:t>
      </w:r>
      <w:r w:rsidRPr="001A38D5">
        <w:rPr>
          <w:rFonts w:cs="Arial"/>
          <w:lang w:val="es-CO"/>
        </w:rPr>
        <w:t xml:space="preserve"> en la Cuenta Maestra del Programa de Alimentación Escolar de las Entidades territoriales deberán inscribirse las cuentas beneficiarias para </w:t>
      </w:r>
      <w:r w:rsidRPr="001A38D5">
        <w:rPr>
          <w:rFonts w:eastAsiaTheme="minorHAnsi" w:cs="Arial"/>
          <w:lang w:val="es-CO"/>
        </w:rPr>
        <w:t xml:space="preserve">cada uno de los conceptos de retención o descuentos que en el marco de las normas tributarias se determine, incluyendo las estampillas. Lo anterior, atendiendo lo dispuesto en la norma citada la cual hace referencia a la inscripción de los titulares de los tributos, entendiendo que se deberá aperturar una cuenta para ser inscrita como beneficiaria de las Cuentas Maestras </w:t>
      </w:r>
      <w:r w:rsidR="00186A18">
        <w:rPr>
          <w:rFonts w:eastAsiaTheme="minorHAnsi" w:cs="Arial"/>
          <w:lang w:val="es-CO"/>
        </w:rPr>
        <w:t>por cada uno de los tributos; es decir</w:t>
      </w:r>
      <w:r w:rsidRPr="001A38D5">
        <w:rPr>
          <w:rFonts w:eastAsiaTheme="minorHAnsi" w:cs="Arial"/>
          <w:lang w:val="es-CO"/>
        </w:rPr>
        <w:t xml:space="preserve">, tantas cuentas bancarias como sea necesario y en razón al número de tributos que se constituyan como una obligación de los pagos que se realicen con cargo a las </w:t>
      </w:r>
      <w:r w:rsidR="00554FC1">
        <w:rPr>
          <w:rFonts w:eastAsiaTheme="minorHAnsi" w:cs="Arial"/>
          <w:lang w:val="es-CO"/>
        </w:rPr>
        <w:t>C</w:t>
      </w:r>
      <w:r w:rsidRPr="001A38D5">
        <w:rPr>
          <w:rFonts w:eastAsiaTheme="minorHAnsi" w:cs="Arial"/>
          <w:lang w:val="es-CO"/>
        </w:rPr>
        <w:t xml:space="preserve">uentas </w:t>
      </w:r>
      <w:r w:rsidR="00554FC1">
        <w:rPr>
          <w:rFonts w:eastAsiaTheme="minorHAnsi" w:cs="Arial"/>
          <w:lang w:val="es-CO"/>
        </w:rPr>
        <w:t>M</w:t>
      </w:r>
      <w:r w:rsidRPr="001A38D5">
        <w:rPr>
          <w:rFonts w:eastAsiaTheme="minorHAnsi" w:cs="Arial"/>
          <w:lang w:val="es-CO"/>
        </w:rPr>
        <w:t>aestras.</w:t>
      </w:r>
    </w:p>
    <w:p w14:paraId="29E2F00F" w14:textId="77777777" w:rsidR="00A20990" w:rsidRPr="001A38D5" w:rsidRDefault="00A20990" w:rsidP="005140E1">
      <w:pPr>
        <w:contextualSpacing/>
        <w:jc w:val="both"/>
        <w:rPr>
          <w:rFonts w:cs="Arial"/>
          <w:lang w:val="es-CO"/>
        </w:rPr>
      </w:pPr>
    </w:p>
    <w:p w14:paraId="0220263A" w14:textId="77777777" w:rsidR="00A20990" w:rsidRPr="001A38D5" w:rsidRDefault="00A20990" w:rsidP="005140E1">
      <w:pPr>
        <w:contextualSpacing/>
        <w:jc w:val="both"/>
        <w:rPr>
          <w:rFonts w:cs="Arial"/>
          <w:lang w:val="es-CO"/>
        </w:rPr>
      </w:pPr>
      <w:r w:rsidRPr="001A38D5">
        <w:rPr>
          <w:rFonts w:cs="Arial"/>
          <w:lang w:val="es-CO"/>
        </w:rPr>
        <w:t xml:space="preserve">Asimismo, para la retención en la fuente por concepto de renta, la Resolución No. 0660 de 2018 </w:t>
      </w:r>
      <w:r w:rsidR="00EE21B9" w:rsidRPr="00EE21B9">
        <w:rPr>
          <w:rFonts w:cs="Arial"/>
          <w:lang w:val="es-CO"/>
        </w:rPr>
        <w:t xml:space="preserve">de los Ministerios de Hacienda y Crédito Público, Educación Nacional y de </w:t>
      </w:r>
      <w:r w:rsidR="00EE21B9">
        <w:rPr>
          <w:rFonts w:cs="Arial"/>
          <w:lang w:val="es-CO"/>
        </w:rPr>
        <w:t xml:space="preserve">Vivienda, Ciudad y Territorio </w:t>
      </w:r>
      <w:r w:rsidRPr="001A38D5">
        <w:rPr>
          <w:rFonts w:cs="Arial"/>
          <w:lang w:val="es-CO"/>
        </w:rPr>
        <w:t xml:space="preserve">estableció que el pago de impuestos nacionales - DIAN que se generen en la ejecución de los recursos de las participaciones y asignaciones del Sistema General de Participaciones deben realizarse a través de las Cuentas Maestras Pagadoras mediante el </w:t>
      </w:r>
      <w:r w:rsidR="00554FC1" w:rsidRPr="001A38D5">
        <w:rPr>
          <w:rFonts w:cs="Arial"/>
          <w:lang w:val="es-CO"/>
        </w:rPr>
        <w:t xml:space="preserve">Botón </w:t>
      </w:r>
      <w:r w:rsidRPr="001A38D5">
        <w:rPr>
          <w:rFonts w:cs="Arial"/>
          <w:lang w:val="es-CO"/>
        </w:rPr>
        <w:t xml:space="preserve">de </w:t>
      </w:r>
      <w:r w:rsidR="00554FC1" w:rsidRPr="001A38D5">
        <w:rPr>
          <w:rFonts w:cs="Arial"/>
          <w:lang w:val="es-CO"/>
        </w:rPr>
        <w:t xml:space="preserve">Pago Electrónico Seguro </w:t>
      </w:r>
      <w:r w:rsidRPr="001A38D5">
        <w:rPr>
          <w:rFonts w:cs="Arial"/>
          <w:lang w:val="es-CO"/>
        </w:rPr>
        <w:t xml:space="preserve">en </w:t>
      </w:r>
      <w:r w:rsidR="00554FC1" w:rsidRPr="001A38D5">
        <w:rPr>
          <w:rFonts w:cs="Arial"/>
          <w:lang w:val="es-CO"/>
        </w:rPr>
        <w:t xml:space="preserve">Línea </w:t>
      </w:r>
      <w:r w:rsidRPr="001A38D5">
        <w:rPr>
          <w:rFonts w:cs="Arial"/>
          <w:lang w:val="es-CO"/>
        </w:rPr>
        <w:t>– PSE.</w:t>
      </w:r>
    </w:p>
    <w:p w14:paraId="26672A15" w14:textId="77777777" w:rsidR="00A20990" w:rsidRPr="001A38D5" w:rsidRDefault="00A20990" w:rsidP="005140E1">
      <w:pPr>
        <w:contextualSpacing/>
        <w:rPr>
          <w:rFonts w:cs="Arial"/>
          <w:lang w:val="es-CO"/>
        </w:rPr>
      </w:pPr>
    </w:p>
    <w:p w14:paraId="5EC62525" w14:textId="77777777" w:rsidR="00A20990" w:rsidRPr="001A38D5" w:rsidRDefault="00A20990" w:rsidP="005140E1">
      <w:pPr>
        <w:contextualSpacing/>
        <w:jc w:val="both"/>
        <w:rPr>
          <w:rFonts w:cs="Arial"/>
        </w:rPr>
      </w:pPr>
      <w:r w:rsidRPr="001A38D5">
        <w:rPr>
          <w:rFonts w:cs="Arial"/>
          <w:lang w:val="es-CO"/>
        </w:rPr>
        <w:t xml:space="preserve">En el caso del movimiento por $308,82 millones, la Entidad Territorial refiere en el documento con radicado No. 1-2023-071154 del 16 de agosto de 2023 que se trata de un traslado realizado a la Cuenta Maestra del Propósito General </w:t>
      </w:r>
      <w:r w:rsidRPr="001A38D5">
        <w:rPr>
          <w:rFonts w:cs="Arial"/>
          <w:i/>
          <w:iCs/>
          <w:lang w:val="es-CO"/>
        </w:rPr>
        <w:t>“</w:t>
      </w:r>
      <w:r w:rsidR="00554FC1">
        <w:rPr>
          <w:rFonts w:cs="Arial"/>
          <w:i/>
          <w:iCs/>
          <w:lang w:val="es-CO"/>
        </w:rPr>
        <w:t>[</w:t>
      </w:r>
      <w:r w:rsidRPr="001A38D5">
        <w:rPr>
          <w:rFonts w:cs="Arial"/>
          <w:i/>
          <w:iCs/>
          <w:lang w:val="es-CO"/>
        </w:rPr>
        <w:t>…</w:t>
      </w:r>
      <w:r w:rsidR="00554FC1">
        <w:rPr>
          <w:rFonts w:cs="Arial"/>
          <w:i/>
          <w:iCs/>
          <w:lang w:val="es-CO"/>
        </w:rPr>
        <w:t>]</w:t>
      </w:r>
      <w:r w:rsidRPr="001A38D5">
        <w:rPr>
          <w:rFonts w:cs="Arial"/>
          <w:i/>
          <w:iCs/>
          <w:lang w:val="es-CO"/>
        </w:rPr>
        <w:t xml:space="preserve"> reversando </w:t>
      </w:r>
      <w:r w:rsidRPr="001A38D5">
        <w:rPr>
          <w:rFonts w:cs="Arial"/>
          <w:i/>
          <w:iCs/>
        </w:rPr>
        <w:t>una supuesta devolución de recursos girados por error el día 15 de octubre de 2019 entre la cuenta maestra del PAE y la cuenta No. 36456547898 correspondiente a la Cuenta Maestra de Propósito General del SGP</w:t>
      </w:r>
      <w:r w:rsidRPr="007A412F">
        <w:rPr>
          <w:rFonts w:cs="Arial"/>
        </w:rPr>
        <w:t>”</w:t>
      </w:r>
      <w:r w:rsidR="00554FC1" w:rsidRPr="007A412F">
        <w:rPr>
          <w:rFonts w:cs="Arial"/>
        </w:rPr>
        <w:t>.</w:t>
      </w:r>
    </w:p>
    <w:p w14:paraId="728BF227" w14:textId="77777777" w:rsidR="00A20990" w:rsidRPr="001A38D5" w:rsidRDefault="00A20990" w:rsidP="005140E1">
      <w:pPr>
        <w:contextualSpacing/>
        <w:jc w:val="both"/>
        <w:rPr>
          <w:rFonts w:cs="Arial"/>
        </w:rPr>
      </w:pPr>
    </w:p>
    <w:p w14:paraId="7DD5A9B7" w14:textId="77777777" w:rsidR="00A20990" w:rsidRPr="001A38D5" w:rsidRDefault="00A20990" w:rsidP="005140E1">
      <w:pPr>
        <w:contextualSpacing/>
        <w:jc w:val="both"/>
        <w:rPr>
          <w:rFonts w:cs="Arial"/>
        </w:rPr>
      </w:pPr>
      <w:r w:rsidRPr="001A38D5">
        <w:rPr>
          <w:rFonts w:cs="Arial"/>
        </w:rPr>
        <w:t xml:space="preserve">Finalmente, sobre el valor de $71 </w:t>
      </w:r>
      <w:r w:rsidR="00496D37">
        <w:rPr>
          <w:rFonts w:cs="Arial"/>
        </w:rPr>
        <w:t xml:space="preserve">millones </w:t>
      </w:r>
      <w:r w:rsidRPr="001A38D5">
        <w:rPr>
          <w:rFonts w:cs="Arial"/>
        </w:rPr>
        <w:t>se estableció que se refleja como un traslado por concepto de descuentos de ley, con concepto “T</w:t>
      </w:r>
      <w:r w:rsidRPr="007A412F">
        <w:rPr>
          <w:rFonts w:cs="Arial"/>
          <w:i/>
          <w:iCs/>
        </w:rPr>
        <w:t>raslado dctos de Ley OP. 12707, 12708 y 12766 de 2019</w:t>
      </w:r>
      <w:r w:rsidRPr="001A38D5">
        <w:rPr>
          <w:rFonts w:cs="Arial"/>
        </w:rPr>
        <w:t xml:space="preserve">”. </w:t>
      </w:r>
    </w:p>
    <w:p w14:paraId="08DCD2E3" w14:textId="77777777" w:rsidR="00A20990" w:rsidRPr="001A38D5" w:rsidRDefault="00A20990" w:rsidP="005140E1">
      <w:pPr>
        <w:contextualSpacing/>
        <w:jc w:val="both"/>
        <w:rPr>
          <w:rFonts w:cs="Arial"/>
        </w:rPr>
      </w:pPr>
    </w:p>
    <w:p w14:paraId="1A92F641" w14:textId="77777777" w:rsidR="00A20990" w:rsidRPr="001A38D5" w:rsidRDefault="00A20990" w:rsidP="005140E1">
      <w:pPr>
        <w:contextualSpacing/>
        <w:jc w:val="both"/>
        <w:rPr>
          <w:rFonts w:cs="Arial"/>
        </w:rPr>
      </w:pPr>
      <w:r w:rsidRPr="001A38D5">
        <w:rPr>
          <w:rFonts w:cs="Arial"/>
        </w:rPr>
        <w:t>Para esta vigencia se presentaron dos movimientos crédito desde la Cuenta Maestra No. 3645657898 de Propósito General por $457,97 millones, el primero por $303,82 millones, los cuales responden a una devolución de recursos girados por erro</w:t>
      </w:r>
      <w:r w:rsidR="00554FC1">
        <w:rPr>
          <w:rFonts w:cs="Arial"/>
        </w:rPr>
        <w:t>r</w:t>
      </w:r>
      <w:r w:rsidRPr="001A38D5">
        <w:rPr>
          <w:rFonts w:cs="Arial"/>
        </w:rPr>
        <w:t xml:space="preserve"> según lo manifiesta la </w:t>
      </w:r>
      <w:r w:rsidRPr="001A38D5">
        <w:rPr>
          <w:rFonts w:cs="Arial"/>
          <w:lang w:val="es-CO"/>
        </w:rPr>
        <w:t>Entidad Territorial en el documento con radicado No. 1-2023-071154 del 16 de agosto de 2023</w:t>
      </w:r>
      <w:r w:rsidRPr="001A38D5">
        <w:rPr>
          <w:rFonts w:cs="Arial"/>
        </w:rPr>
        <w:t>. El segundo por $154,15 millones, la Entidad manifiesta que concierne al giro de dos doceava</w:t>
      </w:r>
      <w:r w:rsidR="00554FC1">
        <w:rPr>
          <w:rFonts w:cs="Arial"/>
        </w:rPr>
        <w:t>s</w:t>
      </w:r>
      <w:r w:rsidRPr="001A38D5">
        <w:rPr>
          <w:rFonts w:cs="Arial"/>
        </w:rPr>
        <w:t xml:space="preserve"> de recursos del SGP Alimentación Escolar que no habían sido trasladados en su momento, sin indicar la vigencia a la que corresponden estos recursos. Adicionalmente, indica que se trata de recursos de la cuenta 710-039594 del Banco de Occidente. </w:t>
      </w:r>
    </w:p>
    <w:p w14:paraId="12FDE067" w14:textId="77777777" w:rsidR="00A20990" w:rsidRPr="001A38D5" w:rsidRDefault="00A20990" w:rsidP="005140E1">
      <w:pPr>
        <w:contextualSpacing/>
        <w:jc w:val="both"/>
        <w:rPr>
          <w:rFonts w:cs="Arial"/>
        </w:rPr>
      </w:pPr>
    </w:p>
    <w:p w14:paraId="30967928" w14:textId="77777777" w:rsidR="00A20990" w:rsidRPr="001A38D5" w:rsidRDefault="00A20990" w:rsidP="005140E1">
      <w:pPr>
        <w:contextualSpacing/>
        <w:jc w:val="both"/>
        <w:rPr>
          <w:rFonts w:eastAsia="Calibri" w:cs="Arial"/>
          <w:bCs/>
          <w:lang w:val="es-ES_tradnl"/>
        </w:rPr>
      </w:pPr>
      <w:r w:rsidRPr="001A38D5">
        <w:rPr>
          <w:rFonts w:cs="Arial"/>
        </w:rPr>
        <w:t xml:space="preserve">Sobre lo anterior, se observa que la Entidad Territorial a diciembre de 2019 administraba los recursos de la AESGPAE en cuentas diferentes a la Cuenta Maestra registrada en el Ministerio de Hacienda y Crédito Público, en contravía de lo establecido en el artículo 3 de la Resolución No. 4835 de 2015 y de la Circular Externa 019 del 07 de octubre de 2016, </w:t>
      </w:r>
      <w:r w:rsidRPr="001A38D5">
        <w:rPr>
          <w:rFonts w:eastAsia="Calibri" w:cs="Arial"/>
          <w:bCs/>
          <w:lang w:val="es-ES_tradnl"/>
        </w:rPr>
        <w:t>mediante la cual se definió el procedimiento para realizar el traslado de los saldos y la cancelación de las cuentas anteriores a las Cuentas Maestras.</w:t>
      </w:r>
    </w:p>
    <w:p w14:paraId="17B2ADAE" w14:textId="77777777" w:rsidR="00A20990" w:rsidRPr="001A38D5" w:rsidRDefault="00A20990" w:rsidP="005140E1">
      <w:pPr>
        <w:contextualSpacing/>
        <w:jc w:val="both"/>
        <w:rPr>
          <w:rFonts w:cs="Arial"/>
        </w:rPr>
      </w:pPr>
    </w:p>
    <w:p w14:paraId="3CBD9DE4"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6</w:t>
      </w:r>
      <w:r w:rsidRPr="007A412F">
        <w:rPr>
          <w:rFonts w:ascii="Verdana" w:hAnsi="Verdana"/>
          <w:color w:val="auto"/>
          <w:sz w:val="20"/>
          <w:szCs w:val="20"/>
        </w:rPr>
        <w:fldChar w:fldCharType="end"/>
      </w:r>
      <w:r w:rsidRPr="007A412F">
        <w:rPr>
          <w:rFonts w:ascii="Verdana" w:hAnsi="Verdana"/>
          <w:color w:val="auto"/>
          <w:sz w:val="20"/>
          <w:szCs w:val="20"/>
        </w:rPr>
        <w:t xml:space="preserve"> Egresos Cuenta Maestra Programa de Alimentación Escolar del Municipio de Villavicencio 2019 (valores en millones de pesos colombianos).</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0"/>
        <w:gridCol w:w="1196"/>
        <w:gridCol w:w="1476"/>
        <w:gridCol w:w="1946"/>
        <w:gridCol w:w="1038"/>
        <w:gridCol w:w="722"/>
      </w:tblGrid>
      <w:tr w:rsidR="001A38D5" w:rsidRPr="001A38D5" w14:paraId="584D60B0" w14:textId="77777777" w:rsidTr="001029CF">
        <w:trPr>
          <w:trHeight w:val="27"/>
          <w:tblHeader/>
          <w:jc w:val="center"/>
        </w:trPr>
        <w:tc>
          <w:tcPr>
            <w:tcW w:w="1787" w:type="pct"/>
            <w:shd w:val="clear" w:color="000000" w:fill="FFC000"/>
            <w:vAlign w:val="center"/>
            <w:hideMark/>
          </w:tcPr>
          <w:p w14:paraId="515EF7B6"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Nombre o Razón Social</w:t>
            </w:r>
          </w:p>
        </w:tc>
        <w:tc>
          <w:tcPr>
            <w:tcW w:w="578" w:type="pct"/>
            <w:shd w:val="clear" w:color="000000" w:fill="FFC000"/>
            <w:vAlign w:val="center"/>
            <w:hideMark/>
          </w:tcPr>
          <w:p w14:paraId="4351F0AF"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NIT</w:t>
            </w:r>
          </w:p>
        </w:tc>
        <w:tc>
          <w:tcPr>
            <w:tcW w:w="724" w:type="pct"/>
            <w:shd w:val="clear" w:color="000000" w:fill="FFC000"/>
            <w:vAlign w:val="center"/>
            <w:hideMark/>
          </w:tcPr>
          <w:p w14:paraId="398B552C"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 de Cuenta</w:t>
            </w:r>
          </w:p>
        </w:tc>
        <w:tc>
          <w:tcPr>
            <w:tcW w:w="1014" w:type="pct"/>
            <w:shd w:val="clear" w:color="000000" w:fill="FFC000"/>
            <w:vAlign w:val="center"/>
            <w:hideMark/>
          </w:tcPr>
          <w:p w14:paraId="314F4C88"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Establecimiento Bancario</w:t>
            </w:r>
          </w:p>
        </w:tc>
        <w:tc>
          <w:tcPr>
            <w:tcW w:w="531" w:type="pct"/>
            <w:shd w:val="clear" w:color="000000" w:fill="FFC000"/>
            <w:vAlign w:val="center"/>
            <w:hideMark/>
          </w:tcPr>
          <w:p w14:paraId="4A37C530"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Abonado</w:t>
            </w:r>
          </w:p>
        </w:tc>
        <w:tc>
          <w:tcPr>
            <w:tcW w:w="367" w:type="pct"/>
            <w:shd w:val="clear" w:color="000000" w:fill="FFC000"/>
            <w:vAlign w:val="center"/>
            <w:hideMark/>
          </w:tcPr>
          <w:p w14:paraId="58949CBA"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 de Abonos</w:t>
            </w:r>
          </w:p>
        </w:tc>
      </w:tr>
      <w:tr w:rsidR="001A38D5" w:rsidRPr="001A38D5" w14:paraId="073C37BD" w14:textId="77777777" w:rsidTr="00A20990">
        <w:trPr>
          <w:trHeight w:val="27"/>
          <w:jc w:val="center"/>
        </w:trPr>
        <w:tc>
          <w:tcPr>
            <w:tcW w:w="1787" w:type="pct"/>
            <w:shd w:val="clear" w:color="auto" w:fill="auto"/>
            <w:noWrap/>
            <w:vAlign w:val="bottom"/>
            <w:hideMark/>
          </w:tcPr>
          <w:p w14:paraId="2B8326F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UT PAE VILLAVICENCIO 2019</w:t>
            </w:r>
          </w:p>
        </w:tc>
        <w:tc>
          <w:tcPr>
            <w:tcW w:w="578" w:type="pct"/>
            <w:shd w:val="clear" w:color="auto" w:fill="auto"/>
            <w:noWrap/>
            <w:vAlign w:val="bottom"/>
            <w:hideMark/>
          </w:tcPr>
          <w:p w14:paraId="617AA23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901.288.823-1</w:t>
            </w:r>
          </w:p>
        </w:tc>
        <w:tc>
          <w:tcPr>
            <w:tcW w:w="724" w:type="pct"/>
            <w:shd w:val="clear" w:color="auto" w:fill="auto"/>
            <w:noWrap/>
            <w:vAlign w:val="bottom"/>
            <w:hideMark/>
          </w:tcPr>
          <w:p w14:paraId="38AD81E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8400012052</w:t>
            </w:r>
          </w:p>
        </w:tc>
        <w:tc>
          <w:tcPr>
            <w:tcW w:w="1014" w:type="pct"/>
            <w:shd w:val="clear" w:color="auto" w:fill="auto"/>
            <w:noWrap/>
            <w:vAlign w:val="bottom"/>
            <w:hideMark/>
          </w:tcPr>
          <w:p w14:paraId="735C582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31" w:type="pct"/>
            <w:shd w:val="clear" w:color="auto" w:fill="auto"/>
            <w:noWrap/>
            <w:vAlign w:val="bottom"/>
            <w:hideMark/>
          </w:tcPr>
          <w:p w14:paraId="38AF7C1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$6.057,50</w:t>
            </w:r>
          </w:p>
        </w:tc>
        <w:tc>
          <w:tcPr>
            <w:tcW w:w="367" w:type="pct"/>
            <w:shd w:val="clear" w:color="auto" w:fill="auto"/>
            <w:noWrap/>
            <w:vAlign w:val="bottom"/>
            <w:hideMark/>
          </w:tcPr>
          <w:p w14:paraId="3F38F5D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w:t>
            </w:r>
          </w:p>
        </w:tc>
      </w:tr>
      <w:tr w:rsidR="001A38D5" w:rsidRPr="001A38D5" w14:paraId="2DC9F260" w14:textId="77777777" w:rsidTr="00A20990">
        <w:trPr>
          <w:trHeight w:val="27"/>
          <w:jc w:val="center"/>
        </w:trPr>
        <w:tc>
          <w:tcPr>
            <w:tcW w:w="1787" w:type="pct"/>
            <w:shd w:val="clear" w:color="auto" w:fill="auto"/>
            <w:noWrap/>
            <w:vAlign w:val="bottom"/>
            <w:hideMark/>
          </w:tcPr>
          <w:p w14:paraId="2C33001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UNION TEMPORAL PAE</w:t>
            </w:r>
          </w:p>
        </w:tc>
        <w:tc>
          <w:tcPr>
            <w:tcW w:w="578" w:type="pct"/>
            <w:shd w:val="clear" w:color="auto" w:fill="auto"/>
            <w:noWrap/>
            <w:vAlign w:val="bottom"/>
            <w:hideMark/>
          </w:tcPr>
          <w:p w14:paraId="3B972F3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901.248.776-0</w:t>
            </w:r>
          </w:p>
        </w:tc>
        <w:tc>
          <w:tcPr>
            <w:tcW w:w="724" w:type="pct"/>
            <w:shd w:val="clear" w:color="auto" w:fill="auto"/>
            <w:noWrap/>
            <w:vAlign w:val="bottom"/>
            <w:hideMark/>
          </w:tcPr>
          <w:p w14:paraId="31FA7DE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8400011146</w:t>
            </w:r>
          </w:p>
        </w:tc>
        <w:tc>
          <w:tcPr>
            <w:tcW w:w="1014" w:type="pct"/>
            <w:shd w:val="clear" w:color="auto" w:fill="auto"/>
            <w:noWrap/>
            <w:vAlign w:val="bottom"/>
            <w:hideMark/>
          </w:tcPr>
          <w:p w14:paraId="71BC367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31" w:type="pct"/>
            <w:shd w:val="clear" w:color="auto" w:fill="auto"/>
            <w:noWrap/>
            <w:vAlign w:val="bottom"/>
            <w:hideMark/>
          </w:tcPr>
          <w:p w14:paraId="5C818A1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$3.290,37</w:t>
            </w:r>
          </w:p>
        </w:tc>
        <w:tc>
          <w:tcPr>
            <w:tcW w:w="367" w:type="pct"/>
            <w:shd w:val="clear" w:color="auto" w:fill="auto"/>
            <w:noWrap/>
            <w:vAlign w:val="bottom"/>
            <w:hideMark/>
          </w:tcPr>
          <w:p w14:paraId="709C0DC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w:t>
            </w:r>
          </w:p>
        </w:tc>
      </w:tr>
      <w:tr w:rsidR="001A38D5" w:rsidRPr="001A38D5" w14:paraId="77173F3E" w14:textId="77777777" w:rsidTr="00A20990">
        <w:trPr>
          <w:trHeight w:val="27"/>
          <w:jc w:val="center"/>
        </w:trPr>
        <w:tc>
          <w:tcPr>
            <w:tcW w:w="1787" w:type="pct"/>
            <w:shd w:val="clear" w:color="auto" w:fill="auto"/>
            <w:noWrap/>
            <w:vAlign w:val="bottom"/>
            <w:hideMark/>
          </w:tcPr>
          <w:p w14:paraId="3764073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UNION TEMPORAL PAE VILLAVICENCIO 2019</w:t>
            </w:r>
          </w:p>
        </w:tc>
        <w:tc>
          <w:tcPr>
            <w:tcW w:w="578" w:type="pct"/>
            <w:shd w:val="clear" w:color="auto" w:fill="auto"/>
            <w:noWrap/>
            <w:vAlign w:val="bottom"/>
            <w:hideMark/>
          </w:tcPr>
          <w:p w14:paraId="1376C27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901.248.776-0</w:t>
            </w:r>
          </w:p>
        </w:tc>
        <w:tc>
          <w:tcPr>
            <w:tcW w:w="724" w:type="pct"/>
            <w:shd w:val="clear" w:color="auto" w:fill="auto"/>
            <w:noWrap/>
            <w:vAlign w:val="bottom"/>
            <w:hideMark/>
          </w:tcPr>
          <w:p w14:paraId="4E0F537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8400011146</w:t>
            </w:r>
          </w:p>
        </w:tc>
        <w:tc>
          <w:tcPr>
            <w:tcW w:w="1014" w:type="pct"/>
            <w:shd w:val="clear" w:color="auto" w:fill="auto"/>
            <w:noWrap/>
            <w:vAlign w:val="bottom"/>
            <w:hideMark/>
          </w:tcPr>
          <w:p w14:paraId="3D02600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31" w:type="pct"/>
            <w:shd w:val="clear" w:color="auto" w:fill="auto"/>
            <w:noWrap/>
            <w:vAlign w:val="bottom"/>
            <w:hideMark/>
          </w:tcPr>
          <w:p w14:paraId="1F2A342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$978,72</w:t>
            </w:r>
          </w:p>
        </w:tc>
        <w:tc>
          <w:tcPr>
            <w:tcW w:w="367" w:type="pct"/>
            <w:shd w:val="clear" w:color="auto" w:fill="auto"/>
            <w:noWrap/>
            <w:vAlign w:val="bottom"/>
            <w:hideMark/>
          </w:tcPr>
          <w:p w14:paraId="311E6BB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w:t>
            </w:r>
          </w:p>
        </w:tc>
      </w:tr>
      <w:tr w:rsidR="001A38D5" w:rsidRPr="001A38D5" w14:paraId="0822E2EF" w14:textId="77777777" w:rsidTr="00A20990">
        <w:trPr>
          <w:trHeight w:val="27"/>
          <w:jc w:val="center"/>
        </w:trPr>
        <w:tc>
          <w:tcPr>
            <w:tcW w:w="1787" w:type="pct"/>
            <w:shd w:val="clear" w:color="auto" w:fill="auto"/>
            <w:noWrap/>
            <w:vAlign w:val="bottom"/>
            <w:hideMark/>
          </w:tcPr>
          <w:p w14:paraId="51E21FB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578" w:type="pct"/>
            <w:shd w:val="clear" w:color="auto" w:fill="auto"/>
            <w:noWrap/>
            <w:vAlign w:val="bottom"/>
            <w:hideMark/>
          </w:tcPr>
          <w:p w14:paraId="6AE7826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892.099.324-3</w:t>
            </w:r>
          </w:p>
        </w:tc>
        <w:tc>
          <w:tcPr>
            <w:tcW w:w="724" w:type="pct"/>
            <w:shd w:val="clear" w:color="auto" w:fill="auto"/>
            <w:noWrap/>
            <w:vAlign w:val="bottom"/>
            <w:hideMark/>
          </w:tcPr>
          <w:p w14:paraId="4E836C5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364618579</w:t>
            </w:r>
          </w:p>
        </w:tc>
        <w:tc>
          <w:tcPr>
            <w:tcW w:w="1014" w:type="pct"/>
            <w:shd w:val="clear" w:color="auto" w:fill="auto"/>
            <w:noWrap/>
            <w:vAlign w:val="bottom"/>
            <w:hideMark/>
          </w:tcPr>
          <w:p w14:paraId="22E0DA7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31" w:type="pct"/>
            <w:shd w:val="clear" w:color="auto" w:fill="auto"/>
            <w:noWrap/>
            <w:vAlign w:val="bottom"/>
            <w:hideMark/>
          </w:tcPr>
          <w:p w14:paraId="2729E74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$1.277,18</w:t>
            </w:r>
          </w:p>
        </w:tc>
        <w:tc>
          <w:tcPr>
            <w:tcW w:w="367" w:type="pct"/>
            <w:shd w:val="clear" w:color="auto" w:fill="auto"/>
            <w:noWrap/>
            <w:vAlign w:val="bottom"/>
            <w:hideMark/>
          </w:tcPr>
          <w:p w14:paraId="0D9AD67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28</w:t>
            </w:r>
          </w:p>
        </w:tc>
      </w:tr>
      <w:tr w:rsidR="001A38D5" w:rsidRPr="001A38D5" w14:paraId="4A098620" w14:textId="77777777" w:rsidTr="00A20990">
        <w:trPr>
          <w:trHeight w:val="27"/>
          <w:jc w:val="center"/>
        </w:trPr>
        <w:tc>
          <w:tcPr>
            <w:tcW w:w="1787" w:type="pct"/>
            <w:shd w:val="clear" w:color="auto" w:fill="auto"/>
            <w:noWrap/>
            <w:vAlign w:val="bottom"/>
            <w:hideMark/>
          </w:tcPr>
          <w:p w14:paraId="3D68B1C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578" w:type="pct"/>
            <w:shd w:val="clear" w:color="auto" w:fill="auto"/>
            <w:noWrap/>
            <w:vAlign w:val="bottom"/>
            <w:hideMark/>
          </w:tcPr>
          <w:p w14:paraId="7479200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892.099.324-3</w:t>
            </w:r>
          </w:p>
        </w:tc>
        <w:tc>
          <w:tcPr>
            <w:tcW w:w="724" w:type="pct"/>
            <w:shd w:val="clear" w:color="auto" w:fill="auto"/>
            <w:noWrap/>
            <w:vAlign w:val="bottom"/>
            <w:hideMark/>
          </w:tcPr>
          <w:p w14:paraId="65CE3BE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70900026429</w:t>
            </w:r>
          </w:p>
        </w:tc>
        <w:tc>
          <w:tcPr>
            <w:tcW w:w="1014" w:type="pct"/>
            <w:shd w:val="clear" w:color="auto" w:fill="auto"/>
            <w:noWrap/>
            <w:vAlign w:val="bottom"/>
            <w:hideMark/>
          </w:tcPr>
          <w:p w14:paraId="33DCEFE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31" w:type="pct"/>
            <w:shd w:val="clear" w:color="auto" w:fill="auto"/>
            <w:noWrap/>
            <w:vAlign w:val="bottom"/>
            <w:hideMark/>
          </w:tcPr>
          <w:p w14:paraId="3DEC225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$303,82</w:t>
            </w:r>
          </w:p>
        </w:tc>
        <w:tc>
          <w:tcPr>
            <w:tcW w:w="367" w:type="pct"/>
            <w:shd w:val="clear" w:color="auto" w:fill="auto"/>
            <w:noWrap/>
            <w:vAlign w:val="bottom"/>
            <w:hideMark/>
          </w:tcPr>
          <w:p w14:paraId="26EF6BD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30F36107" w14:textId="77777777" w:rsidTr="00A20990">
        <w:trPr>
          <w:trHeight w:val="27"/>
          <w:jc w:val="center"/>
        </w:trPr>
        <w:tc>
          <w:tcPr>
            <w:tcW w:w="1787" w:type="pct"/>
            <w:shd w:val="clear" w:color="auto" w:fill="auto"/>
            <w:noWrap/>
            <w:vAlign w:val="bottom"/>
            <w:hideMark/>
          </w:tcPr>
          <w:p w14:paraId="6A6B641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578" w:type="pct"/>
            <w:shd w:val="clear" w:color="auto" w:fill="auto"/>
            <w:noWrap/>
            <w:vAlign w:val="bottom"/>
            <w:hideMark/>
          </w:tcPr>
          <w:p w14:paraId="34EBF13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892.099.324-3</w:t>
            </w:r>
          </w:p>
        </w:tc>
        <w:tc>
          <w:tcPr>
            <w:tcW w:w="724" w:type="pct"/>
            <w:shd w:val="clear" w:color="auto" w:fill="auto"/>
            <w:noWrap/>
            <w:vAlign w:val="bottom"/>
            <w:hideMark/>
          </w:tcPr>
          <w:p w14:paraId="5A90C40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70900026430</w:t>
            </w:r>
          </w:p>
        </w:tc>
        <w:tc>
          <w:tcPr>
            <w:tcW w:w="1014" w:type="pct"/>
            <w:shd w:val="clear" w:color="auto" w:fill="auto"/>
            <w:noWrap/>
            <w:vAlign w:val="bottom"/>
            <w:hideMark/>
          </w:tcPr>
          <w:p w14:paraId="7EBD61E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31" w:type="pct"/>
            <w:shd w:val="clear" w:color="auto" w:fill="auto"/>
            <w:noWrap/>
            <w:vAlign w:val="bottom"/>
            <w:hideMark/>
          </w:tcPr>
          <w:p w14:paraId="426317C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$0,71</w:t>
            </w:r>
          </w:p>
        </w:tc>
        <w:tc>
          <w:tcPr>
            <w:tcW w:w="367" w:type="pct"/>
            <w:shd w:val="clear" w:color="auto" w:fill="auto"/>
            <w:noWrap/>
            <w:vAlign w:val="bottom"/>
            <w:hideMark/>
          </w:tcPr>
          <w:p w14:paraId="6E93A37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68A461E5" w14:textId="77777777" w:rsidTr="00A20990">
        <w:trPr>
          <w:trHeight w:val="27"/>
          <w:jc w:val="center"/>
        </w:trPr>
        <w:tc>
          <w:tcPr>
            <w:tcW w:w="1787" w:type="pct"/>
            <w:shd w:val="clear" w:color="auto" w:fill="auto"/>
            <w:noWrap/>
            <w:vAlign w:val="bottom"/>
            <w:hideMark/>
          </w:tcPr>
          <w:p w14:paraId="03DE1DF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HECTOR JULIAN CASTRO REYES</w:t>
            </w:r>
          </w:p>
        </w:tc>
        <w:tc>
          <w:tcPr>
            <w:tcW w:w="578" w:type="pct"/>
            <w:shd w:val="clear" w:color="auto" w:fill="auto"/>
            <w:noWrap/>
            <w:vAlign w:val="bottom"/>
            <w:hideMark/>
          </w:tcPr>
          <w:p w14:paraId="7B31419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80.765.239</w:t>
            </w:r>
          </w:p>
        </w:tc>
        <w:tc>
          <w:tcPr>
            <w:tcW w:w="724" w:type="pct"/>
            <w:shd w:val="clear" w:color="auto" w:fill="auto"/>
            <w:noWrap/>
            <w:vAlign w:val="bottom"/>
            <w:hideMark/>
          </w:tcPr>
          <w:p w14:paraId="2BADE6B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646471581</w:t>
            </w:r>
          </w:p>
        </w:tc>
        <w:tc>
          <w:tcPr>
            <w:tcW w:w="1014" w:type="pct"/>
            <w:shd w:val="clear" w:color="auto" w:fill="auto"/>
            <w:noWrap/>
            <w:vAlign w:val="bottom"/>
            <w:hideMark/>
          </w:tcPr>
          <w:p w14:paraId="4977EDF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31" w:type="pct"/>
            <w:shd w:val="clear" w:color="auto" w:fill="auto"/>
            <w:noWrap/>
            <w:vAlign w:val="bottom"/>
            <w:hideMark/>
          </w:tcPr>
          <w:p w14:paraId="18F1ED0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$36,74</w:t>
            </w:r>
          </w:p>
        </w:tc>
        <w:tc>
          <w:tcPr>
            <w:tcW w:w="367" w:type="pct"/>
            <w:shd w:val="clear" w:color="auto" w:fill="auto"/>
            <w:noWrap/>
            <w:vAlign w:val="bottom"/>
            <w:hideMark/>
          </w:tcPr>
          <w:p w14:paraId="141E475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w:t>
            </w:r>
          </w:p>
        </w:tc>
      </w:tr>
      <w:tr w:rsidR="001A38D5" w:rsidRPr="001A38D5" w14:paraId="28D97197" w14:textId="77777777" w:rsidTr="00A20990">
        <w:trPr>
          <w:trHeight w:val="27"/>
          <w:jc w:val="center"/>
        </w:trPr>
        <w:tc>
          <w:tcPr>
            <w:tcW w:w="1787" w:type="pct"/>
            <w:shd w:val="clear" w:color="auto" w:fill="auto"/>
            <w:noWrap/>
            <w:vAlign w:val="bottom"/>
            <w:hideMark/>
          </w:tcPr>
          <w:p w14:paraId="054C875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HECTOR JULIAN CASTRO REYES</w:t>
            </w:r>
          </w:p>
        </w:tc>
        <w:tc>
          <w:tcPr>
            <w:tcW w:w="578" w:type="pct"/>
            <w:shd w:val="clear" w:color="auto" w:fill="auto"/>
            <w:noWrap/>
            <w:vAlign w:val="bottom"/>
            <w:hideMark/>
          </w:tcPr>
          <w:p w14:paraId="63F1568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80.765.239</w:t>
            </w:r>
          </w:p>
        </w:tc>
        <w:tc>
          <w:tcPr>
            <w:tcW w:w="724" w:type="pct"/>
            <w:shd w:val="clear" w:color="auto" w:fill="auto"/>
            <w:noWrap/>
            <w:vAlign w:val="bottom"/>
            <w:hideMark/>
          </w:tcPr>
          <w:p w14:paraId="3C91097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70900020485</w:t>
            </w:r>
          </w:p>
        </w:tc>
        <w:tc>
          <w:tcPr>
            <w:tcW w:w="1014" w:type="pct"/>
            <w:shd w:val="clear" w:color="auto" w:fill="auto"/>
            <w:noWrap/>
            <w:vAlign w:val="bottom"/>
            <w:hideMark/>
          </w:tcPr>
          <w:p w14:paraId="2324788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31" w:type="pct"/>
            <w:shd w:val="clear" w:color="auto" w:fill="auto"/>
            <w:noWrap/>
            <w:vAlign w:val="bottom"/>
            <w:hideMark/>
          </w:tcPr>
          <w:p w14:paraId="49301D7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$3,44</w:t>
            </w:r>
          </w:p>
        </w:tc>
        <w:tc>
          <w:tcPr>
            <w:tcW w:w="367" w:type="pct"/>
            <w:shd w:val="clear" w:color="auto" w:fill="auto"/>
            <w:noWrap/>
            <w:vAlign w:val="bottom"/>
            <w:hideMark/>
          </w:tcPr>
          <w:p w14:paraId="55E7634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0FAE92FC" w14:textId="77777777" w:rsidTr="00A20990">
        <w:trPr>
          <w:trHeight w:val="27"/>
          <w:jc w:val="center"/>
        </w:trPr>
        <w:tc>
          <w:tcPr>
            <w:tcW w:w="1787" w:type="pct"/>
            <w:shd w:val="clear" w:color="auto" w:fill="auto"/>
            <w:noWrap/>
            <w:vAlign w:val="bottom"/>
            <w:hideMark/>
          </w:tcPr>
          <w:p w14:paraId="38E787E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JACQUELINE MAHECHA PEREIRA</w:t>
            </w:r>
          </w:p>
        </w:tc>
        <w:tc>
          <w:tcPr>
            <w:tcW w:w="578" w:type="pct"/>
            <w:shd w:val="clear" w:color="auto" w:fill="auto"/>
            <w:noWrap/>
            <w:vAlign w:val="bottom"/>
            <w:hideMark/>
          </w:tcPr>
          <w:p w14:paraId="255628F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40.369.710</w:t>
            </w:r>
          </w:p>
        </w:tc>
        <w:tc>
          <w:tcPr>
            <w:tcW w:w="724" w:type="pct"/>
            <w:shd w:val="clear" w:color="auto" w:fill="auto"/>
            <w:noWrap/>
            <w:vAlign w:val="bottom"/>
            <w:hideMark/>
          </w:tcPr>
          <w:p w14:paraId="756DBF4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96600001125</w:t>
            </w:r>
          </w:p>
        </w:tc>
        <w:tc>
          <w:tcPr>
            <w:tcW w:w="1014" w:type="pct"/>
            <w:shd w:val="clear" w:color="auto" w:fill="auto"/>
            <w:noWrap/>
            <w:vAlign w:val="bottom"/>
            <w:hideMark/>
          </w:tcPr>
          <w:p w14:paraId="0E50E2B0"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DAVIVIENDA S.A.</w:t>
            </w:r>
          </w:p>
        </w:tc>
        <w:tc>
          <w:tcPr>
            <w:tcW w:w="531" w:type="pct"/>
            <w:shd w:val="clear" w:color="auto" w:fill="auto"/>
            <w:noWrap/>
            <w:vAlign w:val="bottom"/>
            <w:hideMark/>
          </w:tcPr>
          <w:p w14:paraId="50153B3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$22,96</w:t>
            </w:r>
          </w:p>
        </w:tc>
        <w:tc>
          <w:tcPr>
            <w:tcW w:w="367" w:type="pct"/>
            <w:shd w:val="clear" w:color="auto" w:fill="auto"/>
            <w:noWrap/>
            <w:vAlign w:val="bottom"/>
            <w:hideMark/>
          </w:tcPr>
          <w:p w14:paraId="598CF56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w:t>
            </w:r>
          </w:p>
        </w:tc>
      </w:tr>
      <w:tr w:rsidR="001A38D5" w:rsidRPr="001A38D5" w14:paraId="3E7568E9" w14:textId="77777777" w:rsidTr="00A20990">
        <w:trPr>
          <w:trHeight w:val="27"/>
          <w:jc w:val="center"/>
        </w:trPr>
        <w:tc>
          <w:tcPr>
            <w:tcW w:w="1787" w:type="pct"/>
            <w:shd w:val="clear" w:color="auto" w:fill="auto"/>
            <w:noWrap/>
            <w:vAlign w:val="bottom"/>
            <w:hideMark/>
          </w:tcPr>
          <w:p w14:paraId="374993F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JACQUELINE MAHECHA PEREIRA</w:t>
            </w:r>
          </w:p>
        </w:tc>
        <w:tc>
          <w:tcPr>
            <w:tcW w:w="578" w:type="pct"/>
            <w:shd w:val="clear" w:color="auto" w:fill="auto"/>
            <w:noWrap/>
            <w:vAlign w:val="bottom"/>
            <w:hideMark/>
          </w:tcPr>
          <w:p w14:paraId="1CBED42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40.369.710</w:t>
            </w:r>
          </w:p>
        </w:tc>
        <w:tc>
          <w:tcPr>
            <w:tcW w:w="724" w:type="pct"/>
            <w:shd w:val="clear" w:color="auto" w:fill="auto"/>
            <w:noWrap/>
            <w:vAlign w:val="bottom"/>
            <w:hideMark/>
          </w:tcPr>
          <w:p w14:paraId="5FDCEEE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550096600001125</w:t>
            </w:r>
          </w:p>
        </w:tc>
        <w:tc>
          <w:tcPr>
            <w:tcW w:w="1014" w:type="pct"/>
            <w:shd w:val="clear" w:color="auto" w:fill="auto"/>
            <w:noWrap/>
            <w:vAlign w:val="bottom"/>
            <w:hideMark/>
          </w:tcPr>
          <w:p w14:paraId="39C6B40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DAVIVIENDA S.A.</w:t>
            </w:r>
          </w:p>
        </w:tc>
        <w:tc>
          <w:tcPr>
            <w:tcW w:w="531" w:type="pct"/>
            <w:shd w:val="clear" w:color="auto" w:fill="auto"/>
            <w:noWrap/>
            <w:vAlign w:val="bottom"/>
            <w:hideMark/>
          </w:tcPr>
          <w:p w14:paraId="16F4E6F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$13,78</w:t>
            </w:r>
          </w:p>
        </w:tc>
        <w:tc>
          <w:tcPr>
            <w:tcW w:w="367" w:type="pct"/>
            <w:shd w:val="clear" w:color="auto" w:fill="auto"/>
            <w:noWrap/>
            <w:vAlign w:val="bottom"/>
            <w:hideMark/>
          </w:tcPr>
          <w:p w14:paraId="4C4CEEE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w:t>
            </w:r>
          </w:p>
        </w:tc>
      </w:tr>
      <w:tr w:rsidR="001A38D5" w:rsidRPr="001A38D5" w14:paraId="756DCB87" w14:textId="77777777" w:rsidTr="00A20990">
        <w:trPr>
          <w:trHeight w:val="27"/>
          <w:jc w:val="center"/>
        </w:trPr>
        <w:tc>
          <w:tcPr>
            <w:tcW w:w="1787" w:type="pct"/>
            <w:shd w:val="clear" w:color="auto" w:fill="auto"/>
            <w:noWrap/>
            <w:vAlign w:val="bottom"/>
            <w:hideMark/>
          </w:tcPr>
          <w:p w14:paraId="39468272"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JACQUELINE MAHECHA PEREIRA</w:t>
            </w:r>
          </w:p>
        </w:tc>
        <w:tc>
          <w:tcPr>
            <w:tcW w:w="578" w:type="pct"/>
            <w:shd w:val="clear" w:color="auto" w:fill="auto"/>
            <w:noWrap/>
            <w:vAlign w:val="bottom"/>
            <w:hideMark/>
          </w:tcPr>
          <w:p w14:paraId="6107140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40.369.710</w:t>
            </w:r>
          </w:p>
        </w:tc>
        <w:tc>
          <w:tcPr>
            <w:tcW w:w="724" w:type="pct"/>
            <w:shd w:val="clear" w:color="auto" w:fill="auto"/>
            <w:noWrap/>
            <w:vAlign w:val="bottom"/>
            <w:hideMark/>
          </w:tcPr>
          <w:p w14:paraId="6798F8E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70900020528</w:t>
            </w:r>
          </w:p>
        </w:tc>
        <w:tc>
          <w:tcPr>
            <w:tcW w:w="1014" w:type="pct"/>
            <w:shd w:val="clear" w:color="auto" w:fill="auto"/>
            <w:noWrap/>
            <w:vAlign w:val="bottom"/>
            <w:hideMark/>
          </w:tcPr>
          <w:p w14:paraId="7290DED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DAVIVIENDA S.A.</w:t>
            </w:r>
          </w:p>
        </w:tc>
        <w:tc>
          <w:tcPr>
            <w:tcW w:w="531" w:type="pct"/>
            <w:shd w:val="clear" w:color="auto" w:fill="auto"/>
            <w:noWrap/>
            <w:vAlign w:val="bottom"/>
            <w:hideMark/>
          </w:tcPr>
          <w:p w14:paraId="3AC2287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$3,44</w:t>
            </w:r>
          </w:p>
        </w:tc>
        <w:tc>
          <w:tcPr>
            <w:tcW w:w="367" w:type="pct"/>
            <w:shd w:val="clear" w:color="auto" w:fill="auto"/>
            <w:noWrap/>
            <w:vAlign w:val="bottom"/>
            <w:hideMark/>
          </w:tcPr>
          <w:p w14:paraId="45980E6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672FB09C" w14:textId="77777777" w:rsidTr="00A20990">
        <w:trPr>
          <w:trHeight w:val="27"/>
          <w:jc w:val="center"/>
        </w:trPr>
        <w:tc>
          <w:tcPr>
            <w:tcW w:w="1787" w:type="pct"/>
            <w:shd w:val="clear" w:color="auto" w:fill="auto"/>
            <w:noWrap/>
            <w:vAlign w:val="bottom"/>
            <w:hideMark/>
          </w:tcPr>
          <w:p w14:paraId="1025DDC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CLAUDIA YOLIMA PE A ROJAS</w:t>
            </w:r>
          </w:p>
        </w:tc>
        <w:tc>
          <w:tcPr>
            <w:tcW w:w="578" w:type="pct"/>
            <w:shd w:val="clear" w:color="auto" w:fill="auto"/>
            <w:noWrap/>
            <w:vAlign w:val="bottom"/>
            <w:hideMark/>
          </w:tcPr>
          <w:p w14:paraId="17B9C5C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52.082.817</w:t>
            </w:r>
          </w:p>
        </w:tc>
        <w:tc>
          <w:tcPr>
            <w:tcW w:w="724" w:type="pct"/>
            <w:shd w:val="clear" w:color="auto" w:fill="auto"/>
            <w:noWrap/>
            <w:vAlign w:val="bottom"/>
            <w:hideMark/>
          </w:tcPr>
          <w:p w14:paraId="4CE53CC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351121454</w:t>
            </w:r>
          </w:p>
        </w:tc>
        <w:tc>
          <w:tcPr>
            <w:tcW w:w="1014" w:type="pct"/>
            <w:shd w:val="clear" w:color="auto" w:fill="auto"/>
            <w:noWrap/>
            <w:vAlign w:val="bottom"/>
            <w:hideMark/>
          </w:tcPr>
          <w:p w14:paraId="1158B3A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31" w:type="pct"/>
            <w:shd w:val="clear" w:color="auto" w:fill="auto"/>
            <w:noWrap/>
            <w:vAlign w:val="bottom"/>
            <w:hideMark/>
          </w:tcPr>
          <w:p w14:paraId="12F1951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$38,93</w:t>
            </w:r>
          </w:p>
        </w:tc>
        <w:tc>
          <w:tcPr>
            <w:tcW w:w="367" w:type="pct"/>
            <w:shd w:val="clear" w:color="auto" w:fill="auto"/>
            <w:noWrap/>
            <w:vAlign w:val="bottom"/>
            <w:hideMark/>
          </w:tcPr>
          <w:p w14:paraId="58F26C4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12</w:t>
            </w:r>
          </w:p>
        </w:tc>
      </w:tr>
      <w:tr w:rsidR="001A38D5" w:rsidRPr="001A38D5" w14:paraId="66310C75" w14:textId="77777777" w:rsidTr="001029CF">
        <w:trPr>
          <w:trHeight w:val="27"/>
          <w:jc w:val="center"/>
        </w:trPr>
        <w:tc>
          <w:tcPr>
            <w:tcW w:w="1787" w:type="pct"/>
            <w:tcBorders>
              <w:bottom w:val="single" w:sz="4" w:space="0" w:color="auto"/>
            </w:tcBorders>
            <w:shd w:val="clear" w:color="auto" w:fill="auto"/>
            <w:noWrap/>
            <w:vAlign w:val="bottom"/>
            <w:hideMark/>
          </w:tcPr>
          <w:p w14:paraId="2B9736F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CLAUDIA YOLIMA PE A ROJAS</w:t>
            </w:r>
          </w:p>
        </w:tc>
        <w:tc>
          <w:tcPr>
            <w:tcW w:w="578" w:type="pct"/>
            <w:tcBorders>
              <w:bottom w:val="single" w:sz="4" w:space="0" w:color="auto"/>
            </w:tcBorders>
            <w:shd w:val="clear" w:color="auto" w:fill="auto"/>
            <w:noWrap/>
            <w:vAlign w:val="bottom"/>
            <w:hideMark/>
          </w:tcPr>
          <w:p w14:paraId="6323DFC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52.082.817</w:t>
            </w:r>
          </w:p>
        </w:tc>
        <w:tc>
          <w:tcPr>
            <w:tcW w:w="724" w:type="pct"/>
            <w:tcBorders>
              <w:bottom w:val="single" w:sz="4" w:space="0" w:color="auto"/>
            </w:tcBorders>
            <w:shd w:val="clear" w:color="auto" w:fill="auto"/>
            <w:noWrap/>
            <w:vAlign w:val="bottom"/>
            <w:hideMark/>
          </w:tcPr>
          <w:p w14:paraId="724D4E9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70900020489</w:t>
            </w:r>
          </w:p>
        </w:tc>
        <w:tc>
          <w:tcPr>
            <w:tcW w:w="1014" w:type="pct"/>
            <w:tcBorders>
              <w:bottom w:val="single" w:sz="4" w:space="0" w:color="auto"/>
            </w:tcBorders>
            <w:shd w:val="clear" w:color="auto" w:fill="auto"/>
            <w:noWrap/>
            <w:vAlign w:val="bottom"/>
            <w:hideMark/>
          </w:tcPr>
          <w:p w14:paraId="1ACC69D2"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31" w:type="pct"/>
            <w:tcBorders>
              <w:bottom w:val="single" w:sz="4" w:space="0" w:color="auto"/>
            </w:tcBorders>
            <w:shd w:val="clear" w:color="auto" w:fill="auto"/>
            <w:noWrap/>
            <w:vAlign w:val="bottom"/>
            <w:hideMark/>
          </w:tcPr>
          <w:p w14:paraId="2F04600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$3,44</w:t>
            </w:r>
          </w:p>
        </w:tc>
        <w:tc>
          <w:tcPr>
            <w:tcW w:w="367" w:type="pct"/>
            <w:tcBorders>
              <w:bottom w:val="single" w:sz="4" w:space="0" w:color="auto"/>
            </w:tcBorders>
            <w:shd w:val="clear" w:color="auto" w:fill="auto"/>
            <w:noWrap/>
            <w:vAlign w:val="bottom"/>
            <w:hideMark/>
          </w:tcPr>
          <w:p w14:paraId="55E5A67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7F3B61E5" w14:textId="77777777" w:rsidTr="001029CF">
        <w:trPr>
          <w:trHeight w:val="27"/>
          <w:jc w:val="center"/>
        </w:trPr>
        <w:tc>
          <w:tcPr>
            <w:tcW w:w="4103" w:type="pct"/>
            <w:gridSpan w:val="4"/>
            <w:shd w:val="clear" w:color="000000" w:fill="FFC000"/>
            <w:vAlign w:val="center"/>
            <w:hideMark/>
          </w:tcPr>
          <w:p w14:paraId="02B7D8CC"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TOTAL</w:t>
            </w:r>
          </w:p>
        </w:tc>
        <w:tc>
          <w:tcPr>
            <w:tcW w:w="531" w:type="pct"/>
            <w:shd w:val="clear" w:color="000000" w:fill="FFC000"/>
            <w:vAlign w:val="center"/>
            <w:hideMark/>
          </w:tcPr>
          <w:p w14:paraId="6204B9FD" w14:textId="77777777" w:rsidR="00A20990" w:rsidRPr="001A38D5" w:rsidRDefault="00A20990" w:rsidP="005140E1">
            <w:pPr>
              <w:contextualSpacing/>
              <w:jc w:val="right"/>
              <w:rPr>
                <w:rFonts w:eastAsia="Times New Roman" w:cs="Arial"/>
                <w:b/>
                <w:bCs/>
                <w:sz w:val="14"/>
                <w:szCs w:val="14"/>
                <w:lang w:val="es-CO" w:eastAsia="es-CO"/>
              </w:rPr>
            </w:pPr>
            <w:r w:rsidRPr="001A38D5">
              <w:rPr>
                <w:rFonts w:eastAsia="Times New Roman" w:cs="Arial"/>
                <w:b/>
                <w:bCs/>
                <w:sz w:val="14"/>
                <w:szCs w:val="14"/>
                <w:lang w:val="es-CO" w:eastAsia="es-CO"/>
              </w:rPr>
              <w:t>$12.031,04</w:t>
            </w:r>
          </w:p>
        </w:tc>
        <w:tc>
          <w:tcPr>
            <w:tcW w:w="367" w:type="pct"/>
            <w:shd w:val="clear" w:color="000000" w:fill="FFC000"/>
            <w:vAlign w:val="center"/>
            <w:hideMark/>
          </w:tcPr>
          <w:p w14:paraId="6A5FFB5F" w14:textId="77777777" w:rsidR="00A20990" w:rsidRPr="001A38D5" w:rsidRDefault="00A20990" w:rsidP="005140E1">
            <w:pPr>
              <w:contextualSpacing/>
              <w:jc w:val="right"/>
              <w:rPr>
                <w:rFonts w:eastAsia="Times New Roman" w:cs="Arial"/>
                <w:b/>
                <w:bCs/>
                <w:sz w:val="14"/>
                <w:szCs w:val="14"/>
                <w:lang w:val="es-CO" w:eastAsia="es-CO"/>
              </w:rPr>
            </w:pPr>
            <w:r w:rsidRPr="001A38D5">
              <w:rPr>
                <w:rFonts w:eastAsia="Times New Roman" w:cs="Arial"/>
                <w:b/>
                <w:bCs/>
                <w:sz w:val="14"/>
                <w:szCs w:val="14"/>
                <w:lang w:val="es-CO" w:eastAsia="es-CO"/>
              </w:rPr>
              <w:t>79</w:t>
            </w:r>
          </w:p>
        </w:tc>
      </w:tr>
    </w:tbl>
    <w:p w14:paraId="24278E19" w14:textId="77777777" w:rsidR="00A20990" w:rsidRPr="001A38D5" w:rsidRDefault="00A20990" w:rsidP="005140E1">
      <w:pPr>
        <w:contextualSpacing/>
        <w:jc w:val="center"/>
        <w:rPr>
          <w:rFonts w:cs="Arial"/>
          <w:sz w:val="18"/>
          <w:szCs w:val="20"/>
        </w:rPr>
      </w:pPr>
      <w:r w:rsidRPr="001A38D5">
        <w:rPr>
          <w:rFonts w:cs="Arial"/>
          <w:sz w:val="16"/>
          <w:szCs w:val="20"/>
        </w:rPr>
        <w:t>Fuente: Cuenta Maestra Sistema PISIS.</w:t>
      </w:r>
    </w:p>
    <w:p w14:paraId="1C830AF5" w14:textId="77777777" w:rsidR="00A20990" w:rsidRPr="001A38D5" w:rsidRDefault="00A20990" w:rsidP="005140E1">
      <w:pPr>
        <w:contextualSpacing/>
        <w:rPr>
          <w:rFonts w:cs="Arial"/>
          <w:lang w:val="es-CO"/>
        </w:rPr>
      </w:pPr>
    </w:p>
    <w:p w14:paraId="6A48237B" w14:textId="77777777" w:rsidR="00A20990" w:rsidRPr="001A38D5" w:rsidRDefault="00A20990" w:rsidP="005140E1">
      <w:pPr>
        <w:contextualSpacing/>
        <w:jc w:val="both"/>
        <w:rPr>
          <w:rFonts w:cs="Arial"/>
          <w:lang w:val="es-CO"/>
        </w:rPr>
      </w:pPr>
      <w:r w:rsidRPr="001A38D5">
        <w:rPr>
          <w:rFonts w:cs="Arial"/>
          <w:lang w:val="es-CO"/>
        </w:rPr>
        <w:t>Durante la vigencia 2020 se dispersaron pagos desde la Cuenta Maestra del PAE por $7.172,55 millones. Frente a los pagos a personas naturales, se registraron 45 movimiento por $133,79 millones. Sobre estos movimientos se puede evidenciar que existen dos razones sociales para un mismo beneficiario: “MAYORGA DIAZ YESSICA” y “YESSICA LORENA MAYORGA DIAZ”, lo que deriva en el incumplimiento del artículo 9 de la Resolución 4835 de 2015 del Ministerio de Hacienda y Crédito Público.</w:t>
      </w:r>
    </w:p>
    <w:p w14:paraId="6C8614A6" w14:textId="77777777" w:rsidR="00A20990" w:rsidRPr="001A38D5" w:rsidRDefault="00A20990" w:rsidP="005140E1">
      <w:pPr>
        <w:contextualSpacing/>
        <w:jc w:val="both"/>
        <w:rPr>
          <w:rFonts w:cs="Arial"/>
          <w:lang w:val="es-CO"/>
        </w:rPr>
      </w:pPr>
    </w:p>
    <w:p w14:paraId="6ED324E1" w14:textId="77777777" w:rsidR="00A20990" w:rsidRPr="001A38D5" w:rsidRDefault="00A20990" w:rsidP="005140E1">
      <w:pPr>
        <w:contextualSpacing/>
        <w:jc w:val="both"/>
        <w:rPr>
          <w:rFonts w:cs="Arial"/>
          <w:lang w:val="es-CO"/>
        </w:rPr>
      </w:pPr>
      <w:r w:rsidRPr="001A38D5">
        <w:rPr>
          <w:rFonts w:cs="Arial"/>
          <w:lang w:val="es-CO"/>
        </w:rPr>
        <w:t>Respecto a los movimientos debito a favor del Municipio, se realizaron 29 a la cuenta No. 364618579 del Banco de Bogotá denominada “</w:t>
      </w:r>
      <w:r w:rsidRPr="001A38D5">
        <w:rPr>
          <w:rFonts w:cs="Arial"/>
          <w:i/>
          <w:iCs/>
          <w:lang w:val="es-CO"/>
        </w:rPr>
        <w:t>Mpio Vcio – Descuentos de ley</w:t>
      </w:r>
      <w:r w:rsidRPr="001A38D5">
        <w:rPr>
          <w:rFonts w:cs="Arial"/>
          <w:lang w:val="es-CO"/>
        </w:rPr>
        <w:t xml:space="preserve">”, por un valor de $780,13 millones. Sobre estos movimientos resulta importante señalar que, a partir de la información de las órdenes de pago remitidas por la Entidad Territorial, de la ejecución de los contratos suscritos para la ejecución del PAE y la conformación del Equipo PAE en la vigencia 2020 se realizaron descuentos por $894,19 millones, distribuidos en $280,54 millones de Retención en la Fuente, $490,42 millones de Estampillas Procultura, Proturismo y Adulto Mayor ($163,47 </w:t>
      </w:r>
      <w:r w:rsidR="00496D37">
        <w:rPr>
          <w:rFonts w:cs="Arial"/>
          <w:lang w:val="es-CO"/>
        </w:rPr>
        <w:t xml:space="preserve">millones </w:t>
      </w:r>
      <w:r w:rsidRPr="001A38D5">
        <w:rPr>
          <w:rFonts w:cs="Arial"/>
          <w:lang w:val="es-CO"/>
        </w:rPr>
        <w:t>cada una), $80,15</w:t>
      </w:r>
      <w:r w:rsidR="00496D37">
        <w:rPr>
          <w:rFonts w:cs="Arial"/>
          <w:lang w:val="es-CO"/>
        </w:rPr>
        <w:t xml:space="preserve"> millones</w:t>
      </w:r>
      <w:r w:rsidRPr="001A38D5">
        <w:rPr>
          <w:rFonts w:cs="Arial"/>
          <w:lang w:val="es-CO"/>
        </w:rPr>
        <w:t xml:space="preserve"> de Estampilla Unillanos y $41,02 millones de Rete ICA. </w:t>
      </w:r>
    </w:p>
    <w:p w14:paraId="353AC041" w14:textId="77777777" w:rsidR="00A20990" w:rsidRPr="001A38D5" w:rsidRDefault="00A20990" w:rsidP="005140E1">
      <w:pPr>
        <w:contextualSpacing/>
        <w:jc w:val="both"/>
        <w:rPr>
          <w:rFonts w:cs="Arial"/>
          <w:lang w:val="es-CO"/>
        </w:rPr>
      </w:pPr>
    </w:p>
    <w:p w14:paraId="29EE4279" w14:textId="77777777" w:rsidR="00A20990" w:rsidRPr="001A38D5" w:rsidRDefault="00A20990" w:rsidP="005140E1">
      <w:pPr>
        <w:contextualSpacing/>
        <w:jc w:val="both"/>
        <w:rPr>
          <w:rFonts w:cs="Arial"/>
          <w:lang w:val="es-CO"/>
        </w:rPr>
      </w:pPr>
      <w:r w:rsidRPr="001A38D5">
        <w:rPr>
          <w:rFonts w:cs="Arial"/>
          <w:lang w:val="es-CO"/>
        </w:rPr>
        <w:t xml:space="preserve">Nuevamente, se evidencia incumplimiento de lo dispuesto en el parágrafo del artículo 11 de la Resolución </w:t>
      </w:r>
      <w:r w:rsidR="00B163DE">
        <w:rPr>
          <w:rFonts w:cs="Arial"/>
          <w:lang w:val="es-CO"/>
        </w:rPr>
        <w:t xml:space="preserve">No. </w:t>
      </w:r>
      <w:r w:rsidRPr="001A38D5">
        <w:rPr>
          <w:rFonts w:cs="Arial"/>
          <w:lang w:val="es-CO"/>
        </w:rPr>
        <w:t xml:space="preserve">2248 de 2018 </w:t>
      </w:r>
      <w:r w:rsidR="00B163DE" w:rsidRPr="00B163DE">
        <w:rPr>
          <w:rFonts w:cs="Arial"/>
          <w:lang w:val="es-CO"/>
        </w:rPr>
        <w:t>de los Ministerios de Hacienda y Crédito Público y de Educación Nacional</w:t>
      </w:r>
      <w:r w:rsidRPr="001A38D5">
        <w:rPr>
          <w:rFonts w:cs="Arial"/>
          <w:lang w:val="es-CO"/>
        </w:rPr>
        <w:t xml:space="preserve"> sobre la inscripción de </w:t>
      </w:r>
      <w:r w:rsidR="00243545">
        <w:rPr>
          <w:rFonts w:cs="Arial"/>
          <w:lang w:val="es-CO"/>
        </w:rPr>
        <w:t>c</w:t>
      </w:r>
      <w:r w:rsidRPr="001A38D5">
        <w:rPr>
          <w:rFonts w:cs="Arial"/>
          <w:lang w:val="es-CO"/>
        </w:rPr>
        <w:t>uentas por cada uno de los tributos y de lo dispuesto en la Resolución 0660 de 2018</w:t>
      </w:r>
      <w:r w:rsidR="00EE21B9">
        <w:rPr>
          <w:rFonts w:cs="Arial"/>
          <w:lang w:val="es-CO"/>
        </w:rPr>
        <w:t xml:space="preserve"> </w:t>
      </w:r>
      <w:r w:rsidR="00EE21B9" w:rsidRPr="00EE21B9">
        <w:rPr>
          <w:rFonts w:cs="Arial"/>
          <w:lang w:val="es-CO"/>
        </w:rPr>
        <w:t xml:space="preserve">de los Ministerios de Hacienda y Crédito Público, Educación Nacional y de </w:t>
      </w:r>
      <w:r w:rsidR="00EE21B9">
        <w:rPr>
          <w:rFonts w:cs="Arial"/>
          <w:lang w:val="es-CO"/>
        </w:rPr>
        <w:t xml:space="preserve">Vivienda, Ciudad y Territorio </w:t>
      </w:r>
      <w:r w:rsidRPr="001A38D5">
        <w:rPr>
          <w:rFonts w:cs="Arial"/>
          <w:lang w:val="es-CO"/>
        </w:rPr>
        <w:t xml:space="preserve">sobre el pago </w:t>
      </w:r>
      <w:r w:rsidRPr="001A38D5">
        <w:rPr>
          <w:rFonts w:cs="Arial"/>
          <w:lang w:val="es-CO"/>
        </w:rPr>
        <w:lastRenderedPageBreak/>
        <w:t xml:space="preserve">de impuestos nacionales – DIAN. </w:t>
      </w:r>
    </w:p>
    <w:p w14:paraId="3478F306" w14:textId="77777777" w:rsidR="00A20990" w:rsidRPr="001A38D5" w:rsidRDefault="00A20990" w:rsidP="005140E1">
      <w:pPr>
        <w:contextualSpacing/>
        <w:jc w:val="both"/>
        <w:rPr>
          <w:rFonts w:cs="Arial"/>
          <w:lang w:val="es-CO"/>
        </w:rPr>
      </w:pPr>
    </w:p>
    <w:p w14:paraId="1F100992" w14:textId="77777777" w:rsidR="00A20990" w:rsidRPr="001A38D5" w:rsidRDefault="00A20990" w:rsidP="005140E1">
      <w:pPr>
        <w:contextualSpacing/>
        <w:jc w:val="both"/>
        <w:rPr>
          <w:rFonts w:cs="Arial"/>
          <w:lang w:val="es-CO"/>
        </w:rPr>
      </w:pPr>
      <w:r w:rsidRPr="001A38D5">
        <w:rPr>
          <w:rFonts w:cs="Arial"/>
          <w:lang w:val="es-CO"/>
        </w:rPr>
        <w:t xml:space="preserve">Para los contratos suscritos para operación del PAE en las sedes priorizadas del Municipio, se observa que del Contrato de </w:t>
      </w:r>
      <w:r w:rsidR="00243545">
        <w:rPr>
          <w:rFonts w:cs="Arial"/>
          <w:lang w:val="es-CO"/>
        </w:rPr>
        <w:t>P</w:t>
      </w:r>
      <w:r w:rsidRPr="001A38D5">
        <w:rPr>
          <w:rFonts w:cs="Arial"/>
          <w:lang w:val="es-CO"/>
        </w:rPr>
        <w:t xml:space="preserve">restación de </w:t>
      </w:r>
      <w:r w:rsidR="00243545">
        <w:rPr>
          <w:rFonts w:cs="Arial"/>
          <w:lang w:val="es-CO"/>
        </w:rPr>
        <w:t>S</w:t>
      </w:r>
      <w:r w:rsidRPr="001A38D5">
        <w:rPr>
          <w:rFonts w:cs="Arial"/>
          <w:lang w:val="es-CO"/>
        </w:rPr>
        <w:t xml:space="preserve">ervicios No. 049 del 7 de febrero de 2020, suscrito con la Unión Temporal PAE para Villavicencio 2020 - NIT 901.364.060-2, se realizaron 6 operaciones débito por $6.215,28 millones, de las </w:t>
      </w:r>
      <w:r w:rsidR="00243545">
        <w:rPr>
          <w:rFonts w:cs="Arial"/>
          <w:lang w:val="es-CO"/>
        </w:rPr>
        <w:t>Ó</w:t>
      </w:r>
      <w:r w:rsidRPr="001A38D5">
        <w:rPr>
          <w:rFonts w:cs="Arial"/>
          <w:lang w:val="es-CO"/>
        </w:rPr>
        <w:t xml:space="preserve">rdenes de </w:t>
      </w:r>
      <w:r w:rsidR="00243545">
        <w:rPr>
          <w:rFonts w:cs="Arial"/>
          <w:lang w:val="es-CO"/>
        </w:rPr>
        <w:t>P</w:t>
      </w:r>
      <w:r w:rsidRPr="001A38D5">
        <w:rPr>
          <w:rFonts w:cs="Arial"/>
          <w:lang w:val="es-CO"/>
        </w:rPr>
        <w:t>ago 3859, 4288 5500, 5501, 6210 y 10355 de 2020.</w:t>
      </w:r>
    </w:p>
    <w:p w14:paraId="454BD817" w14:textId="77777777" w:rsidR="00A20990" w:rsidRPr="001A38D5" w:rsidRDefault="00A20990" w:rsidP="005140E1">
      <w:pPr>
        <w:contextualSpacing/>
        <w:jc w:val="both"/>
        <w:rPr>
          <w:rFonts w:cs="Arial"/>
          <w:lang w:val="es-CO"/>
        </w:rPr>
      </w:pPr>
    </w:p>
    <w:p w14:paraId="09ADD116" w14:textId="77777777" w:rsidR="00A20990" w:rsidRPr="001A38D5" w:rsidRDefault="00A20990" w:rsidP="005140E1">
      <w:pPr>
        <w:contextualSpacing/>
        <w:jc w:val="both"/>
        <w:rPr>
          <w:rFonts w:cs="Arial"/>
          <w:lang w:val="es-CO"/>
        </w:rPr>
      </w:pPr>
      <w:r w:rsidRPr="001A38D5">
        <w:rPr>
          <w:rFonts w:cs="Arial"/>
          <w:lang w:val="es-CO"/>
        </w:rPr>
        <w:t xml:space="preserve">Al cierre de la vigencia 2020 no se realizaron pagos en el marco de la ejecución del Contrato de </w:t>
      </w:r>
      <w:r w:rsidR="00243545">
        <w:rPr>
          <w:rFonts w:cs="Arial"/>
          <w:lang w:val="es-CO"/>
        </w:rPr>
        <w:t>P</w:t>
      </w:r>
      <w:r w:rsidRPr="001A38D5">
        <w:rPr>
          <w:rFonts w:cs="Arial"/>
          <w:lang w:val="es-CO"/>
        </w:rPr>
        <w:t xml:space="preserve">restación de </w:t>
      </w:r>
      <w:r w:rsidR="00243545">
        <w:rPr>
          <w:rFonts w:cs="Arial"/>
          <w:lang w:val="es-CO"/>
        </w:rPr>
        <w:t>S</w:t>
      </w:r>
      <w:r w:rsidRPr="001A38D5">
        <w:rPr>
          <w:rFonts w:cs="Arial"/>
          <w:lang w:val="es-CO"/>
        </w:rPr>
        <w:t xml:space="preserve">ervicios No. 1961 del 13 de diciembre de 2020, suscrito con la Unión Temporal Compromiso por Villavicencio – NIT. 901.438.327-2. No obstante, durante la vigencia 2021 para la Cuenta No 24103425117 a nombre de la empresa UT </w:t>
      </w:r>
      <w:r w:rsidR="00243545" w:rsidRPr="001A38D5">
        <w:rPr>
          <w:rFonts w:cs="Arial"/>
          <w:lang w:val="es-CO"/>
        </w:rPr>
        <w:t xml:space="preserve">Compromiso </w:t>
      </w:r>
      <w:r w:rsidRPr="001A38D5">
        <w:rPr>
          <w:rFonts w:cs="Arial"/>
          <w:lang w:val="es-CO"/>
        </w:rPr>
        <w:t xml:space="preserve">X </w:t>
      </w:r>
      <w:r w:rsidR="00243545" w:rsidRPr="001A38D5">
        <w:rPr>
          <w:rFonts w:cs="Arial"/>
          <w:lang w:val="es-CO"/>
        </w:rPr>
        <w:t xml:space="preserve">Vicio </w:t>
      </w:r>
      <w:r w:rsidRPr="001A38D5">
        <w:rPr>
          <w:rFonts w:cs="Arial"/>
          <w:lang w:val="es-CO"/>
        </w:rPr>
        <w:t xml:space="preserve">se registraron 7 operaciones débito por valor total de $1.340,78 millones. Se reitera la inobservancia de lo establecido en el Anexo Técnico de la Resolución No. 4835 de 2015 del Ministerio de Hacienda y Crédito Público, en lo referente al diligenciamiento del </w:t>
      </w:r>
      <w:r w:rsidR="00243545">
        <w:rPr>
          <w:rFonts w:cs="Arial"/>
          <w:lang w:val="es-CO"/>
        </w:rPr>
        <w:t>C</w:t>
      </w:r>
      <w:r w:rsidRPr="001A38D5">
        <w:rPr>
          <w:rFonts w:cs="Arial"/>
          <w:lang w:val="es-CO"/>
        </w:rPr>
        <w:t>ampo No. 10 “</w:t>
      </w:r>
      <w:r w:rsidRPr="007A412F">
        <w:rPr>
          <w:rFonts w:cs="Arial"/>
          <w:i/>
          <w:iCs/>
          <w:lang w:val="es-CO"/>
        </w:rPr>
        <w:t>Nombre o Razón Social del Beneficiario</w:t>
      </w:r>
      <w:r w:rsidRPr="001A38D5">
        <w:rPr>
          <w:rFonts w:cs="Arial"/>
          <w:lang w:val="es-CO"/>
        </w:rPr>
        <w:t xml:space="preserve">” del “Registro Tipo 3”, sobre la </w:t>
      </w:r>
      <w:r w:rsidR="00243545">
        <w:rPr>
          <w:rFonts w:cs="Arial"/>
          <w:lang w:val="es-CO"/>
        </w:rPr>
        <w:t>r</w:t>
      </w:r>
      <w:r w:rsidRPr="001A38D5">
        <w:rPr>
          <w:rFonts w:cs="Arial"/>
          <w:lang w:val="es-CO"/>
        </w:rPr>
        <w:t xml:space="preserve">azón </w:t>
      </w:r>
      <w:r w:rsidR="00243545">
        <w:rPr>
          <w:rFonts w:cs="Arial"/>
          <w:lang w:val="es-CO"/>
        </w:rPr>
        <w:t>s</w:t>
      </w:r>
      <w:r w:rsidRPr="001A38D5">
        <w:rPr>
          <w:rFonts w:cs="Arial"/>
          <w:lang w:val="es-CO"/>
        </w:rPr>
        <w:t>ocial tal y como aparece en el Registro Único Tributario.</w:t>
      </w:r>
    </w:p>
    <w:p w14:paraId="6C3AED97" w14:textId="77777777" w:rsidR="00A20990" w:rsidRPr="001A38D5" w:rsidRDefault="00A20990" w:rsidP="005140E1">
      <w:pPr>
        <w:contextualSpacing/>
        <w:jc w:val="both"/>
        <w:rPr>
          <w:rFonts w:cs="Arial"/>
          <w:lang w:val="es-CO"/>
        </w:rPr>
      </w:pPr>
    </w:p>
    <w:p w14:paraId="2BB9A754" w14:textId="77777777" w:rsidR="00A20990" w:rsidRPr="001A38D5" w:rsidRDefault="00A20990" w:rsidP="005140E1">
      <w:pPr>
        <w:contextualSpacing/>
        <w:jc w:val="both"/>
        <w:rPr>
          <w:rFonts w:cs="Arial"/>
          <w:lang w:val="es-CO"/>
        </w:rPr>
      </w:pPr>
      <w:r w:rsidRPr="001A38D5">
        <w:rPr>
          <w:rFonts w:cs="Arial"/>
          <w:lang w:val="es-CO"/>
        </w:rPr>
        <w:t xml:space="preserve">En el caso del Contrato No. 594 del 14 de mayo de 2020 suscrito con el </w:t>
      </w:r>
      <w:r w:rsidR="00EF2696">
        <w:rPr>
          <w:rFonts w:cs="Arial"/>
          <w:lang w:val="es-CO"/>
        </w:rPr>
        <w:t xml:space="preserve">Resguardo Indígena Maguare </w:t>
      </w:r>
      <w:r w:rsidRPr="001A38D5">
        <w:rPr>
          <w:rFonts w:cs="Arial"/>
          <w:lang w:val="es-CO"/>
        </w:rPr>
        <w:t xml:space="preserve">- NIT. 901.053.503-9, durante la vigencia 2020 se realizó un pago correspondiente al anticipo, por $12,95 millones. El restante ($21,2 millones) se canceló en la vigencia 2021, en la que se registraron 8 movimiento débito, correspondientes a los pagos del 1 al 8 de la ejecución entre el 28 de mayo al 18 de diciembre de 2020 del Contrato No. 594 de 2020. </w:t>
      </w:r>
    </w:p>
    <w:p w14:paraId="0C550388" w14:textId="77777777" w:rsidR="00A20990" w:rsidRPr="001A38D5" w:rsidRDefault="00A20990" w:rsidP="005140E1">
      <w:pPr>
        <w:contextualSpacing/>
        <w:jc w:val="both"/>
        <w:rPr>
          <w:rFonts w:cs="Arial"/>
          <w:lang w:val="es-CO"/>
        </w:rPr>
      </w:pPr>
    </w:p>
    <w:p w14:paraId="34752CDB"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7</w:t>
      </w:r>
      <w:r w:rsidRPr="007A412F">
        <w:rPr>
          <w:rFonts w:ascii="Verdana" w:hAnsi="Verdana"/>
          <w:color w:val="auto"/>
          <w:sz w:val="20"/>
          <w:szCs w:val="20"/>
        </w:rPr>
        <w:fldChar w:fldCharType="end"/>
      </w:r>
      <w:r w:rsidRPr="007A412F">
        <w:rPr>
          <w:rFonts w:ascii="Verdana" w:hAnsi="Verdana"/>
          <w:color w:val="auto"/>
          <w:sz w:val="20"/>
          <w:szCs w:val="20"/>
        </w:rPr>
        <w:t xml:space="preserve"> Egresos Cuenta Maestra Programa de Alimentación Escolar del Municipio de Villavicencio 2020 (valores en millones de pesos colombianos).</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3"/>
        <w:gridCol w:w="1329"/>
        <w:gridCol w:w="1166"/>
        <w:gridCol w:w="1626"/>
        <w:gridCol w:w="973"/>
        <w:gridCol w:w="743"/>
      </w:tblGrid>
      <w:tr w:rsidR="001A38D5" w:rsidRPr="001A38D5" w14:paraId="42E34CF2" w14:textId="77777777" w:rsidTr="001029CF">
        <w:trPr>
          <w:trHeight w:val="20"/>
          <w:tblHeader/>
        </w:trPr>
        <w:tc>
          <w:tcPr>
            <w:tcW w:w="1887" w:type="pct"/>
            <w:shd w:val="clear" w:color="000000" w:fill="FFC000"/>
            <w:vAlign w:val="center"/>
            <w:hideMark/>
          </w:tcPr>
          <w:p w14:paraId="0E46AD18"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Nombre o Razón Social</w:t>
            </w:r>
          </w:p>
        </w:tc>
        <w:tc>
          <w:tcPr>
            <w:tcW w:w="707" w:type="pct"/>
            <w:shd w:val="clear" w:color="000000" w:fill="FFC000"/>
            <w:vAlign w:val="center"/>
            <w:hideMark/>
          </w:tcPr>
          <w:p w14:paraId="486B3BE6"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NIT</w:t>
            </w:r>
          </w:p>
        </w:tc>
        <w:tc>
          <w:tcPr>
            <w:tcW w:w="622" w:type="pct"/>
            <w:shd w:val="clear" w:color="000000" w:fill="FFC000"/>
            <w:vAlign w:val="center"/>
            <w:hideMark/>
          </w:tcPr>
          <w:p w14:paraId="54E5B9A6"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 de Cuenta</w:t>
            </w:r>
          </w:p>
        </w:tc>
        <w:tc>
          <w:tcPr>
            <w:tcW w:w="859" w:type="pct"/>
            <w:shd w:val="clear" w:color="000000" w:fill="FFC000"/>
            <w:vAlign w:val="center"/>
            <w:hideMark/>
          </w:tcPr>
          <w:p w14:paraId="0C100002"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Establecimiento Bancario</w:t>
            </w:r>
          </w:p>
        </w:tc>
        <w:tc>
          <w:tcPr>
            <w:tcW w:w="521" w:type="pct"/>
            <w:shd w:val="clear" w:color="000000" w:fill="FFC000"/>
            <w:vAlign w:val="center"/>
            <w:hideMark/>
          </w:tcPr>
          <w:p w14:paraId="5CDCF303"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Abonado</w:t>
            </w:r>
          </w:p>
        </w:tc>
        <w:tc>
          <w:tcPr>
            <w:tcW w:w="401" w:type="pct"/>
            <w:shd w:val="clear" w:color="000000" w:fill="FFC000"/>
            <w:vAlign w:val="center"/>
            <w:hideMark/>
          </w:tcPr>
          <w:p w14:paraId="2363B353"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 de Abonos</w:t>
            </w:r>
          </w:p>
        </w:tc>
      </w:tr>
      <w:tr w:rsidR="001A38D5" w:rsidRPr="001A38D5" w14:paraId="5445BA78" w14:textId="77777777" w:rsidTr="001029CF">
        <w:trPr>
          <w:trHeight w:val="20"/>
        </w:trPr>
        <w:tc>
          <w:tcPr>
            <w:tcW w:w="1887" w:type="pct"/>
            <w:shd w:val="clear" w:color="auto" w:fill="auto"/>
            <w:noWrap/>
            <w:vAlign w:val="bottom"/>
            <w:hideMark/>
          </w:tcPr>
          <w:p w14:paraId="250BB8E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UNION TEMPORAL PAE PARA VILLAVICENCIO 2020</w:t>
            </w:r>
          </w:p>
        </w:tc>
        <w:tc>
          <w:tcPr>
            <w:tcW w:w="707" w:type="pct"/>
            <w:shd w:val="clear" w:color="auto" w:fill="auto"/>
            <w:noWrap/>
            <w:vAlign w:val="bottom"/>
            <w:hideMark/>
          </w:tcPr>
          <w:p w14:paraId="4DC2543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901.364.060-2</w:t>
            </w:r>
          </w:p>
        </w:tc>
        <w:tc>
          <w:tcPr>
            <w:tcW w:w="622" w:type="pct"/>
            <w:shd w:val="clear" w:color="auto" w:fill="auto"/>
            <w:noWrap/>
            <w:vAlign w:val="bottom"/>
            <w:hideMark/>
          </w:tcPr>
          <w:p w14:paraId="3325559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509010633</w:t>
            </w:r>
          </w:p>
        </w:tc>
        <w:tc>
          <w:tcPr>
            <w:tcW w:w="859" w:type="pct"/>
            <w:shd w:val="clear" w:color="auto" w:fill="auto"/>
            <w:noWrap/>
            <w:vAlign w:val="bottom"/>
            <w:hideMark/>
          </w:tcPr>
          <w:p w14:paraId="3A52322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BBVA COLOMBIA</w:t>
            </w:r>
          </w:p>
        </w:tc>
        <w:tc>
          <w:tcPr>
            <w:tcW w:w="521" w:type="pct"/>
            <w:shd w:val="clear" w:color="auto" w:fill="auto"/>
            <w:noWrap/>
            <w:vAlign w:val="bottom"/>
            <w:hideMark/>
          </w:tcPr>
          <w:p w14:paraId="7E5A5B3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$6.215,28</w:t>
            </w:r>
          </w:p>
        </w:tc>
        <w:tc>
          <w:tcPr>
            <w:tcW w:w="401" w:type="pct"/>
            <w:shd w:val="clear" w:color="auto" w:fill="auto"/>
            <w:noWrap/>
            <w:vAlign w:val="bottom"/>
            <w:hideMark/>
          </w:tcPr>
          <w:p w14:paraId="6B69C8B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w:t>
            </w:r>
          </w:p>
        </w:tc>
      </w:tr>
      <w:tr w:rsidR="001A38D5" w:rsidRPr="001A38D5" w14:paraId="3B39A9B4" w14:textId="77777777" w:rsidTr="001029CF">
        <w:trPr>
          <w:trHeight w:val="20"/>
        </w:trPr>
        <w:tc>
          <w:tcPr>
            <w:tcW w:w="1887" w:type="pct"/>
            <w:shd w:val="clear" w:color="auto" w:fill="auto"/>
            <w:noWrap/>
            <w:vAlign w:val="bottom"/>
            <w:hideMark/>
          </w:tcPr>
          <w:p w14:paraId="120F6B0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RESGUARDO INDIGENA MAGUARE</w:t>
            </w:r>
          </w:p>
        </w:tc>
        <w:tc>
          <w:tcPr>
            <w:tcW w:w="707" w:type="pct"/>
            <w:shd w:val="clear" w:color="auto" w:fill="auto"/>
            <w:noWrap/>
            <w:vAlign w:val="bottom"/>
            <w:hideMark/>
          </w:tcPr>
          <w:p w14:paraId="7489D8C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901.053.503-9</w:t>
            </w:r>
          </w:p>
        </w:tc>
        <w:tc>
          <w:tcPr>
            <w:tcW w:w="622" w:type="pct"/>
            <w:shd w:val="clear" w:color="auto" w:fill="auto"/>
            <w:noWrap/>
            <w:vAlign w:val="bottom"/>
            <w:hideMark/>
          </w:tcPr>
          <w:p w14:paraId="674E90C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84100000507</w:t>
            </w:r>
          </w:p>
        </w:tc>
        <w:tc>
          <w:tcPr>
            <w:tcW w:w="859" w:type="pct"/>
            <w:shd w:val="clear" w:color="auto" w:fill="auto"/>
            <w:noWrap/>
            <w:vAlign w:val="bottom"/>
            <w:hideMark/>
          </w:tcPr>
          <w:p w14:paraId="4C15029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21" w:type="pct"/>
            <w:shd w:val="clear" w:color="auto" w:fill="auto"/>
            <w:noWrap/>
            <w:vAlign w:val="bottom"/>
            <w:hideMark/>
          </w:tcPr>
          <w:p w14:paraId="5D10AAE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$12,95</w:t>
            </w:r>
          </w:p>
        </w:tc>
        <w:tc>
          <w:tcPr>
            <w:tcW w:w="401" w:type="pct"/>
            <w:shd w:val="clear" w:color="auto" w:fill="auto"/>
            <w:noWrap/>
            <w:vAlign w:val="bottom"/>
            <w:hideMark/>
          </w:tcPr>
          <w:p w14:paraId="6379302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2A02E150" w14:textId="77777777" w:rsidTr="001029CF">
        <w:trPr>
          <w:trHeight w:val="20"/>
        </w:trPr>
        <w:tc>
          <w:tcPr>
            <w:tcW w:w="1887" w:type="pct"/>
            <w:shd w:val="clear" w:color="auto" w:fill="auto"/>
            <w:noWrap/>
            <w:vAlign w:val="bottom"/>
            <w:hideMark/>
          </w:tcPr>
          <w:p w14:paraId="2E302E3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707" w:type="pct"/>
            <w:shd w:val="clear" w:color="auto" w:fill="auto"/>
            <w:noWrap/>
            <w:vAlign w:val="bottom"/>
            <w:hideMark/>
          </w:tcPr>
          <w:p w14:paraId="0968D27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892.099.324-3</w:t>
            </w:r>
          </w:p>
        </w:tc>
        <w:tc>
          <w:tcPr>
            <w:tcW w:w="622" w:type="pct"/>
            <w:shd w:val="clear" w:color="auto" w:fill="auto"/>
            <w:noWrap/>
            <w:vAlign w:val="bottom"/>
            <w:hideMark/>
          </w:tcPr>
          <w:p w14:paraId="155DD4D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364618579</w:t>
            </w:r>
          </w:p>
        </w:tc>
        <w:tc>
          <w:tcPr>
            <w:tcW w:w="859" w:type="pct"/>
            <w:shd w:val="clear" w:color="auto" w:fill="auto"/>
            <w:noWrap/>
            <w:vAlign w:val="bottom"/>
            <w:hideMark/>
          </w:tcPr>
          <w:p w14:paraId="4BBB719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21" w:type="pct"/>
            <w:shd w:val="clear" w:color="auto" w:fill="auto"/>
            <w:noWrap/>
            <w:vAlign w:val="bottom"/>
            <w:hideMark/>
          </w:tcPr>
          <w:p w14:paraId="7101386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$779,10</w:t>
            </w:r>
          </w:p>
        </w:tc>
        <w:tc>
          <w:tcPr>
            <w:tcW w:w="401" w:type="pct"/>
            <w:shd w:val="clear" w:color="auto" w:fill="auto"/>
            <w:noWrap/>
            <w:vAlign w:val="bottom"/>
            <w:hideMark/>
          </w:tcPr>
          <w:p w14:paraId="56DE522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25</w:t>
            </w:r>
          </w:p>
        </w:tc>
      </w:tr>
      <w:tr w:rsidR="001A38D5" w:rsidRPr="001A38D5" w14:paraId="4E32379B" w14:textId="77777777" w:rsidTr="001029CF">
        <w:trPr>
          <w:trHeight w:val="20"/>
        </w:trPr>
        <w:tc>
          <w:tcPr>
            <w:tcW w:w="1887" w:type="pct"/>
            <w:shd w:val="clear" w:color="auto" w:fill="auto"/>
            <w:noWrap/>
            <w:vAlign w:val="bottom"/>
            <w:hideMark/>
          </w:tcPr>
          <w:p w14:paraId="4B8A7B8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707" w:type="pct"/>
            <w:shd w:val="clear" w:color="auto" w:fill="auto"/>
            <w:noWrap/>
            <w:vAlign w:val="bottom"/>
            <w:hideMark/>
          </w:tcPr>
          <w:p w14:paraId="1AB2A0A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892.099.324-3</w:t>
            </w:r>
          </w:p>
        </w:tc>
        <w:tc>
          <w:tcPr>
            <w:tcW w:w="622" w:type="pct"/>
            <w:shd w:val="clear" w:color="auto" w:fill="auto"/>
            <w:noWrap/>
            <w:vAlign w:val="bottom"/>
            <w:hideMark/>
          </w:tcPr>
          <w:p w14:paraId="51C8C9C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364618579</w:t>
            </w:r>
          </w:p>
        </w:tc>
        <w:tc>
          <w:tcPr>
            <w:tcW w:w="859" w:type="pct"/>
            <w:shd w:val="clear" w:color="auto" w:fill="auto"/>
            <w:noWrap/>
            <w:vAlign w:val="bottom"/>
            <w:hideMark/>
          </w:tcPr>
          <w:p w14:paraId="1EF1C53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BOGOTA</w:t>
            </w:r>
          </w:p>
        </w:tc>
        <w:tc>
          <w:tcPr>
            <w:tcW w:w="521" w:type="pct"/>
            <w:shd w:val="clear" w:color="auto" w:fill="auto"/>
            <w:noWrap/>
            <w:vAlign w:val="bottom"/>
            <w:hideMark/>
          </w:tcPr>
          <w:p w14:paraId="3C27945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$1,02</w:t>
            </w:r>
          </w:p>
        </w:tc>
        <w:tc>
          <w:tcPr>
            <w:tcW w:w="401" w:type="pct"/>
            <w:shd w:val="clear" w:color="auto" w:fill="auto"/>
            <w:noWrap/>
            <w:vAlign w:val="bottom"/>
            <w:hideMark/>
          </w:tcPr>
          <w:p w14:paraId="5573954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w:t>
            </w:r>
          </w:p>
        </w:tc>
      </w:tr>
      <w:tr w:rsidR="001A38D5" w:rsidRPr="001A38D5" w14:paraId="0A1B142B" w14:textId="77777777" w:rsidTr="001029CF">
        <w:trPr>
          <w:trHeight w:val="20"/>
        </w:trPr>
        <w:tc>
          <w:tcPr>
            <w:tcW w:w="1887" w:type="pct"/>
            <w:shd w:val="clear" w:color="auto" w:fill="auto"/>
            <w:noWrap/>
            <w:vAlign w:val="bottom"/>
            <w:hideMark/>
          </w:tcPr>
          <w:p w14:paraId="778C105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HECTOR JULIAN CASTRO REYES</w:t>
            </w:r>
          </w:p>
        </w:tc>
        <w:tc>
          <w:tcPr>
            <w:tcW w:w="707" w:type="pct"/>
            <w:shd w:val="clear" w:color="auto" w:fill="auto"/>
            <w:noWrap/>
            <w:vAlign w:val="bottom"/>
            <w:hideMark/>
          </w:tcPr>
          <w:p w14:paraId="535BF46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80.765.239</w:t>
            </w:r>
          </w:p>
        </w:tc>
        <w:tc>
          <w:tcPr>
            <w:tcW w:w="622" w:type="pct"/>
            <w:shd w:val="clear" w:color="auto" w:fill="auto"/>
            <w:noWrap/>
            <w:vAlign w:val="bottom"/>
            <w:hideMark/>
          </w:tcPr>
          <w:p w14:paraId="09BC1E1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646471581</w:t>
            </w:r>
          </w:p>
        </w:tc>
        <w:tc>
          <w:tcPr>
            <w:tcW w:w="859" w:type="pct"/>
            <w:shd w:val="clear" w:color="auto" w:fill="auto"/>
            <w:noWrap/>
            <w:vAlign w:val="bottom"/>
            <w:hideMark/>
          </w:tcPr>
          <w:p w14:paraId="10DBFA5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BOGOTA</w:t>
            </w:r>
          </w:p>
        </w:tc>
        <w:tc>
          <w:tcPr>
            <w:tcW w:w="521" w:type="pct"/>
            <w:shd w:val="clear" w:color="auto" w:fill="auto"/>
            <w:noWrap/>
            <w:vAlign w:val="bottom"/>
            <w:hideMark/>
          </w:tcPr>
          <w:p w14:paraId="621F406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$10,82</w:t>
            </w:r>
          </w:p>
        </w:tc>
        <w:tc>
          <w:tcPr>
            <w:tcW w:w="401" w:type="pct"/>
            <w:shd w:val="clear" w:color="auto" w:fill="auto"/>
            <w:noWrap/>
            <w:vAlign w:val="bottom"/>
            <w:hideMark/>
          </w:tcPr>
          <w:p w14:paraId="63F6B21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w:t>
            </w:r>
          </w:p>
        </w:tc>
      </w:tr>
      <w:tr w:rsidR="001A38D5" w:rsidRPr="001A38D5" w14:paraId="639DFEBF" w14:textId="77777777" w:rsidTr="001029CF">
        <w:trPr>
          <w:trHeight w:val="20"/>
        </w:trPr>
        <w:tc>
          <w:tcPr>
            <w:tcW w:w="1887" w:type="pct"/>
            <w:shd w:val="clear" w:color="auto" w:fill="auto"/>
            <w:noWrap/>
            <w:vAlign w:val="bottom"/>
            <w:hideMark/>
          </w:tcPr>
          <w:p w14:paraId="4BE17A1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HECTOR JULIAN CASTRO REYES</w:t>
            </w:r>
          </w:p>
        </w:tc>
        <w:tc>
          <w:tcPr>
            <w:tcW w:w="707" w:type="pct"/>
            <w:shd w:val="clear" w:color="auto" w:fill="auto"/>
            <w:noWrap/>
            <w:vAlign w:val="bottom"/>
            <w:hideMark/>
          </w:tcPr>
          <w:p w14:paraId="2416386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80.765.239</w:t>
            </w:r>
          </w:p>
        </w:tc>
        <w:tc>
          <w:tcPr>
            <w:tcW w:w="622" w:type="pct"/>
            <w:shd w:val="clear" w:color="auto" w:fill="auto"/>
            <w:noWrap/>
            <w:vAlign w:val="bottom"/>
            <w:hideMark/>
          </w:tcPr>
          <w:p w14:paraId="037E6BB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646471581</w:t>
            </w:r>
          </w:p>
        </w:tc>
        <w:tc>
          <w:tcPr>
            <w:tcW w:w="859" w:type="pct"/>
            <w:shd w:val="clear" w:color="auto" w:fill="auto"/>
            <w:noWrap/>
            <w:vAlign w:val="bottom"/>
            <w:hideMark/>
          </w:tcPr>
          <w:p w14:paraId="23F5EF1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21" w:type="pct"/>
            <w:shd w:val="clear" w:color="auto" w:fill="auto"/>
            <w:noWrap/>
            <w:vAlign w:val="bottom"/>
            <w:hideMark/>
          </w:tcPr>
          <w:p w14:paraId="2CE323D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$10,82</w:t>
            </w:r>
          </w:p>
        </w:tc>
        <w:tc>
          <w:tcPr>
            <w:tcW w:w="401" w:type="pct"/>
            <w:shd w:val="clear" w:color="auto" w:fill="auto"/>
            <w:noWrap/>
            <w:vAlign w:val="bottom"/>
            <w:hideMark/>
          </w:tcPr>
          <w:p w14:paraId="20E3F0E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w:t>
            </w:r>
          </w:p>
        </w:tc>
      </w:tr>
      <w:tr w:rsidR="001A38D5" w:rsidRPr="001A38D5" w14:paraId="4831C64B" w14:textId="77777777" w:rsidTr="001029CF">
        <w:trPr>
          <w:trHeight w:val="20"/>
        </w:trPr>
        <w:tc>
          <w:tcPr>
            <w:tcW w:w="1887" w:type="pct"/>
            <w:shd w:val="clear" w:color="auto" w:fill="auto"/>
            <w:noWrap/>
            <w:vAlign w:val="bottom"/>
            <w:hideMark/>
          </w:tcPr>
          <w:p w14:paraId="3F42D900"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FABIAN GONZALO GALINDO MATEUS</w:t>
            </w:r>
          </w:p>
        </w:tc>
        <w:tc>
          <w:tcPr>
            <w:tcW w:w="707" w:type="pct"/>
            <w:shd w:val="clear" w:color="auto" w:fill="auto"/>
            <w:noWrap/>
            <w:vAlign w:val="bottom"/>
            <w:hideMark/>
          </w:tcPr>
          <w:p w14:paraId="028BB94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1.121.828.845</w:t>
            </w:r>
          </w:p>
        </w:tc>
        <w:tc>
          <w:tcPr>
            <w:tcW w:w="622" w:type="pct"/>
            <w:shd w:val="clear" w:color="auto" w:fill="auto"/>
            <w:noWrap/>
            <w:vAlign w:val="bottom"/>
            <w:hideMark/>
          </w:tcPr>
          <w:p w14:paraId="454ECDC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357254317</w:t>
            </w:r>
          </w:p>
        </w:tc>
        <w:tc>
          <w:tcPr>
            <w:tcW w:w="859" w:type="pct"/>
            <w:shd w:val="clear" w:color="auto" w:fill="auto"/>
            <w:noWrap/>
            <w:vAlign w:val="bottom"/>
            <w:hideMark/>
          </w:tcPr>
          <w:p w14:paraId="7B3A0D7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21" w:type="pct"/>
            <w:shd w:val="clear" w:color="auto" w:fill="auto"/>
            <w:noWrap/>
            <w:vAlign w:val="bottom"/>
            <w:hideMark/>
          </w:tcPr>
          <w:p w14:paraId="7D2440F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$28,84</w:t>
            </w:r>
          </w:p>
        </w:tc>
        <w:tc>
          <w:tcPr>
            <w:tcW w:w="401" w:type="pct"/>
            <w:shd w:val="clear" w:color="auto" w:fill="auto"/>
            <w:noWrap/>
            <w:vAlign w:val="bottom"/>
            <w:hideMark/>
          </w:tcPr>
          <w:p w14:paraId="72DDF5F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w:t>
            </w:r>
          </w:p>
        </w:tc>
      </w:tr>
      <w:tr w:rsidR="001A38D5" w:rsidRPr="001A38D5" w14:paraId="4FF46273" w14:textId="77777777" w:rsidTr="001029CF">
        <w:trPr>
          <w:trHeight w:val="20"/>
        </w:trPr>
        <w:tc>
          <w:tcPr>
            <w:tcW w:w="1887" w:type="pct"/>
            <w:shd w:val="clear" w:color="auto" w:fill="auto"/>
            <w:noWrap/>
            <w:vAlign w:val="bottom"/>
            <w:hideMark/>
          </w:tcPr>
          <w:p w14:paraId="389102B0"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FABIAN GONZALO GALINDO MATEUS</w:t>
            </w:r>
          </w:p>
        </w:tc>
        <w:tc>
          <w:tcPr>
            <w:tcW w:w="707" w:type="pct"/>
            <w:shd w:val="clear" w:color="auto" w:fill="auto"/>
            <w:noWrap/>
            <w:vAlign w:val="bottom"/>
            <w:hideMark/>
          </w:tcPr>
          <w:p w14:paraId="2E20F2C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1.121.828.845</w:t>
            </w:r>
          </w:p>
        </w:tc>
        <w:tc>
          <w:tcPr>
            <w:tcW w:w="622" w:type="pct"/>
            <w:shd w:val="clear" w:color="auto" w:fill="auto"/>
            <w:noWrap/>
            <w:vAlign w:val="bottom"/>
            <w:hideMark/>
          </w:tcPr>
          <w:p w14:paraId="410F8CA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357254317</w:t>
            </w:r>
          </w:p>
        </w:tc>
        <w:tc>
          <w:tcPr>
            <w:tcW w:w="859" w:type="pct"/>
            <w:shd w:val="clear" w:color="auto" w:fill="auto"/>
            <w:noWrap/>
            <w:vAlign w:val="bottom"/>
            <w:hideMark/>
          </w:tcPr>
          <w:p w14:paraId="0C937E8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BOGOTA</w:t>
            </w:r>
          </w:p>
        </w:tc>
        <w:tc>
          <w:tcPr>
            <w:tcW w:w="521" w:type="pct"/>
            <w:shd w:val="clear" w:color="auto" w:fill="auto"/>
            <w:noWrap/>
            <w:vAlign w:val="bottom"/>
            <w:hideMark/>
          </w:tcPr>
          <w:p w14:paraId="116A63D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$3,61</w:t>
            </w:r>
          </w:p>
        </w:tc>
        <w:tc>
          <w:tcPr>
            <w:tcW w:w="401" w:type="pct"/>
            <w:shd w:val="clear" w:color="auto" w:fill="auto"/>
            <w:noWrap/>
            <w:vAlign w:val="bottom"/>
            <w:hideMark/>
          </w:tcPr>
          <w:p w14:paraId="3985755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001B5173" w14:textId="77777777" w:rsidTr="001029CF">
        <w:trPr>
          <w:trHeight w:val="20"/>
        </w:trPr>
        <w:tc>
          <w:tcPr>
            <w:tcW w:w="1887" w:type="pct"/>
            <w:shd w:val="clear" w:color="auto" w:fill="auto"/>
            <w:noWrap/>
            <w:vAlign w:val="bottom"/>
            <w:hideMark/>
          </w:tcPr>
          <w:p w14:paraId="6D71C4A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ANDRES MAURICIO PEREZ ALONSO</w:t>
            </w:r>
          </w:p>
        </w:tc>
        <w:tc>
          <w:tcPr>
            <w:tcW w:w="707" w:type="pct"/>
            <w:shd w:val="clear" w:color="auto" w:fill="auto"/>
            <w:noWrap/>
            <w:vAlign w:val="bottom"/>
            <w:hideMark/>
          </w:tcPr>
          <w:p w14:paraId="4092CDB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1.121.950.701</w:t>
            </w:r>
          </w:p>
        </w:tc>
        <w:tc>
          <w:tcPr>
            <w:tcW w:w="622" w:type="pct"/>
            <w:shd w:val="clear" w:color="auto" w:fill="auto"/>
            <w:noWrap/>
            <w:vAlign w:val="bottom"/>
            <w:hideMark/>
          </w:tcPr>
          <w:p w14:paraId="5AEB514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39511180990</w:t>
            </w:r>
          </w:p>
        </w:tc>
        <w:tc>
          <w:tcPr>
            <w:tcW w:w="859" w:type="pct"/>
            <w:shd w:val="clear" w:color="auto" w:fill="auto"/>
            <w:noWrap/>
            <w:vAlign w:val="bottom"/>
            <w:hideMark/>
          </w:tcPr>
          <w:p w14:paraId="109A028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21" w:type="pct"/>
            <w:shd w:val="clear" w:color="auto" w:fill="auto"/>
            <w:noWrap/>
            <w:vAlign w:val="bottom"/>
            <w:hideMark/>
          </w:tcPr>
          <w:p w14:paraId="7F60114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$12,33</w:t>
            </w:r>
          </w:p>
        </w:tc>
        <w:tc>
          <w:tcPr>
            <w:tcW w:w="401" w:type="pct"/>
            <w:shd w:val="clear" w:color="auto" w:fill="auto"/>
            <w:noWrap/>
            <w:vAlign w:val="bottom"/>
            <w:hideMark/>
          </w:tcPr>
          <w:p w14:paraId="2383533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w:t>
            </w:r>
          </w:p>
        </w:tc>
      </w:tr>
      <w:tr w:rsidR="001A38D5" w:rsidRPr="001A38D5" w14:paraId="3549BD2A" w14:textId="77777777" w:rsidTr="001029CF">
        <w:trPr>
          <w:trHeight w:val="20"/>
        </w:trPr>
        <w:tc>
          <w:tcPr>
            <w:tcW w:w="1887" w:type="pct"/>
            <w:shd w:val="clear" w:color="auto" w:fill="auto"/>
            <w:noWrap/>
            <w:vAlign w:val="bottom"/>
            <w:hideMark/>
          </w:tcPr>
          <w:p w14:paraId="331069A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BUITRAGO CORTES JAISON</w:t>
            </w:r>
          </w:p>
        </w:tc>
        <w:tc>
          <w:tcPr>
            <w:tcW w:w="707" w:type="pct"/>
            <w:shd w:val="clear" w:color="auto" w:fill="auto"/>
            <w:noWrap/>
            <w:vAlign w:val="bottom"/>
            <w:hideMark/>
          </w:tcPr>
          <w:p w14:paraId="17B2842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1.121.916.231</w:t>
            </w:r>
          </w:p>
        </w:tc>
        <w:tc>
          <w:tcPr>
            <w:tcW w:w="622" w:type="pct"/>
            <w:shd w:val="clear" w:color="auto" w:fill="auto"/>
            <w:noWrap/>
            <w:vAlign w:val="bottom"/>
            <w:hideMark/>
          </w:tcPr>
          <w:p w14:paraId="368411B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5732689071</w:t>
            </w:r>
          </w:p>
        </w:tc>
        <w:tc>
          <w:tcPr>
            <w:tcW w:w="859" w:type="pct"/>
            <w:shd w:val="clear" w:color="auto" w:fill="auto"/>
            <w:noWrap/>
            <w:vAlign w:val="bottom"/>
            <w:hideMark/>
          </w:tcPr>
          <w:p w14:paraId="03A8CC5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21" w:type="pct"/>
            <w:shd w:val="clear" w:color="auto" w:fill="auto"/>
            <w:noWrap/>
            <w:vAlign w:val="bottom"/>
            <w:hideMark/>
          </w:tcPr>
          <w:p w14:paraId="7DB3C8D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$12,33</w:t>
            </w:r>
          </w:p>
        </w:tc>
        <w:tc>
          <w:tcPr>
            <w:tcW w:w="401" w:type="pct"/>
            <w:shd w:val="clear" w:color="auto" w:fill="auto"/>
            <w:noWrap/>
            <w:vAlign w:val="bottom"/>
            <w:hideMark/>
          </w:tcPr>
          <w:p w14:paraId="752C085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w:t>
            </w:r>
          </w:p>
        </w:tc>
      </w:tr>
      <w:tr w:rsidR="001A38D5" w:rsidRPr="001A38D5" w14:paraId="094EE5D9" w14:textId="77777777" w:rsidTr="001029CF">
        <w:trPr>
          <w:trHeight w:val="20"/>
        </w:trPr>
        <w:tc>
          <w:tcPr>
            <w:tcW w:w="1887" w:type="pct"/>
            <w:shd w:val="clear" w:color="auto" w:fill="auto"/>
            <w:noWrap/>
            <w:vAlign w:val="bottom"/>
            <w:hideMark/>
          </w:tcPr>
          <w:p w14:paraId="68EAC4F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MARIA BELEN PARRA BELTRAN</w:t>
            </w:r>
          </w:p>
        </w:tc>
        <w:tc>
          <w:tcPr>
            <w:tcW w:w="707" w:type="pct"/>
            <w:shd w:val="clear" w:color="auto" w:fill="auto"/>
            <w:noWrap/>
            <w:vAlign w:val="bottom"/>
            <w:hideMark/>
          </w:tcPr>
          <w:p w14:paraId="1192B68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40.376.873</w:t>
            </w:r>
          </w:p>
        </w:tc>
        <w:tc>
          <w:tcPr>
            <w:tcW w:w="622" w:type="pct"/>
            <w:shd w:val="clear" w:color="auto" w:fill="auto"/>
            <w:noWrap/>
            <w:vAlign w:val="bottom"/>
            <w:hideMark/>
          </w:tcPr>
          <w:p w14:paraId="44715CD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91209816097</w:t>
            </w:r>
          </w:p>
        </w:tc>
        <w:tc>
          <w:tcPr>
            <w:tcW w:w="859" w:type="pct"/>
            <w:shd w:val="clear" w:color="auto" w:fill="auto"/>
            <w:noWrap/>
            <w:vAlign w:val="bottom"/>
            <w:hideMark/>
          </w:tcPr>
          <w:p w14:paraId="4C03915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21" w:type="pct"/>
            <w:shd w:val="clear" w:color="auto" w:fill="auto"/>
            <w:noWrap/>
            <w:vAlign w:val="bottom"/>
            <w:hideMark/>
          </w:tcPr>
          <w:p w14:paraId="3FEBFD1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$12,33</w:t>
            </w:r>
          </w:p>
        </w:tc>
        <w:tc>
          <w:tcPr>
            <w:tcW w:w="401" w:type="pct"/>
            <w:shd w:val="clear" w:color="auto" w:fill="auto"/>
            <w:noWrap/>
            <w:vAlign w:val="bottom"/>
            <w:hideMark/>
          </w:tcPr>
          <w:p w14:paraId="5B593B9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w:t>
            </w:r>
          </w:p>
        </w:tc>
      </w:tr>
      <w:tr w:rsidR="001A38D5" w:rsidRPr="001A38D5" w14:paraId="4941B5C2" w14:textId="77777777" w:rsidTr="001029CF">
        <w:trPr>
          <w:trHeight w:val="20"/>
        </w:trPr>
        <w:tc>
          <w:tcPr>
            <w:tcW w:w="1887" w:type="pct"/>
            <w:shd w:val="clear" w:color="auto" w:fill="auto"/>
            <w:noWrap/>
            <w:vAlign w:val="bottom"/>
            <w:hideMark/>
          </w:tcPr>
          <w:p w14:paraId="32D463D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PARRADO VELASQUEZ LAURA</w:t>
            </w:r>
          </w:p>
        </w:tc>
        <w:tc>
          <w:tcPr>
            <w:tcW w:w="707" w:type="pct"/>
            <w:shd w:val="clear" w:color="auto" w:fill="auto"/>
            <w:noWrap/>
            <w:vAlign w:val="bottom"/>
            <w:hideMark/>
          </w:tcPr>
          <w:p w14:paraId="1906F6D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1.121.948.871</w:t>
            </w:r>
          </w:p>
        </w:tc>
        <w:tc>
          <w:tcPr>
            <w:tcW w:w="622" w:type="pct"/>
            <w:shd w:val="clear" w:color="auto" w:fill="auto"/>
            <w:noWrap/>
            <w:vAlign w:val="bottom"/>
            <w:hideMark/>
          </w:tcPr>
          <w:p w14:paraId="3B375CE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84153239141</w:t>
            </w:r>
          </w:p>
        </w:tc>
        <w:tc>
          <w:tcPr>
            <w:tcW w:w="859" w:type="pct"/>
            <w:shd w:val="clear" w:color="auto" w:fill="auto"/>
            <w:noWrap/>
            <w:vAlign w:val="bottom"/>
            <w:hideMark/>
          </w:tcPr>
          <w:p w14:paraId="55F3235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21" w:type="pct"/>
            <w:shd w:val="clear" w:color="auto" w:fill="auto"/>
            <w:noWrap/>
            <w:vAlign w:val="bottom"/>
            <w:hideMark/>
          </w:tcPr>
          <w:p w14:paraId="6B9FA74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$12,33</w:t>
            </w:r>
          </w:p>
        </w:tc>
        <w:tc>
          <w:tcPr>
            <w:tcW w:w="401" w:type="pct"/>
            <w:shd w:val="clear" w:color="auto" w:fill="auto"/>
            <w:noWrap/>
            <w:vAlign w:val="bottom"/>
            <w:hideMark/>
          </w:tcPr>
          <w:p w14:paraId="66E062F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w:t>
            </w:r>
          </w:p>
        </w:tc>
      </w:tr>
      <w:tr w:rsidR="001A38D5" w:rsidRPr="001A38D5" w14:paraId="2061C40A" w14:textId="77777777" w:rsidTr="001029CF">
        <w:trPr>
          <w:trHeight w:val="20"/>
        </w:trPr>
        <w:tc>
          <w:tcPr>
            <w:tcW w:w="1887" w:type="pct"/>
            <w:shd w:val="clear" w:color="auto" w:fill="auto"/>
            <w:noWrap/>
            <w:vAlign w:val="bottom"/>
            <w:hideMark/>
          </w:tcPr>
          <w:p w14:paraId="78E6C25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MAYORGA DIAZ YESSICA</w:t>
            </w:r>
          </w:p>
        </w:tc>
        <w:tc>
          <w:tcPr>
            <w:tcW w:w="707" w:type="pct"/>
            <w:shd w:val="clear" w:color="auto" w:fill="auto"/>
            <w:noWrap/>
            <w:vAlign w:val="bottom"/>
            <w:hideMark/>
          </w:tcPr>
          <w:p w14:paraId="47BB89C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1.032.396.606</w:t>
            </w:r>
          </w:p>
        </w:tc>
        <w:tc>
          <w:tcPr>
            <w:tcW w:w="622" w:type="pct"/>
            <w:shd w:val="clear" w:color="auto" w:fill="auto"/>
            <w:noWrap/>
            <w:vAlign w:val="bottom"/>
            <w:hideMark/>
          </w:tcPr>
          <w:p w14:paraId="00A0A9D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296087687</w:t>
            </w:r>
          </w:p>
        </w:tc>
        <w:tc>
          <w:tcPr>
            <w:tcW w:w="859" w:type="pct"/>
            <w:shd w:val="clear" w:color="auto" w:fill="auto"/>
            <w:noWrap/>
            <w:vAlign w:val="bottom"/>
            <w:hideMark/>
          </w:tcPr>
          <w:p w14:paraId="2E9FCF0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BBVA COLOMBIA</w:t>
            </w:r>
          </w:p>
        </w:tc>
        <w:tc>
          <w:tcPr>
            <w:tcW w:w="521" w:type="pct"/>
            <w:shd w:val="clear" w:color="auto" w:fill="auto"/>
            <w:noWrap/>
            <w:vAlign w:val="bottom"/>
            <w:hideMark/>
          </w:tcPr>
          <w:p w14:paraId="43D6356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$23,52</w:t>
            </w:r>
          </w:p>
        </w:tc>
        <w:tc>
          <w:tcPr>
            <w:tcW w:w="401" w:type="pct"/>
            <w:shd w:val="clear" w:color="auto" w:fill="auto"/>
            <w:noWrap/>
            <w:vAlign w:val="bottom"/>
            <w:hideMark/>
          </w:tcPr>
          <w:p w14:paraId="0BCBB16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w:t>
            </w:r>
          </w:p>
        </w:tc>
      </w:tr>
      <w:tr w:rsidR="001A38D5" w:rsidRPr="001A38D5" w14:paraId="78B996D5" w14:textId="77777777" w:rsidTr="001029CF">
        <w:trPr>
          <w:trHeight w:val="20"/>
        </w:trPr>
        <w:tc>
          <w:tcPr>
            <w:tcW w:w="1887" w:type="pct"/>
            <w:tcBorders>
              <w:bottom w:val="single" w:sz="4" w:space="0" w:color="auto"/>
            </w:tcBorders>
            <w:shd w:val="clear" w:color="auto" w:fill="auto"/>
            <w:noWrap/>
            <w:vAlign w:val="bottom"/>
            <w:hideMark/>
          </w:tcPr>
          <w:p w14:paraId="61AA84A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YESSICA LORENA MAYORGA DIAZ</w:t>
            </w:r>
          </w:p>
        </w:tc>
        <w:tc>
          <w:tcPr>
            <w:tcW w:w="707" w:type="pct"/>
            <w:tcBorders>
              <w:bottom w:val="single" w:sz="4" w:space="0" w:color="auto"/>
            </w:tcBorders>
            <w:shd w:val="clear" w:color="auto" w:fill="auto"/>
            <w:noWrap/>
            <w:vAlign w:val="bottom"/>
            <w:hideMark/>
          </w:tcPr>
          <w:p w14:paraId="65AEFBE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10.323.966.060</w:t>
            </w:r>
          </w:p>
        </w:tc>
        <w:tc>
          <w:tcPr>
            <w:tcW w:w="622" w:type="pct"/>
            <w:tcBorders>
              <w:bottom w:val="single" w:sz="4" w:space="0" w:color="auto"/>
            </w:tcBorders>
            <w:shd w:val="clear" w:color="auto" w:fill="auto"/>
            <w:noWrap/>
            <w:vAlign w:val="bottom"/>
            <w:hideMark/>
          </w:tcPr>
          <w:p w14:paraId="050226C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296087687</w:t>
            </w:r>
          </w:p>
        </w:tc>
        <w:tc>
          <w:tcPr>
            <w:tcW w:w="859" w:type="pct"/>
            <w:tcBorders>
              <w:bottom w:val="single" w:sz="4" w:space="0" w:color="auto"/>
            </w:tcBorders>
            <w:shd w:val="clear" w:color="auto" w:fill="auto"/>
            <w:noWrap/>
            <w:vAlign w:val="bottom"/>
            <w:hideMark/>
          </w:tcPr>
          <w:p w14:paraId="3E968F0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BBVA COLOMBIA</w:t>
            </w:r>
          </w:p>
        </w:tc>
        <w:tc>
          <w:tcPr>
            <w:tcW w:w="521" w:type="pct"/>
            <w:tcBorders>
              <w:bottom w:val="single" w:sz="4" w:space="0" w:color="auto"/>
            </w:tcBorders>
            <w:shd w:val="clear" w:color="auto" w:fill="auto"/>
            <w:noWrap/>
            <w:vAlign w:val="bottom"/>
            <w:hideMark/>
          </w:tcPr>
          <w:p w14:paraId="30FA37F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$6,89</w:t>
            </w:r>
          </w:p>
        </w:tc>
        <w:tc>
          <w:tcPr>
            <w:tcW w:w="401" w:type="pct"/>
            <w:tcBorders>
              <w:bottom w:val="single" w:sz="4" w:space="0" w:color="auto"/>
            </w:tcBorders>
            <w:shd w:val="clear" w:color="auto" w:fill="auto"/>
            <w:noWrap/>
            <w:vAlign w:val="bottom"/>
            <w:hideMark/>
          </w:tcPr>
          <w:p w14:paraId="0A40F31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199B1087" w14:textId="77777777" w:rsidTr="001029CF">
        <w:trPr>
          <w:trHeight w:val="20"/>
        </w:trPr>
        <w:tc>
          <w:tcPr>
            <w:tcW w:w="4078" w:type="pct"/>
            <w:gridSpan w:val="4"/>
            <w:shd w:val="clear" w:color="000000" w:fill="FFC000"/>
            <w:vAlign w:val="center"/>
            <w:hideMark/>
          </w:tcPr>
          <w:p w14:paraId="02DC6A6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TOTAL</w:t>
            </w:r>
          </w:p>
        </w:tc>
        <w:tc>
          <w:tcPr>
            <w:tcW w:w="521" w:type="pct"/>
            <w:shd w:val="clear" w:color="000000" w:fill="FFC000"/>
            <w:vAlign w:val="center"/>
            <w:hideMark/>
          </w:tcPr>
          <w:p w14:paraId="5CEAE987" w14:textId="77777777" w:rsidR="00A20990" w:rsidRPr="001A38D5" w:rsidRDefault="00A20990" w:rsidP="005140E1">
            <w:pPr>
              <w:contextualSpacing/>
              <w:jc w:val="right"/>
              <w:rPr>
                <w:rFonts w:eastAsia="Times New Roman" w:cs="Arial"/>
                <w:b/>
                <w:bCs/>
                <w:sz w:val="14"/>
                <w:szCs w:val="14"/>
                <w:lang w:val="es-CO" w:eastAsia="es-CO"/>
              </w:rPr>
            </w:pPr>
            <w:r w:rsidRPr="001A38D5">
              <w:rPr>
                <w:rFonts w:eastAsia="Times New Roman" w:cs="Arial"/>
                <w:b/>
                <w:bCs/>
                <w:sz w:val="14"/>
                <w:szCs w:val="14"/>
                <w:lang w:val="es-CO" w:eastAsia="es-CO"/>
              </w:rPr>
              <w:t>$7.142,14</w:t>
            </w:r>
          </w:p>
        </w:tc>
        <w:tc>
          <w:tcPr>
            <w:tcW w:w="401" w:type="pct"/>
            <w:shd w:val="clear" w:color="000000" w:fill="FFC000"/>
            <w:vAlign w:val="center"/>
            <w:hideMark/>
          </w:tcPr>
          <w:p w14:paraId="3B0DC067" w14:textId="77777777" w:rsidR="00A20990" w:rsidRPr="001A38D5" w:rsidRDefault="00A20990" w:rsidP="005140E1">
            <w:pPr>
              <w:contextualSpacing/>
              <w:jc w:val="right"/>
              <w:rPr>
                <w:rFonts w:eastAsia="Times New Roman" w:cs="Arial"/>
                <w:b/>
                <w:bCs/>
                <w:sz w:val="14"/>
                <w:szCs w:val="14"/>
                <w:lang w:val="es-CO" w:eastAsia="es-CO"/>
              </w:rPr>
            </w:pPr>
            <w:r w:rsidRPr="001A38D5">
              <w:rPr>
                <w:rFonts w:eastAsia="Times New Roman" w:cs="Arial"/>
                <w:b/>
                <w:bCs/>
                <w:sz w:val="14"/>
                <w:szCs w:val="14"/>
                <w:lang w:val="es-CO" w:eastAsia="es-CO"/>
              </w:rPr>
              <w:t>81</w:t>
            </w:r>
          </w:p>
        </w:tc>
      </w:tr>
    </w:tbl>
    <w:p w14:paraId="6CD5CE1A" w14:textId="77777777" w:rsidR="00A20990" w:rsidRPr="001A38D5" w:rsidRDefault="00A20990" w:rsidP="005140E1">
      <w:pPr>
        <w:contextualSpacing/>
        <w:jc w:val="center"/>
        <w:rPr>
          <w:rFonts w:cs="Arial"/>
          <w:sz w:val="18"/>
          <w:szCs w:val="20"/>
        </w:rPr>
      </w:pPr>
      <w:r w:rsidRPr="001A38D5">
        <w:rPr>
          <w:rFonts w:cs="Arial"/>
          <w:sz w:val="16"/>
          <w:szCs w:val="20"/>
        </w:rPr>
        <w:t>Fuente: Cuenta Maestra Sistema PISIS.</w:t>
      </w:r>
    </w:p>
    <w:p w14:paraId="6150AB16" w14:textId="77777777" w:rsidR="00A20990" w:rsidRPr="001A38D5" w:rsidRDefault="00A20990" w:rsidP="005140E1">
      <w:pPr>
        <w:contextualSpacing/>
        <w:jc w:val="both"/>
        <w:rPr>
          <w:rFonts w:cs="Arial"/>
          <w:lang w:val="es-CO"/>
        </w:rPr>
      </w:pPr>
    </w:p>
    <w:p w14:paraId="6EC05DB4" w14:textId="77777777" w:rsidR="00A20990" w:rsidRPr="001A38D5" w:rsidRDefault="00A20990" w:rsidP="005140E1">
      <w:pPr>
        <w:contextualSpacing/>
        <w:jc w:val="both"/>
        <w:rPr>
          <w:rFonts w:cs="Arial"/>
          <w:lang w:val="es-CO"/>
        </w:rPr>
      </w:pPr>
      <w:r w:rsidRPr="001A38D5">
        <w:rPr>
          <w:rFonts w:cs="Arial"/>
          <w:lang w:val="es-CO"/>
        </w:rPr>
        <w:t xml:space="preserve">Adicionalmente, durante la vigencia 2021, se evidencian 6 operaciones débito a la cuenta No. 00195992592 registrada como ALMACENES EXITO SA por valor total de $4.262,81 millones, persona jurídica con la cual el Municipio tiene 3 </w:t>
      </w:r>
      <w:r w:rsidR="00AB5F58">
        <w:rPr>
          <w:rFonts w:cs="Arial"/>
          <w:lang w:val="es-CO"/>
        </w:rPr>
        <w:t>Ó</w:t>
      </w:r>
      <w:r w:rsidRPr="001A38D5">
        <w:rPr>
          <w:rFonts w:cs="Arial"/>
          <w:lang w:val="es-CO"/>
        </w:rPr>
        <w:t xml:space="preserve">rdenes de </w:t>
      </w:r>
      <w:r w:rsidR="00AB5F58">
        <w:rPr>
          <w:rFonts w:cs="Arial"/>
          <w:lang w:val="es-CO"/>
        </w:rPr>
        <w:t>C</w:t>
      </w:r>
      <w:r w:rsidRPr="001A38D5">
        <w:rPr>
          <w:rFonts w:cs="Arial"/>
          <w:lang w:val="es-CO"/>
        </w:rPr>
        <w:t xml:space="preserve">ompra para la vigencia en cuestión: No. 939-OC-66808-2021, 1346-OC-72682-2021 y 2014-OC-77691-2021, las cuales al 3 de mayo de 2022 habían sido liquidadas </w:t>
      </w:r>
      <w:r w:rsidRPr="001A38D5">
        <w:rPr>
          <w:rFonts w:cs="Arial"/>
          <w:lang w:val="es-CO"/>
        </w:rPr>
        <w:lastRenderedPageBreak/>
        <w:t xml:space="preserve">y según lo reportado por la Entidad en la Categoría UAPA-PAE habían sido ejecutadas por un valor total de $13.973,66. millones </w:t>
      </w:r>
    </w:p>
    <w:p w14:paraId="64D7C61D" w14:textId="77777777" w:rsidR="00A20990" w:rsidRPr="001A38D5" w:rsidRDefault="00A20990" w:rsidP="005140E1">
      <w:pPr>
        <w:contextualSpacing/>
        <w:jc w:val="both"/>
        <w:rPr>
          <w:rFonts w:cs="Arial"/>
          <w:lang w:val="es-CO"/>
        </w:rPr>
      </w:pPr>
    </w:p>
    <w:p w14:paraId="44D82CF6" w14:textId="77777777" w:rsidR="00A20990" w:rsidRPr="001A38D5" w:rsidRDefault="00A20990" w:rsidP="005140E1">
      <w:pPr>
        <w:contextualSpacing/>
        <w:jc w:val="both"/>
        <w:rPr>
          <w:rFonts w:cs="Arial"/>
          <w:lang w:val="es-CO"/>
        </w:rPr>
      </w:pPr>
      <w:r w:rsidRPr="001A38D5">
        <w:rPr>
          <w:rFonts w:cs="Arial"/>
          <w:lang w:val="es-CO"/>
        </w:rPr>
        <w:t xml:space="preserve">En el caso del Convenio </w:t>
      </w:r>
      <w:r w:rsidR="00AB5F58">
        <w:rPr>
          <w:rFonts w:cs="Arial"/>
          <w:lang w:val="es-CO"/>
        </w:rPr>
        <w:t>I</w:t>
      </w:r>
      <w:r w:rsidRPr="001A38D5">
        <w:rPr>
          <w:rFonts w:cs="Arial"/>
          <w:lang w:val="es-CO"/>
        </w:rPr>
        <w:t xml:space="preserve">nteradministrativo No. 1104 del 18 de mayo de 2021 suscrito con el </w:t>
      </w:r>
      <w:r w:rsidR="00EF2696">
        <w:rPr>
          <w:rFonts w:cs="Arial"/>
          <w:lang w:val="es-CO"/>
        </w:rPr>
        <w:t xml:space="preserve">Resguardo Indígena Maguare </w:t>
      </w:r>
      <w:r w:rsidRPr="001A38D5">
        <w:rPr>
          <w:rFonts w:cs="Arial"/>
          <w:lang w:val="es-CO"/>
        </w:rPr>
        <w:t>se registran 7 operaciones debito por $33,02 millones, una de ellas, por $11,64 millones, se realizó registrando como beneficiario el RESGUARDO INDIGENA MAGUARE con número de ID 891.857.920-2, asignado al Municipio de Covarach</w:t>
      </w:r>
      <w:r w:rsidR="00AF78B4">
        <w:rPr>
          <w:rFonts w:cs="Arial"/>
          <w:lang w:val="es-CO"/>
        </w:rPr>
        <w:t>í</w:t>
      </w:r>
      <w:r w:rsidRPr="001A38D5">
        <w:rPr>
          <w:rFonts w:cs="Arial"/>
          <w:lang w:val="es-CO"/>
        </w:rPr>
        <w:t xml:space="preserve">a – Boyacá, incumpliendo lo establecido en el Anexo Técnico de la Resolución No. 4835 de 2015 del Ministerio de Hacienda y Crédito Público, en lo referente al diligenciamiento del </w:t>
      </w:r>
      <w:r w:rsidR="00AB5F58">
        <w:rPr>
          <w:rFonts w:cs="Arial"/>
          <w:lang w:val="es-CO"/>
        </w:rPr>
        <w:t>C</w:t>
      </w:r>
      <w:r w:rsidRPr="001A38D5">
        <w:rPr>
          <w:rFonts w:cs="Arial"/>
          <w:lang w:val="es-CO"/>
        </w:rPr>
        <w:t>ampo No. 8 “</w:t>
      </w:r>
      <w:r w:rsidRPr="007A412F">
        <w:rPr>
          <w:rFonts w:cs="Arial"/>
          <w:i/>
          <w:iCs/>
          <w:lang w:val="es-CO"/>
        </w:rPr>
        <w:t>Número de Identificación del Beneficiario</w:t>
      </w:r>
      <w:r w:rsidRPr="001A38D5">
        <w:rPr>
          <w:rFonts w:cs="Arial"/>
          <w:lang w:val="es-CO"/>
        </w:rPr>
        <w:t>” del “</w:t>
      </w:r>
      <w:r w:rsidRPr="007A412F">
        <w:rPr>
          <w:rFonts w:cs="Arial"/>
          <w:i/>
          <w:iCs/>
          <w:lang w:val="es-CO"/>
        </w:rPr>
        <w:t>Registro Tipo 3</w:t>
      </w:r>
      <w:r w:rsidRPr="001A38D5">
        <w:rPr>
          <w:rFonts w:cs="Arial"/>
          <w:lang w:val="es-CO"/>
        </w:rPr>
        <w:t>”.</w:t>
      </w:r>
    </w:p>
    <w:p w14:paraId="3441BED2" w14:textId="77777777" w:rsidR="00A20990" w:rsidRPr="001A38D5" w:rsidRDefault="00A20990" w:rsidP="005140E1">
      <w:pPr>
        <w:contextualSpacing/>
        <w:jc w:val="both"/>
        <w:rPr>
          <w:rFonts w:cs="Arial"/>
          <w:lang w:val="es-CO"/>
        </w:rPr>
      </w:pPr>
    </w:p>
    <w:p w14:paraId="594255E1" w14:textId="77777777" w:rsidR="00A20990" w:rsidRPr="001A38D5" w:rsidRDefault="00A20990" w:rsidP="005140E1">
      <w:pPr>
        <w:contextualSpacing/>
        <w:jc w:val="both"/>
        <w:rPr>
          <w:rFonts w:cs="Arial"/>
          <w:lang w:val="es-CO"/>
        </w:rPr>
      </w:pPr>
      <w:r w:rsidRPr="001A38D5">
        <w:rPr>
          <w:rFonts w:cs="Arial"/>
          <w:lang w:val="es-CO"/>
        </w:rPr>
        <w:t>En cuanto a personas naturales, se evidencian 85 egresos por $238,41 millones a 11 beneficiarios por pagos de las actas finales de los contratos de prestación de servicios pendientes de la vigencia 2020 y de la ejecución de los contratos de prestación de servicios profesionales suscritos para fortalecer el Equipo PAE de la Entidad durante la vigencia 2021.</w:t>
      </w:r>
      <w:r w:rsidR="00CB2BFE" w:rsidRPr="001A38D5">
        <w:rPr>
          <w:rFonts w:cs="Arial"/>
          <w:lang w:val="es-CO"/>
        </w:rPr>
        <w:t xml:space="preserve"> </w:t>
      </w:r>
    </w:p>
    <w:p w14:paraId="60E57F8A" w14:textId="77777777" w:rsidR="00A20990" w:rsidRPr="001A38D5" w:rsidRDefault="00A20990" w:rsidP="005140E1">
      <w:pPr>
        <w:contextualSpacing/>
        <w:jc w:val="both"/>
        <w:rPr>
          <w:rFonts w:cs="Arial"/>
          <w:lang w:val="es-CO"/>
        </w:rPr>
      </w:pPr>
    </w:p>
    <w:p w14:paraId="5F5AB310" w14:textId="77777777" w:rsidR="00A20990" w:rsidRPr="001A38D5" w:rsidRDefault="00A20990" w:rsidP="005140E1">
      <w:pPr>
        <w:contextualSpacing/>
        <w:jc w:val="both"/>
        <w:rPr>
          <w:rFonts w:cs="Arial"/>
          <w:lang w:val="es-CO"/>
        </w:rPr>
      </w:pPr>
      <w:r w:rsidRPr="001A38D5">
        <w:rPr>
          <w:rFonts w:cs="Arial"/>
          <w:lang w:val="es-CO"/>
        </w:rPr>
        <w:t>En cuanto a los egresos a favor del Municipio, se efectuaron 57 movimientos débito por $1.270 millones: $708,02 millones a la Cuenta Maestra Educación Matricula en Calidad No. 364689828 del Banco de Bogotá y $562,1 millones a la Cuenta No. 364618579 3 del Banco de Bogotá denominada “</w:t>
      </w:r>
      <w:r w:rsidRPr="001A38D5">
        <w:rPr>
          <w:rFonts w:cs="Arial"/>
          <w:i/>
          <w:iCs/>
          <w:lang w:val="es-CO"/>
        </w:rPr>
        <w:t>Mpio Vcio – Descuentos de ley</w:t>
      </w:r>
      <w:r w:rsidRPr="001A38D5">
        <w:rPr>
          <w:rFonts w:cs="Arial"/>
          <w:lang w:val="es-CO"/>
        </w:rPr>
        <w:t>”.</w:t>
      </w:r>
    </w:p>
    <w:p w14:paraId="3594562A" w14:textId="77777777" w:rsidR="00A20990" w:rsidRPr="001A38D5" w:rsidRDefault="00A20990" w:rsidP="005140E1">
      <w:pPr>
        <w:contextualSpacing/>
        <w:jc w:val="both"/>
        <w:rPr>
          <w:rFonts w:cs="Arial"/>
          <w:lang w:val="es-CO"/>
        </w:rPr>
      </w:pPr>
    </w:p>
    <w:p w14:paraId="16BA4B92" w14:textId="77777777" w:rsidR="00A20990" w:rsidRPr="001A38D5" w:rsidRDefault="00A20990" w:rsidP="005140E1">
      <w:pPr>
        <w:contextualSpacing/>
        <w:jc w:val="both"/>
        <w:rPr>
          <w:rFonts w:cs="Arial"/>
          <w:lang w:val="es-CO"/>
        </w:rPr>
      </w:pPr>
      <w:r w:rsidRPr="001A38D5">
        <w:rPr>
          <w:rFonts w:cs="Arial"/>
          <w:lang w:val="es-CO"/>
        </w:rPr>
        <w:t xml:space="preserve">Sobre el valor transferido a la Cuenta Maestra Educación Matricula en Calidad la Entidad Territorial refiere en el documento con radicado No. 1-2023-071154 del 16 de agosto de 2023 </w:t>
      </w:r>
      <w:r w:rsidR="0078382F">
        <w:rPr>
          <w:rFonts w:cs="Arial"/>
          <w:lang w:val="es-CO"/>
        </w:rPr>
        <w:t>lo siguiente</w:t>
      </w:r>
      <w:r w:rsidRPr="001A38D5">
        <w:rPr>
          <w:rFonts w:cs="Arial"/>
          <w:lang w:val="es-CO"/>
        </w:rPr>
        <w:t>:</w:t>
      </w:r>
    </w:p>
    <w:p w14:paraId="03F1F05E" w14:textId="77777777" w:rsidR="00A20990" w:rsidRPr="001A38D5" w:rsidRDefault="00A20990" w:rsidP="005140E1">
      <w:pPr>
        <w:contextualSpacing/>
        <w:jc w:val="both"/>
        <w:rPr>
          <w:rFonts w:cs="Arial"/>
          <w:sz w:val="20"/>
          <w:szCs w:val="20"/>
          <w:lang w:val="es-CO"/>
        </w:rPr>
      </w:pPr>
    </w:p>
    <w:p w14:paraId="739EEED5" w14:textId="77777777" w:rsidR="00A20990" w:rsidRPr="007A412F" w:rsidRDefault="00A20990" w:rsidP="005140E1">
      <w:pPr>
        <w:ind w:left="709"/>
        <w:contextualSpacing/>
        <w:jc w:val="both"/>
        <w:rPr>
          <w:rFonts w:cs="Arial"/>
          <w:sz w:val="18"/>
          <w:szCs w:val="18"/>
          <w:lang w:val="es-CO"/>
        </w:rPr>
      </w:pPr>
      <w:r w:rsidRPr="007A412F">
        <w:rPr>
          <w:rFonts w:cs="Arial"/>
          <w:sz w:val="18"/>
          <w:szCs w:val="18"/>
          <w:lang w:val="es-CO"/>
        </w:rPr>
        <w:t>“</w:t>
      </w:r>
      <w:r w:rsidR="0078382F" w:rsidRPr="007A412F">
        <w:rPr>
          <w:rFonts w:cs="Arial"/>
          <w:i/>
          <w:iCs/>
          <w:sz w:val="18"/>
          <w:szCs w:val="18"/>
          <w:lang w:val="es-CO"/>
        </w:rPr>
        <w:t>[</w:t>
      </w:r>
      <w:r w:rsidRPr="007A412F">
        <w:rPr>
          <w:rFonts w:cs="Arial"/>
          <w:i/>
          <w:iCs/>
          <w:sz w:val="18"/>
          <w:szCs w:val="18"/>
          <w:lang w:val="es-CO"/>
        </w:rPr>
        <w:t>…</w:t>
      </w:r>
      <w:r w:rsidR="0078382F" w:rsidRPr="007A412F">
        <w:rPr>
          <w:rFonts w:cs="Arial"/>
          <w:i/>
          <w:iCs/>
          <w:sz w:val="18"/>
          <w:szCs w:val="18"/>
          <w:lang w:val="es-CO"/>
        </w:rPr>
        <w:t>]</w:t>
      </w:r>
      <w:r w:rsidRPr="007A412F">
        <w:rPr>
          <w:rFonts w:cs="Arial"/>
          <w:sz w:val="18"/>
          <w:szCs w:val="18"/>
          <w:lang w:val="es-CO"/>
        </w:rPr>
        <w:t xml:space="preserve"> </w:t>
      </w:r>
      <w:r w:rsidRPr="007A412F">
        <w:rPr>
          <w:rFonts w:cs="Arial"/>
          <w:i/>
          <w:iCs/>
          <w:sz w:val="18"/>
          <w:szCs w:val="18"/>
          <w:lang w:val="es-CO"/>
        </w:rPr>
        <w:t xml:space="preserve">estos recursos </w:t>
      </w:r>
      <w:r w:rsidRPr="007A412F">
        <w:rPr>
          <w:rFonts w:cs="Arial"/>
          <w:i/>
          <w:iCs/>
          <w:sz w:val="18"/>
          <w:szCs w:val="18"/>
        </w:rPr>
        <w:t>inicialmente hacían parte de la Asignación por calidad matrícula hecha por el DNP y estaban apropiados en el presupuesto de la vigencia 2021 como recursos de calidad; pero por disposición del MEN en consideración a lo que estaba viviendo por efectos de la pandemia del COVID-19 que afectaba directamente la atención de los estudiantes de manera presencial, tomó la decisión de reorientar el uso de estos, canalizando este monto de calidad matrícula para cofinanciar el PAE, ya que la atención del calendario escolar se estaba desarrollando de manera virtual y se debía apoyar a los educandos con más raciones escolares, para garantizar la permanencia en los programas académicos que cada IEO estaba desarrollando. Por tal razón estos recursos, a pesar de ser de calidad matrícula fueron transferidos a la cuenta maestra del PAE. Sin embargo, cuando se realizó el cierre fiscal de la vigencia 2021 se detectó que lo asignado por calidad matrícula y lo efectivamente recaudado por estos recursos en la ejecución de ingresos no era consistente; pero en la cuenta de calidad matrícula hacía falta la suma exacta de $708.023.446, ya que dichos recursos habían sido recaudados por orden del MEN en la cuenta maestra del PAE, hacía falta en la cuenta maestra de Calidad Matrícula.”</w:t>
      </w:r>
    </w:p>
    <w:p w14:paraId="333D536C" w14:textId="77777777" w:rsidR="00A20990" w:rsidRPr="001A38D5" w:rsidRDefault="00A20990" w:rsidP="005140E1">
      <w:pPr>
        <w:contextualSpacing/>
        <w:jc w:val="both"/>
        <w:rPr>
          <w:rFonts w:cs="Arial"/>
          <w:lang w:val="es-CO"/>
        </w:rPr>
      </w:pPr>
    </w:p>
    <w:p w14:paraId="52B61B64" w14:textId="77777777" w:rsidR="00A20990" w:rsidRPr="001A38D5" w:rsidRDefault="00A20990" w:rsidP="005140E1">
      <w:pPr>
        <w:contextualSpacing/>
        <w:jc w:val="both"/>
        <w:rPr>
          <w:rFonts w:cs="Arial"/>
          <w:lang w:val="es-CO"/>
        </w:rPr>
      </w:pPr>
      <w:r w:rsidRPr="001A38D5">
        <w:rPr>
          <w:rFonts w:cs="Arial"/>
          <w:lang w:val="es-CO"/>
        </w:rPr>
        <w:t xml:space="preserve">Para concluir, la Entidad indica que estos recursos tenían como destino el PAE y por tanto se pagó desde esta cuenta la suma de $708,02 millones de la </w:t>
      </w:r>
      <w:r w:rsidR="0078382F">
        <w:rPr>
          <w:rFonts w:cs="Arial"/>
          <w:lang w:val="es-CO"/>
        </w:rPr>
        <w:t>O</w:t>
      </w:r>
      <w:r w:rsidRPr="001A38D5">
        <w:rPr>
          <w:rFonts w:cs="Arial"/>
          <w:lang w:val="es-CO"/>
        </w:rPr>
        <w:t xml:space="preserve">rden de </w:t>
      </w:r>
      <w:r w:rsidR="0078382F">
        <w:rPr>
          <w:rFonts w:cs="Arial"/>
          <w:lang w:val="es-CO"/>
        </w:rPr>
        <w:t>P</w:t>
      </w:r>
      <w:r w:rsidRPr="001A38D5">
        <w:rPr>
          <w:rFonts w:cs="Arial"/>
          <w:lang w:val="es-CO"/>
        </w:rPr>
        <w:t xml:space="preserve">ago No. 10357 del 26 de diciembre de 2020, que fue constituida como cuenta por pagar en 2020 y ejecutada en 2021. </w:t>
      </w:r>
    </w:p>
    <w:p w14:paraId="2F45BE45" w14:textId="77777777" w:rsidR="00A20990" w:rsidRPr="001A38D5" w:rsidRDefault="00A20990" w:rsidP="005140E1">
      <w:pPr>
        <w:contextualSpacing/>
        <w:jc w:val="both"/>
        <w:rPr>
          <w:rFonts w:cs="Arial"/>
          <w:lang w:val="es-CO"/>
        </w:rPr>
      </w:pPr>
    </w:p>
    <w:p w14:paraId="21A128F9" w14:textId="77777777" w:rsidR="00A20990" w:rsidRPr="001A38D5" w:rsidRDefault="00A20990" w:rsidP="005140E1">
      <w:pPr>
        <w:contextualSpacing/>
        <w:jc w:val="both"/>
        <w:rPr>
          <w:rFonts w:cs="Arial"/>
          <w:lang w:val="es-CO"/>
        </w:rPr>
      </w:pPr>
      <w:r w:rsidRPr="001A38D5">
        <w:rPr>
          <w:rFonts w:cs="Arial"/>
          <w:lang w:val="es-CO"/>
        </w:rPr>
        <w:t xml:space="preserve">Sobre los movimientos en la cuenta de descuentos de ley, se evidencia incumplimiento de lo dispuesto en el parágrafo del artículo 11 de la Resolución </w:t>
      </w:r>
      <w:r w:rsidR="00945380">
        <w:rPr>
          <w:rFonts w:cs="Arial"/>
          <w:lang w:val="es-CO"/>
        </w:rPr>
        <w:t xml:space="preserve">No. </w:t>
      </w:r>
      <w:r w:rsidRPr="001A38D5">
        <w:rPr>
          <w:rFonts w:cs="Arial"/>
          <w:lang w:val="es-CO"/>
        </w:rPr>
        <w:lastRenderedPageBreak/>
        <w:t xml:space="preserve">2248 de 2018 </w:t>
      </w:r>
      <w:r w:rsidR="00945380" w:rsidRPr="00945380">
        <w:rPr>
          <w:rFonts w:cs="Arial"/>
          <w:lang w:val="es-CO"/>
        </w:rPr>
        <w:t>de los Ministerios de Hacienda y Crédito Público y de Educación Nacional</w:t>
      </w:r>
      <w:r w:rsidRPr="001A38D5">
        <w:rPr>
          <w:rFonts w:cs="Arial"/>
          <w:lang w:val="es-CO"/>
        </w:rPr>
        <w:t xml:space="preserve"> sobre la inscripción de Cuentas por cada uno de los tributos y de lo dispuesto en la Resolución </w:t>
      </w:r>
      <w:r w:rsidR="00945380">
        <w:rPr>
          <w:rFonts w:cs="Arial"/>
          <w:lang w:val="es-CO"/>
        </w:rPr>
        <w:t xml:space="preserve">No. </w:t>
      </w:r>
      <w:r w:rsidRPr="001A38D5">
        <w:rPr>
          <w:rFonts w:cs="Arial"/>
          <w:lang w:val="es-CO"/>
        </w:rPr>
        <w:t xml:space="preserve">0660 de 2018 </w:t>
      </w:r>
      <w:r w:rsidR="007016ED" w:rsidRPr="007016ED">
        <w:rPr>
          <w:rFonts w:cs="Arial"/>
          <w:lang w:val="es-CO"/>
        </w:rPr>
        <w:t>de los Ministerios de Hacienda y Crédito Público, Educación Nacional y de</w:t>
      </w:r>
      <w:r w:rsidR="007016ED">
        <w:rPr>
          <w:rFonts w:cs="Arial"/>
          <w:lang w:val="es-CO"/>
        </w:rPr>
        <w:t xml:space="preserve"> Vivienda, Ciudad y Territorio</w:t>
      </w:r>
      <w:r w:rsidR="007016ED" w:rsidRPr="007016ED">
        <w:rPr>
          <w:rFonts w:cs="Arial"/>
          <w:lang w:val="es-CO"/>
        </w:rPr>
        <w:t xml:space="preserve"> </w:t>
      </w:r>
      <w:r w:rsidRPr="001A38D5">
        <w:rPr>
          <w:rFonts w:cs="Arial"/>
          <w:lang w:val="es-CO"/>
        </w:rPr>
        <w:t xml:space="preserve">sobre el pago de impuestos nacionales – DIAN. </w:t>
      </w:r>
    </w:p>
    <w:p w14:paraId="3EAD8C02" w14:textId="77777777" w:rsidR="00A20990" w:rsidRPr="001A38D5" w:rsidRDefault="00A20990" w:rsidP="005140E1">
      <w:pPr>
        <w:contextualSpacing/>
        <w:jc w:val="both"/>
        <w:rPr>
          <w:rFonts w:cs="Arial"/>
          <w:lang w:val="es-CO"/>
        </w:rPr>
      </w:pPr>
    </w:p>
    <w:p w14:paraId="22E1015E" w14:textId="77777777" w:rsidR="00A20990" w:rsidRPr="001A38D5" w:rsidRDefault="00A20990" w:rsidP="005140E1">
      <w:pPr>
        <w:contextualSpacing/>
        <w:jc w:val="both"/>
        <w:rPr>
          <w:rFonts w:cs="Arial"/>
          <w:lang w:val="es-CO"/>
        </w:rPr>
      </w:pPr>
      <w:r w:rsidRPr="001A38D5">
        <w:rPr>
          <w:rFonts w:cs="Arial"/>
          <w:lang w:val="es-CO"/>
        </w:rPr>
        <w:t xml:space="preserve">Adicionalmente, sobre estos movimientos es preciso indicar que para la razón social MUNICIPIO DE VILLAVICENCIO se reportaron 4 números de identificación: i) 892.099.324-3, que corresponde al RUT del Municipio de Villavicencio; ii) 892.115.015-1 asociado al Departamento de La Guajira; iii) 891.480.085-7 que corresponde al Departamento de Risaralda y iv) 8.920.993.243-8, el cual no se encuentra registrado en el RUT y no cumple las características del NIT para las personas jurídicas. Esto deriva en el incumplimiento del artículo 9 de la Resolución 4835 de 2015 del Ministerio de Hacienda y Crédito Público. </w:t>
      </w:r>
    </w:p>
    <w:p w14:paraId="2CFE486B" w14:textId="77777777" w:rsidR="00A20990" w:rsidRPr="001A38D5" w:rsidRDefault="00A20990" w:rsidP="005140E1">
      <w:pPr>
        <w:contextualSpacing/>
        <w:jc w:val="both"/>
        <w:rPr>
          <w:rFonts w:cs="Arial"/>
          <w:lang w:val="es-CO"/>
        </w:rPr>
      </w:pPr>
    </w:p>
    <w:p w14:paraId="322CFF79" w14:textId="77777777" w:rsidR="00A20990" w:rsidRPr="001A38D5" w:rsidRDefault="00A20990" w:rsidP="005140E1">
      <w:pPr>
        <w:contextualSpacing/>
        <w:jc w:val="both"/>
        <w:rPr>
          <w:rFonts w:cs="Arial"/>
          <w:lang w:val="es-CO"/>
        </w:rPr>
      </w:pPr>
      <w:r w:rsidRPr="001A38D5">
        <w:rPr>
          <w:rFonts w:cs="Arial"/>
          <w:lang w:val="es-CO"/>
        </w:rPr>
        <w:t xml:space="preserve">Así mismo, pese a que se realizaron egresos en el marco de la ejecución de los contratos suscritos para la operación del Programa y la conformación del </w:t>
      </w:r>
      <w:r w:rsidR="0078382F">
        <w:rPr>
          <w:rFonts w:cs="Arial"/>
          <w:lang w:val="es-CO"/>
        </w:rPr>
        <w:t>e</w:t>
      </w:r>
      <w:r w:rsidRPr="001A38D5">
        <w:rPr>
          <w:rFonts w:cs="Arial"/>
          <w:lang w:val="es-CO"/>
        </w:rPr>
        <w:t>quipo PAE y que los contratistas no se encuentran exentos de los pagos de tributos municipales ni nacionales, no se evidencia pago de retenciones o descuentos.</w:t>
      </w:r>
    </w:p>
    <w:p w14:paraId="03518D31" w14:textId="77777777" w:rsidR="00A20990" w:rsidRPr="001A38D5" w:rsidRDefault="00A20990" w:rsidP="005140E1">
      <w:pPr>
        <w:contextualSpacing/>
        <w:jc w:val="both"/>
        <w:rPr>
          <w:rFonts w:cs="Arial"/>
          <w:lang w:val="es-CO"/>
        </w:rPr>
      </w:pPr>
    </w:p>
    <w:p w14:paraId="6AA2482C"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8</w:t>
      </w:r>
      <w:r w:rsidRPr="007A412F">
        <w:rPr>
          <w:rFonts w:ascii="Verdana" w:hAnsi="Verdana"/>
          <w:color w:val="auto"/>
          <w:sz w:val="20"/>
          <w:szCs w:val="20"/>
        </w:rPr>
        <w:fldChar w:fldCharType="end"/>
      </w:r>
      <w:r w:rsidRPr="007A412F">
        <w:rPr>
          <w:rFonts w:ascii="Verdana" w:hAnsi="Verdana"/>
          <w:color w:val="auto"/>
          <w:sz w:val="20"/>
          <w:szCs w:val="20"/>
        </w:rPr>
        <w:t xml:space="preserve"> Egresos Cuenta Maestra Programa de Alimentación Escolar del Municipio de Villavicencio 2021 (valores en millones de pesos colombianos).</w:t>
      </w: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3"/>
        <w:gridCol w:w="1336"/>
        <w:gridCol w:w="1120"/>
        <w:gridCol w:w="1946"/>
        <w:gridCol w:w="938"/>
        <w:gridCol w:w="722"/>
      </w:tblGrid>
      <w:tr w:rsidR="001A38D5" w:rsidRPr="001A38D5" w14:paraId="1D2FE04B" w14:textId="77777777" w:rsidTr="001029CF">
        <w:trPr>
          <w:trHeight w:val="20"/>
          <w:tblHeader/>
        </w:trPr>
        <w:tc>
          <w:tcPr>
            <w:tcW w:w="1935" w:type="pct"/>
            <w:shd w:val="clear" w:color="000000" w:fill="FFC000"/>
            <w:vAlign w:val="center"/>
            <w:hideMark/>
          </w:tcPr>
          <w:p w14:paraId="6EB7A2BD"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Nombre o Razón Social</w:t>
            </w:r>
          </w:p>
        </w:tc>
        <w:tc>
          <w:tcPr>
            <w:tcW w:w="673" w:type="pct"/>
            <w:shd w:val="clear" w:color="000000" w:fill="FFC000"/>
            <w:vAlign w:val="center"/>
            <w:hideMark/>
          </w:tcPr>
          <w:p w14:paraId="15EB2CF1"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NIT</w:t>
            </w:r>
          </w:p>
        </w:tc>
        <w:tc>
          <w:tcPr>
            <w:tcW w:w="560" w:type="pct"/>
            <w:shd w:val="clear" w:color="000000" w:fill="FFC000"/>
            <w:vAlign w:val="center"/>
            <w:hideMark/>
          </w:tcPr>
          <w:p w14:paraId="7A27CBD3"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 de Cuenta</w:t>
            </w:r>
          </w:p>
        </w:tc>
        <w:tc>
          <w:tcPr>
            <w:tcW w:w="1027" w:type="pct"/>
            <w:shd w:val="clear" w:color="000000" w:fill="FFC000"/>
            <w:vAlign w:val="center"/>
            <w:hideMark/>
          </w:tcPr>
          <w:p w14:paraId="63C35948"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Establecimiento Bancario</w:t>
            </w:r>
          </w:p>
        </w:tc>
        <w:tc>
          <w:tcPr>
            <w:tcW w:w="431" w:type="pct"/>
            <w:shd w:val="clear" w:color="000000" w:fill="FFC000"/>
            <w:vAlign w:val="center"/>
            <w:hideMark/>
          </w:tcPr>
          <w:p w14:paraId="58451445"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Abonado</w:t>
            </w:r>
          </w:p>
        </w:tc>
        <w:tc>
          <w:tcPr>
            <w:tcW w:w="373" w:type="pct"/>
            <w:shd w:val="clear" w:color="000000" w:fill="FFC000"/>
            <w:vAlign w:val="center"/>
            <w:hideMark/>
          </w:tcPr>
          <w:p w14:paraId="6D27713B"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 de Abonos</w:t>
            </w:r>
          </w:p>
        </w:tc>
      </w:tr>
      <w:tr w:rsidR="001A38D5" w:rsidRPr="001A38D5" w14:paraId="6C73CE64" w14:textId="77777777" w:rsidTr="00A20990">
        <w:trPr>
          <w:trHeight w:val="20"/>
        </w:trPr>
        <w:tc>
          <w:tcPr>
            <w:tcW w:w="1935" w:type="pct"/>
            <w:shd w:val="clear" w:color="auto" w:fill="auto"/>
            <w:noWrap/>
            <w:vAlign w:val="bottom"/>
            <w:hideMark/>
          </w:tcPr>
          <w:p w14:paraId="50BC5A7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ALMACENES EXITO SA</w:t>
            </w:r>
          </w:p>
        </w:tc>
        <w:tc>
          <w:tcPr>
            <w:tcW w:w="673" w:type="pct"/>
            <w:shd w:val="clear" w:color="auto" w:fill="auto"/>
            <w:noWrap/>
            <w:vAlign w:val="bottom"/>
            <w:hideMark/>
          </w:tcPr>
          <w:p w14:paraId="64E74A1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890.900.608-9</w:t>
            </w:r>
          </w:p>
        </w:tc>
        <w:tc>
          <w:tcPr>
            <w:tcW w:w="560" w:type="pct"/>
            <w:shd w:val="clear" w:color="auto" w:fill="auto"/>
            <w:noWrap/>
            <w:vAlign w:val="bottom"/>
            <w:hideMark/>
          </w:tcPr>
          <w:p w14:paraId="181148E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195992592</w:t>
            </w:r>
          </w:p>
        </w:tc>
        <w:tc>
          <w:tcPr>
            <w:tcW w:w="1027" w:type="pct"/>
            <w:shd w:val="clear" w:color="auto" w:fill="auto"/>
            <w:noWrap/>
            <w:vAlign w:val="bottom"/>
            <w:hideMark/>
          </w:tcPr>
          <w:p w14:paraId="6A271192"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431" w:type="pct"/>
            <w:shd w:val="clear" w:color="auto" w:fill="auto"/>
            <w:noWrap/>
            <w:vAlign w:val="bottom"/>
            <w:hideMark/>
          </w:tcPr>
          <w:p w14:paraId="77DA02B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$4.262,81</w:t>
            </w:r>
          </w:p>
        </w:tc>
        <w:tc>
          <w:tcPr>
            <w:tcW w:w="373" w:type="pct"/>
            <w:shd w:val="clear" w:color="auto" w:fill="auto"/>
            <w:noWrap/>
            <w:vAlign w:val="bottom"/>
            <w:hideMark/>
          </w:tcPr>
          <w:p w14:paraId="01A6861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w:t>
            </w:r>
          </w:p>
        </w:tc>
      </w:tr>
      <w:tr w:rsidR="001A38D5" w:rsidRPr="001A38D5" w14:paraId="4719F7BC" w14:textId="77777777" w:rsidTr="00A20990">
        <w:trPr>
          <w:trHeight w:val="20"/>
        </w:trPr>
        <w:tc>
          <w:tcPr>
            <w:tcW w:w="1935" w:type="pct"/>
            <w:shd w:val="clear" w:color="auto" w:fill="auto"/>
            <w:noWrap/>
            <w:vAlign w:val="bottom"/>
            <w:hideMark/>
          </w:tcPr>
          <w:p w14:paraId="31C1B39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UNION TEMPORAL PAE PARA VILLAVICENCIO 2020</w:t>
            </w:r>
          </w:p>
        </w:tc>
        <w:tc>
          <w:tcPr>
            <w:tcW w:w="673" w:type="pct"/>
            <w:shd w:val="clear" w:color="auto" w:fill="auto"/>
            <w:noWrap/>
            <w:vAlign w:val="bottom"/>
            <w:hideMark/>
          </w:tcPr>
          <w:p w14:paraId="6F135E0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901.364.060-2</w:t>
            </w:r>
          </w:p>
        </w:tc>
        <w:tc>
          <w:tcPr>
            <w:tcW w:w="560" w:type="pct"/>
            <w:shd w:val="clear" w:color="auto" w:fill="auto"/>
            <w:noWrap/>
            <w:vAlign w:val="bottom"/>
            <w:hideMark/>
          </w:tcPr>
          <w:p w14:paraId="550B18E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509010633</w:t>
            </w:r>
          </w:p>
        </w:tc>
        <w:tc>
          <w:tcPr>
            <w:tcW w:w="1027" w:type="pct"/>
            <w:shd w:val="clear" w:color="auto" w:fill="auto"/>
            <w:noWrap/>
            <w:vAlign w:val="bottom"/>
            <w:hideMark/>
          </w:tcPr>
          <w:p w14:paraId="25C6E7D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BBVA COLOMBIA</w:t>
            </w:r>
          </w:p>
        </w:tc>
        <w:tc>
          <w:tcPr>
            <w:tcW w:w="431" w:type="pct"/>
            <w:shd w:val="clear" w:color="auto" w:fill="auto"/>
            <w:noWrap/>
            <w:vAlign w:val="bottom"/>
            <w:hideMark/>
          </w:tcPr>
          <w:p w14:paraId="5AB8734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$288,47</w:t>
            </w:r>
          </w:p>
        </w:tc>
        <w:tc>
          <w:tcPr>
            <w:tcW w:w="373" w:type="pct"/>
            <w:shd w:val="clear" w:color="auto" w:fill="auto"/>
            <w:noWrap/>
            <w:vAlign w:val="bottom"/>
            <w:hideMark/>
          </w:tcPr>
          <w:p w14:paraId="712C2F2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w:t>
            </w:r>
          </w:p>
        </w:tc>
      </w:tr>
      <w:tr w:rsidR="001A38D5" w:rsidRPr="001A38D5" w14:paraId="764D41A8" w14:textId="77777777" w:rsidTr="00A20990">
        <w:trPr>
          <w:trHeight w:val="20"/>
        </w:trPr>
        <w:tc>
          <w:tcPr>
            <w:tcW w:w="1935" w:type="pct"/>
            <w:shd w:val="clear" w:color="auto" w:fill="auto"/>
            <w:noWrap/>
            <w:vAlign w:val="bottom"/>
            <w:hideMark/>
          </w:tcPr>
          <w:p w14:paraId="4A41B7D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UT COMPROMISO X VICIO</w:t>
            </w:r>
          </w:p>
        </w:tc>
        <w:tc>
          <w:tcPr>
            <w:tcW w:w="673" w:type="pct"/>
            <w:shd w:val="clear" w:color="auto" w:fill="auto"/>
            <w:noWrap/>
            <w:vAlign w:val="bottom"/>
            <w:hideMark/>
          </w:tcPr>
          <w:p w14:paraId="5636BD6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901.438.327-2</w:t>
            </w:r>
          </w:p>
        </w:tc>
        <w:tc>
          <w:tcPr>
            <w:tcW w:w="560" w:type="pct"/>
            <w:shd w:val="clear" w:color="auto" w:fill="auto"/>
            <w:noWrap/>
            <w:vAlign w:val="bottom"/>
            <w:hideMark/>
          </w:tcPr>
          <w:p w14:paraId="0D0DBDE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24103425117</w:t>
            </w:r>
          </w:p>
        </w:tc>
        <w:tc>
          <w:tcPr>
            <w:tcW w:w="1027" w:type="pct"/>
            <w:shd w:val="clear" w:color="auto" w:fill="auto"/>
            <w:noWrap/>
            <w:vAlign w:val="bottom"/>
            <w:hideMark/>
          </w:tcPr>
          <w:p w14:paraId="633B802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CAJA SOCIAL</w:t>
            </w:r>
          </w:p>
        </w:tc>
        <w:tc>
          <w:tcPr>
            <w:tcW w:w="431" w:type="pct"/>
            <w:shd w:val="clear" w:color="auto" w:fill="auto"/>
            <w:noWrap/>
            <w:vAlign w:val="bottom"/>
            <w:hideMark/>
          </w:tcPr>
          <w:p w14:paraId="7CAFBF8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$1.340,78</w:t>
            </w:r>
          </w:p>
        </w:tc>
        <w:tc>
          <w:tcPr>
            <w:tcW w:w="373" w:type="pct"/>
            <w:shd w:val="clear" w:color="auto" w:fill="auto"/>
            <w:noWrap/>
            <w:vAlign w:val="bottom"/>
            <w:hideMark/>
          </w:tcPr>
          <w:p w14:paraId="7D530E0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w:t>
            </w:r>
          </w:p>
        </w:tc>
      </w:tr>
      <w:tr w:rsidR="001A38D5" w:rsidRPr="001A38D5" w14:paraId="1C912E4D" w14:textId="77777777" w:rsidTr="00A20990">
        <w:trPr>
          <w:trHeight w:val="20"/>
        </w:trPr>
        <w:tc>
          <w:tcPr>
            <w:tcW w:w="1935" w:type="pct"/>
            <w:shd w:val="clear" w:color="auto" w:fill="auto"/>
            <w:noWrap/>
            <w:vAlign w:val="bottom"/>
            <w:hideMark/>
          </w:tcPr>
          <w:p w14:paraId="0CDCCFA2"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RESGUARDO INDIGENA MAGUARE</w:t>
            </w:r>
          </w:p>
        </w:tc>
        <w:tc>
          <w:tcPr>
            <w:tcW w:w="673" w:type="pct"/>
            <w:shd w:val="clear" w:color="000000" w:fill="FFC7CE"/>
            <w:noWrap/>
            <w:vAlign w:val="bottom"/>
            <w:hideMark/>
          </w:tcPr>
          <w:p w14:paraId="0E16283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891.857.920-2</w:t>
            </w:r>
          </w:p>
        </w:tc>
        <w:tc>
          <w:tcPr>
            <w:tcW w:w="560" w:type="pct"/>
            <w:shd w:val="clear" w:color="auto" w:fill="auto"/>
            <w:noWrap/>
            <w:vAlign w:val="bottom"/>
            <w:hideMark/>
          </w:tcPr>
          <w:p w14:paraId="031249F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84100001363</w:t>
            </w:r>
          </w:p>
        </w:tc>
        <w:tc>
          <w:tcPr>
            <w:tcW w:w="1027" w:type="pct"/>
            <w:shd w:val="clear" w:color="auto" w:fill="auto"/>
            <w:noWrap/>
            <w:vAlign w:val="bottom"/>
            <w:hideMark/>
          </w:tcPr>
          <w:p w14:paraId="6FAD0742"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431" w:type="pct"/>
            <w:shd w:val="clear" w:color="auto" w:fill="auto"/>
            <w:noWrap/>
            <w:vAlign w:val="bottom"/>
            <w:hideMark/>
          </w:tcPr>
          <w:p w14:paraId="5BFC707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$11,64</w:t>
            </w:r>
          </w:p>
        </w:tc>
        <w:tc>
          <w:tcPr>
            <w:tcW w:w="373" w:type="pct"/>
            <w:shd w:val="clear" w:color="auto" w:fill="auto"/>
            <w:noWrap/>
            <w:vAlign w:val="bottom"/>
            <w:hideMark/>
          </w:tcPr>
          <w:p w14:paraId="7E72FE4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0CB0CC77" w14:textId="77777777" w:rsidTr="00A20990">
        <w:trPr>
          <w:trHeight w:val="20"/>
        </w:trPr>
        <w:tc>
          <w:tcPr>
            <w:tcW w:w="1935" w:type="pct"/>
            <w:shd w:val="clear" w:color="auto" w:fill="auto"/>
            <w:noWrap/>
            <w:vAlign w:val="bottom"/>
            <w:hideMark/>
          </w:tcPr>
          <w:p w14:paraId="08AA116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RESGUARDO INDIGENA MAGUARE</w:t>
            </w:r>
          </w:p>
        </w:tc>
        <w:tc>
          <w:tcPr>
            <w:tcW w:w="673" w:type="pct"/>
            <w:shd w:val="clear" w:color="auto" w:fill="auto"/>
            <w:noWrap/>
            <w:vAlign w:val="bottom"/>
            <w:hideMark/>
          </w:tcPr>
          <w:p w14:paraId="7F6B20B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901.053.503-9</w:t>
            </w:r>
          </w:p>
        </w:tc>
        <w:tc>
          <w:tcPr>
            <w:tcW w:w="560" w:type="pct"/>
            <w:shd w:val="clear" w:color="auto" w:fill="auto"/>
            <w:noWrap/>
            <w:vAlign w:val="bottom"/>
            <w:hideMark/>
          </w:tcPr>
          <w:p w14:paraId="4BD30D6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84100000507</w:t>
            </w:r>
          </w:p>
        </w:tc>
        <w:tc>
          <w:tcPr>
            <w:tcW w:w="1027" w:type="pct"/>
            <w:shd w:val="clear" w:color="auto" w:fill="auto"/>
            <w:noWrap/>
            <w:vAlign w:val="bottom"/>
            <w:hideMark/>
          </w:tcPr>
          <w:p w14:paraId="7AB7260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431" w:type="pct"/>
            <w:shd w:val="clear" w:color="auto" w:fill="auto"/>
            <w:noWrap/>
            <w:vAlign w:val="bottom"/>
            <w:hideMark/>
          </w:tcPr>
          <w:p w14:paraId="5F3AB80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$21,20</w:t>
            </w:r>
          </w:p>
        </w:tc>
        <w:tc>
          <w:tcPr>
            <w:tcW w:w="373" w:type="pct"/>
            <w:shd w:val="clear" w:color="auto" w:fill="auto"/>
            <w:noWrap/>
            <w:vAlign w:val="bottom"/>
            <w:hideMark/>
          </w:tcPr>
          <w:p w14:paraId="6AB3BEE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w:t>
            </w:r>
          </w:p>
        </w:tc>
      </w:tr>
      <w:tr w:rsidR="001A38D5" w:rsidRPr="001A38D5" w14:paraId="1E378F9B" w14:textId="77777777" w:rsidTr="00A20990">
        <w:trPr>
          <w:trHeight w:val="20"/>
        </w:trPr>
        <w:tc>
          <w:tcPr>
            <w:tcW w:w="1935" w:type="pct"/>
            <w:shd w:val="clear" w:color="auto" w:fill="auto"/>
            <w:noWrap/>
            <w:vAlign w:val="bottom"/>
            <w:hideMark/>
          </w:tcPr>
          <w:p w14:paraId="75A0AB72"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RESGUARDO INDIGENA MAGUARE</w:t>
            </w:r>
          </w:p>
        </w:tc>
        <w:tc>
          <w:tcPr>
            <w:tcW w:w="673" w:type="pct"/>
            <w:shd w:val="clear" w:color="auto" w:fill="auto"/>
            <w:noWrap/>
            <w:vAlign w:val="bottom"/>
            <w:hideMark/>
          </w:tcPr>
          <w:p w14:paraId="2FDE39C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901.053.503-9</w:t>
            </w:r>
          </w:p>
        </w:tc>
        <w:tc>
          <w:tcPr>
            <w:tcW w:w="560" w:type="pct"/>
            <w:shd w:val="clear" w:color="auto" w:fill="auto"/>
            <w:noWrap/>
            <w:vAlign w:val="bottom"/>
            <w:hideMark/>
          </w:tcPr>
          <w:p w14:paraId="7B5BBA2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84100001363</w:t>
            </w:r>
          </w:p>
        </w:tc>
        <w:tc>
          <w:tcPr>
            <w:tcW w:w="1027" w:type="pct"/>
            <w:shd w:val="clear" w:color="auto" w:fill="auto"/>
            <w:noWrap/>
            <w:vAlign w:val="bottom"/>
            <w:hideMark/>
          </w:tcPr>
          <w:p w14:paraId="09010D6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431" w:type="pct"/>
            <w:shd w:val="clear" w:color="auto" w:fill="auto"/>
            <w:noWrap/>
            <w:vAlign w:val="bottom"/>
            <w:hideMark/>
          </w:tcPr>
          <w:p w14:paraId="086B50D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$21,38</w:t>
            </w:r>
          </w:p>
        </w:tc>
        <w:tc>
          <w:tcPr>
            <w:tcW w:w="373" w:type="pct"/>
            <w:shd w:val="clear" w:color="auto" w:fill="auto"/>
            <w:noWrap/>
            <w:vAlign w:val="bottom"/>
            <w:hideMark/>
          </w:tcPr>
          <w:p w14:paraId="1808A1E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w:t>
            </w:r>
          </w:p>
        </w:tc>
      </w:tr>
      <w:tr w:rsidR="001A38D5" w:rsidRPr="001A38D5" w14:paraId="37653922" w14:textId="77777777" w:rsidTr="00A20990">
        <w:trPr>
          <w:trHeight w:val="20"/>
        </w:trPr>
        <w:tc>
          <w:tcPr>
            <w:tcW w:w="1935" w:type="pct"/>
            <w:shd w:val="clear" w:color="auto" w:fill="auto"/>
            <w:noWrap/>
            <w:vAlign w:val="bottom"/>
            <w:hideMark/>
          </w:tcPr>
          <w:p w14:paraId="548CF6B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673" w:type="pct"/>
            <w:shd w:val="clear" w:color="000000" w:fill="FFC7CE"/>
            <w:noWrap/>
            <w:vAlign w:val="bottom"/>
            <w:hideMark/>
          </w:tcPr>
          <w:p w14:paraId="3EE28AC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891.480.085-7</w:t>
            </w:r>
          </w:p>
        </w:tc>
        <w:tc>
          <w:tcPr>
            <w:tcW w:w="560" w:type="pct"/>
            <w:shd w:val="clear" w:color="auto" w:fill="auto"/>
            <w:noWrap/>
            <w:vAlign w:val="bottom"/>
            <w:hideMark/>
          </w:tcPr>
          <w:p w14:paraId="13F3A1A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364618579</w:t>
            </w:r>
          </w:p>
        </w:tc>
        <w:tc>
          <w:tcPr>
            <w:tcW w:w="1027" w:type="pct"/>
            <w:shd w:val="clear" w:color="auto" w:fill="auto"/>
            <w:noWrap/>
            <w:vAlign w:val="bottom"/>
            <w:hideMark/>
          </w:tcPr>
          <w:p w14:paraId="048D72F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431" w:type="pct"/>
            <w:shd w:val="clear" w:color="auto" w:fill="auto"/>
            <w:noWrap/>
            <w:vAlign w:val="bottom"/>
            <w:hideMark/>
          </w:tcPr>
          <w:p w14:paraId="417F30E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$0,19</w:t>
            </w:r>
          </w:p>
        </w:tc>
        <w:tc>
          <w:tcPr>
            <w:tcW w:w="373" w:type="pct"/>
            <w:shd w:val="clear" w:color="auto" w:fill="auto"/>
            <w:noWrap/>
            <w:vAlign w:val="bottom"/>
            <w:hideMark/>
          </w:tcPr>
          <w:p w14:paraId="47843EA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28EE7AEA" w14:textId="77777777" w:rsidTr="00A20990">
        <w:trPr>
          <w:trHeight w:val="20"/>
        </w:trPr>
        <w:tc>
          <w:tcPr>
            <w:tcW w:w="1935" w:type="pct"/>
            <w:shd w:val="clear" w:color="auto" w:fill="auto"/>
            <w:noWrap/>
            <w:vAlign w:val="bottom"/>
            <w:hideMark/>
          </w:tcPr>
          <w:p w14:paraId="414D8F5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673" w:type="pct"/>
            <w:shd w:val="clear" w:color="000000" w:fill="FFC7CE"/>
            <w:noWrap/>
            <w:vAlign w:val="bottom"/>
            <w:hideMark/>
          </w:tcPr>
          <w:p w14:paraId="5781BD9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892.115.015-1</w:t>
            </w:r>
          </w:p>
        </w:tc>
        <w:tc>
          <w:tcPr>
            <w:tcW w:w="560" w:type="pct"/>
            <w:shd w:val="clear" w:color="auto" w:fill="auto"/>
            <w:noWrap/>
            <w:vAlign w:val="bottom"/>
            <w:hideMark/>
          </w:tcPr>
          <w:p w14:paraId="2753761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364618579</w:t>
            </w:r>
          </w:p>
        </w:tc>
        <w:tc>
          <w:tcPr>
            <w:tcW w:w="1027" w:type="pct"/>
            <w:shd w:val="clear" w:color="auto" w:fill="auto"/>
            <w:noWrap/>
            <w:vAlign w:val="bottom"/>
            <w:hideMark/>
          </w:tcPr>
          <w:p w14:paraId="47E7271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431" w:type="pct"/>
            <w:shd w:val="clear" w:color="auto" w:fill="auto"/>
            <w:noWrap/>
            <w:vAlign w:val="bottom"/>
            <w:hideMark/>
          </w:tcPr>
          <w:p w14:paraId="09D2FD5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$0,52</w:t>
            </w:r>
          </w:p>
        </w:tc>
        <w:tc>
          <w:tcPr>
            <w:tcW w:w="373" w:type="pct"/>
            <w:shd w:val="clear" w:color="auto" w:fill="auto"/>
            <w:noWrap/>
            <w:vAlign w:val="bottom"/>
            <w:hideMark/>
          </w:tcPr>
          <w:p w14:paraId="7E4E9D1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w:t>
            </w:r>
          </w:p>
        </w:tc>
      </w:tr>
      <w:tr w:rsidR="001A38D5" w:rsidRPr="001A38D5" w14:paraId="68D21B18" w14:textId="77777777" w:rsidTr="00A20990">
        <w:trPr>
          <w:trHeight w:val="20"/>
        </w:trPr>
        <w:tc>
          <w:tcPr>
            <w:tcW w:w="1935" w:type="pct"/>
            <w:shd w:val="clear" w:color="auto" w:fill="auto"/>
            <w:noWrap/>
            <w:vAlign w:val="bottom"/>
            <w:hideMark/>
          </w:tcPr>
          <w:p w14:paraId="5FEE35F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673" w:type="pct"/>
            <w:shd w:val="clear" w:color="000000" w:fill="FFC7CE"/>
            <w:noWrap/>
            <w:vAlign w:val="bottom"/>
            <w:hideMark/>
          </w:tcPr>
          <w:p w14:paraId="5098AE6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8.920.993.243-8</w:t>
            </w:r>
          </w:p>
        </w:tc>
        <w:tc>
          <w:tcPr>
            <w:tcW w:w="560" w:type="pct"/>
            <w:shd w:val="clear" w:color="auto" w:fill="auto"/>
            <w:noWrap/>
            <w:vAlign w:val="bottom"/>
            <w:hideMark/>
          </w:tcPr>
          <w:p w14:paraId="0C677A5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364618579</w:t>
            </w:r>
          </w:p>
        </w:tc>
        <w:tc>
          <w:tcPr>
            <w:tcW w:w="1027" w:type="pct"/>
            <w:shd w:val="clear" w:color="auto" w:fill="auto"/>
            <w:noWrap/>
            <w:vAlign w:val="bottom"/>
            <w:hideMark/>
          </w:tcPr>
          <w:p w14:paraId="78CC212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431" w:type="pct"/>
            <w:shd w:val="clear" w:color="auto" w:fill="auto"/>
            <w:noWrap/>
            <w:vAlign w:val="bottom"/>
            <w:hideMark/>
          </w:tcPr>
          <w:p w14:paraId="4A21E4E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$0,10</w:t>
            </w:r>
          </w:p>
        </w:tc>
        <w:tc>
          <w:tcPr>
            <w:tcW w:w="373" w:type="pct"/>
            <w:shd w:val="clear" w:color="auto" w:fill="auto"/>
            <w:noWrap/>
            <w:vAlign w:val="bottom"/>
            <w:hideMark/>
          </w:tcPr>
          <w:p w14:paraId="11579A9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735BBCF3" w14:textId="77777777" w:rsidTr="00A20990">
        <w:trPr>
          <w:trHeight w:val="20"/>
        </w:trPr>
        <w:tc>
          <w:tcPr>
            <w:tcW w:w="1935" w:type="pct"/>
            <w:shd w:val="clear" w:color="auto" w:fill="auto"/>
            <w:noWrap/>
            <w:vAlign w:val="bottom"/>
            <w:hideMark/>
          </w:tcPr>
          <w:p w14:paraId="5F66672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673" w:type="pct"/>
            <w:shd w:val="clear" w:color="auto" w:fill="auto"/>
            <w:noWrap/>
            <w:vAlign w:val="bottom"/>
            <w:hideMark/>
          </w:tcPr>
          <w:p w14:paraId="7690DBB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892.099.324-3</w:t>
            </w:r>
          </w:p>
        </w:tc>
        <w:tc>
          <w:tcPr>
            <w:tcW w:w="560" w:type="pct"/>
            <w:shd w:val="clear" w:color="auto" w:fill="auto"/>
            <w:noWrap/>
            <w:vAlign w:val="bottom"/>
            <w:hideMark/>
          </w:tcPr>
          <w:p w14:paraId="2E493E4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364618579</w:t>
            </w:r>
          </w:p>
        </w:tc>
        <w:tc>
          <w:tcPr>
            <w:tcW w:w="1027" w:type="pct"/>
            <w:shd w:val="clear" w:color="auto" w:fill="auto"/>
            <w:noWrap/>
            <w:vAlign w:val="bottom"/>
            <w:hideMark/>
          </w:tcPr>
          <w:p w14:paraId="4AE68142"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431" w:type="pct"/>
            <w:shd w:val="clear" w:color="auto" w:fill="auto"/>
            <w:noWrap/>
            <w:vAlign w:val="bottom"/>
            <w:hideMark/>
          </w:tcPr>
          <w:p w14:paraId="07F9908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$561,28</w:t>
            </w:r>
          </w:p>
        </w:tc>
        <w:tc>
          <w:tcPr>
            <w:tcW w:w="373" w:type="pct"/>
            <w:shd w:val="clear" w:color="auto" w:fill="auto"/>
            <w:noWrap/>
            <w:vAlign w:val="bottom"/>
            <w:hideMark/>
          </w:tcPr>
          <w:p w14:paraId="0C2B475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52</w:t>
            </w:r>
          </w:p>
        </w:tc>
      </w:tr>
      <w:tr w:rsidR="001A38D5" w:rsidRPr="001A38D5" w14:paraId="2B6BDA81" w14:textId="77777777" w:rsidTr="00A20990">
        <w:trPr>
          <w:trHeight w:val="20"/>
        </w:trPr>
        <w:tc>
          <w:tcPr>
            <w:tcW w:w="1935" w:type="pct"/>
            <w:shd w:val="clear" w:color="auto" w:fill="auto"/>
            <w:noWrap/>
            <w:vAlign w:val="bottom"/>
            <w:hideMark/>
          </w:tcPr>
          <w:p w14:paraId="216C9DE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673" w:type="pct"/>
            <w:shd w:val="clear" w:color="auto" w:fill="auto"/>
            <w:noWrap/>
            <w:vAlign w:val="bottom"/>
            <w:hideMark/>
          </w:tcPr>
          <w:p w14:paraId="5EF288D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892.099.324-3</w:t>
            </w:r>
          </w:p>
        </w:tc>
        <w:tc>
          <w:tcPr>
            <w:tcW w:w="560" w:type="pct"/>
            <w:shd w:val="clear" w:color="auto" w:fill="auto"/>
            <w:noWrap/>
            <w:vAlign w:val="bottom"/>
            <w:hideMark/>
          </w:tcPr>
          <w:p w14:paraId="1978D62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364689828</w:t>
            </w:r>
          </w:p>
        </w:tc>
        <w:tc>
          <w:tcPr>
            <w:tcW w:w="1027" w:type="pct"/>
            <w:shd w:val="clear" w:color="auto" w:fill="auto"/>
            <w:noWrap/>
            <w:vAlign w:val="bottom"/>
            <w:hideMark/>
          </w:tcPr>
          <w:p w14:paraId="4BBD8B6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431" w:type="pct"/>
            <w:shd w:val="clear" w:color="auto" w:fill="auto"/>
            <w:noWrap/>
            <w:vAlign w:val="bottom"/>
            <w:hideMark/>
          </w:tcPr>
          <w:p w14:paraId="4199254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$708,02</w:t>
            </w:r>
          </w:p>
        </w:tc>
        <w:tc>
          <w:tcPr>
            <w:tcW w:w="373" w:type="pct"/>
            <w:shd w:val="clear" w:color="auto" w:fill="auto"/>
            <w:noWrap/>
            <w:vAlign w:val="bottom"/>
            <w:hideMark/>
          </w:tcPr>
          <w:p w14:paraId="2B3856E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5B06EEC1" w14:textId="77777777" w:rsidTr="00A20990">
        <w:trPr>
          <w:trHeight w:val="20"/>
        </w:trPr>
        <w:tc>
          <w:tcPr>
            <w:tcW w:w="1935" w:type="pct"/>
            <w:shd w:val="clear" w:color="auto" w:fill="auto"/>
            <w:noWrap/>
            <w:vAlign w:val="bottom"/>
            <w:hideMark/>
          </w:tcPr>
          <w:p w14:paraId="63AA4BD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BUITRAGO CORTES JAISON</w:t>
            </w:r>
          </w:p>
        </w:tc>
        <w:tc>
          <w:tcPr>
            <w:tcW w:w="673" w:type="pct"/>
            <w:shd w:val="clear" w:color="auto" w:fill="auto"/>
            <w:noWrap/>
            <w:vAlign w:val="bottom"/>
            <w:hideMark/>
          </w:tcPr>
          <w:p w14:paraId="172D8F0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1.121.916.231</w:t>
            </w:r>
          </w:p>
        </w:tc>
        <w:tc>
          <w:tcPr>
            <w:tcW w:w="560" w:type="pct"/>
            <w:shd w:val="clear" w:color="auto" w:fill="auto"/>
            <w:noWrap/>
            <w:vAlign w:val="bottom"/>
            <w:hideMark/>
          </w:tcPr>
          <w:p w14:paraId="49D4609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5732689071</w:t>
            </w:r>
          </w:p>
        </w:tc>
        <w:tc>
          <w:tcPr>
            <w:tcW w:w="1027" w:type="pct"/>
            <w:shd w:val="clear" w:color="auto" w:fill="auto"/>
            <w:noWrap/>
            <w:vAlign w:val="bottom"/>
            <w:hideMark/>
          </w:tcPr>
          <w:p w14:paraId="738AA6B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431" w:type="pct"/>
            <w:shd w:val="clear" w:color="auto" w:fill="auto"/>
            <w:noWrap/>
            <w:vAlign w:val="bottom"/>
            <w:hideMark/>
          </w:tcPr>
          <w:p w14:paraId="292BCD1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$23,42</w:t>
            </w:r>
          </w:p>
        </w:tc>
        <w:tc>
          <w:tcPr>
            <w:tcW w:w="373" w:type="pct"/>
            <w:shd w:val="clear" w:color="auto" w:fill="auto"/>
            <w:noWrap/>
            <w:vAlign w:val="bottom"/>
            <w:hideMark/>
          </w:tcPr>
          <w:p w14:paraId="106703B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w:t>
            </w:r>
          </w:p>
        </w:tc>
      </w:tr>
      <w:tr w:rsidR="001A38D5" w:rsidRPr="001A38D5" w14:paraId="311C3F07" w14:textId="77777777" w:rsidTr="00A20990">
        <w:trPr>
          <w:trHeight w:val="20"/>
        </w:trPr>
        <w:tc>
          <w:tcPr>
            <w:tcW w:w="1935" w:type="pct"/>
            <w:shd w:val="clear" w:color="auto" w:fill="auto"/>
            <w:noWrap/>
            <w:vAlign w:val="bottom"/>
            <w:hideMark/>
          </w:tcPr>
          <w:p w14:paraId="3402497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GALINDO MATEUS FABIAN</w:t>
            </w:r>
          </w:p>
        </w:tc>
        <w:tc>
          <w:tcPr>
            <w:tcW w:w="673" w:type="pct"/>
            <w:shd w:val="clear" w:color="auto" w:fill="auto"/>
            <w:noWrap/>
            <w:vAlign w:val="bottom"/>
            <w:hideMark/>
          </w:tcPr>
          <w:p w14:paraId="56C83A0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1.121.828.845</w:t>
            </w:r>
          </w:p>
        </w:tc>
        <w:tc>
          <w:tcPr>
            <w:tcW w:w="560" w:type="pct"/>
            <w:shd w:val="clear" w:color="auto" w:fill="auto"/>
            <w:noWrap/>
            <w:vAlign w:val="bottom"/>
            <w:hideMark/>
          </w:tcPr>
          <w:p w14:paraId="5A6737C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3114901612</w:t>
            </w:r>
          </w:p>
        </w:tc>
        <w:tc>
          <w:tcPr>
            <w:tcW w:w="1027" w:type="pct"/>
            <w:shd w:val="clear" w:color="auto" w:fill="auto"/>
            <w:noWrap/>
            <w:vAlign w:val="bottom"/>
            <w:hideMark/>
          </w:tcPr>
          <w:p w14:paraId="44D36BD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431" w:type="pct"/>
            <w:shd w:val="clear" w:color="auto" w:fill="auto"/>
            <w:noWrap/>
            <w:vAlign w:val="bottom"/>
            <w:hideMark/>
          </w:tcPr>
          <w:p w14:paraId="7DDDDB5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$25,32</w:t>
            </w:r>
          </w:p>
        </w:tc>
        <w:tc>
          <w:tcPr>
            <w:tcW w:w="373" w:type="pct"/>
            <w:shd w:val="clear" w:color="auto" w:fill="auto"/>
            <w:noWrap/>
            <w:vAlign w:val="bottom"/>
            <w:hideMark/>
          </w:tcPr>
          <w:p w14:paraId="4333B10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w:t>
            </w:r>
          </w:p>
        </w:tc>
      </w:tr>
      <w:tr w:rsidR="001A38D5" w:rsidRPr="001A38D5" w14:paraId="0334CBF1" w14:textId="77777777" w:rsidTr="00A20990">
        <w:trPr>
          <w:trHeight w:val="20"/>
        </w:trPr>
        <w:tc>
          <w:tcPr>
            <w:tcW w:w="1935" w:type="pct"/>
            <w:shd w:val="clear" w:color="auto" w:fill="auto"/>
            <w:noWrap/>
            <w:vAlign w:val="bottom"/>
            <w:hideMark/>
          </w:tcPr>
          <w:p w14:paraId="23AABA5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GALINDO MATEUS FABIAN</w:t>
            </w:r>
          </w:p>
        </w:tc>
        <w:tc>
          <w:tcPr>
            <w:tcW w:w="673" w:type="pct"/>
            <w:shd w:val="clear" w:color="auto" w:fill="auto"/>
            <w:noWrap/>
            <w:vAlign w:val="bottom"/>
            <w:hideMark/>
          </w:tcPr>
          <w:p w14:paraId="67BAC04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1.121.828.845</w:t>
            </w:r>
          </w:p>
        </w:tc>
        <w:tc>
          <w:tcPr>
            <w:tcW w:w="560" w:type="pct"/>
            <w:shd w:val="clear" w:color="auto" w:fill="auto"/>
            <w:noWrap/>
            <w:vAlign w:val="bottom"/>
            <w:hideMark/>
          </w:tcPr>
          <w:p w14:paraId="026EE0C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357254317</w:t>
            </w:r>
          </w:p>
        </w:tc>
        <w:tc>
          <w:tcPr>
            <w:tcW w:w="1027" w:type="pct"/>
            <w:shd w:val="clear" w:color="auto" w:fill="auto"/>
            <w:noWrap/>
            <w:vAlign w:val="bottom"/>
            <w:hideMark/>
          </w:tcPr>
          <w:p w14:paraId="72B2C1C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431" w:type="pct"/>
            <w:shd w:val="clear" w:color="auto" w:fill="auto"/>
            <w:noWrap/>
            <w:vAlign w:val="bottom"/>
            <w:hideMark/>
          </w:tcPr>
          <w:p w14:paraId="4EC00C8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$13,49</w:t>
            </w:r>
          </w:p>
        </w:tc>
        <w:tc>
          <w:tcPr>
            <w:tcW w:w="373" w:type="pct"/>
            <w:shd w:val="clear" w:color="auto" w:fill="auto"/>
            <w:noWrap/>
            <w:vAlign w:val="bottom"/>
            <w:hideMark/>
          </w:tcPr>
          <w:p w14:paraId="38ADEB9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w:t>
            </w:r>
          </w:p>
        </w:tc>
      </w:tr>
      <w:tr w:rsidR="001A38D5" w:rsidRPr="001A38D5" w14:paraId="5C3811AE" w14:textId="77777777" w:rsidTr="00A20990">
        <w:trPr>
          <w:trHeight w:val="20"/>
        </w:trPr>
        <w:tc>
          <w:tcPr>
            <w:tcW w:w="1935" w:type="pct"/>
            <w:shd w:val="clear" w:color="auto" w:fill="auto"/>
            <w:noWrap/>
            <w:vAlign w:val="bottom"/>
            <w:hideMark/>
          </w:tcPr>
          <w:p w14:paraId="1B80913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HECTOR JULIAN CASTRO REYES</w:t>
            </w:r>
          </w:p>
        </w:tc>
        <w:tc>
          <w:tcPr>
            <w:tcW w:w="673" w:type="pct"/>
            <w:shd w:val="clear" w:color="auto" w:fill="auto"/>
            <w:noWrap/>
            <w:vAlign w:val="bottom"/>
            <w:hideMark/>
          </w:tcPr>
          <w:p w14:paraId="2E502C2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80.765.239</w:t>
            </w:r>
          </w:p>
        </w:tc>
        <w:tc>
          <w:tcPr>
            <w:tcW w:w="560" w:type="pct"/>
            <w:shd w:val="clear" w:color="auto" w:fill="auto"/>
            <w:noWrap/>
            <w:vAlign w:val="bottom"/>
            <w:hideMark/>
          </w:tcPr>
          <w:p w14:paraId="54BA829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646471581</w:t>
            </w:r>
          </w:p>
        </w:tc>
        <w:tc>
          <w:tcPr>
            <w:tcW w:w="1027" w:type="pct"/>
            <w:shd w:val="clear" w:color="auto" w:fill="auto"/>
            <w:noWrap/>
            <w:vAlign w:val="bottom"/>
            <w:hideMark/>
          </w:tcPr>
          <w:p w14:paraId="1231FF4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431" w:type="pct"/>
            <w:shd w:val="clear" w:color="auto" w:fill="auto"/>
            <w:noWrap/>
            <w:vAlign w:val="bottom"/>
            <w:hideMark/>
          </w:tcPr>
          <w:p w14:paraId="231B27C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$3,61</w:t>
            </w:r>
          </w:p>
        </w:tc>
        <w:tc>
          <w:tcPr>
            <w:tcW w:w="373" w:type="pct"/>
            <w:shd w:val="clear" w:color="auto" w:fill="auto"/>
            <w:noWrap/>
            <w:vAlign w:val="bottom"/>
            <w:hideMark/>
          </w:tcPr>
          <w:p w14:paraId="63D0CC3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1892D777" w14:textId="77777777" w:rsidTr="00A20990">
        <w:trPr>
          <w:trHeight w:val="20"/>
        </w:trPr>
        <w:tc>
          <w:tcPr>
            <w:tcW w:w="1935" w:type="pct"/>
            <w:shd w:val="clear" w:color="auto" w:fill="auto"/>
            <w:noWrap/>
            <w:vAlign w:val="bottom"/>
            <w:hideMark/>
          </w:tcPr>
          <w:p w14:paraId="6E0B320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HERNANDEZ PINEDA NORBEY</w:t>
            </w:r>
          </w:p>
        </w:tc>
        <w:tc>
          <w:tcPr>
            <w:tcW w:w="673" w:type="pct"/>
            <w:shd w:val="clear" w:color="auto" w:fill="auto"/>
            <w:noWrap/>
            <w:vAlign w:val="bottom"/>
            <w:hideMark/>
          </w:tcPr>
          <w:p w14:paraId="3E8B0D0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1.121.930.156</w:t>
            </w:r>
          </w:p>
        </w:tc>
        <w:tc>
          <w:tcPr>
            <w:tcW w:w="560" w:type="pct"/>
            <w:shd w:val="clear" w:color="auto" w:fill="auto"/>
            <w:noWrap/>
            <w:vAlign w:val="bottom"/>
            <w:hideMark/>
          </w:tcPr>
          <w:p w14:paraId="777EF73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1700015650</w:t>
            </w:r>
          </w:p>
        </w:tc>
        <w:tc>
          <w:tcPr>
            <w:tcW w:w="1027" w:type="pct"/>
            <w:shd w:val="clear" w:color="auto" w:fill="auto"/>
            <w:noWrap/>
            <w:vAlign w:val="bottom"/>
            <w:hideMark/>
          </w:tcPr>
          <w:p w14:paraId="5CDFE67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431" w:type="pct"/>
            <w:shd w:val="clear" w:color="auto" w:fill="auto"/>
            <w:noWrap/>
            <w:vAlign w:val="bottom"/>
            <w:hideMark/>
          </w:tcPr>
          <w:p w14:paraId="1499D85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$6,75</w:t>
            </w:r>
          </w:p>
        </w:tc>
        <w:tc>
          <w:tcPr>
            <w:tcW w:w="373" w:type="pct"/>
            <w:shd w:val="clear" w:color="auto" w:fill="auto"/>
            <w:noWrap/>
            <w:vAlign w:val="bottom"/>
            <w:hideMark/>
          </w:tcPr>
          <w:p w14:paraId="6D0CA13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w:t>
            </w:r>
          </w:p>
        </w:tc>
      </w:tr>
      <w:tr w:rsidR="001A38D5" w:rsidRPr="001A38D5" w14:paraId="3B1D4353" w14:textId="77777777" w:rsidTr="00A20990">
        <w:trPr>
          <w:trHeight w:val="20"/>
        </w:trPr>
        <w:tc>
          <w:tcPr>
            <w:tcW w:w="1935" w:type="pct"/>
            <w:shd w:val="clear" w:color="auto" w:fill="auto"/>
            <w:noWrap/>
            <w:vAlign w:val="bottom"/>
            <w:hideMark/>
          </w:tcPr>
          <w:p w14:paraId="5460A12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HERRERA NOHORA</w:t>
            </w:r>
          </w:p>
        </w:tc>
        <w:tc>
          <w:tcPr>
            <w:tcW w:w="673" w:type="pct"/>
            <w:shd w:val="clear" w:color="auto" w:fill="auto"/>
            <w:noWrap/>
            <w:vAlign w:val="bottom"/>
            <w:hideMark/>
          </w:tcPr>
          <w:p w14:paraId="1A136CD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40.394.104</w:t>
            </w:r>
          </w:p>
        </w:tc>
        <w:tc>
          <w:tcPr>
            <w:tcW w:w="560" w:type="pct"/>
            <w:shd w:val="clear" w:color="auto" w:fill="auto"/>
            <w:noWrap/>
            <w:vAlign w:val="bottom"/>
            <w:hideMark/>
          </w:tcPr>
          <w:p w14:paraId="7642A6B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636402323</w:t>
            </w:r>
          </w:p>
        </w:tc>
        <w:tc>
          <w:tcPr>
            <w:tcW w:w="1027" w:type="pct"/>
            <w:shd w:val="clear" w:color="auto" w:fill="auto"/>
            <w:noWrap/>
            <w:vAlign w:val="bottom"/>
            <w:hideMark/>
          </w:tcPr>
          <w:p w14:paraId="76022F3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431" w:type="pct"/>
            <w:shd w:val="clear" w:color="auto" w:fill="auto"/>
            <w:noWrap/>
            <w:vAlign w:val="bottom"/>
            <w:hideMark/>
          </w:tcPr>
          <w:p w14:paraId="4CDB2E1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$23,38</w:t>
            </w:r>
          </w:p>
        </w:tc>
        <w:tc>
          <w:tcPr>
            <w:tcW w:w="373" w:type="pct"/>
            <w:shd w:val="clear" w:color="auto" w:fill="auto"/>
            <w:noWrap/>
            <w:vAlign w:val="bottom"/>
            <w:hideMark/>
          </w:tcPr>
          <w:p w14:paraId="0F834C9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w:t>
            </w:r>
          </w:p>
        </w:tc>
      </w:tr>
      <w:tr w:rsidR="001A38D5" w:rsidRPr="001A38D5" w14:paraId="33AC6FEF" w14:textId="77777777" w:rsidTr="00A20990">
        <w:trPr>
          <w:trHeight w:val="20"/>
        </w:trPr>
        <w:tc>
          <w:tcPr>
            <w:tcW w:w="1935" w:type="pct"/>
            <w:shd w:val="clear" w:color="auto" w:fill="auto"/>
            <w:noWrap/>
            <w:vAlign w:val="bottom"/>
            <w:hideMark/>
          </w:tcPr>
          <w:p w14:paraId="6CAC892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MAYORGA DIAZ YESSICA</w:t>
            </w:r>
          </w:p>
        </w:tc>
        <w:tc>
          <w:tcPr>
            <w:tcW w:w="673" w:type="pct"/>
            <w:shd w:val="clear" w:color="auto" w:fill="auto"/>
            <w:noWrap/>
            <w:vAlign w:val="bottom"/>
            <w:hideMark/>
          </w:tcPr>
          <w:p w14:paraId="3216EB1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1.032.396.606</w:t>
            </w:r>
          </w:p>
        </w:tc>
        <w:tc>
          <w:tcPr>
            <w:tcW w:w="560" w:type="pct"/>
            <w:shd w:val="clear" w:color="auto" w:fill="auto"/>
            <w:noWrap/>
            <w:vAlign w:val="bottom"/>
            <w:hideMark/>
          </w:tcPr>
          <w:p w14:paraId="3444F11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296087687</w:t>
            </w:r>
          </w:p>
        </w:tc>
        <w:tc>
          <w:tcPr>
            <w:tcW w:w="1027" w:type="pct"/>
            <w:shd w:val="clear" w:color="auto" w:fill="auto"/>
            <w:noWrap/>
            <w:vAlign w:val="bottom"/>
            <w:hideMark/>
          </w:tcPr>
          <w:p w14:paraId="53E1301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BBVA COLOMBIA</w:t>
            </w:r>
          </w:p>
        </w:tc>
        <w:tc>
          <w:tcPr>
            <w:tcW w:w="431" w:type="pct"/>
            <w:shd w:val="clear" w:color="auto" w:fill="auto"/>
            <w:noWrap/>
            <w:vAlign w:val="bottom"/>
            <w:hideMark/>
          </w:tcPr>
          <w:p w14:paraId="00FE68B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$3,61</w:t>
            </w:r>
          </w:p>
        </w:tc>
        <w:tc>
          <w:tcPr>
            <w:tcW w:w="373" w:type="pct"/>
            <w:shd w:val="clear" w:color="auto" w:fill="auto"/>
            <w:noWrap/>
            <w:vAlign w:val="bottom"/>
            <w:hideMark/>
          </w:tcPr>
          <w:p w14:paraId="3B046BE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5A14A5DA" w14:textId="77777777" w:rsidTr="00A20990">
        <w:trPr>
          <w:trHeight w:val="20"/>
        </w:trPr>
        <w:tc>
          <w:tcPr>
            <w:tcW w:w="1935" w:type="pct"/>
            <w:shd w:val="clear" w:color="auto" w:fill="auto"/>
            <w:noWrap/>
            <w:vAlign w:val="bottom"/>
            <w:hideMark/>
          </w:tcPr>
          <w:p w14:paraId="794F022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MAYORGA DIAZ YESSICA</w:t>
            </w:r>
          </w:p>
        </w:tc>
        <w:tc>
          <w:tcPr>
            <w:tcW w:w="673" w:type="pct"/>
            <w:shd w:val="clear" w:color="auto" w:fill="auto"/>
            <w:noWrap/>
            <w:vAlign w:val="bottom"/>
            <w:hideMark/>
          </w:tcPr>
          <w:p w14:paraId="6712ACA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1.032.396.606</w:t>
            </w:r>
          </w:p>
        </w:tc>
        <w:tc>
          <w:tcPr>
            <w:tcW w:w="560" w:type="pct"/>
            <w:shd w:val="clear" w:color="auto" w:fill="auto"/>
            <w:noWrap/>
            <w:vAlign w:val="bottom"/>
            <w:hideMark/>
          </w:tcPr>
          <w:p w14:paraId="52770AF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87043084023</w:t>
            </w:r>
          </w:p>
        </w:tc>
        <w:tc>
          <w:tcPr>
            <w:tcW w:w="1027" w:type="pct"/>
            <w:shd w:val="clear" w:color="auto" w:fill="auto"/>
            <w:noWrap/>
            <w:vAlign w:val="bottom"/>
            <w:hideMark/>
          </w:tcPr>
          <w:p w14:paraId="3BEB8BD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431" w:type="pct"/>
            <w:shd w:val="clear" w:color="auto" w:fill="auto"/>
            <w:noWrap/>
            <w:vAlign w:val="bottom"/>
            <w:hideMark/>
          </w:tcPr>
          <w:p w14:paraId="56601A6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$37,01</w:t>
            </w:r>
          </w:p>
        </w:tc>
        <w:tc>
          <w:tcPr>
            <w:tcW w:w="373" w:type="pct"/>
            <w:shd w:val="clear" w:color="auto" w:fill="auto"/>
            <w:noWrap/>
            <w:vAlign w:val="bottom"/>
            <w:hideMark/>
          </w:tcPr>
          <w:p w14:paraId="3FE1F22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w:t>
            </w:r>
          </w:p>
        </w:tc>
      </w:tr>
      <w:tr w:rsidR="001A38D5" w:rsidRPr="001A38D5" w14:paraId="6AF132BD" w14:textId="77777777" w:rsidTr="00A20990">
        <w:trPr>
          <w:trHeight w:val="20"/>
        </w:trPr>
        <w:tc>
          <w:tcPr>
            <w:tcW w:w="1935" w:type="pct"/>
            <w:shd w:val="clear" w:color="auto" w:fill="auto"/>
            <w:noWrap/>
            <w:vAlign w:val="bottom"/>
            <w:hideMark/>
          </w:tcPr>
          <w:p w14:paraId="652B7F8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PARRA BELTRAN MARIA BELEN</w:t>
            </w:r>
          </w:p>
        </w:tc>
        <w:tc>
          <w:tcPr>
            <w:tcW w:w="673" w:type="pct"/>
            <w:shd w:val="clear" w:color="auto" w:fill="auto"/>
            <w:noWrap/>
            <w:vAlign w:val="bottom"/>
            <w:hideMark/>
          </w:tcPr>
          <w:p w14:paraId="50C9188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40.376.873</w:t>
            </w:r>
          </w:p>
        </w:tc>
        <w:tc>
          <w:tcPr>
            <w:tcW w:w="560" w:type="pct"/>
            <w:shd w:val="clear" w:color="auto" w:fill="auto"/>
            <w:noWrap/>
            <w:vAlign w:val="bottom"/>
            <w:hideMark/>
          </w:tcPr>
          <w:p w14:paraId="4DBE670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91209816097</w:t>
            </w:r>
          </w:p>
        </w:tc>
        <w:tc>
          <w:tcPr>
            <w:tcW w:w="1027" w:type="pct"/>
            <w:shd w:val="clear" w:color="auto" w:fill="auto"/>
            <w:noWrap/>
            <w:vAlign w:val="bottom"/>
            <w:hideMark/>
          </w:tcPr>
          <w:p w14:paraId="1C845B8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431" w:type="pct"/>
            <w:shd w:val="clear" w:color="auto" w:fill="auto"/>
            <w:noWrap/>
            <w:vAlign w:val="bottom"/>
            <w:hideMark/>
          </w:tcPr>
          <w:p w14:paraId="1CB822E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$24,51</w:t>
            </w:r>
          </w:p>
        </w:tc>
        <w:tc>
          <w:tcPr>
            <w:tcW w:w="373" w:type="pct"/>
            <w:shd w:val="clear" w:color="auto" w:fill="auto"/>
            <w:noWrap/>
            <w:vAlign w:val="bottom"/>
            <w:hideMark/>
          </w:tcPr>
          <w:p w14:paraId="5F20087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13</w:t>
            </w:r>
          </w:p>
        </w:tc>
      </w:tr>
      <w:tr w:rsidR="001A38D5" w:rsidRPr="001A38D5" w14:paraId="4C61969F" w14:textId="77777777" w:rsidTr="00A20990">
        <w:trPr>
          <w:trHeight w:val="20"/>
        </w:trPr>
        <w:tc>
          <w:tcPr>
            <w:tcW w:w="1935" w:type="pct"/>
            <w:shd w:val="clear" w:color="auto" w:fill="auto"/>
            <w:noWrap/>
            <w:vAlign w:val="bottom"/>
            <w:hideMark/>
          </w:tcPr>
          <w:p w14:paraId="42346C6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PARRADO VELASQUEZ LAURA</w:t>
            </w:r>
          </w:p>
        </w:tc>
        <w:tc>
          <w:tcPr>
            <w:tcW w:w="673" w:type="pct"/>
            <w:shd w:val="clear" w:color="auto" w:fill="auto"/>
            <w:noWrap/>
            <w:vAlign w:val="bottom"/>
            <w:hideMark/>
          </w:tcPr>
          <w:p w14:paraId="702E987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1.121.948.871</w:t>
            </w:r>
          </w:p>
        </w:tc>
        <w:tc>
          <w:tcPr>
            <w:tcW w:w="560" w:type="pct"/>
            <w:shd w:val="clear" w:color="auto" w:fill="auto"/>
            <w:noWrap/>
            <w:vAlign w:val="bottom"/>
            <w:hideMark/>
          </w:tcPr>
          <w:p w14:paraId="469C9F5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84153239141</w:t>
            </w:r>
          </w:p>
        </w:tc>
        <w:tc>
          <w:tcPr>
            <w:tcW w:w="1027" w:type="pct"/>
            <w:shd w:val="clear" w:color="auto" w:fill="auto"/>
            <w:noWrap/>
            <w:vAlign w:val="bottom"/>
            <w:hideMark/>
          </w:tcPr>
          <w:p w14:paraId="0198D15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431" w:type="pct"/>
            <w:shd w:val="clear" w:color="auto" w:fill="auto"/>
            <w:noWrap/>
            <w:vAlign w:val="bottom"/>
            <w:hideMark/>
          </w:tcPr>
          <w:p w14:paraId="5EA424E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$24,51</w:t>
            </w:r>
          </w:p>
        </w:tc>
        <w:tc>
          <w:tcPr>
            <w:tcW w:w="373" w:type="pct"/>
            <w:shd w:val="clear" w:color="auto" w:fill="auto"/>
            <w:noWrap/>
            <w:vAlign w:val="bottom"/>
            <w:hideMark/>
          </w:tcPr>
          <w:p w14:paraId="5A28055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13</w:t>
            </w:r>
          </w:p>
        </w:tc>
      </w:tr>
      <w:tr w:rsidR="001A38D5" w:rsidRPr="001A38D5" w14:paraId="0D44515E" w14:textId="77777777" w:rsidTr="00A20990">
        <w:trPr>
          <w:trHeight w:val="20"/>
        </w:trPr>
        <w:tc>
          <w:tcPr>
            <w:tcW w:w="1935" w:type="pct"/>
            <w:shd w:val="clear" w:color="auto" w:fill="auto"/>
            <w:noWrap/>
            <w:vAlign w:val="bottom"/>
            <w:hideMark/>
          </w:tcPr>
          <w:p w14:paraId="56DC3E8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PEREZ ALONSO ANDRES MAURICIO</w:t>
            </w:r>
          </w:p>
        </w:tc>
        <w:tc>
          <w:tcPr>
            <w:tcW w:w="673" w:type="pct"/>
            <w:shd w:val="clear" w:color="auto" w:fill="auto"/>
            <w:noWrap/>
            <w:vAlign w:val="bottom"/>
            <w:hideMark/>
          </w:tcPr>
          <w:p w14:paraId="5A58C3E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1.121.950.701</w:t>
            </w:r>
          </w:p>
        </w:tc>
        <w:tc>
          <w:tcPr>
            <w:tcW w:w="560" w:type="pct"/>
            <w:shd w:val="clear" w:color="auto" w:fill="auto"/>
            <w:noWrap/>
            <w:vAlign w:val="bottom"/>
            <w:hideMark/>
          </w:tcPr>
          <w:p w14:paraId="1A60212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39511180990</w:t>
            </w:r>
          </w:p>
        </w:tc>
        <w:tc>
          <w:tcPr>
            <w:tcW w:w="1027" w:type="pct"/>
            <w:shd w:val="clear" w:color="auto" w:fill="auto"/>
            <w:noWrap/>
            <w:vAlign w:val="bottom"/>
            <w:hideMark/>
          </w:tcPr>
          <w:p w14:paraId="74E3A8E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431" w:type="pct"/>
            <w:shd w:val="clear" w:color="auto" w:fill="auto"/>
            <w:noWrap/>
            <w:vAlign w:val="bottom"/>
            <w:hideMark/>
          </w:tcPr>
          <w:p w14:paraId="5CD3B5C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$14,77</w:t>
            </w:r>
          </w:p>
        </w:tc>
        <w:tc>
          <w:tcPr>
            <w:tcW w:w="373" w:type="pct"/>
            <w:shd w:val="clear" w:color="auto" w:fill="auto"/>
            <w:noWrap/>
            <w:vAlign w:val="bottom"/>
            <w:hideMark/>
          </w:tcPr>
          <w:p w14:paraId="40F189E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w:t>
            </w:r>
          </w:p>
        </w:tc>
      </w:tr>
      <w:tr w:rsidR="001A38D5" w:rsidRPr="001A38D5" w14:paraId="141FC92D" w14:textId="77777777" w:rsidTr="001029CF">
        <w:trPr>
          <w:trHeight w:val="20"/>
        </w:trPr>
        <w:tc>
          <w:tcPr>
            <w:tcW w:w="1935" w:type="pct"/>
            <w:tcBorders>
              <w:bottom w:val="single" w:sz="4" w:space="0" w:color="auto"/>
            </w:tcBorders>
            <w:shd w:val="clear" w:color="auto" w:fill="auto"/>
            <w:noWrap/>
            <w:vAlign w:val="bottom"/>
            <w:hideMark/>
          </w:tcPr>
          <w:p w14:paraId="10F22C9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TOVAR SEDANO ALIX</w:t>
            </w:r>
          </w:p>
        </w:tc>
        <w:tc>
          <w:tcPr>
            <w:tcW w:w="673" w:type="pct"/>
            <w:tcBorders>
              <w:bottom w:val="single" w:sz="4" w:space="0" w:color="auto"/>
            </w:tcBorders>
            <w:shd w:val="clear" w:color="auto" w:fill="auto"/>
            <w:noWrap/>
            <w:vAlign w:val="bottom"/>
            <w:hideMark/>
          </w:tcPr>
          <w:p w14:paraId="35A53B2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1.097.332.695</w:t>
            </w:r>
          </w:p>
        </w:tc>
        <w:tc>
          <w:tcPr>
            <w:tcW w:w="560" w:type="pct"/>
            <w:tcBorders>
              <w:bottom w:val="single" w:sz="4" w:space="0" w:color="auto"/>
            </w:tcBorders>
            <w:shd w:val="clear" w:color="auto" w:fill="auto"/>
            <w:noWrap/>
            <w:vAlign w:val="bottom"/>
            <w:hideMark/>
          </w:tcPr>
          <w:p w14:paraId="1EDA232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96670194289</w:t>
            </w:r>
          </w:p>
        </w:tc>
        <w:tc>
          <w:tcPr>
            <w:tcW w:w="1027" w:type="pct"/>
            <w:tcBorders>
              <w:bottom w:val="single" w:sz="4" w:space="0" w:color="auto"/>
            </w:tcBorders>
            <w:shd w:val="clear" w:color="auto" w:fill="auto"/>
            <w:noWrap/>
            <w:vAlign w:val="bottom"/>
            <w:hideMark/>
          </w:tcPr>
          <w:p w14:paraId="3183518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BANCO DAVIVIENDA S.A. </w:t>
            </w:r>
          </w:p>
        </w:tc>
        <w:tc>
          <w:tcPr>
            <w:tcW w:w="431" w:type="pct"/>
            <w:tcBorders>
              <w:bottom w:val="single" w:sz="4" w:space="0" w:color="auto"/>
            </w:tcBorders>
            <w:shd w:val="clear" w:color="auto" w:fill="auto"/>
            <w:noWrap/>
            <w:vAlign w:val="bottom"/>
            <w:hideMark/>
          </w:tcPr>
          <w:p w14:paraId="15DC8BE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$38,03</w:t>
            </w:r>
          </w:p>
        </w:tc>
        <w:tc>
          <w:tcPr>
            <w:tcW w:w="373" w:type="pct"/>
            <w:tcBorders>
              <w:bottom w:val="single" w:sz="4" w:space="0" w:color="auto"/>
            </w:tcBorders>
            <w:shd w:val="clear" w:color="auto" w:fill="auto"/>
            <w:noWrap/>
            <w:vAlign w:val="bottom"/>
            <w:hideMark/>
          </w:tcPr>
          <w:p w14:paraId="48EF01A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w:t>
            </w:r>
          </w:p>
        </w:tc>
      </w:tr>
      <w:tr w:rsidR="001A38D5" w:rsidRPr="001A38D5" w14:paraId="03F4FBA4" w14:textId="77777777" w:rsidTr="001029CF">
        <w:trPr>
          <w:trHeight w:val="20"/>
        </w:trPr>
        <w:tc>
          <w:tcPr>
            <w:tcW w:w="4217" w:type="pct"/>
            <w:gridSpan w:val="4"/>
            <w:shd w:val="clear" w:color="000000" w:fill="FFC000"/>
            <w:vAlign w:val="center"/>
            <w:hideMark/>
          </w:tcPr>
          <w:p w14:paraId="227584D6"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TOTAL</w:t>
            </w:r>
          </w:p>
        </w:tc>
        <w:tc>
          <w:tcPr>
            <w:tcW w:w="430" w:type="pct"/>
            <w:shd w:val="clear" w:color="000000" w:fill="FFC000"/>
            <w:vAlign w:val="center"/>
            <w:hideMark/>
          </w:tcPr>
          <w:p w14:paraId="1175D625" w14:textId="77777777" w:rsidR="00A20990" w:rsidRPr="001A38D5" w:rsidRDefault="00A20990" w:rsidP="005140E1">
            <w:pPr>
              <w:contextualSpacing/>
              <w:jc w:val="right"/>
              <w:rPr>
                <w:rFonts w:eastAsia="Times New Roman" w:cs="Arial"/>
                <w:b/>
                <w:bCs/>
                <w:sz w:val="14"/>
                <w:szCs w:val="14"/>
                <w:lang w:val="es-CO" w:eastAsia="es-CO"/>
              </w:rPr>
            </w:pPr>
            <w:r w:rsidRPr="001A38D5">
              <w:rPr>
                <w:rFonts w:eastAsia="Times New Roman" w:cs="Arial"/>
                <w:b/>
                <w:bCs/>
                <w:sz w:val="14"/>
                <w:szCs w:val="14"/>
                <w:lang w:val="es-CO" w:eastAsia="es-CO"/>
              </w:rPr>
              <w:t>$7.454,82</w:t>
            </w:r>
          </w:p>
        </w:tc>
        <w:tc>
          <w:tcPr>
            <w:tcW w:w="353" w:type="pct"/>
            <w:shd w:val="clear" w:color="000000" w:fill="FFC000"/>
            <w:vAlign w:val="center"/>
            <w:hideMark/>
          </w:tcPr>
          <w:p w14:paraId="70A4F918" w14:textId="77777777" w:rsidR="00A20990" w:rsidRPr="001A38D5" w:rsidRDefault="00A20990" w:rsidP="005140E1">
            <w:pPr>
              <w:contextualSpacing/>
              <w:jc w:val="right"/>
              <w:rPr>
                <w:rFonts w:eastAsia="Times New Roman" w:cs="Arial"/>
                <w:b/>
                <w:bCs/>
                <w:sz w:val="14"/>
                <w:szCs w:val="14"/>
                <w:lang w:val="es-CO" w:eastAsia="es-CO"/>
              </w:rPr>
            </w:pPr>
            <w:r w:rsidRPr="001A38D5">
              <w:rPr>
                <w:rFonts w:eastAsia="Times New Roman" w:cs="Arial"/>
                <w:b/>
                <w:bCs/>
                <w:sz w:val="14"/>
                <w:szCs w:val="14"/>
                <w:lang w:val="es-CO" w:eastAsia="es-CO"/>
              </w:rPr>
              <w:t>174</w:t>
            </w:r>
          </w:p>
        </w:tc>
      </w:tr>
    </w:tbl>
    <w:p w14:paraId="68668809" w14:textId="77777777" w:rsidR="00A20990" w:rsidRPr="001A38D5" w:rsidRDefault="00A20990" w:rsidP="005140E1">
      <w:pPr>
        <w:contextualSpacing/>
        <w:jc w:val="center"/>
        <w:rPr>
          <w:rFonts w:cs="Arial"/>
          <w:sz w:val="18"/>
          <w:szCs w:val="20"/>
        </w:rPr>
      </w:pPr>
      <w:r w:rsidRPr="001A38D5">
        <w:rPr>
          <w:rFonts w:cs="Arial"/>
          <w:sz w:val="16"/>
          <w:szCs w:val="20"/>
        </w:rPr>
        <w:t>Fuente: Cuenta Maestra Sistema PISIS.</w:t>
      </w:r>
    </w:p>
    <w:p w14:paraId="407DA9B8" w14:textId="77777777" w:rsidR="00A20990" w:rsidRPr="001A38D5" w:rsidRDefault="00A20990" w:rsidP="005140E1">
      <w:pPr>
        <w:contextualSpacing/>
        <w:jc w:val="both"/>
        <w:rPr>
          <w:rFonts w:cs="Arial"/>
          <w:lang w:val="es-CO"/>
        </w:rPr>
      </w:pPr>
    </w:p>
    <w:p w14:paraId="2FE4D9A0" w14:textId="77777777" w:rsidR="00A20990" w:rsidRPr="001A38D5" w:rsidRDefault="00A20990" w:rsidP="005140E1">
      <w:pPr>
        <w:contextualSpacing/>
        <w:jc w:val="both"/>
        <w:rPr>
          <w:rFonts w:eastAsia="Times New Roman" w:cs="Arial"/>
          <w:lang w:val="es-CO" w:eastAsia="es-CO"/>
        </w:rPr>
      </w:pPr>
      <w:r w:rsidRPr="001A38D5">
        <w:rPr>
          <w:rFonts w:cs="Arial"/>
          <w:lang w:val="es-CO"/>
        </w:rPr>
        <w:t>Para la vigencia 2022, sobre los egresos a favor de personas jurídicas, se efectuó un pago al RESGUARDO INDIGENA MAGUARE por $1,58 millones. Al tiempo se realizaron 12 pagos al grupo ALMACENES EXITO SA por $7.580,91 millones, de las órdenes de compra de la vigencia 2021, valor que sumado al cancelado en la vigencia anterior de la Cuenta Maestra del PAE representa el 73</w:t>
      </w:r>
      <w:r w:rsidR="00AF36B8">
        <w:rPr>
          <w:rFonts w:cs="Arial"/>
          <w:lang w:val="es-CO"/>
        </w:rPr>
        <w:t xml:space="preserve"> </w:t>
      </w:r>
      <w:r w:rsidRPr="001A38D5">
        <w:rPr>
          <w:rFonts w:cs="Arial"/>
          <w:lang w:val="es-CO"/>
        </w:rPr>
        <w:t xml:space="preserve">% del valor ejecutado de las órdenes </w:t>
      </w:r>
      <w:r w:rsidRPr="001A38D5">
        <w:rPr>
          <w:rFonts w:cs="Arial"/>
          <w:lang w:val="es-CO"/>
        </w:rPr>
        <w:lastRenderedPageBreak/>
        <w:t>de compra de bonos alimentarios para esa vigencia.</w:t>
      </w:r>
    </w:p>
    <w:p w14:paraId="797DAA89" w14:textId="77777777" w:rsidR="00A20990" w:rsidRPr="001A38D5" w:rsidRDefault="00A20990" w:rsidP="005140E1">
      <w:pPr>
        <w:contextualSpacing/>
        <w:jc w:val="both"/>
        <w:rPr>
          <w:rFonts w:cs="Arial"/>
          <w:lang w:val="es-CO"/>
        </w:rPr>
      </w:pPr>
    </w:p>
    <w:p w14:paraId="65043AAF" w14:textId="77777777" w:rsidR="00A20990" w:rsidRPr="001A38D5" w:rsidRDefault="00A20990" w:rsidP="005140E1">
      <w:pPr>
        <w:contextualSpacing/>
        <w:jc w:val="both"/>
        <w:rPr>
          <w:rFonts w:cs="Arial"/>
          <w:lang w:val="es-CO"/>
        </w:rPr>
      </w:pPr>
      <w:r w:rsidRPr="001A38D5">
        <w:rPr>
          <w:rFonts w:cs="Arial"/>
          <w:lang w:val="es-CO"/>
        </w:rPr>
        <w:t xml:space="preserve">De los contratos suscritos para la operación del Programa durante la vigencia 2022, Contrato de </w:t>
      </w:r>
      <w:r w:rsidR="00AF36B8">
        <w:rPr>
          <w:rFonts w:cs="Arial"/>
          <w:lang w:val="es-CO"/>
        </w:rPr>
        <w:t>P</w:t>
      </w:r>
      <w:r w:rsidRPr="001A38D5">
        <w:rPr>
          <w:rFonts w:cs="Arial"/>
          <w:lang w:val="es-CO"/>
        </w:rPr>
        <w:t xml:space="preserve">restación de </w:t>
      </w:r>
      <w:r w:rsidR="00AF36B8">
        <w:rPr>
          <w:rFonts w:cs="Arial"/>
          <w:lang w:val="es-CO"/>
        </w:rPr>
        <w:t>S</w:t>
      </w:r>
      <w:r w:rsidRPr="001A38D5">
        <w:rPr>
          <w:rFonts w:cs="Arial"/>
          <w:lang w:val="es-CO"/>
        </w:rPr>
        <w:t>ervicios No. 1719 del 11 de marzo de 2022, suscrito con la Unión Temporal PAE 2022 con NIT. 901.568.822-4 se registran 3 movimientos debito por $3.289,67. El Municipio registró como razón social del beneficiario UT PAE 2022, pese a que en RUT aparece con la razón social UNION TEMPORAL PAE 2022.</w:t>
      </w:r>
    </w:p>
    <w:p w14:paraId="6E4C4195" w14:textId="77777777" w:rsidR="00A20990" w:rsidRPr="001A38D5" w:rsidRDefault="00A20990" w:rsidP="005140E1">
      <w:pPr>
        <w:contextualSpacing/>
        <w:jc w:val="both"/>
        <w:rPr>
          <w:rFonts w:cs="Arial"/>
          <w:lang w:val="es-CO"/>
        </w:rPr>
      </w:pPr>
    </w:p>
    <w:p w14:paraId="7E7CF48D" w14:textId="77777777" w:rsidR="00A20990" w:rsidRPr="001A38D5" w:rsidRDefault="00A20990" w:rsidP="005140E1">
      <w:pPr>
        <w:contextualSpacing/>
        <w:jc w:val="both"/>
        <w:rPr>
          <w:rFonts w:cs="Arial"/>
          <w:lang w:val="es-CO"/>
        </w:rPr>
      </w:pPr>
      <w:r w:rsidRPr="001A38D5">
        <w:rPr>
          <w:rFonts w:cs="Arial"/>
          <w:lang w:val="es-CO"/>
        </w:rPr>
        <w:t xml:space="preserve">Del Contrato de </w:t>
      </w:r>
      <w:r w:rsidR="00AF36B8">
        <w:rPr>
          <w:rFonts w:cs="Arial"/>
          <w:lang w:val="es-CO"/>
        </w:rPr>
        <w:t>P</w:t>
      </w:r>
      <w:r w:rsidRPr="001A38D5">
        <w:rPr>
          <w:rFonts w:cs="Arial"/>
          <w:lang w:val="es-CO"/>
        </w:rPr>
        <w:t xml:space="preserve">restación de </w:t>
      </w:r>
      <w:r w:rsidR="00AF36B8">
        <w:rPr>
          <w:rFonts w:cs="Arial"/>
          <w:lang w:val="es-CO"/>
        </w:rPr>
        <w:t>S</w:t>
      </w:r>
      <w:r w:rsidRPr="001A38D5">
        <w:rPr>
          <w:rFonts w:cs="Arial"/>
          <w:lang w:val="es-CO"/>
        </w:rPr>
        <w:t xml:space="preserve">ervicios y de </w:t>
      </w:r>
      <w:r w:rsidR="00AF36B8">
        <w:rPr>
          <w:rFonts w:cs="Arial"/>
          <w:lang w:val="es-CO"/>
        </w:rPr>
        <w:t>A</w:t>
      </w:r>
      <w:r w:rsidRPr="001A38D5">
        <w:rPr>
          <w:rFonts w:cs="Arial"/>
          <w:lang w:val="es-CO"/>
        </w:rPr>
        <w:t xml:space="preserve">poyo </w:t>
      </w:r>
      <w:r w:rsidR="00AF36B8">
        <w:rPr>
          <w:rFonts w:cs="Arial"/>
          <w:lang w:val="es-CO"/>
        </w:rPr>
        <w:t>L</w:t>
      </w:r>
      <w:r w:rsidRPr="001A38D5">
        <w:rPr>
          <w:rFonts w:cs="Arial"/>
          <w:lang w:val="es-CO"/>
        </w:rPr>
        <w:t xml:space="preserve">ogístico No. 1739 del 10 de mayo de 2022, suscrito con la </w:t>
      </w:r>
      <w:r w:rsidR="00AF36B8">
        <w:rPr>
          <w:rFonts w:cs="Arial"/>
          <w:lang w:val="es-CO"/>
        </w:rPr>
        <w:t>E</w:t>
      </w:r>
      <w:r w:rsidRPr="001A38D5">
        <w:rPr>
          <w:rFonts w:cs="Arial"/>
          <w:lang w:val="es-CO"/>
        </w:rPr>
        <w:t xml:space="preserve">mpresa Logística y </w:t>
      </w:r>
      <w:r w:rsidR="00AF36B8">
        <w:rPr>
          <w:rFonts w:cs="Arial"/>
          <w:lang w:val="es-CO"/>
        </w:rPr>
        <w:t>S</w:t>
      </w:r>
      <w:r w:rsidRPr="001A38D5">
        <w:rPr>
          <w:rFonts w:cs="Arial"/>
          <w:lang w:val="es-CO"/>
        </w:rPr>
        <w:t xml:space="preserve">uministros </w:t>
      </w:r>
      <w:r w:rsidR="00AF36B8">
        <w:rPr>
          <w:rFonts w:cs="Arial"/>
          <w:lang w:val="es-CO"/>
        </w:rPr>
        <w:t>P</w:t>
      </w:r>
      <w:r w:rsidRPr="001A38D5">
        <w:rPr>
          <w:rFonts w:cs="Arial"/>
          <w:lang w:val="es-CO"/>
        </w:rPr>
        <w:t>entágono S.A.S con NIT. 900.653.740-9 se registran dos egresos por $1.291,87</w:t>
      </w:r>
      <w:r w:rsidR="00C159DF">
        <w:rPr>
          <w:rFonts w:cs="Arial"/>
          <w:lang w:val="es-CO"/>
        </w:rPr>
        <w:t xml:space="preserve"> millones</w:t>
      </w:r>
      <w:r w:rsidRPr="001A38D5">
        <w:rPr>
          <w:rFonts w:cs="Arial"/>
          <w:lang w:val="es-CO"/>
        </w:rPr>
        <w:t xml:space="preserve"> al NIT 830.117.064-6 cuya razón social, según el RUT, es COMERCIALIZADORA AL GRANO SAS</w:t>
      </w:r>
      <w:r w:rsidR="00AF36B8">
        <w:rPr>
          <w:rFonts w:cs="Arial"/>
          <w:lang w:val="es-CO"/>
        </w:rPr>
        <w:t>;</w:t>
      </w:r>
      <w:r w:rsidRPr="001A38D5">
        <w:rPr>
          <w:rFonts w:cs="Arial"/>
          <w:lang w:val="es-CO"/>
        </w:rPr>
        <w:t xml:space="preserve"> no obstante, fue registrada en una de las operaciones por la Entidad como COMERCIALIZADORA AL GRANO. Vale la pena señalar que mediante Resolución de Cesión No. 1010-67.21/153 del 8 de junio de 2022 del Municipio se autorizó la cesión de derechos económicos de Contrato No. 1739 de 2022 a la empresa Comercializadora al Grano S.A.S.</w:t>
      </w:r>
    </w:p>
    <w:p w14:paraId="1ABEB624" w14:textId="77777777" w:rsidR="00A20990" w:rsidRPr="001A38D5" w:rsidRDefault="00A20990" w:rsidP="005140E1">
      <w:pPr>
        <w:contextualSpacing/>
        <w:jc w:val="both"/>
        <w:rPr>
          <w:rFonts w:cs="Arial"/>
          <w:lang w:val="es-CO"/>
        </w:rPr>
      </w:pPr>
    </w:p>
    <w:p w14:paraId="215E52BB" w14:textId="77777777" w:rsidR="00A20990" w:rsidRPr="001A38D5" w:rsidRDefault="00A20990" w:rsidP="005140E1">
      <w:pPr>
        <w:contextualSpacing/>
        <w:jc w:val="both"/>
        <w:rPr>
          <w:rFonts w:cs="Arial"/>
          <w:lang w:val="es-CO"/>
        </w:rPr>
      </w:pPr>
      <w:r w:rsidRPr="001A38D5">
        <w:rPr>
          <w:rFonts w:cs="Arial"/>
          <w:lang w:val="es-CO"/>
        </w:rPr>
        <w:t xml:space="preserve">Llama la atención que la empresa Comercializadora al Grano S.A.S. con NIT 830.117.064-6. se encontraba incursa en el proceso de investigación por responsabilidad fiscal N° PRF-80011-2020-37867 por parte de la Contraloría General de la República. Además, se evidenció que mediante Resolución No. 1010-67.21/116 del 20 de abril de 2023 del Municipio, se autorizó la cesión de los derechos económicos del Contrato de </w:t>
      </w:r>
      <w:r w:rsidR="00AF36B8">
        <w:rPr>
          <w:rFonts w:cs="Arial"/>
          <w:lang w:val="es-CO"/>
        </w:rPr>
        <w:t>P</w:t>
      </w:r>
      <w:r w:rsidRPr="001A38D5">
        <w:rPr>
          <w:rFonts w:cs="Arial"/>
          <w:lang w:val="es-CO"/>
        </w:rPr>
        <w:t xml:space="preserve">restación de </w:t>
      </w:r>
      <w:r w:rsidR="00AF36B8">
        <w:rPr>
          <w:rFonts w:cs="Arial"/>
          <w:lang w:val="es-CO"/>
        </w:rPr>
        <w:t>S</w:t>
      </w:r>
      <w:r w:rsidRPr="001A38D5">
        <w:rPr>
          <w:rFonts w:cs="Arial"/>
          <w:lang w:val="es-CO"/>
        </w:rPr>
        <w:t>ervicios No. 3369 del 16 de septiembre de 2022 suscrito con Servicio de Alimentos y Logísticas S.A.S, financiado con recursos de SGR, nuevamente a la Comercializadora al Grano S.A.S. con NIT 830.117.064-6.</w:t>
      </w:r>
    </w:p>
    <w:p w14:paraId="3A9886A2" w14:textId="77777777" w:rsidR="00A20990" w:rsidRPr="001A38D5" w:rsidRDefault="00A20990" w:rsidP="005140E1">
      <w:pPr>
        <w:contextualSpacing/>
        <w:jc w:val="both"/>
        <w:rPr>
          <w:rFonts w:cs="Arial"/>
          <w:lang w:val="es-CO"/>
        </w:rPr>
      </w:pPr>
    </w:p>
    <w:p w14:paraId="0871BF42" w14:textId="77777777" w:rsidR="00A20990" w:rsidRPr="001A38D5" w:rsidRDefault="00A20990" w:rsidP="005140E1">
      <w:pPr>
        <w:contextualSpacing/>
        <w:jc w:val="both"/>
        <w:rPr>
          <w:rFonts w:cs="Arial"/>
          <w:lang w:val="es-CO"/>
        </w:rPr>
      </w:pPr>
      <w:r w:rsidRPr="001A38D5">
        <w:rPr>
          <w:rFonts w:cs="Arial"/>
          <w:lang w:val="es-CO"/>
        </w:rPr>
        <w:t xml:space="preserve">Sobre la situación descrita para el Contrato de </w:t>
      </w:r>
      <w:r w:rsidR="00AF36B8">
        <w:rPr>
          <w:rFonts w:cs="Arial"/>
          <w:lang w:val="es-CO"/>
        </w:rPr>
        <w:t>P</w:t>
      </w:r>
      <w:r w:rsidRPr="001A38D5">
        <w:rPr>
          <w:rFonts w:cs="Arial"/>
          <w:lang w:val="es-CO"/>
        </w:rPr>
        <w:t xml:space="preserve">restación de </w:t>
      </w:r>
      <w:r w:rsidR="00AF36B8">
        <w:rPr>
          <w:rFonts w:cs="Arial"/>
          <w:lang w:val="es-CO"/>
        </w:rPr>
        <w:t>S</w:t>
      </w:r>
      <w:r w:rsidRPr="001A38D5">
        <w:rPr>
          <w:rFonts w:cs="Arial"/>
          <w:lang w:val="es-CO"/>
        </w:rPr>
        <w:t xml:space="preserve">ervicios y de </w:t>
      </w:r>
      <w:r w:rsidR="00AF36B8">
        <w:rPr>
          <w:rFonts w:cs="Arial"/>
          <w:lang w:val="es-CO"/>
        </w:rPr>
        <w:t>A</w:t>
      </w:r>
      <w:r w:rsidRPr="001A38D5">
        <w:rPr>
          <w:rFonts w:cs="Arial"/>
          <w:lang w:val="es-CO"/>
        </w:rPr>
        <w:t xml:space="preserve">poyo </w:t>
      </w:r>
      <w:r w:rsidR="00AF36B8">
        <w:rPr>
          <w:rFonts w:cs="Arial"/>
          <w:lang w:val="es-CO"/>
        </w:rPr>
        <w:t>L</w:t>
      </w:r>
      <w:r w:rsidRPr="001A38D5">
        <w:rPr>
          <w:rFonts w:cs="Arial"/>
          <w:lang w:val="es-CO"/>
        </w:rPr>
        <w:t xml:space="preserve">ogístico No. 1739 de 2022, el artículo octavo de la Resolución 4835 de 2015 del Ministerio de Hacienda y Crédito Público establece puntualmente quién es un beneficiario en el contexto de las Cuentas Maestras, así: </w:t>
      </w:r>
    </w:p>
    <w:p w14:paraId="0EC3089E" w14:textId="77777777" w:rsidR="00A20990" w:rsidRPr="001A38D5" w:rsidRDefault="00A20990" w:rsidP="005140E1">
      <w:pPr>
        <w:contextualSpacing/>
        <w:jc w:val="both"/>
        <w:rPr>
          <w:rFonts w:cs="Arial"/>
          <w:sz w:val="24"/>
          <w:lang w:val="es-CO"/>
        </w:rPr>
      </w:pPr>
    </w:p>
    <w:p w14:paraId="6B2E4D5E" w14:textId="77777777" w:rsidR="00A20990" w:rsidRPr="007A412F" w:rsidRDefault="00A20990" w:rsidP="005140E1">
      <w:pPr>
        <w:ind w:left="709"/>
        <w:contextualSpacing/>
        <w:jc w:val="both"/>
        <w:rPr>
          <w:rFonts w:cs="Arial"/>
          <w:b/>
          <w:bCs/>
          <w:sz w:val="18"/>
          <w:szCs w:val="18"/>
          <w:lang w:val="es-CO"/>
        </w:rPr>
      </w:pPr>
      <w:r w:rsidRPr="007A412F">
        <w:rPr>
          <w:rFonts w:cs="Arial"/>
          <w:sz w:val="18"/>
          <w:szCs w:val="18"/>
          <w:lang w:val="es-CO"/>
        </w:rPr>
        <w:t>“</w:t>
      </w:r>
      <w:r w:rsidRPr="007A412F">
        <w:rPr>
          <w:rFonts w:cs="Arial"/>
          <w:i/>
          <w:iCs/>
          <w:sz w:val="18"/>
          <w:szCs w:val="18"/>
          <w:lang w:val="es-CO"/>
        </w:rPr>
        <w:t xml:space="preserve">Artículo 8. Beneficiarios de las Cuentas Maestras. </w:t>
      </w:r>
      <w:r w:rsidRPr="007A412F">
        <w:rPr>
          <w:rFonts w:cs="Arial"/>
          <w:b/>
          <w:bCs/>
          <w:i/>
          <w:iCs/>
          <w:sz w:val="18"/>
          <w:szCs w:val="18"/>
          <w:u w:val="single"/>
          <w:lang w:val="es-CO"/>
        </w:rPr>
        <w:t>Serán beneficiarias de las Cuentas Maestras aquellas personas naturales o jurídicas de derecho público o privado que presten o suministren bienes y/o servicios</w:t>
      </w:r>
      <w:r w:rsidRPr="007A412F">
        <w:rPr>
          <w:rFonts w:cs="Arial"/>
          <w:b/>
          <w:bCs/>
          <w:i/>
          <w:iCs/>
          <w:sz w:val="18"/>
          <w:szCs w:val="18"/>
          <w:lang w:val="es-CO"/>
        </w:rPr>
        <w:t xml:space="preserve"> </w:t>
      </w:r>
      <w:r w:rsidRPr="007A412F">
        <w:rPr>
          <w:rFonts w:cs="Arial"/>
          <w:i/>
          <w:iCs/>
          <w:sz w:val="18"/>
          <w:szCs w:val="18"/>
          <w:lang w:val="es-CO"/>
        </w:rPr>
        <w:t>en atención a lo dispuesto en las Leyes 715 de 2001 y 1176 de 2007</w:t>
      </w:r>
      <w:r w:rsidRPr="007A412F">
        <w:rPr>
          <w:rFonts w:cs="Arial"/>
          <w:sz w:val="18"/>
          <w:szCs w:val="18"/>
          <w:lang w:val="es-CO"/>
        </w:rPr>
        <w:t xml:space="preserve">” </w:t>
      </w:r>
      <w:r w:rsidRPr="007A412F">
        <w:rPr>
          <w:rFonts w:cs="Arial"/>
          <w:b/>
          <w:bCs/>
          <w:sz w:val="18"/>
          <w:szCs w:val="18"/>
          <w:lang w:val="es-CO"/>
        </w:rPr>
        <w:t>(Énfasis por fuera de texto)</w:t>
      </w:r>
    </w:p>
    <w:p w14:paraId="6A5B0349" w14:textId="77777777" w:rsidR="00A20990" w:rsidRPr="001A38D5" w:rsidRDefault="00A20990" w:rsidP="005140E1">
      <w:pPr>
        <w:contextualSpacing/>
        <w:jc w:val="both"/>
        <w:rPr>
          <w:rFonts w:cs="Arial"/>
          <w:b/>
          <w:bCs/>
          <w:lang w:val="es-CO"/>
        </w:rPr>
      </w:pPr>
    </w:p>
    <w:p w14:paraId="4099F657" w14:textId="77777777" w:rsidR="00A20990" w:rsidRPr="001A38D5" w:rsidRDefault="00A20990" w:rsidP="005140E1">
      <w:pPr>
        <w:contextualSpacing/>
        <w:jc w:val="both"/>
        <w:rPr>
          <w:rFonts w:cs="Arial"/>
          <w:lang w:val="es-CO"/>
        </w:rPr>
      </w:pPr>
      <w:r w:rsidRPr="001A38D5">
        <w:rPr>
          <w:rFonts w:cs="Arial"/>
          <w:lang w:val="es-CO"/>
        </w:rPr>
        <w:t>Así las cosas, no existe habilitación legal para que una Entidad territorial realice operaciones débito a cuentas diferentes a las que han sido registradas como beneficiarios. En igual sentido es fundamental que, como lo establece la normatividad que regula la materia, los pagos que se realicen con cargo a los recursos del Sistema General de Participaciones que por mandato legal son administrados en las Cuentas Maestras se produzcan como consecuencia de la prestación de un bien o servicio por parte de un tercero.</w:t>
      </w:r>
    </w:p>
    <w:p w14:paraId="6D8C33E1" w14:textId="77777777" w:rsidR="00A20990" w:rsidRPr="001A38D5" w:rsidRDefault="00A20990" w:rsidP="005140E1">
      <w:pPr>
        <w:contextualSpacing/>
        <w:jc w:val="both"/>
        <w:rPr>
          <w:rFonts w:cs="Arial"/>
          <w:lang w:val="es-CO"/>
        </w:rPr>
      </w:pPr>
    </w:p>
    <w:p w14:paraId="36AF3B7F" w14:textId="77777777" w:rsidR="00A20990" w:rsidRPr="001A38D5" w:rsidRDefault="00A20990" w:rsidP="005140E1">
      <w:pPr>
        <w:contextualSpacing/>
        <w:jc w:val="both"/>
        <w:rPr>
          <w:rFonts w:cs="Arial"/>
          <w:lang w:val="es-CO"/>
        </w:rPr>
      </w:pPr>
      <w:r w:rsidRPr="001A38D5">
        <w:rPr>
          <w:rFonts w:cs="Arial"/>
          <w:lang w:val="es-CO"/>
        </w:rPr>
        <w:t xml:space="preserve">En cuanto al Contrato de </w:t>
      </w:r>
      <w:r w:rsidR="00AF36B8">
        <w:rPr>
          <w:rFonts w:cs="Arial"/>
          <w:lang w:val="es-CO"/>
        </w:rPr>
        <w:t>P</w:t>
      </w:r>
      <w:r w:rsidRPr="001A38D5">
        <w:rPr>
          <w:rFonts w:cs="Arial"/>
          <w:lang w:val="es-CO"/>
        </w:rPr>
        <w:t xml:space="preserve">restación de </w:t>
      </w:r>
      <w:r w:rsidR="00AF36B8">
        <w:rPr>
          <w:rFonts w:cs="Arial"/>
          <w:lang w:val="es-CO"/>
        </w:rPr>
        <w:t>S</w:t>
      </w:r>
      <w:r w:rsidRPr="001A38D5">
        <w:rPr>
          <w:rFonts w:cs="Arial"/>
          <w:lang w:val="es-CO"/>
        </w:rPr>
        <w:t xml:space="preserve">ervicios No. 1825 del 21 de julio de 2022 se realizaron 5 pagos por $3.006,96 </w:t>
      </w:r>
      <w:r w:rsidR="00C159DF">
        <w:rPr>
          <w:rFonts w:cs="Arial"/>
          <w:lang w:val="es-CO"/>
        </w:rPr>
        <w:t xml:space="preserve">millones </w:t>
      </w:r>
      <w:r w:rsidRPr="001A38D5">
        <w:rPr>
          <w:rFonts w:cs="Arial"/>
          <w:lang w:val="es-CO"/>
        </w:rPr>
        <w:t xml:space="preserve">a favor de la UNION TEMPORAL </w:t>
      </w:r>
      <w:r w:rsidRPr="001A38D5">
        <w:rPr>
          <w:rFonts w:cs="Arial"/>
          <w:lang w:val="es-CO"/>
        </w:rPr>
        <w:lastRenderedPageBreak/>
        <w:t>VILLAVICENCIO SOLIDARIO, pese a que en el Registro Único Tributario figura bajo la razón social UNIÓN TEMPORAL VILLAVICENCIO SOLIDARIO 2022 con NIT. 901.614.837-1.</w:t>
      </w:r>
    </w:p>
    <w:p w14:paraId="7B8A3B3E" w14:textId="77777777" w:rsidR="00A20990" w:rsidRPr="001A38D5" w:rsidRDefault="00A20990" w:rsidP="005140E1">
      <w:pPr>
        <w:contextualSpacing/>
        <w:jc w:val="both"/>
        <w:rPr>
          <w:rFonts w:cs="Arial"/>
          <w:lang w:val="es-CO"/>
        </w:rPr>
      </w:pPr>
    </w:p>
    <w:p w14:paraId="010FBE00" w14:textId="77777777" w:rsidR="00A20990" w:rsidRPr="001A38D5" w:rsidRDefault="00A20990" w:rsidP="005140E1">
      <w:pPr>
        <w:contextualSpacing/>
        <w:jc w:val="both"/>
        <w:rPr>
          <w:rFonts w:cs="Arial"/>
          <w:lang w:val="es-CO"/>
        </w:rPr>
      </w:pPr>
      <w:r w:rsidRPr="001A38D5">
        <w:rPr>
          <w:rFonts w:cs="Arial"/>
          <w:lang w:val="es-CO"/>
        </w:rPr>
        <w:t xml:space="preserve">Del Contrato de </w:t>
      </w:r>
      <w:r w:rsidR="00AF36B8">
        <w:rPr>
          <w:rFonts w:cs="Arial"/>
          <w:lang w:val="es-CO"/>
        </w:rPr>
        <w:t>P</w:t>
      </w:r>
      <w:r w:rsidRPr="001A38D5">
        <w:rPr>
          <w:rFonts w:cs="Arial"/>
          <w:lang w:val="es-CO"/>
        </w:rPr>
        <w:t xml:space="preserve">restación de </w:t>
      </w:r>
      <w:r w:rsidR="00AF36B8">
        <w:rPr>
          <w:rFonts w:cs="Arial"/>
          <w:lang w:val="es-CO"/>
        </w:rPr>
        <w:t>S</w:t>
      </w:r>
      <w:r w:rsidRPr="001A38D5">
        <w:rPr>
          <w:rFonts w:cs="Arial"/>
          <w:lang w:val="es-CO"/>
        </w:rPr>
        <w:t>ervicios No. 3122 del 16 de septiembre de 2022 no se evidencian pagos desde la Cuenta Maestra para el Programa de Alimentación Escolar. Este contrato se financió con recursos del Sistema General de Regalías</w:t>
      </w:r>
      <w:r w:rsidR="00C159DF" w:rsidRPr="00C159DF">
        <w:rPr>
          <w:rFonts w:cs="Arial"/>
          <w:lang w:val="es-CO"/>
        </w:rPr>
        <w:t xml:space="preserve"> </w:t>
      </w:r>
      <w:r w:rsidR="00C159DF">
        <w:rPr>
          <w:rFonts w:cs="Arial"/>
          <w:lang w:val="es-CO"/>
        </w:rPr>
        <w:t xml:space="preserve">y del </w:t>
      </w:r>
      <w:r w:rsidR="00C159DF" w:rsidRPr="001A38D5">
        <w:rPr>
          <w:rFonts w:cs="Arial"/>
          <w:lang w:val="es-CO"/>
        </w:rPr>
        <w:t>SGP Prestación del Servicio Educativo</w:t>
      </w:r>
      <w:r w:rsidRPr="001A38D5">
        <w:rPr>
          <w:rFonts w:cs="Arial"/>
          <w:lang w:val="es-CO"/>
        </w:rPr>
        <w:t xml:space="preserve">. </w:t>
      </w:r>
      <w:r w:rsidR="00C159DF">
        <w:rPr>
          <w:rFonts w:cs="Arial"/>
          <w:lang w:val="es-CO"/>
        </w:rPr>
        <w:t xml:space="preserve">Sobre estos últimos es importante resaltar que, si bien se debe garantizar </w:t>
      </w:r>
      <w:r w:rsidR="00C159DF" w:rsidRPr="00C159DF">
        <w:rPr>
          <w:rFonts w:cs="Arial"/>
          <w:lang w:val="es-CO"/>
        </w:rPr>
        <w:t xml:space="preserve">un manejo contable y presupuestal independiente por cada una de las fuentes que </w:t>
      </w:r>
      <w:r w:rsidR="00C159DF">
        <w:rPr>
          <w:rFonts w:cs="Arial"/>
          <w:lang w:val="es-CO"/>
        </w:rPr>
        <w:t>financian el P</w:t>
      </w:r>
      <w:r w:rsidR="00C5552E">
        <w:rPr>
          <w:rFonts w:cs="Arial"/>
          <w:lang w:val="es-CO"/>
        </w:rPr>
        <w:t>rograma</w:t>
      </w:r>
      <w:r w:rsidR="00C159DF">
        <w:rPr>
          <w:rFonts w:cs="Arial"/>
          <w:lang w:val="es-CO"/>
        </w:rPr>
        <w:t>, todos los recursos destinados a este deben transitar por la C</w:t>
      </w:r>
      <w:r w:rsidR="00C159DF" w:rsidRPr="00C159DF">
        <w:rPr>
          <w:rFonts w:cs="Arial"/>
          <w:lang w:val="es-CO"/>
        </w:rPr>
        <w:t xml:space="preserve">uenta Maestra del </w:t>
      </w:r>
      <w:r w:rsidR="00C5552E">
        <w:rPr>
          <w:rFonts w:cs="Arial"/>
          <w:lang w:val="es-CO"/>
        </w:rPr>
        <w:t>PAE</w:t>
      </w:r>
      <w:r w:rsidR="00C159DF" w:rsidRPr="00C159DF">
        <w:rPr>
          <w:rFonts w:cs="Arial"/>
          <w:lang w:val="es-CO"/>
        </w:rPr>
        <w:t>.</w:t>
      </w:r>
    </w:p>
    <w:p w14:paraId="53F8BEDF" w14:textId="77777777" w:rsidR="00A20990" w:rsidRPr="001A38D5" w:rsidRDefault="00A20990" w:rsidP="005140E1">
      <w:pPr>
        <w:contextualSpacing/>
        <w:jc w:val="both"/>
        <w:rPr>
          <w:rFonts w:cs="Arial"/>
          <w:lang w:val="es-CO"/>
        </w:rPr>
      </w:pPr>
    </w:p>
    <w:p w14:paraId="08BF45B0" w14:textId="77777777" w:rsidR="00A20990" w:rsidRPr="001A38D5" w:rsidRDefault="00A20990" w:rsidP="005140E1">
      <w:pPr>
        <w:contextualSpacing/>
        <w:jc w:val="both"/>
        <w:rPr>
          <w:rFonts w:cs="Arial"/>
          <w:lang w:val="es-CO"/>
        </w:rPr>
      </w:pPr>
      <w:r w:rsidRPr="001A38D5">
        <w:rPr>
          <w:rFonts w:cs="Arial"/>
          <w:lang w:val="es-CO"/>
        </w:rPr>
        <w:t>El 51</w:t>
      </w:r>
      <w:r w:rsidR="004E3327">
        <w:rPr>
          <w:rFonts w:cs="Arial"/>
          <w:lang w:val="es-CO"/>
        </w:rPr>
        <w:t xml:space="preserve"> </w:t>
      </w:r>
      <w:r w:rsidRPr="001A38D5">
        <w:rPr>
          <w:rFonts w:cs="Arial"/>
          <w:lang w:val="es-CO"/>
        </w:rPr>
        <w:t xml:space="preserve">% de las 139 operaciones débito tenían como beneficiarios 11 personas naturales por valor de $235,76 millones, 10 de los cuales prestaron servicios profesionales para la conformación del </w:t>
      </w:r>
      <w:r w:rsidR="004E3327">
        <w:rPr>
          <w:rFonts w:cs="Arial"/>
          <w:lang w:val="es-CO"/>
        </w:rPr>
        <w:t>e</w:t>
      </w:r>
      <w:r w:rsidRPr="001A38D5">
        <w:rPr>
          <w:rFonts w:cs="Arial"/>
          <w:lang w:val="es-CO"/>
        </w:rPr>
        <w:t xml:space="preserve">quipo PAE del Municipio. Para el Contrato No. 3627 de 2022 suscrito con CACERES GONZALEZ MARIA NICOLASA no se registran operaciones débito para esta vigencia. En el caso del beneficiario registrado como CIPRIAN LUIS, los pagos hacen referencia a la ejecución del Contrato No. 2404 de 2022, el cual fue cedido y originalmente suscrito a nombre de Herrera Herrera Nohora Amanda. </w:t>
      </w:r>
    </w:p>
    <w:p w14:paraId="2CE11342" w14:textId="77777777" w:rsidR="00A20990" w:rsidRPr="001A38D5" w:rsidRDefault="00A20990" w:rsidP="005140E1">
      <w:pPr>
        <w:contextualSpacing/>
        <w:jc w:val="both"/>
        <w:rPr>
          <w:rFonts w:cs="Arial"/>
          <w:lang w:val="es-CO"/>
        </w:rPr>
      </w:pPr>
    </w:p>
    <w:p w14:paraId="51AC85CB" w14:textId="77777777" w:rsidR="00A20990" w:rsidRPr="001A38D5" w:rsidRDefault="00A20990" w:rsidP="005140E1">
      <w:pPr>
        <w:contextualSpacing/>
        <w:jc w:val="both"/>
        <w:rPr>
          <w:rFonts w:cs="Arial"/>
          <w:lang w:val="es-CO"/>
        </w:rPr>
      </w:pPr>
      <w:r w:rsidRPr="001A38D5">
        <w:rPr>
          <w:rFonts w:cs="Arial"/>
          <w:lang w:val="es-CO"/>
        </w:rPr>
        <w:t>Durante la vigencia 2022 se realizaron 45 pagos a favor del Municipio de Villavicencio por $1.527,59 millones: $1.244,47 millones a la cuenta No. 364618579 del Banco de Bogotá</w:t>
      </w:r>
      <w:r w:rsidR="00473DE6">
        <w:rPr>
          <w:rFonts w:cs="Arial"/>
          <w:lang w:val="es-CO"/>
        </w:rPr>
        <w:t xml:space="preserve"> denominada "</w:t>
      </w:r>
      <w:r w:rsidR="00473DE6" w:rsidRPr="004E0329">
        <w:rPr>
          <w:rFonts w:cs="Arial"/>
          <w:i/>
          <w:iCs/>
          <w:lang w:val="es-CO"/>
        </w:rPr>
        <w:t>Mpio Vcio – Descuentos de Ley”</w:t>
      </w:r>
      <w:r w:rsidR="00473DE6">
        <w:rPr>
          <w:rFonts w:cs="Arial"/>
          <w:lang w:val="es-CO"/>
        </w:rPr>
        <w:t xml:space="preserve"> </w:t>
      </w:r>
      <w:r w:rsidRPr="001A38D5">
        <w:rPr>
          <w:rFonts w:cs="Arial"/>
          <w:lang w:val="es-CO"/>
        </w:rPr>
        <w:t>y $283,12 millones a la Cuenta Maestra del Propósito General del SGP No. 36456547898 de BANCOLOMBIA.</w:t>
      </w:r>
    </w:p>
    <w:p w14:paraId="6295AD23" w14:textId="77777777" w:rsidR="00A20990" w:rsidRPr="001A38D5" w:rsidRDefault="00A20990" w:rsidP="005140E1">
      <w:pPr>
        <w:contextualSpacing/>
        <w:jc w:val="both"/>
        <w:rPr>
          <w:rFonts w:cs="Arial"/>
          <w:lang w:val="es-CO"/>
        </w:rPr>
      </w:pPr>
    </w:p>
    <w:p w14:paraId="2320033D" w14:textId="77777777" w:rsidR="00A20990" w:rsidRPr="001A38D5" w:rsidRDefault="00A20990" w:rsidP="005140E1">
      <w:pPr>
        <w:contextualSpacing/>
        <w:jc w:val="both"/>
        <w:rPr>
          <w:rFonts w:cs="Arial"/>
          <w:lang w:val="es-CO"/>
        </w:rPr>
      </w:pPr>
      <w:r w:rsidRPr="001A38D5">
        <w:rPr>
          <w:rFonts w:cs="Arial"/>
          <w:lang w:val="es-CO"/>
        </w:rPr>
        <w:t>Sobre lo anterior, es preciso señalar, en primer lugar, que 30 movimientos se realizaron reportando de manera errónea el campo No. 10 “</w:t>
      </w:r>
      <w:r w:rsidRPr="007A412F">
        <w:rPr>
          <w:rFonts w:cs="Arial"/>
          <w:i/>
          <w:iCs/>
          <w:lang w:val="es-CO"/>
        </w:rPr>
        <w:t>Nombre o Razón Social del Beneficiario</w:t>
      </w:r>
      <w:r w:rsidRPr="001A38D5">
        <w:rPr>
          <w:rFonts w:cs="Arial"/>
          <w:lang w:val="es-CO"/>
        </w:rPr>
        <w:t>” del “</w:t>
      </w:r>
      <w:r w:rsidRPr="007A412F">
        <w:rPr>
          <w:rFonts w:cs="Arial"/>
          <w:i/>
          <w:iCs/>
          <w:lang w:val="es-CO"/>
        </w:rPr>
        <w:t>Registro Tipo 3</w:t>
      </w:r>
      <w:r w:rsidRPr="001A38D5">
        <w:rPr>
          <w:rFonts w:cs="Arial"/>
          <w:lang w:val="es-CO"/>
        </w:rPr>
        <w:t>”, registrando como beneficiario MPIO DE VILLAVICENCIO</w:t>
      </w:r>
      <w:r w:rsidR="00473DE6">
        <w:rPr>
          <w:rFonts w:cs="Arial"/>
          <w:lang w:val="es-CO"/>
        </w:rPr>
        <w:t xml:space="preserve">, pese a que su razón social en el RUT es </w:t>
      </w:r>
      <w:r w:rsidR="00473DE6" w:rsidRPr="00473DE6">
        <w:rPr>
          <w:rFonts w:cs="Arial"/>
          <w:lang w:val="es-CO"/>
        </w:rPr>
        <w:t>MUNICIPIO DE VILLAVICENCIO</w:t>
      </w:r>
      <w:r w:rsidRPr="001A38D5">
        <w:rPr>
          <w:rFonts w:cs="Arial"/>
          <w:lang w:val="es-CO"/>
        </w:rPr>
        <w:t xml:space="preserve">. </w:t>
      </w:r>
    </w:p>
    <w:p w14:paraId="1E2907BD" w14:textId="77777777" w:rsidR="00A20990" w:rsidRPr="001A38D5" w:rsidRDefault="00A20990" w:rsidP="005140E1">
      <w:pPr>
        <w:contextualSpacing/>
        <w:jc w:val="both"/>
        <w:rPr>
          <w:rFonts w:cs="Arial"/>
          <w:lang w:val="es-CO"/>
        </w:rPr>
      </w:pPr>
    </w:p>
    <w:p w14:paraId="271AA990" w14:textId="77777777" w:rsidR="0042302F" w:rsidRDefault="00A20990" w:rsidP="0042302F">
      <w:pPr>
        <w:contextualSpacing/>
        <w:jc w:val="both"/>
        <w:rPr>
          <w:rFonts w:cs="Arial"/>
          <w:lang w:val="es-CO"/>
        </w:rPr>
      </w:pPr>
      <w:r w:rsidRPr="001A38D5">
        <w:rPr>
          <w:rFonts w:cs="Arial"/>
          <w:lang w:val="es-CO"/>
        </w:rPr>
        <w:t xml:space="preserve">En segundo lugar, sobre los $283,12 millones </w:t>
      </w:r>
      <w:r w:rsidR="00473DE6">
        <w:rPr>
          <w:rFonts w:cs="Arial"/>
          <w:lang w:val="es-CO"/>
        </w:rPr>
        <w:t xml:space="preserve">girados </w:t>
      </w:r>
      <w:r w:rsidRPr="001A38D5">
        <w:rPr>
          <w:rFonts w:cs="Arial"/>
          <w:lang w:val="es-CO"/>
        </w:rPr>
        <w:t>a la Cuenta Maestra del Propósito General del SGP en el documento con radicado No. 1-2023-071154 del 16 de agosto de 2023 la Entidad indica que estos recursos corresponden a descuentos de ley</w:t>
      </w:r>
      <w:r w:rsidR="0042302F">
        <w:rPr>
          <w:rFonts w:cs="Arial"/>
          <w:lang w:val="es-CO"/>
        </w:rPr>
        <w:t xml:space="preserve">. </w:t>
      </w:r>
      <w:r w:rsidR="0042302F" w:rsidRPr="0042302F">
        <w:rPr>
          <w:rFonts w:cs="Arial"/>
          <w:lang w:val="es-CO"/>
        </w:rPr>
        <w:t>Al respecto, se debe tener en cuenta que, al tenor de lo dispuesto en el parágrafo del artículo 11 de la Resolución No. 2248 de 2018 de los Ministerios de Hacienda y Crédito Público y de Educación Nacional, en la Cuenta Maestra del Programa de Alimentación Escolar de las Entidades territoriales deberán inscribirse las cuentas beneficiarias para cada uno de los conceptos de retención o descuentos que en el marco de las normas tributarias se determine.</w:t>
      </w:r>
      <w:r w:rsidRPr="001A38D5">
        <w:rPr>
          <w:rFonts w:cs="Arial"/>
          <w:lang w:val="es-CO"/>
        </w:rPr>
        <w:t xml:space="preserve"> </w:t>
      </w:r>
    </w:p>
    <w:p w14:paraId="44E7D33A" w14:textId="77777777" w:rsidR="0042302F" w:rsidRDefault="0042302F" w:rsidP="005140E1">
      <w:pPr>
        <w:contextualSpacing/>
        <w:jc w:val="both"/>
        <w:rPr>
          <w:rFonts w:cs="Arial"/>
          <w:lang w:val="es-CO"/>
        </w:rPr>
      </w:pPr>
    </w:p>
    <w:p w14:paraId="0C9F30B7" w14:textId="77777777" w:rsidR="00A20990" w:rsidRPr="001A38D5" w:rsidRDefault="0042302F" w:rsidP="005140E1">
      <w:pPr>
        <w:contextualSpacing/>
        <w:jc w:val="both"/>
        <w:rPr>
          <w:rFonts w:cs="Arial"/>
          <w:lang w:val="es-ES_tradnl"/>
        </w:rPr>
      </w:pPr>
      <w:r>
        <w:rPr>
          <w:rFonts w:cs="Arial"/>
          <w:lang w:val="es-CO"/>
        </w:rPr>
        <w:t>Adicionalmente</w:t>
      </w:r>
      <w:r w:rsidR="00A20990" w:rsidRPr="001A38D5">
        <w:rPr>
          <w:rFonts w:cs="Arial"/>
          <w:lang w:val="es-CO"/>
        </w:rPr>
        <w:t xml:space="preserve">, </w:t>
      </w:r>
      <w:r>
        <w:rPr>
          <w:rFonts w:cs="Arial"/>
          <w:lang w:val="es-CO"/>
        </w:rPr>
        <w:t xml:space="preserve">este tipo de transacción no se encuentra contemplada dentro de las operaciones débito autorizadas para el manejo de la Cuenta Maestra del PAE establecidas en el artículo 8 de la </w:t>
      </w:r>
      <w:r w:rsidRPr="0042302F">
        <w:rPr>
          <w:rFonts w:cs="Arial"/>
          <w:lang w:val="es-CO"/>
        </w:rPr>
        <w:t>Resolución No. 2248 de 2018 de los Ministerios de Hacienda y Crédito Público y de Educación Nacional</w:t>
      </w:r>
      <w:r>
        <w:rPr>
          <w:rFonts w:cs="Arial"/>
          <w:lang w:val="es-CO"/>
        </w:rPr>
        <w:t>.</w:t>
      </w:r>
    </w:p>
    <w:p w14:paraId="521C8B63" w14:textId="77777777" w:rsidR="00A20990" w:rsidRPr="001A38D5" w:rsidRDefault="00A20990" w:rsidP="005140E1">
      <w:pPr>
        <w:contextualSpacing/>
        <w:jc w:val="both"/>
        <w:rPr>
          <w:rFonts w:cs="Arial"/>
          <w:lang w:val="es-CO"/>
        </w:rPr>
      </w:pPr>
    </w:p>
    <w:p w14:paraId="2C1C2391" w14:textId="77777777" w:rsidR="00A20990" w:rsidRPr="001A38D5" w:rsidRDefault="00A20990" w:rsidP="005140E1">
      <w:pPr>
        <w:contextualSpacing/>
        <w:jc w:val="both"/>
        <w:rPr>
          <w:rFonts w:cs="Arial"/>
          <w:lang w:val="es-CO"/>
        </w:rPr>
      </w:pPr>
      <w:r w:rsidRPr="001A38D5">
        <w:rPr>
          <w:rFonts w:cs="Arial"/>
          <w:lang w:val="es-CO"/>
        </w:rPr>
        <w:t xml:space="preserve">Por último, pese a que se realizaron egresos en el marco de la ejecución de los contratos suscritos para la operación del Programa y la conformación del </w:t>
      </w:r>
      <w:r w:rsidR="00ED2989">
        <w:rPr>
          <w:rFonts w:cs="Arial"/>
          <w:lang w:val="es-CO"/>
        </w:rPr>
        <w:t>e</w:t>
      </w:r>
      <w:r w:rsidRPr="001A38D5">
        <w:rPr>
          <w:rFonts w:cs="Arial"/>
          <w:lang w:val="es-CO"/>
        </w:rPr>
        <w:t>quipo PAE y que los contratistas no se encuentran exentos de los pagos de tributos municipales ni nacionales, no se evidencia pago de retenciones o descuentos.</w:t>
      </w:r>
    </w:p>
    <w:p w14:paraId="4E8D39E8" w14:textId="77777777" w:rsidR="00A20990" w:rsidRPr="001A38D5" w:rsidRDefault="00A20990" w:rsidP="005140E1">
      <w:pPr>
        <w:contextualSpacing/>
        <w:jc w:val="both"/>
        <w:rPr>
          <w:rFonts w:cs="Arial"/>
          <w:lang w:val="es-CO"/>
        </w:rPr>
      </w:pPr>
    </w:p>
    <w:p w14:paraId="1AF35705"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9</w:t>
      </w:r>
      <w:r w:rsidRPr="007A412F">
        <w:rPr>
          <w:rFonts w:ascii="Verdana" w:hAnsi="Verdana"/>
          <w:color w:val="auto"/>
          <w:sz w:val="20"/>
          <w:szCs w:val="20"/>
        </w:rPr>
        <w:fldChar w:fldCharType="end"/>
      </w:r>
      <w:r w:rsidRPr="007A412F">
        <w:rPr>
          <w:rFonts w:ascii="Verdana" w:hAnsi="Verdana"/>
          <w:color w:val="auto"/>
          <w:sz w:val="20"/>
          <w:szCs w:val="20"/>
        </w:rPr>
        <w:t xml:space="preserve"> Egresos Cuenta Maestra Programa de Alimentación Escolar del Municipio de Villavicencio 2022 (valores en millones de pesos colombianos).</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9"/>
        <w:gridCol w:w="1196"/>
        <w:gridCol w:w="1209"/>
        <w:gridCol w:w="1946"/>
        <w:gridCol w:w="1038"/>
        <w:gridCol w:w="722"/>
      </w:tblGrid>
      <w:tr w:rsidR="001A38D5" w:rsidRPr="001A38D5" w14:paraId="6C3BAFF3" w14:textId="77777777" w:rsidTr="001029CF">
        <w:trPr>
          <w:trHeight w:val="20"/>
          <w:tblHeader/>
        </w:trPr>
        <w:tc>
          <w:tcPr>
            <w:tcW w:w="1797" w:type="pct"/>
            <w:shd w:val="clear" w:color="000000" w:fill="FFC000"/>
            <w:vAlign w:val="center"/>
            <w:hideMark/>
          </w:tcPr>
          <w:p w14:paraId="045E1736"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Nombre o Razón Social</w:t>
            </w:r>
          </w:p>
        </w:tc>
        <w:tc>
          <w:tcPr>
            <w:tcW w:w="625" w:type="pct"/>
            <w:shd w:val="clear" w:color="000000" w:fill="FFC000"/>
            <w:vAlign w:val="center"/>
            <w:hideMark/>
          </w:tcPr>
          <w:p w14:paraId="28AD3588"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NIT</w:t>
            </w:r>
          </w:p>
        </w:tc>
        <w:tc>
          <w:tcPr>
            <w:tcW w:w="586" w:type="pct"/>
            <w:shd w:val="clear" w:color="000000" w:fill="FFC000"/>
            <w:vAlign w:val="center"/>
            <w:hideMark/>
          </w:tcPr>
          <w:p w14:paraId="17EB5DC1"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 de Cuenta</w:t>
            </w:r>
          </w:p>
        </w:tc>
        <w:tc>
          <w:tcPr>
            <w:tcW w:w="1014" w:type="pct"/>
            <w:shd w:val="clear" w:color="000000" w:fill="FFC000"/>
            <w:vAlign w:val="center"/>
            <w:hideMark/>
          </w:tcPr>
          <w:p w14:paraId="3B786332"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Establecimiento Bancario</w:t>
            </w:r>
          </w:p>
        </w:tc>
        <w:tc>
          <w:tcPr>
            <w:tcW w:w="543" w:type="pct"/>
            <w:shd w:val="clear" w:color="000000" w:fill="FFC000"/>
            <w:vAlign w:val="center"/>
            <w:hideMark/>
          </w:tcPr>
          <w:p w14:paraId="148243D7"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Abonado</w:t>
            </w:r>
          </w:p>
        </w:tc>
        <w:tc>
          <w:tcPr>
            <w:tcW w:w="435" w:type="pct"/>
            <w:shd w:val="clear" w:color="000000" w:fill="FFC000"/>
            <w:vAlign w:val="center"/>
            <w:hideMark/>
          </w:tcPr>
          <w:p w14:paraId="64715E4E"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 de Abonos</w:t>
            </w:r>
          </w:p>
        </w:tc>
      </w:tr>
      <w:tr w:rsidR="001A38D5" w:rsidRPr="001A38D5" w14:paraId="58EAC03C" w14:textId="77777777" w:rsidTr="001029CF">
        <w:trPr>
          <w:trHeight w:val="20"/>
        </w:trPr>
        <w:tc>
          <w:tcPr>
            <w:tcW w:w="1797" w:type="pct"/>
            <w:shd w:val="clear" w:color="auto" w:fill="auto"/>
            <w:noWrap/>
            <w:vAlign w:val="bottom"/>
            <w:hideMark/>
          </w:tcPr>
          <w:p w14:paraId="48D9E06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ALMACENES EXITO SA</w:t>
            </w:r>
          </w:p>
        </w:tc>
        <w:tc>
          <w:tcPr>
            <w:tcW w:w="625" w:type="pct"/>
            <w:shd w:val="clear" w:color="auto" w:fill="auto"/>
            <w:noWrap/>
            <w:vAlign w:val="bottom"/>
            <w:hideMark/>
          </w:tcPr>
          <w:p w14:paraId="6982DB9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890.900.608-9</w:t>
            </w:r>
          </w:p>
        </w:tc>
        <w:tc>
          <w:tcPr>
            <w:tcW w:w="586" w:type="pct"/>
            <w:shd w:val="clear" w:color="auto" w:fill="auto"/>
            <w:noWrap/>
            <w:vAlign w:val="bottom"/>
            <w:hideMark/>
          </w:tcPr>
          <w:p w14:paraId="5C2FC3B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195992592</w:t>
            </w:r>
          </w:p>
        </w:tc>
        <w:tc>
          <w:tcPr>
            <w:tcW w:w="1014" w:type="pct"/>
            <w:shd w:val="clear" w:color="auto" w:fill="auto"/>
            <w:noWrap/>
            <w:vAlign w:val="bottom"/>
            <w:hideMark/>
          </w:tcPr>
          <w:p w14:paraId="2F75223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43" w:type="pct"/>
            <w:shd w:val="clear" w:color="auto" w:fill="auto"/>
            <w:noWrap/>
            <w:vAlign w:val="bottom"/>
            <w:hideMark/>
          </w:tcPr>
          <w:p w14:paraId="3BAEA22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$7.580,91</w:t>
            </w:r>
          </w:p>
        </w:tc>
        <w:tc>
          <w:tcPr>
            <w:tcW w:w="435" w:type="pct"/>
            <w:shd w:val="clear" w:color="auto" w:fill="auto"/>
            <w:noWrap/>
            <w:vAlign w:val="bottom"/>
            <w:hideMark/>
          </w:tcPr>
          <w:p w14:paraId="358F638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12</w:t>
            </w:r>
          </w:p>
        </w:tc>
      </w:tr>
      <w:tr w:rsidR="001A38D5" w:rsidRPr="001A38D5" w14:paraId="4230C6DB" w14:textId="77777777" w:rsidTr="001029CF">
        <w:trPr>
          <w:trHeight w:val="20"/>
        </w:trPr>
        <w:tc>
          <w:tcPr>
            <w:tcW w:w="1797" w:type="pct"/>
            <w:shd w:val="clear" w:color="auto" w:fill="auto"/>
            <w:noWrap/>
            <w:vAlign w:val="bottom"/>
            <w:hideMark/>
          </w:tcPr>
          <w:p w14:paraId="40DD977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COMERCIALIZADORA AL GRANO</w:t>
            </w:r>
          </w:p>
        </w:tc>
        <w:tc>
          <w:tcPr>
            <w:tcW w:w="625" w:type="pct"/>
            <w:shd w:val="clear" w:color="auto" w:fill="auto"/>
            <w:noWrap/>
            <w:vAlign w:val="bottom"/>
            <w:hideMark/>
          </w:tcPr>
          <w:p w14:paraId="10095A2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830.117.064-6</w:t>
            </w:r>
          </w:p>
        </w:tc>
        <w:tc>
          <w:tcPr>
            <w:tcW w:w="586" w:type="pct"/>
            <w:shd w:val="clear" w:color="auto" w:fill="auto"/>
            <w:noWrap/>
            <w:vAlign w:val="bottom"/>
            <w:hideMark/>
          </w:tcPr>
          <w:p w14:paraId="51D41F1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21513626748</w:t>
            </w:r>
          </w:p>
        </w:tc>
        <w:tc>
          <w:tcPr>
            <w:tcW w:w="1014" w:type="pct"/>
            <w:shd w:val="clear" w:color="auto" w:fill="auto"/>
            <w:noWrap/>
            <w:vAlign w:val="bottom"/>
            <w:hideMark/>
          </w:tcPr>
          <w:p w14:paraId="51B8E96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43" w:type="pct"/>
            <w:shd w:val="clear" w:color="auto" w:fill="auto"/>
            <w:noWrap/>
            <w:vAlign w:val="bottom"/>
            <w:hideMark/>
          </w:tcPr>
          <w:p w14:paraId="3DDE010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$926,63</w:t>
            </w:r>
          </w:p>
        </w:tc>
        <w:tc>
          <w:tcPr>
            <w:tcW w:w="435" w:type="pct"/>
            <w:shd w:val="clear" w:color="auto" w:fill="auto"/>
            <w:noWrap/>
            <w:vAlign w:val="bottom"/>
            <w:hideMark/>
          </w:tcPr>
          <w:p w14:paraId="08DA851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697B11C0" w14:textId="77777777" w:rsidTr="001029CF">
        <w:trPr>
          <w:trHeight w:val="20"/>
        </w:trPr>
        <w:tc>
          <w:tcPr>
            <w:tcW w:w="1797" w:type="pct"/>
            <w:shd w:val="clear" w:color="auto" w:fill="auto"/>
            <w:noWrap/>
            <w:vAlign w:val="bottom"/>
            <w:hideMark/>
          </w:tcPr>
          <w:p w14:paraId="644990E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COMERCIALIZADORA AL GRANO SAS</w:t>
            </w:r>
          </w:p>
        </w:tc>
        <w:tc>
          <w:tcPr>
            <w:tcW w:w="625" w:type="pct"/>
            <w:shd w:val="clear" w:color="auto" w:fill="auto"/>
            <w:noWrap/>
            <w:vAlign w:val="bottom"/>
            <w:hideMark/>
          </w:tcPr>
          <w:p w14:paraId="7549DE5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830.117.064-6</w:t>
            </w:r>
          </w:p>
        </w:tc>
        <w:tc>
          <w:tcPr>
            <w:tcW w:w="586" w:type="pct"/>
            <w:shd w:val="clear" w:color="auto" w:fill="auto"/>
            <w:noWrap/>
            <w:vAlign w:val="bottom"/>
            <w:hideMark/>
          </w:tcPr>
          <w:p w14:paraId="2DE38E5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21513626748</w:t>
            </w:r>
          </w:p>
        </w:tc>
        <w:tc>
          <w:tcPr>
            <w:tcW w:w="1014" w:type="pct"/>
            <w:shd w:val="clear" w:color="auto" w:fill="auto"/>
            <w:noWrap/>
            <w:vAlign w:val="bottom"/>
            <w:hideMark/>
          </w:tcPr>
          <w:p w14:paraId="0DD783A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43" w:type="pct"/>
            <w:shd w:val="clear" w:color="auto" w:fill="auto"/>
            <w:noWrap/>
            <w:vAlign w:val="bottom"/>
            <w:hideMark/>
          </w:tcPr>
          <w:p w14:paraId="1FE3844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$365,25</w:t>
            </w:r>
          </w:p>
        </w:tc>
        <w:tc>
          <w:tcPr>
            <w:tcW w:w="435" w:type="pct"/>
            <w:shd w:val="clear" w:color="auto" w:fill="auto"/>
            <w:noWrap/>
            <w:vAlign w:val="bottom"/>
            <w:hideMark/>
          </w:tcPr>
          <w:p w14:paraId="7656580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5D7FEC73" w14:textId="77777777" w:rsidTr="001029CF">
        <w:trPr>
          <w:trHeight w:val="20"/>
        </w:trPr>
        <w:tc>
          <w:tcPr>
            <w:tcW w:w="1797" w:type="pct"/>
            <w:shd w:val="clear" w:color="auto" w:fill="auto"/>
            <w:noWrap/>
            <w:vAlign w:val="bottom"/>
            <w:hideMark/>
          </w:tcPr>
          <w:p w14:paraId="3164E87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UNION TEMPORAL VILLAVICENCIO SOLIDARIO</w:t>
            </w:r>
          </w:p>
        </w:tc>
        <w:tc>
          <w:tcPr>
            <w:tcW w:w="625" w:type="pct"/>
            <w:shd w:val="clear" w:color="auto" w:fill="auto"/>
            <w:noWrap/>
            <w:vAlign w:val="bottom"/>
            <w:hideMark/>
          </w:tcPr>
          <w:p w14:paraId="0736DE6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901.614.837-1</w:t>
            </w:r>
          </w:p>
        </w:tc>
        <w:tc>
          <w:tcPr>
            <w:tcW w:w="586" w:type="pct"/>
            <w:shd w:val="clear" w:color="auto" w:fill="auto"/>
            <w:noWrap/>
            <w:vAlign w:val="bottom"/>
            <w:hideMark/>
          </w:tcPr>
          <w:p w14:paraId="5EFF89C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70102715106</w:t>
            </w:r>
          </w:p>
        </w:tc>
        <w:tc>
          <w:tcPr>
            <w:tcW w:w="1014" w:type="pct"/>
            <w:shd w:val="clear" w:color="auto" w:fill="auto"/>
            <w:noWrap/>
            <w:vAlign w:val="bottom"/>
            <w:hideMark/>
          </w:tcPr>
          <w:p w14:paraId="0C54BDF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COOMEVA S.A.</w:t>
            </w:r>
          </w:p>
        </w:tc>
        <w:tc>
          <w:tcPr>
            <w:tcW w:w="543" w:type="pct"/>
            <w:shd w:val="clear" w:color="auto" w:fill="auto"/>
            <w:noWrap/>
            <w:vAlign w:val="bottom"/>
            <w:hideMark/>
          </w:tcPr>
          <w:p w14:paraId="2A090C3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$3.006,96</w:t>
            </w:r>
          </w:p>
        </w:tc>
        <w:tc>
          <w:tcPr>
            <w:tcW w:w="435" w:type="pct"/>
            <w:shd w:val="clear" w:color="auto" w:fill="auto"/>
            <w:noWrap/>
            <w:vAlign w:val="bottom"/>
            <w:hideMark/>
          </w:tcPr>
          <w:p w14:paraId="382779F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w:t>
            </w:r>
          </w:p>
        </w:tc>
      </w:tr>
      <w:tr w:rsidR="001A38D5" w:rsidRPr="001A38D5" w14:paraId="5FADAA18" w14:textId="77777777" w:rsidTr="001029CF">
        <w:trPr>
          <w:trHeight w:val="20"/>
        </w:trPr>
        <w:tc>
          <w:tcPr>
            <w:tcW w:w="1797" w:type="pct"/>
            <w:shd w:val="clear" w:color="auto" w:fill="auto"/>
            <w:noWrap/>
            <w:vAlign w:val="bottom"/>
            <w:hideMark/>
          </w:tcPr>
          <w:p w14:paraId="0F9ED63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UT PAE 2022</w:t>
            </w:r>
          </w:p>
        </w:tc>
        <w:tc>
          <w:tcPr>
            <w:tcW w:w="625" w:type="pct"/>
            <w:shd w:val="clear" w:color="auto" w:fill="auto"/>
            <w:noWrap/>
            <w:vAlign w:val="bottom"/>
            <w:hideMark/>
          </w:tcPr>
          <w:p w14:paraId="5B8BC42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901.568.822-4</w:t>
            </w:r>
          </w:p>
        </w:tc>
        <w:tc>
          <w:tcPr>
            <w:tcW w:w="586" w:type="pct"/>
            <w:shd w:val="clear" w:color="auto" w:fill="auto"/>
            <w:noWrap/>
            <w:vAlign w:val="bottom"/>
            <w:hideMark/>
          </w:tcPr>
          <w:p w14:paraId="1BF2034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96069995395</w:t>
            </w:r>
          </w:p>
        </w:tc>
        <w:tc>
          <w:tcPr>
            <w:tcW w:w="1014" w:type="pct"/>
            <w:shd w:val="clear" w:color="auto" w:fill="auto"/>
            <w:noWrap/>
            <w:vAlign w:val="bottom"/>
            <w:hideMark/>
          </w:tcPr>
          <w:p w14:paraId="2E73E00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BANCO DAVIVIENDA S.A. </w:t>
            </w:r>
          </w:p>
        </w:tc>
        <w:tc>
          <w:tcPr>
            <w:tcW w:w="543" w:type="pct"/>
            <w:shd w:val="clear" w:color="auto" w:fill="auto"/>
            <w:noWrap/>
            <w:vAlign w:val="bottom"/>
            <w:hideMark/>
          </w:tcPr>
          <w:p w14:paraId="2E67543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$3.289,67</w:t>
            </w:r>
          </w:p>
        </w:tc>
        <w:tc>
          <w:tcPr>
            <w:tcW w:w="435" w:type="pct"/>
            <w:shd w:val="clear" w:color="auto" w:fill="auto"/>
            <w:noWrap/>
            <w:vAlign w:val="bottom"/>
            <w:hideMark/>
          </w:tcPr>
          <w:p w14:paraId="4D15FD9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w:t>
            </w:r>
          </w:p>
        </w:tc>
      </w:tr>
      <w:tr w:rsidR="001A38D5" w:rsidRPr="001A38D5" w14:paraId="18561E7C" w14:textId="77777777" w:rsidTr="001029CF">
        <w:trPr>
          <w:trHeight w:val="20"/>
        </w:trPr>
        <w:tc>
          <w:tcPr>
            <w:tcW w:w="1797" w:type="pct"/>
            <w:shd w:val="clear" w:color="auto" w:fill="auto"/>
            <w:noWrap/>
            <w:vAlign w:val="bottom"/>
            <w:hideMark/>
          </w:tcPr>
          <w:p w14:paraId="246355A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RESGUARDO INDIGENA MAGUARE</w:t>
            </w:r>
          </w:p>
        </w:tc>
        <w:tc>
          <w:tcPr>
            <w:tcW w:w="625" w:type="pct"/>
            <w:shd w:val="clear" w:color="auto" w:fill="auto"/>
            <w:noWrap/>
            <w:vAlign w:val="bottom"/>
            <w:hideMark/>
          </w:tcPr>
          <w:p w14:paraId="11DAAA7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901.053.503-9</w:t>
            </w:r>
          </w:p>
        </w:tc>
        <w:tc>
          <w:tcPr>
            <w:tcW w:w="586" w:type="pct"/>
            <w:shd w:val="clear" w:color="auto" w:fill="auto"/>
            <w:noWrap/>
            <w:vAlign w:val="bottom"/>
            <w:hideMark/>
          </w:tcPr>
          <w:p w14:paraId="0CCA37D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84100001363</w:t>
            </w:r>
          </w:p>
        </w:tc>
        <w:tc>
          <w:tcPr>
            <w:tcW w:w="1014" w:type="pct"/>
            <w:shd w:val="clear" w:color="auto" w:fill="auto"/>
            <w:noWrap/>
            <w:vAlign w:val="bottom"/>
            <w:hideMark/>
          </w:tcPr>
          <w:p w14:paraId="44CC740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43" w:type="pct"/>
            <w:shd w:val="clear" w:color="auto" w:fill="auto"/>
            <w:noWrap/>
            <w:vAlign w:val="bottom"/>
            <w:hideMark/>
          </w:tcPr>
          <w:p w14:paraId="728B998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$1,58</w:t>
            </w:r>
          </w:p>
        </w:tc>
        <w:tc>
          <w:tcPr>
            <w:tcW w:w="435" w:type="pct"/>
            <w:shd w:val="clear" w:color="auto" w:fill="auto"/>
            <w:noWrap/>
            <w:vAlign w:val="bottom"/>
            <w:hideMark/>
          </w:tcPr>
          <w:p w14:paraId="708E260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586B72B6" w14:textId="77777777" w:rsidTr="001029CF">
        <w:trPr>
          <w:trHeight w:val="20"/>
        </w:trPr>
        <w:tc>
          <w:tcPr>
            <w:tcW w:w="1797" w:type="pct"/>
            <w:shd w:val="clear" w:color="auto" w:fill="auto"/>
            <w:noWrap/>
            <w:vAlign w:val="bottom"/>
            <w:hideMark/>
          </w:tcPr>
          <w:p w14:paraId="3ADC2E3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MPIO DE VILLAVICENCIO</w:t>
            </w:r>
          </w:p>
        </w:tc>
        <w:tc>
          <w:tcPr>
            <w:tcW w:w="625" w:type="pct"/>
            <w:shd w:val="clear" w:color="auto" w:fill="auto"/>
            <w:noWrap/>
            <w:vAlign w:val="bottom"/>
            <w:hideMark/>
          </w:tcPr>
          <w:p w14:paraId="2BE61CD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892.099.324-3</w:t>
            </w:r>
          </w:p>
        </w:tc>
        <w:tc>
          <w:tcPr>
            <w:tcW w:w="586" w:type="pct"/>
            <w:shd w:val="clear" w:color="auto" w:fill="auto"/>
            <w:noWrap/>
            <w:vAlign w:val="bottom"/>
            <w:hideMark/>
          </w:tcPr>
          <w:p w14:paraId="35EE5A8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364618579</w:t>
            </w:r>
          </w:p>
        </w:tc>
        <w:tc>
          <w:tcPr>
            <w:tcW w:w="1014" w:type="pct"/>
            <w:shd w:val="clear" w:color="auto" w:fill="auto"/>
            <w:noWrap/>
            <w:vAlign w:val="bottom"/>
            <w:hideMark/>
          </w:tcPr>
          <w:p w14:paraId="1413936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43" w:type="pct"/>
            <w:shd w:val="clear" w:color="auto" w:fill="auto"/>
            <w:noWrap/>
            <w:vAlign w:val="bottom"/>
            <w:hideMark/>
          </w:tcPr>
          <w:p w14:paraId="4E0AD69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$935,38</w:t>
            </w:r>
          </w:p>
        </w:tc>
        <w:tc>
          <w:tcPr>
            <w:tcW w:w="435" w:type="pct"/>
            <w:shd w:val="clear" w:color="auto" w:fill="auto"/>
            <w:noWrap/>
            <w:vAlign w:val="bottom"/>
            <w:hideMark/>
          </w:tcPr>
          <w:p w14:paraId="10D8637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28</w:t>
            </w:r>
          </w:p>
        </w:tc>
      </w:tr>
      <w:tr w:rsidR="001A38D5" w:rsidRPr="001A38D5" w14:paraId="4FEC8850" w14:textId="77777777" w:rsidTr="001029CF">
        <w:trPr>
          <w:trHeight w:val="20"/>
        </w:trPr>
        <w:tc>
          <w:tcPr>
            <w:tcW w:w="1797" w:type="pct"/>
            <w:shd w:val="clear" w:color="auto" w:fill="auto"/>
            <w:noWrap/>
            <w:vAlign w:val="bottom"/>
            <w:hideMark/>
          </w:tcPr>
          <w:p w14:paraId="2D1CA4B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MPIO DE VILLAVICENCIO</w:t>
            </w:r>
          </w:p>
        </w:tc>
        <w:tc>
          <w:tcPr>
            <w:tcW w:w="625" w:type="pct"/>
            <w:shd w:val="clear" w:color="000000" w:fill="FFC7CE"/>
            <w:noWrap/>
            <w:vAlign w:val="bottom"/>
            <w:hideMark/>
          </w:tcPr>
          <w:p w14:paraId="3EE77F8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w:t>
            </w:r>
          </w:p>
        </w:tc>
        <w:tc>
          <w:tcPr>
            <w:tcW w:w="586" w:type="pct"/>
            <w:shd w:val="clear" w:color="auto" w:fill="auto"/>
            <w:noWrap/>
            <w:vAlign w:val="bottom"/>
            <w:hideMark/>
          </w:tcPr>
          <w:p w14:paraId="52136A3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364618579</w:t>
            </w:r>
          </w:p>
        </w:tc>
        <w:tc>
          <w:tcPr>
            <w:tcW w:w="1014" w:type="pct"/>
            <w:shd w:val="clear" w:color="auto" w:fill="auto"/>
            <w:noWrap/>
            <w:vAlign w:val="bottom"/>
            <w:hideMark/>
          </w:tcPr>
          <w:p w14:paraId="4DDE2DC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43" w:type="pct"/>
            <w:shd w:val="clear" w:color="auto" w:fill="auto"/>
            <w:noWrap/>
            <w:vAlign w:val="bottom"/>
            <w:hideMark/>
          </w:tcPr>
          <w:p w14:paraId="5F8ED97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$0,79</w:t>
            </w:r>
          </w:p>
        </w:tc>
        <w:tc>
          <w:tcPr>
            <w:tcW w:w="435" w:type="pct"/>
            <w:shd w:val="clear" w:color="auto" w:fill="auto"/>
            <w:noWrap/>
            <w:vAlign w:val="bottom"/>
            <w:hideMark/>
          </w:tcPr>
          <w:p w14:paraId="0638E66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w:t>
            </w:r>
          </w:p>
        </w:tc>
      </w:tr>
      <w:tr w:rsidR="001A38D5" w:rsidRPr="001A38D5" w14:paraId="3FB3AD51" w14:textId="77777777" w:rsidTr="001029CF">
        <w:trPr>
          <w:trHeight w:val="20"/>
        </w:trPr>
        <w:tc>
          <w:tcPr>
            <w:tcW w:w="1797" w:type="pct"/>
            <w:shd w:val="clear" w:color="auto" w:fill="auto"/>
            <w:noWrap/>
            <w:vAlign w:val="bottom"/>
            <w:hideMark/>
          </w:tcPr>
          <w:p w14:paraId="40363F0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625" w:type="pct"/>
            <w:shd w:val="clear" w:color="auto" w:fill="auto"/>
            <w:noWrap/>
            <w:vAlign w:val="bottom"/>
            <w:hideMark/>
          </w:tcPr>
          <w:p w14:paraId="7C1DB55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892.099.324-3</w:t>
            </w:r>
          </w:p>
        </w:tc>
        <w:tc>
          <w:tcPr>
            <w:tcW w:w="586" w:type="pct"/>
            <w:shd w:val="clear" w:color="auto" w:fill="auto"/>
            <w:noWrap/>
            <w:vAlign w:val="bottom"/>
            <w:hideMark/>
          </w:tcPr>
          <w:p w14:paraId="1AC24F0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36456547898</w:t>
            </w:r>
          </w:p>
        </w:tc>
        <w:tc>
          <w:tcPr>
            <w:tcW w:w="1014" w:type="pct"/>
            <w:shd w:val="clear" w:color="auto" w:fill="auto"/>
            <w:noWrap/>
            <w:vAlign w:val="bottom"/>
            <w:hideMark/>
          </w:tcPr>
          <w:p w14:paraId="2B5E8E9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43" w:type="pct"/>
            <w:shd w:val="clear" w:color="auto" w:fill="auto"/>
            <w:noWrap/>
            <w:vAlign w:val="bottom"/>
            <w:hideMark/>
          </w:tcPr>
          <w:p w14:paraId="659128E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$283,12</w:t>
            </w:r>
          </w:p>
        </w:tc>
        <w:tc>
          <w:tcPr>
            <w:tcW w:w="435" w:type="pct"/>
            <w:shd w:val="clear" w:color="auto" w:fill="auto"/>
            <w:noWrap/>
            <w:vAlign w:val="bottom"/>
            <w:hideMark/>
          </w:tcPr>
          <w:p w14:paraId="0CDAC49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w:t>
            </w:r>
          </w:p>
        </w:tc>
      </w:tr>
      <w:tr w:rsidR="001A38D5" w:rsidRPr="001A38D5" w14:paraId="1297D7E3" w14:textId="77777777" w:rsidTr="001029CF">
        <w:trPr>
          <w:trHeight w:val="20"/>
        </w:trPr>
        <w:tc>
          <w:tcPr>
            <w:tcW w:w="1797" w:type="pct"/>
            <w:shd w:val="clear" w:color="auto" w:fill="auto"/>
            <w:noWrap/>
            <w:vAlign w:val="bottom"/>
            <w:hideMark/>
          </w:tcPr>
          <w:p w14:paraId="6B0CD09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MUNICIPIO DE VILLAVICENCIO</w:t>
            </w:r>
          </w:p>
        </w:tc>
        <w:tc>
          <w:tcPr>
            <w:tcW w:w="625" w:type="pct"/>
            <w:shd w:val="clear" w:color="auto" w:fill="auto"/>
            <w:noWrap/>
            <w:vAlign w:val="bottom"/>
            <w:hideMark/>
          </w:tcPr>
          <w:p w14:paraId="65AA4A3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892.099.324-3</w:t>
            </w:r>
          </w:p>
        </w:tc>
        <w:tc>
          <w:tcPr>
            <w:tcW w:w="586" w:type="pct"/>
            <w:shd w:val="clear" w:color="auto" w:fill="auto"/>
            <w:noWrap/>
            <w:vAlign w:val="bottom"/>
            <w:hideMark/>
          </w:tcPr>
          <w:p w14:paraId="50ED8CB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364618579</w:t>
            </w:r>
          </w:p>
        </w:tc>
        <w:tc>
          <w:tcPr>
            <w:tcW w:w="1014" w:type="pct"/>
            <w:shd w:val="clear" w:color="auto" w:fill="auto"/>
            <w:noWrap/>
            <w:vAlign w:val="bottom"/>
            <w:hideMark/>
          </w:tcPr>
          <w:p w14:paraId="443C7B42"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43" w:type="pct"/>
            <w:shd w:val="clear" w:color="auto" w:fill="auto"/>
            <w:noWrap/>
            <w:vAlign w:val="bottom"/>
            <w:hideMark/>
          </w:tcPr>
          <w:p w14:paraId="5F517BF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$308,30</w:t>
            </w:r>
          </w:p>
        </w:tc>
        <w:tc>
          <w:tcPr>
            <w:tcW w:w="435" w:type="pct"/>
            <w:shd w:val="clear" w:color="auto" w:fill="auto"/>
            <w:noWrap/>
            <w:vAlign w:val="bottom"/>
            <w:hideMark/>
          </w:tcPr>
          <w:p w14:paraId="540D057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14</w:t>
            </w:r>
          </w:p>
        </w:tc>
      </w:tr>
      <w:tr w:rsidR="001A38D5" w:rsidRPr="001A38D5" w14:paraId="2FA6E6C3" w14:textId="77777777" w:rsidTr="001029CF">
        <w:trPr>
          <w:trHeight w:val="20"/>
        </w:trPr>
        <w:tc>
          <w:tcPr>
            <w:tcW w:w="1797" w:type="pct"/>
            <w:shd w:val="clear" w:color="auto" w:fill="auto"/>
            <w:noWrap/>
            <w:vAlign w:val="bottom"/>
            <w:hideMark/>
          </w:tcPr>
          <w:p w14:paraId="6641ECA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BUITRAGO CORTES JAISON</w:t>
            </w:r>
          </w:p>
        </w:tc>
        <w:tc>
          <w:tcPr>
            <w:tcW w:w="625" w:type="pct"/>
            <w:shd w:val="clear" w:color="auto" w:fill="auto"/>
            <w:noWrap/>
            <w:vAlign w:val="bottom"/>
            <w:hideMark/>
          </w:tcPr>
          <w:p w14:paraId="0A202CD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1.121.916.231</w:t>
            </w:r>
          </w:p>
        </w:tc>
        <w:tc>
          <w:tcPr>
            <w:tcW w:w="586" w:type="pct"/>
            <w:shd w:val="clear" w:color="auto" w:fill="auto"/>
            <w:noWrap/>
            <w:vAlign w:val="bottom"/>
            <w:hideMark/>
          </w:tcPr>
          <w:p w14:paraId="0F65F99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5732689071</w:t>
            </w:r>
          </w:p>
        </w:tc>
        <w:tc>
          <w:tcPr>
            <w:tcW w:w="1014" w:type="pct"/>
            <w:shd w:val="clear" w:color="auto" w:fill="auto"/>
            <w:noWrap/>
            <w:vAlign w:val="bottom"/>
            <w:hideMark/>
          </w:tcPr>
          <w:p w14:paraId="562517D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43" w:type="pct"/>
            <w:shd w:val="clear" w:color="auto" w:fill="auto"/>
            <w:noWrap/>
            <w:vAlign w:val="bottom"/>
            <w:hideMark/>
          </w:tcPr>
          <w:p w14:paraId="68110C0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$22,56</w:t>
            </w:r>
          </w:p>
        </w:tc>
        <w:tc>
          <w:tcPr>
            <w:tcW w:w="435" w:type="pct"/>
            <w:shd w:val="clear" w:color="auto" w:fill="auto"/>
            <w:noWrap/>
            <w:vAlign w:val="bottom"/>
            <w:hideMark/>
          </w:tcPr>
          <w:p w14:paraId="7106DF0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w:t>
            </w:r>
          </w:p>
        </w:tc>
      </w:tr>
      <w:tr w:rsidR="001A38D5" w:rsidRPr="001A38D5" w14:paraId="67CE3C56" w14:textId="77777777" w:rsidTr="001029CF">
        <w:trPr>
          <w:trHeight w:val="20"/>
        </w:trPr>
        <w:tc>
          <w:tcPr>
            <w:tcW w:w="1797" w:type="pct"/>
            <w:shd w:val="clear" w:color="auto" w:fill="auto"/>
            <w:noWrap/>
            <w:vAlign w:val="bottom"/>
            <w:hideMark/>
          </w:tcPr>
          <w:p w14:paraId="30EF8AC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CIPRIAN LUIS</w:t>
            </w:r>
          </w:p>
        </w:tc>
        <w:tc>
          <w:tcPr>
            <w:tcW w:w="625" w:type="pct"/>
            <w:shd w:val="clear" w:color="auto" w:fill="auto"/>
            <w:noWrap/>
            <w:vAlign w:val="bottom"/>
            <w:hideMark/>
          </w:tcPr>
          <w:p w14:paraId="70ACAAA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17.328.904</w:t>
            </w:r>
          </w:p>
        </w:tc>
        <w:tc>
          <w:tcPr>
            <w:tcW w:w="586" w:type="pct"/>
            <w:shd w:val="clear" w:color="auto" w:fill="auto"/>
            <w:noWrap/>
            <w:vAlign w:val="bottom"/>
            <w:hideMark/>
          </w:tcPr>
          <w:p w14:paraId="2B1B636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364177584</w:t>
            </w:r>
          </w:p>
        </w:tc>
        <w:tc>
          <w:tcPr>
            <w:tcW w:w="1014" w:type="pct"/>
            <w:shd w:val="clear" w:color="auto" w:fill="auto"/>
            <w:noWrap/>
            <w:vAlign w:val="bottom"/>
            <w:hideMark/>
          </w:tcPr>
          <w:p w14:paraId="54C1D3D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43" w:type="pct"/>
            <w:shd w:val="clear" w:color="auto" w:fill="auto"/>
            <w:noWrap/>
            <w:vAlign w:val="bottom"/>
            <w:hideMark/>
          </w:tcPr>
          <w:p w14:paraId="2AE9B6E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$9,34</w:t>
            </w:r>
          </w:p>
        </w:tc>
        <w:tc>
          <w:tcPr>
            <w:tcW w:w="435" w:type="pct"/>
            <w:shd w:val="clear" w:color="auto" w:fill="auto"/>
            <w:noWrap/>
            <w:vAlign w:val="bottom"/>
            <w:hideMark/>
          </w:tcPr>
          <w:p w14:paraId="6319974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w:t>
            </w:r>
          </w:p>
        </w:tc>
      </w:tr>
      <w:tr w:rsidR="001A38D5" w:rsidRPr="001A38D5" w14:paraId="0E383A02" w14:textId="77777777" w:rsidTr="001029CF">
        <w:trPr>
          <w:trHeight w:val="20"/>
        </w:trPr>
        <w:tc>
          <w:tcPr>
            <w:tcW w:w="1797" w:type="pct"/>
            <w:shd w:val="clear" w:color="auto" w:fill="auto"/>
            <w:noWrap/>
            <w:vAlign w:val="bottom"/>
            <w:hideMark/>
          </w:tcPr>
          <w:p w14:paraId="6DEDA780"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GALINDO MATEUS FABIAN</w:t>
            </w:r>
          </w:p>
        </w:tc>
        <w:tc>
          <w:tcPr>
            <w:tcW w:w="625" w:type="pct"/>
            <w:shd w:val="clear" w:color="auto" w:fill="auto"/>
            <w:noWrap/>
            <w:vAlign w:val="bottom"/>
            <w:hideMark/>
          </w:tcPr>
          <w:p w14:paraId="513FC7C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1.121.828.845</w:t>
            </w:r>
          </w:p>
        </w:tc>
        <w:tc>
          <w:tcPr>
            <w:tcW w:w="586" w:type="pct"/>
            <w:shd w:val="clear" w:color="auto" w:fill="auto"/>
            <w:noWrap/>
            <w:vAlign w:val="bottom"/>
            <w:hideMark/>
          </w:tcPr>
          <w:p w14:paraId="16E09EF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3114901612</w:t>
            </w:r>
          </w:p>
        </w:tc>
        <w:tc>
          <w:tcPr>
            <w:tcW w:w="1014" w:type="pct"/>
            <w:shd w:val="clear" w:color="auto" w:fill="auto"/>
            <w:noWrap/>
            <w:vAlign w:val="bottom"/>
            <w:hideMark/>
          </w:tcPr>
          <w:p w14:paraId="423F835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43" w:type="pct"/>
            <w:shd w:val="clear" w:color="auto" w:fill="auto"/>
            <w:noWrap/>
            <w:vAlign w:val="bottom"/>
            <w:hideMark/>
          </w:tcPr>
          <w:p w14:paraId="199E3BA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$42,47</w:t>
            </w:r>
          </w:p>
        </w:tc>
        <w:tc>
          <w:tcPr>
            <w:tcW w:w="435" w:type="pct"/>
            <w:shd w:val="clear" w:color="auto" w:fill="auto"/>
            <w:noWrap/>
            <w:vAlign w:val="bottom"/>
            <w:hideMark/>
          </w:tcPr>
          <w:p w14:paraId="6663657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w:t>
            </w:r>
          </w:p>
        </w:tc>
      </w:tr>
      <w:tr w:rsidR="001A38D5" w:rsidRPr="001A38D5" w14:paraId="622037AF" w14:textId="77777777" w:rsidTr="001029CF">
        <w:trPr>
          <w:trHeight w:val="20"/>
        </w:trPr>
        <w:tc>
          <w:tcPr>
            <w:tcW w:w="1797" w:type="pct"/>
            <w:shd w:val="clear" w:color="auto" w:fill="auto"/>
            <w:noWrap/>
            <w:vAlign w:val="bottom"/>
            <w:hideMark/>
          </w:tcPr>
          <w:p w14:paraId="1E1625E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HERRERA NOHORA</w:t>
            </w:r>
          </w:p>
        </w:tc>
        <w:tc>
          <w:tcPr>
            <w:tcW w:w="625" w:type="pct"/>
            <w:shd w:val="clear" w:color="auto" w:fill="auto"/>
            <w:noWrap/>
            <w:vAlign w:val="bottom"/>
            <w:hideMark/>
          </w:tcPr>
          <w:p w14:paraId="52B9248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40.394.104</w:t>
            </w:r>
          </w:p>
        </w:tc>
        <w:tc>
          <w:tcPr>
            <w:tcW w:w="586" w:type="pct"/>
            <w:shd w:val="clear" w:color="auto" w:fill="auto"/>
            <w:noWrap/>
            <w:vAlign w:val="bottom"/>
            <w:hideMark/>
          </w:tcPr>
          <w:p w14:paraId="23BC04F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636402323</w:t>
            </w:r>
          </w:p>
        </w:tc>
        <w:tc>
          <w:tcPr>
            <w:tcW w:w="1014" w:type="pct"/>
            <w:shd w:val="clear" w:color="auto" w:fill="auto"/>
            <w:noWrap/>
            <w:vAlign w:val="bottom"/>
            <w:hideMark/>
          </w:tcPr>
          <w:p w14:paraId="7F169BF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DE BOGOTÁ</w:t>
            </w:r>
          </w:p>
        </w:tc>
        <w:tc>
          <w:tcPr>
            <w:tcW w:w="543" w:type="pct"/>
            <w:shd w:val="clear" w:color="auto" w:fill="auto"/>
            <w:noWrap/>
            <w:vAlign w:val="bottom"/>
            <w:hideMark/>
          </w:tcPr>
          <w:p w14:paraId="2169593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$33,65</w:t>
            </w:r>
          </w:p>
        </w:tc>
        <w:tc>
          <w:tcPr>
            <w:tcW w:w="435" w:type="pct"/>
            <w:shd w:val="clear" w:color="auto" w:fill="auto"/>
            <w:noWrap/>
            <w:vAlign w:val="bottom"/>
            <w:hideMark/>
          </w:tcPr>
          <w:p w14:paraId="618FBBB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w:t>
            </w:r>
          </w:p>
        </w:tc>
      </w:tr>
      <w:tr w:rsidR="001A38D5" w:rsidRPr="001A38D5" w14:paraId="6EDB3A4C" w14:textId="77777777" w:rsidTr="001029CF">
        <w:trPr>
          <w:trHeight w:val="20"/>
        </w:trPr>
        <w:tc>
          <w:tcPr>
            <w:tcW w:w="1797" w:type="pct"/>
            <w:shd w:val="clear" w:color="auto" w:fill="auto"/>
            <w:noWrap/>
            <w:vAlign w:val="bottom"/>
            <w:hideMark/>
          </w:tcPr>
          <w:p w14:paraId="0905323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LEAL ALEJANDRA</w:t>
            </w:r>
          </w:p>
        </w:tc>
        <w:tc>
          <w:tcPr>
            <w:tcW w:w="625" w:type="pct"/>
            <w:shd w:val="clear" w:color="auto" w:fill="auto"/>
            <w:noWrap/>
            <w:vAlign w:val="bottom"/>
            <w:hideMark/>
          </w:tcPr>
          <w:p w14:paraId="2764CC5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1.121.879.737</w:t>
            </w:r>
          </w:p>
        </w:tc>
        <w:tc>
          <w:tcPr>
            <w:tcW w:w="586" w:type="pct"/>
            <w:shd w:val="clear" w:color="auto" w:fill="auto"/>
            <w:noWrap/>
            <w:vAlign w:val="bottom"/>
            <w:hideMark/>
          </w:tcPr>
          <w:p w14:paraId="6100D7D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96270178211</w:t>
            </w:r>
          </w:p>
        </w:tc>
        <w:tc>
          <w:tcPr>
            <w:tcW w:w="1014" w:type="pct"/>
            <w:shd w:val="clear" w:color="auto" w:fill="auto"/>
            <w:noWrap/>
            <w:vAlign w:val="bottom"/>
            <w:hideMark/>
          </w:tcPr>
          <w:p w14:paraId="7865149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BANCO DAVIVIENDA S.A. </w:t>
            </w:r>
          </w:p>
        </w:tc>
        <w:tc>
          <w:tcPr>
            <w:tcW w:w="543" w:type="pct"/>
            <w:shd w:val="clear" w:color="auto" w:fill="auto"/>
            <w:noWrap/>
            <w:vAlign w:val="bottom"/>
            <w:hideMark/>
          </w:tcPr>
          <w:p w14:paraId="58D3DB9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$18,80</w:t>
            </w:r>
          </w:p>
        </w:tc>
        <w:tc>
          <w:tcPr>
            <w:tcW w:w="435" w:type="pct"/>
            <w:shd w:val="clear" w:color="auto" w:fill="auto"/>
            <w:noWrap/>
            <w:vAlign w:val="bottom"/>
            <w:hideMark/>
          </w:tcPr>
          <w:p w14:paraId="529D127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w:t>
            </w:r>
          </w:p>
        </w:tc>
      </w:tr>
      <w:tr w:rsidR="001A38D5" w:rsidRPr="001A38D5" w14:paraId="18B0712D" w14:textId="77777777" w:rsidTr="001029CF">
        <w:trPr>
          <w:trHeight w:val="20"/>
        </w:trPr>
        <w:tc>
          <w:tcPr>
            <w:tcW w:w="1797" w:type="pct"/>
            <w:shd w:val="clear" w:color="auto" w:fill="auto"/>
            <w:noWrap/>
            <w:vAlign w:val="bottom"/>
            <w:hideMark/>
          </w:tcPr>
          <w:p w14:paraId="6B585D3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LOAIZA TORRES ESTER JULIA</w:t>
            </w:r>
          </w:p>
        </w:tc>
        <w:tc>
          <w:tcPr>
            <w:tcW w:w="625" w:type="pct"/>
            <w:shd w:val="clear" w:color="auto" w:fill="auto"/>
            <w:noWrap/>
            <w:vAlign w:val="bottom"/>
            <w:hideMark/>
          </w:tcPr>
          <w:p w14:paraId="37FDA8B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40.439.745</w:t>
            </w:r>
          </w:p>
        </w:tc>
        <w:tc>
          <w:tcPr>
            <w:tcW w:w="586" w:type="pct"/>
            <w:shd w:val="clear" w:color="auto" w:fill="auto"/>
            <w:noWrap/>
            <w:vAlign w:val="bottom"/>
            <w:hideMark/>
          </w:tcPr>
          <w:p w14:paraId="193ED0F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5700027114</w:t>
            </w:r>
          </w:p>
        </w:tc>
        <w:tc>
          <w:tcPr>
            <w:tcW w:w="1014" w:type="pct"/>
            <w:shd w:val="clear" w:color="auto" w:fill="auto"/>
            <w:noWrap/>
            <w:vAlign w:val="bottom"/>
            <w:hideMark/>
          </w:tcPr>
          <w:p w14:paraId="19E48FE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43" w:type="pct"/>
            <w:shd w:val="clear" w:color="auto" w:fill="auto"/>
            <w:noWrap/>
            <w:vAlign w:val="bottom"/>
            <w:hideMark/>
          </w:tcPr>
          <w:p w14:paraId="7071F69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$8,05</w:t>
            </w:r>
          </w:p>
        </w:tc>
        <w:tc>
          <w:tcPr>
            <w:tcW w:w="435" w:type="pct"/>
            <w:shd w:val="clear" w:color="auto" w:fill="auto"/>
            <w:noWrap/>
            <w:vAlign w:val="bottom"/>
            <w:hideMark/>
          </w:tcPr>
          <w:p w14:paraId="5F0D34D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w:t>
            </w:r>
          </w:p>
        </w:tc>
      </w:tr>
      <w:tr w:rsidR="001A38D5" w:rsidRPr="001A38D5" w14:paraId="26D92B86" w14:textId="77777777" w:rsidTr="001029CF">
        <w:trPr>
          <w:trHeight w:val="20"/>
        </w:trPr>
        <w:tc>
          <w:tcPr>
            <w:tcW w:w="1797" w:type="pct"/>
            <w:shd w:val="clear" w:color="auto" w:fill="auto"/>
            <w:noWrap/>
            <w:vAlign w:val="bottom"/>
            <w:hideMark/>
          </w:tcPr>
          <w:p w14:paraId="43F27BC0"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MAYORGA DIAZ YESSICA</w:t>
            </w:r>
          </w:p>
        </w:tc>
        <w:tc>
          <w:tcPr>
            <w:tcW w:w="625" w:type="pct"/>
            <w:shd w:val="clear" w:color="auto" w:fill="auto"/>
            <w:noWrap/>
            <w:vAlign w:val="bottom"/>
            <w:hideMark/>
          </w:tcPr>
          <w:p w14:paraId="48825BA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1.032.396.606</w:t>
            </w:r>
          </w:p>
        </w:tc>
        <w:tc>
          <w:tcPr>
            <w:tcW w:w="586" w:type="pct"/>
            <w:shd w:val="clear" w:color="auto" w:fill="auto"/>
            <w:noWrap/>
            <w:vAlign w:val="bottom"/>
            <w:hideMark/>
          </w:tcPr>
          <w:p w14:paraId="4C01F20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296087687</w:t>
            </w:r>
          </w:p>
        </w:tc>
        <w:tc>
          <w:tcPr>
            <w:tcW w:w="1014" w:type="pct"/>
            <w:shd w:val="clear" w:color="auto" w:fill="auto"/>
            <w:noWrap/>
            <w:vAlign w:val="bottom"/>
            <w:hideMark/>
          </w:tcPr>
          <w:p w14:paraId="01AEB56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BBVA COLOMBIA</w:t>
            </w:r>
          </w:p>
        </w:tc>
        <w:tc>
          <w:tcPr>
            <w:tcW w:w="543" w:type="pct"/>
            <w:shd w:val="clear" w:color="auto" w:fill="auto"/>
            <w:noWrap/>
            <w:vAlign w:val="bottom"/>
            <w:hideMark/>
          </w:tcPr>
          <w:p w14:paraId="26723FD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$23,50</w:t>
            </w:r>
          </w:p>
        </w:tc>
        <w:tc>
          <w:tcPr>
            <w:tcW w:w="435" w:type="pct"/>
            <w:shd w:val="clear" w:color="auto" w:fill="auto"/>
            <w:noWrap/>
            <w:vAlign w:val="bottom"/>
            <w:hideMark/>
          </w:tcPr>
          <w:p w14:paraId="08079B3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w:t>
            </w:r>
          </w:p>
        </w:tc>
      </w:tr>
      <w:tr w:rsidR="001A38D5" w:rsidRPr="001A38D5" w14:paraId="2F8BD595" w14:textId="77777777" w:rsidTr="001029CF">
        <w:trPr>
          <w:trHeight w:val="20"/>
        </w:trPr>
        <w:tc>
          <w:tcPr>
            <w:tcW w:w="1797" w:type="pct"/>
            <w:shd w:val="clear" w:color="auto" w:fill="auto"/>
            <w:noWrap/>
            <w:vAlign w:val="bottom"/>
            <w:hideMark/>
          </w:tcPr>
          <w:p w14:paraId="7467782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MAYORGA DIAZ YESSICA</w:t>
            </w:r>
          </w:p>
        </w:tc>
        <w:tc>
          <w:tcPr>
            <w:tcW w:w="625" w:type="pct"/>
            <w:shd w:val="clear" w:color="auto" w:fill="auto"/>
            <w:noWrap/>
            <w:vAlign w:val="bottom"/>
            <w:hideMark/>
          </w:tcPr>
          <w:p w14:paraId="4079BDD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1.032.396.606</w:t>
            </w:r>
          </w:p>
        </w:tc>
        <w:tc>
          <w:tcPr>
            <w:tcW w:w="586" w:type="pct"/>
            <w:shd w:val="clear" w:color="auto" w:fill="auto"/>
            <w:noWrap/>
            <w:vAlign w:val="bottom"/>
            <w:hideMark/>
          </w:tcPr>
          <w:p w14:paraId="1974F88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87043084023</w:t>
            </w:r>
          </w:p>
        </w:tc>
        <w:tc>
          <w:tcPr>
            <w:tcW w:w="1014" w:type="pct"/>
            <w:shd w:val="clear" w:color="auto" w:fill="auto"/>
            <w:noWrap/>
            <w:vAlign w:val="bottom"/>
            <w:hideMark/>
          </w:tcPr>
          <w:p w14:paraId="376F7D4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43" w:type="pct"/>
            <w:shd w:val="clear" w:color="auto" w:fill="auto"/>
            <w:noWrap/>
            <w:vAlign w:val="bottom"/>
            <w:hideMark/>
          </w:tcPr>
          <w:p w14:paraId="4B26010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$4,38</w:t>
            </w:r>
          </w:p>
        </w:tc>
        <w:tc>
          <w:tcPr>
            <w:tcW w:w="435" w:type="pct"/>
            <w:shd w:val="clear" w:color="auto" w:fill="auto"/>
            <w:noWrap/>
            <w:vAlign w:val="bottom"/>
            <w:hideMark/>
          </w:tcPr>
          <w:p w14:paraId="0C01790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w:t>
            </w:r>
          </w:p>
        </w:tc>
      </w:tr>
      <w:tr w:rsidR="001A38D5" w:rsidRPr="001A38D5" w14:paraId="233F4920" w14:textId="77777777" w:rsidTr="001029CF">
        <w:trPr>
          <w:trHeight w:val="20"/>
        </w:trPr>
        <w:tc>
          <w:tcPr>
            <w:tcW w:w="1797" w:type="pct"/>
            <w:shd w:val="clear" w:color="auto" w:fill="auto"/>
            <w:noWrap/>
            <w:vAlign w:val="bottom"/>
            <w:hideMark/>
          </w:tcPr>
          <w:p w14:paraId="228D942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NINO FABIAN</w:t>
            </w:r>
          </w:p>
        </w:tc>
        <w:tc>
          <w:tcPr>
            <w:tcW w:w="625" w:type="pct"/>
            <w:shd w:val="clear" w:color="auto" w:fill="auto"/>
            <w:noWrap/>
            <w:vAlign w:val="bottom"/>
            <w:hideMark/>
          </w:tcPr>
          <w:p w14:paraId="2C78E8D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86.072.119</w:t>
            </w:r>
          </w:p>
        </w:tc>
        <w:tc>
          <w:tcPr>
            <w:tcW w:w="586" w:type="pct"/>
            <w:shd w:val="clear" w:color="auto" w:fill="auto"/>
            <w:noWrap/>
            <w:vAlign w:val="bottom"/>
            <w:hideMark/>
          </w:tcPr>
          <w:p w14:paraId="3589700D" w14:textId="77777777" w:rsidR="00A20990" w:rsidRPr="002B1C40" w:rsidRDefault="00AA6A91" w:rsidP="005140E1">
            <w:pPr>
              <w:contextualSpacing/>
              <w:jc w:val="right"/>
              <w:rPr>
                <w:rFonts w:eastAsia="Times New Roman" w:cs="Arial"/>
                <w:sz w:val="14"/>
                <w:szCs w:val="14"/>
                <w:highlight w:val="yellow"/>
                <w:lang w:val="es-CO" w:eastAsia="es-CO"/>
              </w:rPr>
            </w:pPr>
            <w:r w:rsidRPr="00AA6A91">
              <w:rPr>
                <w:rFonts w:eastAsia="Times New Roman" w:cs="Arial"/>
                <w:sz w:val="14"/>
                <w:szCs w:val="14"/>
                <w:lang w:val="es-CO" w:eastAsia="es-CO"/>
              </w:rPr>
              <w:t>500804017341</w:t>
            </w:r>
          </w:p>
        </w:tc>
        <w:tc>
          <w:tcPr>
            <w:tcW w:w="1014" w:type="pct"/>
            <w:shd w:val="clear" w:color="auto" w:fill="auto"/>
            <w:noWrap/>
            <w:vAlign w:val="bottom"/>
            <w:hideMark/>
          </w:tcPr>
          <w:p w14:paraId="749C646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 POPULAR</w:t>
            </w:r>
          </w:p>
        </w:tc>
        <w:tc>
          <w:tcPr>
            <w:tcW w:w="543" w:type="pct"/>
            <w:shd w:val="clear" w:color="auto" w:fill="auto"/>
            <w:noWrap/>
            <w:vAlign w:val="bottom"/>
            <w:hideMark/>
          </w:tcPr>
          <w:p w14:paraId="2EC5DBA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$6,24</w:t>
            </w:r>
          </w:p>
        </w:tc>
        <w:tc>
          <w:tcPr>
            <w:tcW w:w="435" w:type="pct"/>
            <w:shd w:val="clear" w:color="auto" w:fill="auto"/>
            <w:noWrap/>
            <w:vAlign w:val="bottom"/>
            <w:hideMark/>
          </w:tcPr>
          <w:p w14:paraId="7787792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w:t>
            </w:r>
          </w:p>
        </w:tc>
      </w:tr>
      <w:tr w:rsidR="001A38D5" w:rsidRPr="001A38D5" w14:paraId="48229E61" w14:textId="77777777" w:rsidTr="001029CF">
        <w:trPr>
          <w:trHeight w:val="20"/>
        </w:trPr>
        <w:tc>
          <w:tcPr>
            <w:tcW w:w="1797" w:type="pct"/>
            <w:shd w:val="clear" w:color="auto" w:fill="auto"/>
            <w:noWrap/>
            <w:vAlign w:val="bottom"/>
            <w:hideMark/>
          </w:tcPr>
          <w:p w14:paraId="4DE50B9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PARRA BELTRAN MARIA BELEN</w:t>
            </w:r>
          </w:p>
        </w:tc>
        <w:tc>
          <w:tcPr>
            <w:tcW w:w="625" w:type="pct"/>
            <w:shd w:val="clear" w:color="auto" w:fill="auto"/>
            <w:noWrap/>
            <w:vAlign w:val="bottom"/>
            <w:hideMark/>
          </w:tcPr>
          <w:p w14:paraId="66FA9E2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40.376.873</w:t>
            </w:r>
          </w:p>
        </w:tc>
        <w:tc>
          <w:tcPr>
            <w:tcW w:w="586" w:type="pct"/>
            <w:shd w:val="clear" w:color="auto" w:fill="auto"/>
            <w:noWrap/>
            <w:vAlign w:val="bottom"/>
            <w:hideMark/>
          </w:tcPr>
          <w:p w14:paraId="3793545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91209816097</w:t>
            </w:r>
          </w:p>
        </w:tc>
        <w:tc>
          <w:tcPr>
            <w:tcW w:w="1014" w:type="pct"/>
            <w:shd w:val="clear" w:color="auto" w:fill="auto"/>
            <w:noWrap/>
            <w:vAlign w:val="bottom"/>
            <w:hideMark/>
          </w:tcPr>
          <w:p w14:paraId="2A17F46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43" w:type="pct"/>
            <w:shd w:val="clear" w:color="auto" w:fill="auto"/>
            <w:noWrap/>
            <w:vAlign w:val="bottom"/>
            <w:hideMark/>
          </w:tcPr>
          <w:p w14:paraId="74073ED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$13,54</w:t>
            </w:r>
          </w:p>
        </w:tc>
        <w:tc>
          <w:tcPr>
            <w:tcW w:w="435" w:type="pct"/>
            <w:shd w:val="clear" w:color="auto" w:fill="auto"/>
            <w:noWrap/>
            <w:vAlign w:val="bottom"/>
            <w:hideMark/>
          </w:tcPr>
          <w:p w14:paraId="5501FBB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w:t>
            </w:r>
          </w:p>
        </w:tc>
      </w:tr>
      <w:tr w:rsidR="001A38D5" w:rsidRPr="001A38D5" w14:paraId="66271C83" w14:textId="77777777" w:rsidTr="001029CF">
        <w:trPr>
          <w:trHeight w:val="20"/>
        </w:trPr>
        <w:tc>
          <w:tcPr>
            <w:tcW w:w="1797" w:type="pct"/>
            <w:shd w:val="clear" w:color="auto" w:fill="auto"/>
            <w:noWrap/>
            <w:vAlign w:val="bottom"/>
            <w:hideMark/>
          </w:tcPr>
          <w:p w14:paraId="7322D59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PARRADO VELASQUEZ LAURA</w:t>
            </w:r>
          </w:p>
        </w:tc>
        <w:tc>
          <w:tcPr>
            <w:tcW w:w="625" w:type="pct"/>
            <w:shd w:val="clear" w:color="auto" w:fill="auto"/>
            <w:noWrap/>
            <w:vAlign w:val="bottom"/>
            <w:hideMark/>
          </w:tcPr>
          <w:p w14:paraId="1A68E05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1.121.948.871</w:t>
            </w:r>
          </w:p>
        </w:tc>
        <w:tc>
          <w:tcPr>
            <w:tcW w:w="586" w:type="pct"/>
            <w:shd w:val="clear" w:color="auto" w:fill="auto"/>
            <w:noWrap/>
            <w:vAlign w:val="bottom"/>
            <w:hideMark/>
          </w:tcPr>
          <w:p w14:paraId="4473456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84153239141</w:t>
            </w:r>
          </w:p>
        </w:tc>
        <w:tc>
          <w:tcPr>
            <w:tcW w:w="1014" w:type="pct"/>
            <w:shd w:val="clear" w:color="auto" w:fill="auto"/>
            <w:noWrap/>
            <w:vAlign w:val="bottom"/>
            <w:hideMark/>
          </w:tcPr>
          <w:p w14:paraId="1539FAB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BANCOLOMBIA S.A.</w:t>
            </w:r>
          </w:p>
        </w:tc>
        <w:tc>
          <w:tcPr>
            <w:tcW w:w="543" w:type="pct"/>
            <w:shd w:val="clear" w:color="auto" w:fill="auto"/>
            <w:noWrap/>
            <w:vAlign w:val="bottom"/>
            <w:hideMark/>
          </w:tcPr>
          <w:p w14:paraId="6C546C8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$20,30</w:t>
            </w:r>
          </w:p>
        </w:tc>
        <w:tc>
          <w:tcPr>
            <w:tcW w:w="435" w:type="pct"/>
            <w:shd w:val="clear" w:color="auto" w:fill="auto"/>
            <w:noWrap/>
            <w:vAlign w:val="bottom"/>
            <w:hideMark/>
          </w:tcPr>
          <w:p w14:paraId="7DD4C21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w:t>
            </w:r>
          </w:p>
        </w:tc>
      </w:tr>
      <w:tr w:rsidR="001A38D5" w:rsidRPr="001A38D5" w14:paraId="0EE6C515" w14:textId="77777777" w:rsidTr="001029CF">
        <w:trPr>
          <w:trHeight w:val="20"/>
        </w:trPr>
        <w:tc>
          <w:tcPr>
            <w:tcW w:w="1797" w:type="pct"/>
            <w:tcBorders>
              <w:bottom w:val="single" w:sz="4" w:space="0" w:color="auto"/>
            </w:tcBorders>
            <w:shd w:val="clear" w:color="auto" w:fill="auto"/>
            <w:noWrap/>
            <w:vAlign w:val="bottom"/>
            <w:hideMark/>
          </w:tcPr>
          <w:p w14:paraId="057DA8E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TOVAR SEDANO ALIX</w:t>
            </w:r>
          </w:p>
        </w:tc>
        <w:tc>
          <w:tcPr>
            <w:tcW w:w="625" w:type="pct"/>
            <w:tcBorders>
              <w:bottom w:val="single" w:sz="4" w:space="0" w:color="auto"/>
            </w:tcBorders>
            <w:shd w:val="clear" w:color="auto" w:fill="auto"/>
            <w:noWrap/>
            <w:vAlign w:val="bottom"/>
            <w:hideMark/>
          </w:tcPr>
          <w:p w14:paraId="40C6760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1.097.332.695</w:t>
            </w:r>
          </w:p>
        </w:tc>
        <w:tc>
          <w:tcPr>
            <w:tcW w:w="586" w:type="pct"/>
            <w:tcBorders>
              <w:bottom w:val="single" w:sz="4" w:space="0" w:color="auto"/>
            </w:tcBorders>
            <w:shd w:val="clear" w:color="auto" w:fill="auto"/>
            <w:noWrap/>
            <w:vAlign w:val="bottom"/>
            <w:hideMark/>
          </w:tcPr>
          <w:p w14:paraId="18AB7E0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96670194289</w:t>
            </w:r>
          </w:p>
        </w:tc>
        <w:tc>
          <w:tcPr>
            <w:tcW w:w="1014" w:type="pct"/>
            <w:tcBorders>
              <w:bottom w:val="single" w:sz="4" w:space="0" w:color="auto"/>
            </w:tcBorders>
            <w:shd w:val="clear" w:color="auto" w:fill="auto"/>
            <w:noWrap/>
            <w:vAlign w:val="bottom"/>
            <w:hideMark/>
          </w:tcPr>
          <w:p w14:paraId="060FB4C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BANCO DAVIVIENDA S.A. </w:t>
            </w:r>
          </w:p>
        </w:tc>
        <w:tc>
          <w:tcPr>
            <w:tcW w:w="543" w:type="pct"/>
            <w:tcBorders>
              <w:bottom w:val="single" w:sz="4" w:space="0" w:color="auto"/>
            </w:tcBorders>
            <w:shd w:val="clear" w:color="auto" w:fill="auto"/>
            <w:noWrap/>
            <w:vAlign w:val="bottom"/>
            <w:hideMark/>
          </w:tcPr>
          <w:p w14:paraId="239814E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$32,93</w:t>
            </w:r>
          </w:p>
        </w:tc>
        <w:tc>
          <w:tcPr>
            <w:tcW w:w="435" w:type="pct"/>
            <w:tcBorders>
              <w:bottom w:val="single" w:sz="4" w:space="0" w:color="auto"/>
            </w:tcBorders>
            <w:shd w:val="clear" w:color="auto" w:fill="auto"/>
            <w:noWrap/>
            <w:vAlign w:val="bottom"/>
            <w:hideMark/>
          </w:tcPr>
          <w:p w14:paraId="1C65F7F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w:t>
            </w:r>
          </w:p>
        </w:tc>
      </w:tr>
      <w:tr w:rsidR="001A38D5" w:rsidRPr="001A38D5" w14:paraId="7E6D5513" w14:textId="77777777" w:rsidTr="001029CF">
        <w:trPr>
          <w:trHeight w:val="20"/>
        </w:trPr>
        <w:tc>
          <w:tcPr>
            <w:tcW w:w="4022" w:type="pct"/>
            <w:gridSpan w:val="4"/>
            <w:shd w:val="clear" w:color="000000" w:fill="FFC000"/>
            <w:vAlign w:val="center"/>
            <w:hideMark/>
          </w:tcPr>
          <w:p w14:paraId="46235DE4"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TOTAL</w:t>
            </w:r>
          </w:p>
        </w:tc>
        <w:tc>
          <w:tcPr>
            <w:tcW w:w="543" w:type="pct"/>
            <w:shd w:val="clear" w:color="000000" w:fill="FFC000"/>
            <w:vAlign w:val="center"/>
            <w:hideMark/>
          </w:tcPr>
          <w:p w14:paraId="55D5D48F" w14:textId="77777777" w:rsidR="00A20990" w:rsidRPr="001A38D5" w:rsidRDefault="00A20990" w:rsidP="005140E1">
            <w:pPr>
              <w:contextualSpacing/>
              <w:jc w:val="right"/>
              <w:rPr>
                <w:rFonts w:eastAsia="Times New Roman" w:cs="Arial"/>
                <w:b/>
                <w:bCs/>
                <w:sz w:val="14"/>
                <w:szCs w:val="14"/>
                <w:lang w:val="es-CO" w:eastAsia="es-CO"/>
              </w:rPr>
            </w:pPr>
            <w:r w:rsidRPr="001A38D5">
              <w:rPr>
                <w:rFonts w:eastAsia="Times New Roman" w:cs="Arial"/>
                <w:b/>
                <w:bCs/>
                <w:sz w:val="14"/>
                <w:szCs w:val="14"/>
                <w:lang w:val="es-CO" w:eastAsia="es-CO"/>
              </w:rPr>
              <w:t>$16.934,34</w:t>
            </w:r>
          </w:p>
        </w:tc>
        <w:tc>
          <w:tcPr>
            <w:tcW w:w="435" w:type="pct"/>
            <w:shd w:val="clear" w:color="000000" w:fill="FFC000"/>
            <w:vAlign w:val="center"/>
            <w:hideMark/>
          </w:tcPr>
          <w:p w14:paraId="07485EE6" w14:textId="77777777" w:rsidR="00A20990" w:rsidRPr="001A38D5" w:rsidRDefault="00A20990" w:rsidP="005140E1">
            <w:pPr>
              <w:contextualSpacing/>
              <w:jc w:val="right"/>
              <w:rPr>
                <w:rFonts w:eastAsia="Times New Roman" w:cs="Arial"/>
                <w:b/>
                <w:bCs/>
                <w:sz w:val="14"/>
                <w:szCs w:val="14"/>
                <w:lang w:val="es-CO" w:eastAsia="es-CO"/>
              </w:rPr>
            </w:pPr>
            <w:r w:rsidRPr="001A38D5">
              <w:rPr>
                <w:rFonts w:eastAsia="Times New Roman" w:cs="Arial"/>
                <w:b/>
                <w:bCs/>
                <w:sz w:val="14"/>
                <w:szCs w:val="14"/>
                <w:lang w:val="es-CO" w:eastAsia="es-CO"/>
              </w:rPr>
              <w:t>139</w:t>
            </w:r>
          </w:p>
        </w:tc>
      </w:tr>
    </w:tbl>
    <w:p w14:paraId="4365AA98" w14:textId="77777777" w:rsidR="00A20990" w:rsidRPr="001A38D5" w:rsidRDefault="00A20990" w:rsidP="005140E1">
      <w:pPr>
        <w:contextualSpacing/>
        <w:jc w:val="center"/>
        <w:rPr>
          <w:rFonts w:cs="Arial"/>
          <w:sz w:val="16"/>
          <w:szCs w:val="20"/>
        </w:rPr>
      </w:pPr>
      <w:r w:rsidRPr="001A38D5">
        <w:rPr>
          <w:rFonts w:cs="Arial"/>
          <w:sz w:val="16"/>
          <w:szCs w:val="20"/>
        </w:rPr>
        <w:t>Fuente: Cuenta Maestra Sistema PISIS.</w:t>
      </w:r>
    </w:p>
    <w:p w14:paraId="2E4E6A41" w14:textId="77777777" w:rsidR="00A20990" w:rsidRPr="001A38D5" w:rsidRDefault="00A20990" w:rsidP="005140E1">
      <w:pPr>
        <w:contextualSpacing/>
        <w:jc w:val="both"/>
        <w:rPr>
          <w:rFonts w:cs="Arial"/>
          <w:lang w:val="es-CO"/>
        </w:rPr>
      </w:pPr>
    </w:p>
    <w:p w14:paraId="114EFBB5" w14:textId="77777777" w:rsidR="00A20990" w:rsidRPr="001A38D5" w:rsidRDefault="00A20990" w:rsidP="005140E1">
      <w:pPr>
        <w:contextualSpacing/>
        <w:jc w:val="both"/>
        <w:rPr>
          <w:rFonts w:cs="Arial"/>
          <w:lang w:val="es-CO"/>
        </w:rPr>
      </w:pPr>
      <w:r w:rsidRPr="001A38D5">
        <w:rPr>
          <w:rFonts w:cs="Arial"/>
          <w:lang w:val="es-CO"/>
        </w:rPr>
        <w:t>Finalmente, de la revisión de Cuentas Maestras Pagadoras aperturadas en Bancolombia, se registra una cuenta a favor del Municipio de Villavicencio con No. 36400042505 para la administración para el Programa de Alimentación Escolar, con fecha de apertura el día 18 de noviembre de 2019</w:t>
      </w:r>
      <w:r w:rsidR="00B0267A">
        <w:rPr>
          <w:rFonts w:cs="Arial"/>
          <w:lang w:val="es-CO"/>
        </w:rPr>
        <w:t>;</w:t>
      </w:r>
      <w:r w:rsidRPr="001A38D5">
        <w:rPr>
          <w:rFonts w:cs="Arial"/>
          <w:lang w:val="es-CO"/>
        </w:rPr>
        <w:t xml:space="preserve"> sin embargo, no se registran movimientos y reporta saldo en cero ($0) para el periodo consultado. De lo anterior llama la atención que no se registren pagos de impuestos nacionales a la DIAN a través de la Cuenta Maestra Pagadora.</w:t>
      </w:r>
    </w:p>
    <w:p w14:paraId="1E1B1C28" w14:textId="77777777" w:rsidR="00A20990" w:rsidRPr="001A38D5" w:rsidRDefault="00A20990" w:rsidP="005140E1">
      <w:pPr>
        <w:contextualSpacing/>
        <w:rPr>
          <w:rFonts w:cs="Arial"/>
          <w:lang w:val="es-CO"/>
        </w:rPr>
      </w:pPr>
    </w:p>
    <w:p w14:paraId="1113F65D" w14:textId="77777777" w:rsidR="00A20990" w:rsidRPr="001A38D5" w:rsidRDefault="00A20990" w:rsidP="005140E1">
      <w:pPr>
        <w:pStyle w:val="Ttulo2"/>
        <w:contextualSpacing/>
        <w:rPr>
          <w:rFonts w:ascii="Verdana" w:hAnsi="Verdana"/>
        </w:rPr>
      </w:pPr>
      <w:r w:rsidRPr="001A38D5">
        <w:rPr>
          <w:rFonts w:ascii="Verdana" w:hAnsi="Verdana"/>
        </w:rPr>
        <w:t>Análisis sectorial</w:t>
      </w:r>
      <w:r w:rsidR="00B0267A">
        <w:rPr>
          <w:rFonts w:ascii="Verdana" w:hAnsi="Verdana"/>
        </w:rPr>
        <w:t>.</w:t>
      </w:r>
    </w:p>
    <w:p w14:paraId="45DEFA5E" w14:textId="77777777" w:rsidR="00A20990" w:rsidRPr="001A38D5" w:rsidRDefault="00A20990" w:rsidP="005140E1">
      <w:pPr>
        <w:pStyle w:val="Prrafodelista"/>
        <w:contextualSpacing/>
        <w:rPr>
          <w:rFonts w:cs="Arial"/>
          <w:lang w:val="es-CO"/>
        </w:rPr>
      </w:pPr>
    </w:p>
    <w:p w14:paraId="1637C4EA" w14:textId="77777777" w:rsidR="00A20990" w:rsidRPr="001A38D5" w:rsidRDefault="00A20990" w:rsidP="005140E1">
      <w:pPr>
        <w:pStyle w:val="Ttulo3"/>
        <w:contextualSpacing/>
        <w:rPr>
          <w:rFonts w:ascii="Verdana" w:hAnsi="Verdana"/>
        </w:rPr>
      </w:pPr>
      <w:r w:rsidRPr="001A38D5">
        <w:rPr>
          <w:rFonts w:ascii="Verdana" w:hAnsi="Verdana"/>
        </w:rPr>
        <w:t>Análisis Contractual</w:t>
      </w:r>
      <w:r w:rsidR="00B0267A">
        <w:rPr>
          <w:rFonts w:ascii="Verdana" w:hAnsi="Verdana"/>
        </w:rPr>
        <w:t>.</w:t>
      </w:r>
    </w:p>
    <w:p w14:paraId="7489F389" w14:textId="77777777" w:rsidR="00A20990" w:rsidRPr="001A38D5" w:rsidRDefault="00A20990" w:rsidP="005140E1">
      <w:pPr>
        <w:contextualSpacing/>
        <w:rPr>
          <w:rFonts w:cs="Arial"/>
          <w:lang w:val="es-CO"/>
        </w:rPr>
      </w:pPr>
    </w:p>
    <w:p w14:paraId="6B50C740" w14:textId="77777777" w:rsidR="00A20990" w:rsidRPr="001A38D5" w:rsidRDefault="00A20990" w:rsidP="005140E1">
      <w:pPr>
        <w:contextualSpacing/>
        <w:jc w:val="both"/>
        <w:rPr>
          <w:rFonts w:cs="Arial"/>
          <w:lang w:val="es-CO"/>
        </w:rPr>
      </w:pPr>
      <w:r w:rsidRPr="001A38D5">
        <w:rPr>
          <w:rFonts w:cs="Arial"/>
          <w:lang w:val="es-CO"/>
        </w:rPr>
        <w:t>Frente a los procesos contractuales, a partir de la información reportada en las Categorías MEN-PAE y UAPA–PAE del CHIP y en el Sistema Electrónico de Contratación Pública – SECOP, se evidenció que nueve</w:t>
      </w:r>
      <w:r w:rsidR="00572AB4">
        <w:rPr>
          <w:rFonts w:cs="Arial"/>
          <w:lang w:val="es-CO"/>
        </w:rPr>
        <w:t xml:space="preserve"> (9)</w:t>
      </w:r>
      <w:r w:rsidRPr="001A38D5">
        <w:rPr>
          <w:rFonts w:cs="Arial"/>
          <w:lang w:val="es-CO"/>
        </w:rPr>
        <w:t xml:space="preserve"> de los quince </w:t>
      </w:r>
      <w:r w:rsidR="00572AB4">
        <w:rPr>
          <w:rFonts w:cs="Arial"/>
          <w:lang w:val="es-CO"/>
        </w:rPr>
        <w:t xml:space="preserve">(15) </w:t>
      </w:r>
      <w:r w:rsidRPr="001A38D5">
        <w:rPr>
          <w:rFonts w:cs="Arial"/>
          <w:lang w:val="es-CO"/>
        </w:rPr>
        <w:t xml:space="preserve">contratos para la prestación del Servicio de Alimentación Escolar, fueron financiados con cargo a los recursos de la Asignación Especial para Alimentación Escolar del Sistema General de Participaciones, los cuales se relacionan a continuación: </w:t>
      </w:r>
    </w:p>
    <w:p w14:paraId="14F8E574" w14:textId="77777777" w:rsidR="00186A18" w:rsidRDefault="00186A18">
      <w:pPr>
        <w:rPr>
          <w:rFonts w:cs="Arial"/>
          <w:lang w:val="es-CO"/>
        </w:rPr>
      </w:pPr>
      <w:r>
        <w:rPr>
          <w:i/>
          <w:iCs/>
          <w:lang w:val="es-CO"/>
        </w:rPr>
        <w:br w:type="page"/>
      </w:r>
    </w:p>
    <w:p w14:paraId="2B8748B7" w14:textId="77777777" w:rsidR="005C582A"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lastRenderedPageBreak/>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10</w:t>
      </w:r>
      <w:r w:rsidRPr="007A412F">
        <w:rPr>
          <w:rFonts w:ascii="Verdana" w:hAnsi="Verdana"/>
          <w:color w:val="auto"/>
          <w:sz w:val="20"/>
          <w:szCs w:val="20"/>
        </w:rPr>
        <w:fldChar w:fldCharType="end"/>
      </w:r>
      <w:r w:rsidRPr="007A412F">
        <w:rPr>
          <w:rFonts w:ascii="Verdana" w:hAnsi="Verdana"/>
          <w:color w:val="auto"/>
          <w:sz w:val="20"/>
          <w:szCs w:val="20"/>
        </w:rPr>
        <w:t xml:space="preserve"> Contratos suscritos para la prestación del servicio de Alimentación Escolar en el Municipio de Villavicencio, vigencias 2019-2022 </w:t>
      </w:r>
    </w:p>
    <w:p w14:paraId="7FFD6972"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(valores en millones de pesos colombianos).</w:t>
      </w:r>
    </w:p>
    <w:tbl>
      <w:tblPr>
        <w:tblW w:w="9634" w:type="dxa"/>
        <w:jc w:val="center"/>
        <w:tblCellMar>
          <w:left w:w="70" w:type="dxa"/>
          <w:right w:w="70" w:type="dxa"/>
        </w:tblCellMar>
        <w:tblLook w:val="04A0" w:firstRow="1" w:lastRow="0" w:firstColumn="1" w:lastColumn="0" w:noHBand="0" w:noVBand="1"/>
      </w:tblPr>
      <w:tblGrid>
        <w:gridCol w:w="580"/>
        <w:gridCol w:w="1580"/>
        <w:gridCol w:w="954"/>
        <w:gridCol w:w="1184"/>
        <w:gridCol w:w="4679"/>
        <w:gridCol w:w="1460"/>
      </w:tblGrid>
      <w:tr w:rsidR="001A38D5" w:rsidRPr="001A38D5" w14:paraId="1336A2C8" w14:textId="77777777" w:rsidTr="001029CF">
        <w:trPr>
          <w:trHeight w:val="20"/>
          <w:tblHeader/>
          <w:jc w:val="center"/>
        </w:trPr>
        <w:tc>
          <w:tcPr>
            <w:tcW w:w="58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37C339DE"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AÑO</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14:paraId="578FD270"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CONTRATO</w:t>
            </w:r>
          </w:p>
        </w:tc>
        <w:tc>
          <w:tcPr>
            <w:tcW w:w="871" w:type="dxa"/>
            <w:tcBorders>
              <w:top w:val="single" w:sz="4" w:space="0" w:color="auto"/>
              <w:left w:val="nil"/>
              <w:bottom w:val="single" w:sz="4" w:space="0" w:color="auto"/>
              <w:right w:val="single" w:sz="4" w:space="0" w:color="auto"/>
            </w:tcBorders>
            <w:shd w:val="clear" w:color="000000" w:fill="FFC000"/>
            <w:vAlign w:val="center"/>
            <w:hideMark/>
          </w:tcPr>
          <w:p w14:paraId="4388F5E5"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w:t>
            </w:r>
          </w:p>
        </w:tc>
        <w:tc>
          <w:tcPr>
            <w:tcW w:w="1074" w:type="dxa"/>
            <w:tcBorders>
              <w:top w:val="single" w:sz="4" w:space="0" w:color="auto"/>
              <w:left w:val="nil"/>
              <w:bottom w:val="single" w:sz="4" w:space="0" w:color="auto"/>
              <w:right w:val="single" w:sz="4" w:space="0" w:color="auto"/>
            </w:tcBorders>
            <w:shd w:val="clear" w:color="000000" w:fill="FFC000"/>
            <w:vAlign w:val="center"/>
            <w:hideMark/>
          </w:tcPr>
          <w:p w14:paraId="784E188C"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DÍAS CALENDARIO ESCOLAR</w:t>
            </w:r>
          </w:p>
        </w:tc>
        <w:tc>
          <w:tcPr>
            <w:tcW w:w="4679" w:type="dxa"/>
            <w:tcBorders>
              <w:top w:val="single" w:sz="4" w:space="0" w:color="auto"/>
              <w:left w:val="nil"/>
              <w:bottom w:val="single" w:sz="4" w:space="0" w:color="auto"/>
              <w:right w:val="single" w:sz="4" w:space="0" w:color="auto"/>
            </w:tcBorders>
            <w:shd w:val="clear" w:color="000000" w:fill="FFC000"/>
            <w:noWrap/>
            <w:vAlign w:val="center"/>
            <w:hideMark/>
          </w:tcPr>
          <w:p w14:paraId="6710A233"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FUENTE DE FINANCIACION</w:t>
            </w:r>
          </w:p>
        </w:tc>
        <w:tc>
          <w:tcPr>
            <w:tcW w:w="850" w:type="dxa"/>
            <w:tcBorders>
              <w:top w:val="single" w:sz="4" w:space="0" w:color="auto"/>
              <w:left w:val="nil"/>
              <w:bottom w:val="single" w:sz="4" w:space="0" w:color="auto"/>
              <w:right w:val="single" w:sz="4" w:space="0" w:color="auto"/>
            </w:tcBorders>
            <w:shd w:val="clear" w:color="000000" w:fill="FFC000"/>
            <w:vAlign w:val="center"/>
            <w:hideMark/>
          </w:tcPr>
          <w:p w14:paraId="042B7BBD"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COMPROMETIDO</w:t>
            </w:r>
          </w:p>
        </w:tc>
      </w:tr>
      <w:tr w:rsidR="001A38D5" w:rsidRPr="001A38D5" w14:paraId="25D537FD" w14:textId="77777777" w:rsidTr="00A20990">
        <w:trPr>
          <w:trHeight w:val="20"/>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320F9113" w14:textId="77777777" w:rsidR="00A20990" w:rsidRPr="001A38D5" w:rsidRDefault="00A20990" w:rsidP="005140E1">
            <w:pPr>
              <w:contextualSpacing/>
              <w:jc w:val="center"/>
              <w:rPr>
                <w:rFonts w:eastAsia="Times New Roman" w:cs="Arial"/>
                <w:sz w:val="14"/>
                <w:szCs w:val="14"/>
                <w:lang w:val="es-CO" w:eastAsia="es-CO"/>
              </w:rPr>
            </w:pPr>
            <w:bookmarkStart w:id="5" w:name="_Hlk146208720"/>
            <w:r w:rsidRPr="001A38D5">
              <w:rPr>
                <w:rFonts w:eastAsia="Times New Roman" w:cs="Arial"/>
                <w:sz w:val="14"/>
                <w:szCs w:val="14"/>
                <w:lang w:val="es-CO" w:eastAsia="es-CO"/>
              </w:rPr>
              <w:t>2019</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1A3D4525" w14:textId="77777777" w:rsidR="00A20990" w:rsidRPr="001A38D5" w:rsidRDefault="00A20990" w:rsidP="005140E1">
            <w:pPr>
              <w:contextualSpacing/>
              <w:jc w:val="center"/>
              <w:rPr>
                <w:rFonts w:eastAsia="Times New Roman" w:cs="Arial"/>
                <w:b/>
                <w:sz w:val="14"/>
                <w:szCs w:val="14"/>
                <w:lang w:val="es-CO" w:eastAsia="es-CO"/>
              </w:rPr>
            </w:pPr>
            <w:r w:rsidRPr="001A38D5">
              <w:rPr>
                <w:rFonts w:eastAsia="Times New Roman" w:cs="Arial"/>
                <w:b/>
                <w:sz w:val="14"/>
                <w:szCs w:val="14"/>
                <w:lang w:val="es-CO" w:eastAsia="es-CO"/>
              </w:rPr>
              <w:t>Contrato de prestación de servicios No. 077 del 30 de enero de 2019</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3B925B9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$4.819,35</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78D127D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68</w:t>
            </w:r>
          </w:p>
        </w:tc>
        <w:tc>
          <w:tcPr>
            <w:tcW w:w="4679" w:type="dxa"/>
            <w:tcBorders>
              <w:top w:val="nil"/>
              <w:left w:val="nil"/>
              <w:bottom w:val="single" w:sz="4" w:space="0" w:color="auto"/>
              <w:right w:val="single" w:sz="4" w:space="0" w:color="auto"/>
            </w:tcBorders>
            <w:shd w:val="clear" w:color="000000" w:fill="F8CBAD"/>
            <w:vAlign w:val="center"/>
            <w:hideMark/>
          </w:tcPr>
          <w:p w14:paraId="0AF35255"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ONCE DOCEAVAS VIGENCIA ACTUAL MAS ULTIMA DOCEAVA VIGENCIA ANTERIOR</w:t>
            </w:r>
          </w:p>
        </w:tc>
        <w:tc>
          <w:tcPr>
            <w:tcW w:w="850" w:type="dxa"/>
            <w:tcBorders>
              <w:top w:val="nil"/>
              <w:left w:val="nil"/>
              <w:bottom w:val="single" w:sz="4" w:space="0" w:color="auto"/>
              <w:right w:val="single" w:sz="4" w:space="0" w:color="auto"/>
            </w:tcBorders>
            <w:shd w:val="clear" w:color="000000" w:fill="F8CBAD"/>
            <w:vAlign w:val="bottom"/>
            <w:hideMark/>
          </w:tcPr>
          <w:p w14:paraId="33AA42E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$951,72</w:t>
            </w:r>
          </w:p>
        </w:tc>
      </w:tr>
      <w:bookmarkEnd w:id="5"/>
      <w:tr w:rsidR="001A38D5" w:rsidRPr="001A38D5" w14:paraId="42994358"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7FD1B4DB"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2B142E7F"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40487835"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37385A54"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07EE1087"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w:t>
            </w:r>
          </w:p>
        </w:tc>
        <w:tc>
          <w:tcPr>
            <w:tcW w:w="850" w:type="dxa"/>
            <w:tcBorders>
              <w:top w:val="nil"/>
              <w:left w:val="nil"/>
              <w:bottom w:val="single" w:sz="4" w:space="0" w:color="auto"/>
              <w:right w:val="single" w:sz="4" w:space="0" w:color="auto"/>
            </w:tcBorders>
            <w:shd w:val="clear" w:color="auto" w:fill="auto"/>
            <w:noWrap/>
            <w:vAlign w:val="center"/>
            <w:hideMark/>
          </w:tcPr>
          <w:p w14:paraId="52FCAD8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$3.867,63</w:t>
            </w:r>
          </w:p>
        </w:tc>
      </w:tr>
      <w:tr w:rsidR="001A38D5" w:rsidRPr="001A38D5" w14:paraId="1C9C0A0A"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0CB96F1F" w14:textId="77777777" w:rsidR="00A20990" w:rsidRPr="001A38D5" w:rsidRDefault="00A20990" w:rsidP="005140E1">
            <w:pPr>
              <w:contextualSpacing/>
              <w:rPr>
                <w:rFonts w:eastAsia="Times New Roman" w:cs="Arial"/>
                <w:sz w:val="14"/>
                <w:szCs w:val="14"/>
                <w:lang w:val="es-CO" w:eastAsia="es-CO"/>
              </w:rPr>
            </w:pP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40E8BE2C" w14:textId="77777777" w:rsidR="00A20990" w:rsidRPr="001A38D5" w:rsidRDefault="00A20990" w:rsidP="005140E1">
            <w:pPr>
              <w:contextualSpacing/>
              <w:jc w:val="center"/>
              <w:rPr>
                <w:rFonts w:eastAsia="Times New Roman" w:cs="Arial"/>
                <w:b/>
                <w:sz w:val="14"/>
                <w:szCs w:val="14"/>
                <w:lang w:val="es-CO" w:eastAsia="es-CO"/>
              </w:rPr>
            </w:pPr>
            <w:bookmarkStart w:id="6" w:name="_Hlk146208855"/>
            <w:r w:rsidRPr="001A38D5">
              <w:rPr>
                <w:rFonts w:eastAsia="Times New Roman" w:cs="Arial"/>
                <w:b/>
                <w:sz w:val="14"/>
                <w:szCs w:val="14"/>
                <w:lang w:val="es-CO" w:eastAsia="es-CO"/>
              </w:rPr>
              <w:t>Contrato de prestación de servicios No. 1198 del 30 de mayo de 2019</w:t>
            </w:r>
            <w:bookmarkEnd w:id="6"/>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3BD4638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$7.009,53</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5DFAAE5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97</w:t>
            </w:r>
          </w:p>
        </w:tc>
        <w:tc>
          <w:tcPr>
            <w:tcW w:w="4679" w:type="dxa"/>
            <w:tcBorders>
              <w:top w:val="nil"/>
              <w:left w:val="nil"/>
              <w:bottom w:val="single" w:sz="4" w:space="0" w:color="auto"/>
              <w:right w:val="single" w:sz="4" w:space="0" w:color="auto"/>
            </w:tcBorders>
            <w:shd w:val="clear" w:color="000000" w:fill="F8CBAD"/>
            <w:vAlign w:val="center"/>
            <w:hideMark/>
          </w:tcPr>
          <w:p w14:paraId="7500502B"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ONCE DOCEAVAS VIGENCIA ACTUAL MAS ULTIMA DOCEAVA VIGENCIA ANTERIOR</w:t>
            </w:r>
          </w:p>
        </w:tc>
        <w:tc>
          <w:tcPr>
            <w:tcW w:w="850" w:type="dxa"/>
            <w:tcBorders>
              <w:top w:val="nil"/>
              <w:left w:val="nil"/>
              <w:bottom w:val="single" w:sz="4" w:space="0" w:color="auto"/>
              <w:right w:val="single" w:sz="4" w:space="0" w:color="auto"/>
            </w:tcBorders>
            <w:shd w:val="clear" w:color="000000" w:fill="F8CBAD"/>
            <w:noWrap/>
            <w:vAlign w:val="center"/>
            <w:hideMark/>
          </w:tcPr>
          <w:p w14:paraId="281083C6"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$6,99</w:t>
            </w:r>
          </w:p>
        </w:tc>
      </w:tr>
      <w:tr w:rsidR="001A38D5" w:rsidRPr="001A38D5" w14:paraId="01D075CB"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2939E392"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2CDC2BE3"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158C60C2"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568BC48"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000000" w:fill="F8CBAD"/>
            <w:vAlign w:val="center"/>
            <w:hideMark/>
          </w:tcPr>
          <w:p w14:paraId="5E0BECC6"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SALDOS NO EJECUTADOS VIGENCIAS ANTERIORES Y REINTEGROS</w:t>
            </w:r>
          </w:p>
        </w:tc>
        <w:tc>
          <w:tcPr>
            <w:tcW w:w="850" w:type="dxa"/>
            <w:tcBorders>
              <w:top w:val="nil"/>
              <w:left w:val="nil"/>
              <w:bottom w:val="single" w:sz="4" w:space="0" w:color="auto"/>
              <w:right w:val="single" w:sz="4" w:space="0" w:color="auto"/>
            </w:tcBorders>
            <w:shd w:val="clear" w:color="000000" w:fill="F8CBAD"/>
            <w:noWrap/>
            <w:vAlign w:val="center"/>
            <w:hideMark/>
          </w:tcPr>
          <w:p w14:paraId="0A8740E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$331,03</w:t>
            </w:r>
          </w:p>
        </w:tc>
      </w:tr>
      <w:tr w:rsidR="001A38D5" w:rsidRPr="001A38D5" w14:paraId="3A367A6F"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3543AADD"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7FFEAA03"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67CD421A"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86DD9F4"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000000" w:fill="F8CBAD"/>
            <w:vAlign w:val="center"/>
            <w:hideMark/>
          </w:tcPr>
          <w:p w14:paraId="394F3ECE"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RENDIMIENTOS FINANCIEROS</w:t>
            </w:r>
          </w:p>
        </w:tc>
        <w:tc>
          <w:tcPr>
            <w:tcW w:w="850" w:type="dxa"/>
            <w:tcBorders>
              <w:top w:val="nil"/>
              <w:left w:val="nil"/>
              <w:bottom w:val="single" w:sz="4" w:space="0" w:color="auto"/>
              <w:right w:val="single" w:sz="4" w:space="0" w:color="auto"/>
            </w:tcBorders>
            <w:shd w:val="clear" w:color="000000" w:fill="F8CBAD"/>
            <w:noWrap/>
            <w:vAlign w:val="center"/>
            <w:hideMark/>
          </w:tcPr>
          <w:p w14:paraId="3029448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$41,22</w:t>
            </w:r>
          </w:p>
        </w:tc>
      </w:tr>
      <w:tr w:rsidR="001A38D5" w:rsidRPr="001A38D5" w14:paraId="2E502B75"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5703BF2D"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45CA0CCB"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7359B3B7"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535069DE"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4EFA4330"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w:t>
            </w:r>
          </w:p>
        </w:tc>
        <w:tc>
          <w:tcPr>
            <w:tcW w:w="850" w:type="dxa"/>
            <w:tcBorders>
              <w:top w:val="nil"/>
              <w:left w:val="nil"/>
              <w:bottom w:val="single" w:sz="4" w:space="0" w:color="auto"/>
              <w:right w:val="single" w:sz="4" w:space="0" w:color="auto"/>
            </w:tcBorders>
            <w:shd w:val="clear" w:color="auto" w:fill="auto"/>
            <w:noWrap/>
            <w:vAlign w:val="center"/>
            <w:hideMark/>
          </w:tcPr>
          <w:p w14:paraId="71F0649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$2.769,15</w:t>
            </w:r>
          </w:p>
        </w:tc>
      </w:tr>
      <w:tr w:rsidR="001A38D5" w:rsidRPr="001A38D5" w14:paraId="1B2AEED6"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549FF44E"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176C3525"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2D3F99FE"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7C037F09"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2D2D6D56"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 VIGENCIAS ANTERIORES</w:t>
            </w:r>
          </w:p>
        </w:tc>
        <w:tc>
          <w:tcPr>
            <w:tcW w:w="850" w:type="dxa"/>
            <w:tcBorders>
              <w:top w:val="nil"/>
              <w:left w:val="nil"/>
              <w:bottom w:val="single" w:sz="4" w:space="0" w:color="auto"/>
              <w:right w:val="single" w:sz="4" w:space="0" w:color="auto"/>
            </w:tcBorders>
            <w:shd w:val="clear" w:color="auto" w:fill="auto"/>
            <w:noWrap/>
            <w:vAlign w:val="center"/>
            <w:hideMark/>
          </w:tcPr>
          <w:p w14:paraId="42C859D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$2.458,07</w:t>
            </w:r>
          </w:p>
        </w:tc>
      </w:tr>
      <w:tr w:rsidR="001A38D5" w:rsidRPr="001A38D5" w14:paraId="311C81AD"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591952E5"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3B8DFC26"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510F194B"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B4A23C5"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764B0804"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 RENDIMIENTOS FINANCIEROS</w:t>
            </w:r>
          </w:p>
        </w:tc>
        <w:tc>
          <w:tcPr>
            <w:tcW w:w="850" w:type="dxa"/>
            <w:tcBorders>
              <w:top w:val="nil"/>
              <w:left w:val="nil"/>
              <w:bottom w:val="single" w:sz="4" w:space="0" w:color="auto"/>
              <w:right w:val="single" w:sz="4" w:space="0" w:color="auto"/>
            </w:tcBorders>
            <w:shd w:val="clear" w:color="auto" w:fill="auto"/>
            <w:noWrap/>
            <w:vAlign w:val="center"/>
            <w:hideMark/>
          </w:tcPr>
          <w:p w14:paraId="377F7E4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$29,40</w:t>
            </w:r>
          </w:p>
        </w:tc>
      </w:tr>
      <w:tr w:rsidR="001A38D5" w:rsidRPr="001A38D5" w14:paraId="23D9C3C5"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2DA78471"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0E90BE8B"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61EA85A7"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7D16497B"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5B0DF083"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CONFINANCIACION ALIMENTACIÓN ESCOLAR ARTICULO 145 LEY 1530 DE 2012 - CONPES 151 DE 2012</w:t>
            </w:r>
          </w:p>
        </w:tc>
        <w:tc>
          <w:tcPr>
            <w:tcW w:w="850" w:type="dxa"/>
            <w:tcBorders>
              <w:top w:val="nil"/>
              <w:left w:val="nil"/>
              <w:bottom w:val="single" w:sz="4" w:space="0" w:color="auto"/>
              <w:right w:val="single" w:sz="4" w:space="0" w:color="auto"/>
            </w:tcBorders>
            <w:shd w:val="clear" w:color="auto" w:fill="auto"/>
            <w:noWrap/>
            <w:vAlign w:val="center"/>
            <w:hideMark/>
          </w:tcPr>
          <w:p w14:paraId="40D0C31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$672,62</w:t>
            </w:r>
          </w:p>
        </w:tc>
      </w:tr>
      <w:tr w:rsidR="001A38D5" w:rsidRPr="001A38D5" w14:paraId="3FD7EC97"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743811B0"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260B84D3"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22F35E1B"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6D6E0846"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314056CC"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CONFINANCIACION ALIMENTACIÓN ESCOLAR ARTICULO 145 LEY 1530 DE 2012 - CONPES 151 DE 2012 VIGENCIAS ANTERIORES </w:t>
            </w:r>
          </w:p>
        </w:tc>
        <w:tc>
          <w:tcPr>
            <w:tcW w:w="850" w:type="dxa"/>
            <w:tcBorders>
              <w:top w:val="nil"/>
              <w:left w:val="nil"/>
              <w:bottom w:val="single" w:sz="4" w:space="0" w:color="auto"/>
              <w:right w:val="single" w:sz="4" w:space="0" w:color="auto"/>
            </w:tcBorders>
            <w:shd w:val="clear" w:color="auto" w:fill="auto"/>
            <w:noWrap/>
            <w:vAlign w:val="center"/>
            <w:hideMark/>
          </w:tcPr>
          <w:p w14:paraId="0C4EA33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$700,74</w:t>
            </w:r>
          </w:p>
        </w:tc>
      </w:tr>
      <w:tr w:rsidR="001A38D5" w:rsidRPr="001A38D5" w14:paraId="7CBAE497"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599C2982"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56F13319"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7E421BDF"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9343964"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738A8312"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CONFINANCIACION ALIMENTACIÓN ESCOLAR ARTICULO 145 LEY 1530 DE 2012 - CONPES 151 DE 2012 RENDIMIENTOS FINANCIEROS</w:t>
            </w:r>
          </w:p>
        </w:tc>
        <w:tc>
          <w:tcPr>
            <w:tcW w:w="850" w:type="dxa"/>
            <w:tcBorders>
              <w:top w:val="nil"/>
              <w:left w:val="nil"/>
              <w:bottom w:val="single" w:sz="4" w:space="0" w:color="auto"/>
              <w:right w:val="single" w:sz="4" w:space="0" w:color="auto"/>
            </w:tcBorders>
            <w:shd w:val="clear" w:color="auto" w:fill="auto"/>
            <w:noWrap/>
            <w:vAlign w:val="center"/>
            <w:hideMark/>
          </w:tcPr>
          <w:p w14:paraId="23D3504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$0,32</w:t>
            </w:r>
          </w:p>
        </w:tc>
      </w:tr>
      <w:tr w:rsidR="001A38D5" w:rsidRPr="001A38D5" w14:paraId="4FB06D10" w14:textId="77777777" w:rsidTr="00A20990">
        <w:trPr>
          <w:trHeight w:val="20"/>
          <w:jc w:val="center"/>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14:paraId="28E0754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2020</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460031E2" w14:textId="77777777" w:rsidR="00A20990" w:rsidRPr="001A38D5" w:rsidRDefault="00A20990" w:rsidP="005140E1">
            <w:pPr>
              <w:contextualSpacing/>
              <w:jc w:val="center"/>
              <w:rPr>
                <w:rFonts w:eastAsia="Times New Roman" w:cs="Arial"/>
                <w:b/>
                <w:sz w:val="14"/>
                <w:szCs w:val="14"/>
                <w:lang w:val="es-CO" w:eastAsia="es-CO"/>
              </w:rPr>
            </w:pPr>
            <w:r w:rsidRPr="001A38D5">
              <w:rPr>
                <w:rFonts w:eastAsia="Times New Roman" w:cs="Arial"/>
                <w:b/>
                <w:sz w:val="14"/>
                <w:szCs w:val="14"/>
                <w:lang w:val="es-CO" w:eastAsia="es-CO"/>
              </w:rPr>
              <w:t>Contrato de prestación de servicios No. 049 del 7 de febrero de 2020</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1086861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$10.270,07</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13D2014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154</w:t>
            </w:r>
          </w:p>
        </w:tc>
        <w:tc>
          <w:tcPr>
            <w:tcW w:w="4679" w:type="dxa"/>
            <w:tcBorders>
              <w:top w:val="nil"/>
              <w:left w:val="nil"/>
              <w:bottom w:val="single" w:sz="4" w:space="0" w:color="auto"/>
              <w:right w:val="single" w:sz="4" w:space="0" w:color="auto"/>
            </w:tcBorders>
            <w:shd w:val="clear" w:color="000000" w:fill="F8CBAD"/>
            <w:vAlign w:val="center"/>
            <w:hideMark/>
          </w:tcPr>
          <w:p w14:paraId="7A880F74"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ONCE DOCEAVAS VIGENCIA ACTUAL MAS ULTIMA DOCEAVA VIGENCIA ANTERIOR</w:t>
            </w:r>
          </w:p>
        </w:tc>
        <w:tc>
          <w:tcPr>
            <w:tcW w:w="850" w:type="dxa"/>
            <w:tcBorders>
              <w:top w:val="nil"/>
              <w:left w:val="nil"/>
              <w:bottom w:val="single" w:sz="4" w:space="0" w:color="auto"/>
              <w:right w:val="single" w:sz="4" w:space="0" w:color="auto"/>
            </w:tcBorders>
            <w:shd w:val="clear" w:color="000000" w:fill="F8CBAD"/>
            <w:noWrap/>
            <w:vAlign w:val="center"/>
            <w:hideMark/>
          </w:tcPr>
          <w:p w14:paraId="50C5CF5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$1.050,03</w:t>
            </w:r>
          </w:p>
        </w:tc>
      </w:tr>
      <w:tr w:rsidR="001A38D5" w:rsidRPr="001A38D5" w14:paraId="28180DDE"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3E54CF96"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56AC7FFD"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32B6E63A"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2DAB0654"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000000" w:fill="F8CBAD"/>
            <w:vAlign w:val="center"/>
            <w:hideMark/>
          </w:tcPr>
          <w:p w14:paraId="151E9464"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RENDIMIENTOS FINANCIEROS</w:t>
            </w:r>
          </w:p>
        </w:tc>
        <w:tc>
          <w:tcPr>
            <w:tcW w:w="850" w:type="dxa"/>
            <w:tcBorders>
              <w:top w:val="nil"/>
              <w:left w:val="nil"/>
              <w:bottom w:val="single" w:sz="4" w:space="0" w:color="auto"/>
              <w:right w:val="single" w:sz="4" w:space="0" w:color="auto"/>
            </w:tcBorders>
            <w:shd w:val="clear" w:color="000000" w:fill="F8CBAD"/>
            <w:noWrap/>
            <w:vAlign w:val="center"/>
            <w:hideMark/>
          </w:tcPr>
          <w:p w14:paraId="512F8BE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$9,96</w:t>
            </w:r>
          </w:p>
        </w:tc>
      </w:tr>
      <w:tr w:rsidR="001A38D5" w:rsidRPr="001A38D5" w14:paraId="601253C0"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3DD8C069"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3F5A4FEA"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06B8A0B3"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73F99A96"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49AC6919"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w:t>
            </w:r>
          </w:p>
        </w:tc>
        <w:tc>
          <w:tcPr>
            <w:tcW w:w="850" w:type="dxa"/>
            <w:tcBorders>
              <w:top w:val="nil"/>
              <w:left w:val="nil"/>
              <w:bottom w:val="single" w:sz="4" w:space="0" w:color="auto"/>
              <w:right w:val="single" w:sz="4" w:space="0" w:color="auto"/>
            </w:tcBorders>
            <w:shd w:val="clear" w:color="auto" w:fill="auto"/>
            <w:noWrap/>
            <w:vAlign w:val="center"/>
            <w:hideMark/>
          </w:tcPr>
          <w:p w14:paraId="7648C09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$5.547,27</w:t>
            </w:r>
          </w:p>
        </w:tc>
      </w:tr>
      <w:tr w:rsidR="001A38D5" w:rsidRPr="001A38D5" w14:paraId="304F326B"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3A23CB63"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0A3E5841"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14CC6D70"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018F2188"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6B060897"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 VIGENCIAS ANTERIORES</w:t>
            </w:r>
          </w:p>
        </w:tc>
        <w:tc>
          <w:tcPr>
            <w:tcW w:w="850" w:type="dxa"/>
            <w:tcBorders>
              <w:top w:val="nil"/>
              <w:left w:val="nil"/>
              <w:bottom w:val="single" w:sz="4" w:space="0" w:color="auto"/>
              <w:right w:val="single" w:sz="4" w:space="0" w:color="auto"/>
            </w:tcBorders>
            <w:shd w:val="clear" w:color="auto" w:fill="auto"/>
            <w:noWrap/>
            <w:vAlign w:val="center"/>
            <w:hideMark/>
          </w:tcPr>
          <w:p w14:paraId="61846CC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$33,13</w:t>
            </w:r>
          </w:p>
        </w:tc>
      </w:tr>
      <w:tr w:rsidR="001A38D5" w:rsidRPr="001A38D5" w14:paraId="53E03B3C"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694DF7F4"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6F2E379C"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5B18520F"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F10E2FD"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55E0E012"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 RENDIMIENTOS FINANCIEROS</w:t>
            </w:r>
          </w:p>
        </w:tc>
        <w:tc>
          <w:tcPr>
            <w:tcW w:w="850" w:type="dxa"/>
            <w:tcBorders>
              <w:top w:val="nil"/>
              <w:left w:val="nil"/>
              <w:bottom w:val="single" w:sz="4" w:space="0" w:color="auto"/>
              <w:right w:val="single" w:sz="4" w:space="0" w:color="auto"/>
            </w:tcBorders>
            <w:shd w:val="clear" w:color="auto" w:fill="auto"/>
            <w:noWrap/>
            <w:vAlign w:val="center"/>
            <w:hideMark/>
          </w:tcPr>
          <w:p w14:paraId="2F00FC6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$30,00</w:t>
            </w:r>
          </w:p>
        </w:tc>
      </w:tr>
      <w:tr w:rsidR="001A38D5" w:rsidRPr="001A38D5" w14:paraId="0F725E2B"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5C4D46A2"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1B9BACE4"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3E4459DB"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5F37F4C8"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00B68EC7"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CONFINANCIACION ALIMENTACIÓN ESCOLAR ARTICULO 145 LEY 1530 DE 2012 - CONPES 151 DE 2012</w:t>
            </w:r>
          </w:p>
        </w:tc>
        <w:tc>
          <w:tcPr>
            <w:tcW w:w="850" w:type="dxa"/>
            <w:tcBorders>
              <w:top w:val="nil"/>
              <w:left w:val="nil"/>
              <w:bottom w:val="single" w:sz="4" w:space="0" w:color="auto"/>
              <w:right w:val="single" w:sz="4" w:space="0" w:color="auto"/>
            </w:tcBorders>
            <w:shd w:val="clear" w:color="auto" w:fill="auto"/>
            <w:noWrap/>
            <w:vAlign w:val="center"/>
            <w:hideMark/>
          </w:tcPr>
          <w:p w14:paraId="76900DE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$692,80</w:t>
            </w:r>
          </w:p>
        </w:tc>
      </w:tr>
      <w:tr w:rsidR="001A38D5" w:rsidRPr="001A38D5" w14:paraId="06520ADE"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31935164"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7BA644E3"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34ADB752"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075E8C33"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513537F9"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CONFINANCIACION ALIMENTACIÓN ESCOLAR ARTICULO 145 LEY 1530 DE 2012 - CONPES 151 DE 2012 RENDIMIENTOS FINANCIEROS</w:t>
            </w:r>
          </w:p>
        </w:tc>
        <w:tc>
          <w:tcPr>
            <w:tcW w:w="850" w:type="dxa"/>
            <w:tcBorders>
              <w:top w:val="nil"/>
              <w:left w:val="nil"/>
              <w:bottom w:val="single" w:sz="4" w:space="0" w:color="auto"/>
              <w:right w:val="single" w:sz="4" w:space="0" w:color="auto"/>
            </w:tcBorders>
            <w:shd w:val="clear" w:color="auto" w:fill="auto"/>
            <w:noWrap/>
            <w:vAlign w:val="center"/>
            <w:hideMark/>
          </w:tcPr>
          <w:p w14:paraId="01B1352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$0,33</w:t>
            </w:r>
          </w:p>
        </w:tc>
      </w:tr>
      <w:tr w:rsidR="001A38D5" w:rsidRPr="001A38D5" w14:paraId="1A555D4D"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1477A25F"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4C9CD810"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3819CC4C"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50BF3FBF"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53FD6ECF"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EDUCACION CALIDAD DOCE DOCEAVAS VIGENCIA ACTUAL</w:t>
            </w:r>
          </w:p>
        </w:tc>
        <w:tc>
          <w:tcPr>
            <w:tcW w:w="850" w:type="dxa"/>
            <w:tcBorders>
              <w:top w:val="nil"/>
              <w:left w:val="nil"/>
              <w:bottom w:val="single" w:sz="4" w:space="0" w:color="auto"/>
              <w:right w:val="single" w:sz="4" w:space="0" w:color="auto"/>
            </w:tcBorders>
            <w:shd w:val="clear" w:color="auto" w:fill="auto"/>
            <w:noWrap/>
            <w:vAlign w:val="center"/>
            <w:hideMark/>
          </w:tcPr>
          <w:p w14:paraId="3C90CEA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$946,86</w:t>
            </w:r>
          </w:p>
        </w:tc>
      </w:tr>
      <w:tr w:rsidR="001A38D5" w:rsidRPr="001A38D5" w14:paraId="6882E2E5"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57E90B05"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22589390"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3B21BF7F"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18BC5038"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0B5E2919"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SGP EDUCACION CALIDAD - SALDOS NO EJECUTADOS VIGENCIAS ANTERIORES </w:t>
            </w:r>
          </w:p>
        </w:tc>
        <w:tc>
          <w:tcPr>
            <w:tcW w:w="850" w:type="dxa"/>
            <w:tcBorders>
              <w:top w:val="nil"/>
              <w:left w:val="nil"/>
              <w:bottom w:val="single" w:sz="4" w:space="0" w:color="auto"/>
              <w:right w:val="single" w:sz="4" w:space="0" w:color="auto"/>
            </w:tcBorders>
            <w:shd w:val="clear" w:color="auto" w:fill="auto"/>
            <w:noWrap/>
            <w:vAlign w:val="center"/>
            <w:hideMark/>
          </w:tcPr>
          <w:p w14:paraId="365B52C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$966,32</w:t>
            </w:r>
          </w:p>
        </w:tc>
      </w:tr>
      <w:tr w:rsidR="001A38D5" w:rsidRPr="001A38D5" w14:paraId="531A1119"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00476627"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4E269C6A"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3A4B7BD5"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7CDA5CC3"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6025A27E"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INGRESOS CORRIENTES DE LIBRE DESTINACION EXCEPTO EL 42% DE LIBRE DESTINACIÓN DE PROPOSITO GENERAL DE MPIOS DE CATEGORIA 4, 5 Y 6 </w:t>
            </w:r>
          </w:p>
        </w:tc>
        <w:tc>
          <w:tcPr>
            <w:tcW w:w="850" w:type="dxa"/>
            <w:tcBorders>
              <w:top w:val="nil"/>
              <w:left w:val="nil"/>
              <w:bottom w:val="single" w:sz="4" w:space="0" w:color="auto"/>
              <w:right w:val="single" w:sz="4" w:space="0" w:color="auto"/>
            </w:tcBorders>
            <w:shd w:val="clear" w:color="auto" w:fill="auto"/>
            <w:noWrap/>
            <w:vAlign w:val="center"/>
            <w:hideMark/>
          </w:tcPr>
          <w:p w14:paraId="1ED7AD2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$1.016,48</w:t>
            </w:r>
          </w:p>
        </w:tc>
      </w:tr>
      <w:tr w:rsidR="001A38D5" w:rsidRPr="001A38D5" w14:paraId="226330AF"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2A0ECFD0" w14:textId="77777777" w:rsidR="00A20990" w:rsidRPr="001A38D5" w:rsidRDefault="00A20990" w:rsidP="005140E1">
            <w:pPr>
              <w:contextualSpacing/>
              <w:rPr>
                <w:rFonts w:eastAsia="Times New Roman" w:cs="Arial"/>
                <w:sz w:val="14"/>
                <w:szCs w:val="14"/>
                <w:lang w:val="es-CO" w:eastAsia="es-CO"/>
              </w:rPr>
            </w:pPr>
          </w:p>
        </w:tc>
        <w:tc>
          <w:tcPr>
            <w:tcW w:w="1580" w:type="dxa"/>
            <w:tcBorders>
              <w:top w:val="nil"/>
              <w:left w:val="nil"/>
              <w:bottom w:val="single" w:sz="4" w:space="0" w:color="auto"/>
              <w:right w:val="single" w:sz="4" w:space="0" w:color="auto"/>
            </w:tcBorders>
            <w:shd w:val="clear" w:color="auto" w:fill="auto"/>
            <w:vAlign w:val="center"/>
            <w:hideMark/>
          </w:tcPr>
          <w:p w14:paraId="15472F57" w14:textId="77777777" w:rsidR="00A20990" w:rsidRPr="001A38D5" w:rsidRDefault="00A20990" w:rsidP="005140E1">
            <w:pPr>
              <w:contextualSpacing/>
              <w:jc w:val="center"/>
              <w:rPr>
                <w:rFonts w:eastAsia="Times New Roman" w:cs="Arial"/>
                <w:b/>
                <w:sz w:val="14"/>
                <w:szCs w:val="14"/>
                <w:lang w:val="es-CO" w:eastAsia="es-CO"/>
              </w:rPr>
            </w:pPr>
            <w:bookmarkStart w:id="7" w:name="_Hlk146208885"/>
            <w:r w:rsidRPr="001A38D5">
              <w:rPr>
                <w:rFonts w:eastAsia="Times New Roman" w:cs="Arial"/>
                <w:b/>
                <w:sz w:val="14"/>
                <w:szCs w:val="14"/>
                <w:lang w:val="es-CO" w:eastAsia="es-CO"/>
              </w:rPr>
              <w:t>Contrato No. 594 del 14 de mayo de 2020</w:t>
            </w:r>
            <w:bookmarkEnd w:id="7"/>
          </w:p>
        </w:tc>
        <w:tc>
          <w:tcPr>
            <w:tcW w:w="871" w:type="dxa"/>
            <w:tcBorders>
              <w:top w:val="nil"/>
              <w:left w:val="nil"/>
              <w:bottom w:val="single" w:sz="4" w:space="0" w:color="auto"/>
              <w:right w:val="single" w:sz="4" w:space="0" w:color="auto"/>
            </w:tcBorders>
            <w:shd w:val="clear" w:color="auto" w:fill="auto"/>
            <w:vAlign w:val="center"/>
            <w:hideMark/>
          </w:tcPr>
          <w:p w14:paraId="66EFC8BC"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$43,16</w:t>
            </w:r>
          </w:p>
        </w:tc>
        <w:tc>
          <w:tcPr>
            <w:tcW w:w="1074" w:type="dxa"/>
            <w:tcBorders>
              <w:top w:val="nil"/>
              <w:left w:val="nil"/>
              <w:bottom w:val="single" w:sz="4" w:space="0" w:color="auto"/>
              <w:right w:val="single" w:sz="4" w:space="0" w:color="auto"/>
            </w:tcBorders>
            <w:shd w:val="clear" w:color="auto" w:fill="auto"/>
            <w:vAlign w:val="center"/>
            <w:hideMark/>
          </w:tcPr>
          <w:p w14:paraId="17F4D3F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144</w:t>
            </w:r>
          </w:p>
        </w:tc>
        <w:tc>
          <w:tcPr>
            <w:tcW w:w="4679" w:type="dxa"/>
            <w:tcBorders>
              <w:top w:val="nil"/>
              <w:left w:val="nil"/>
              <w:bottom w:val="single" w:sz="4" w:space="0" w:color="auto"/>
              <w:right w:val="single" w:sz="4" w:space="0" w:color="auto"/>
            </w:tcBorders>
            <w:shd w:val="clear" w:color="000000" w:fill="F8CBAD"/>
            <w:vAlign w:val="center"/>
            <w:hideMark/>
          </w:tcPr>
          <w:p w14:paraId="2674E514"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ONCE DOCEAVAS VIGENCIA ACTUAL MAS ULTIMA DOCEAVA VIGENCIA ANTERIOR</w:t>
            </w:r>
          </w:p>
        </w:tc>
        <w:tc>
          <w:tcPr>
            <w:tcW w:w="850" w:type="dxa"/>
            <w:tcBorders>
              <w:top w:val="nil"/>
              <w:left w:val="nil"/>
              <w:bottom w:val="single" w:sz="4" w:space="0" w:color="auto"/>
              <w:right w:val="single" w:sz="4" w:space="0" w:color="auto"/>
            </w:tcBorders>
            <w:shd w:val="clear" w:color="000000" w:fill="F8CBAD"/>
            <w:noWrap/>
            <w:vAlign w:val="center"/>
            <w:hideMark/>
          </w:tcPr>
          <w:p w14:paraId="6D85002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$43,16</w:t>
            </w:r>
          </w:p>
        </w:tc>
      </w:tr>
      <w:tr w:rsidR="001A38D5" w:rsidRPr="001A38D5" w14:paraId="2A714473"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524F67B0" w14:textId="77777777" w:rsidR="00A20990" w:rsidRPr="001A38D5" w:rsidRDefault="00A20990" w:rsidP="005140E1">
            <w:pPr>
              <w:contextualSpacing/>
              <w:rPr>
                <w:rFonts w:eastAsia="Times New Roman" w:cs="Arial"/>
                <w:sz w:val="14"/>
                <w:szCs w:val="14"/>
                <w:lang w:val="es-CO" w:eastAsia="es-CO"/>
              </w:rPr>
            </w:pP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4B49BB08" w14:textId="77777777" w:rsidR="00A20990" w:rsidRPr="001A38D5" w:rsidRDefault="00A20990" w:rsidP="005140E1">
            <w:pPr>
              <w:contextualSpacing/>
              <w:jc w:val="center"/>
              <w:rPr>
                <w:rFonts w:eastAsia="Times New Roman" w:cs="Arial"/>
                <w:b/>
                <w:sz w:val="14"/>
                <w:szCs w:val="14"/>
                <w:lang w:val="es-CO" w:eastAsia="es-CO"/>
              </w:rPr>
            </w:pPr>
            <w:bookmarkStart w:id="8" w:name="_Hlk146208905"/>
            <w:r w:rsidRPr="001A38D5">
              <w:rPr>
                <w:rFonts w:eastAsia="Times New Roman" w:cs="Arial"/>
                <w:b/>
                <w:sz w:val="14"/>
                <w:szCs w:val="14"/>
                <w:lang w:val="es-CO" w:eastAsia="es-CO"/>
              </w:rPr>
              <w:t>Contrato de prestación de servicios No. 1961 del 13 de diciembre de 2020</w:t>
            </w:r>
            <w:bookmarkEnd w:id="8"/>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6698F18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$2.176,77</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1477B1A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w:t>
            </w:r>
          </w:p>
        </w:tc>
        <w:tc>
          <w:tcPr>
            <w:tcW w:w="4679" w:type="dxa"/>
            <w:tcBorders>
              <w:top w:val="nil"/>
              <w:left w:val="nil"/>
              <w:bottom w:val="single" w:sz="4" w:space="0" w:color="auto"/>
              <w:right w:val="single" w:sz="4" w:space="0" w:color="auto"/>
            </w:tcBorders>
            <w:shd w:val="clear" w:color="000000" w:fill="F8CBAD"/>
            <w:vAlign w:val="center"/>
            <w:hideMark/>
          </w:tcPr>
          <w:p w14:paraId="4EE6F7B5"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ONCE DOCEAVAS VIGENCIA ACTUAL MAS ULTIMA DOCEAVA VIGENCIA ANTERIOR</w:t>
            </w:r>
          </w:p>
        </w:tc>
        <w:tc>
          <w:tcPr>
            <w:tcW w:w="850" w:type="dxa"/>
            <w:tcBorders>
              <w:top w:val="nil"/>
              <w:left w:val="nil"/>
              <w:bottom w:val="single" w:sz="4" w:space="0" w:color="auto"/>
              <w:right w:val="single" w:sz="4" w:space="0" w:color="auto"/>
            </w:tcBorders>
            <w:shd w:val="clear" w:color="000000" w:fill="F8CBAD"/>
            <w:noWrap/>
            <w:vAlign w:val="center"/>
            <w:hideMark/>
          </w:tcPr>
          <w:p w14:paraId="0DB9C2C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$74,30</w:t>
            </w:r>
          </w:p>
        </w:tc>
      </w:tr>
      <w:tr w:rsidR="001A38D5" w:rsidRPr="001A38D5" w14:paraId="6DA33FCE"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565BBD8D"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1883B8E5"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1058E789"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3DB72B0B"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000000" w:fill="F8CBAD"/>
            <w:vAlign w:val="center"/>
            <w:hideMark/>
          </w:tcPr>
          <w:p w14:paraId="36FB0848"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SALDOS NO EJECUTADOS VIGENCIAS ANTERIORES Y REINTEGROS</w:t>
            </w:r>
          </w:p>
        </w:tc>
        <w:tc>
          <w:tcPr>
            <w:tcW w:w="850" w:type="dxa"/>
            <w:tcBorders>
              <w:top w:val="nil"/>
              <w:left w:val="nil"/>
              <w:bottom w:val="single" w:sz="4" w:space="0" w:color="auto"/>
              <w:right w:val="single" w:sz="4" w:space="0" w:color="auto"/>
            </w:tcBorders>
            <w:shd w:val="clear" w:color="000000" w:fill="F8CBAD"/>
            <w:noWrap/>
            <w:vAlign w:val="center"/>
            <w:hideMark/>
          </w:tcPr>
          <w:p w14:paraId="5779905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$405,45</w:t>
            </w:r>
          </w:p>
        </w:tc>
      </w:tr>
      <w:tr w:rsidR="001A38D5" w:rsidRPr="001A38D5" w14:paraId="59B44AFA"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2AD3B8C0"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17635B6B"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59B6DE27"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5775668B"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000000" w:fill="F8CBAD"/>
            <w:vAlign w:val="center"/>
            <w:hideMark/>
          </w:tcPr>
          <w:p w14:paraId="4DEBBD4F"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RENDIMIENTOS FINANCIEROS</w:t>
            </w:r>
          </w:p>
        </w:tc>
        <w:tc>
          <w:tcPr>
            <w:tcW w:w="850" w:type="dxa"/>
            <w:tcBorders>
              <w:top w:val="nil"/>
              <w:left w:val="nil"/>
              <w:bottom w:val="single" w:sz="4" w:space="0" w:color="auto"/>
              <w:right w:val="single" w:sz="4" w:space="0" w:color="auto"/>
            </w:tcBorders>
            <w:shd w:val="clear" w:color="000000" w:fill="F8CBAD"/>
            <w:noWrap/>
            <w:vAlign w:val="center"/>
            <w:hideMark/>
          </w:tcPr>
          <w:p w14:paraId="67CA5F3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$33,79</w:t>
            </w:r>
          </w:p>
        </w:tc>
      </w:tr>
      <w:tr w:rsidR="001A38D5" w:rsidRPr="001A38D5" w14:paraId="026A9CB9"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74AD2BEA"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327A9AB5"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248DDE68"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719A0EA6"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3E30F276"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w:t>
            </w:r>
          </w:p>
        </w:tc>
        <w:tc>
          <w:tcPr>
            <w:tcW w:w="850" w:type="dxa"/>
            <w:tcBorders>
              <w:top w:val="nil"/>
              <w:left w:val="nil"/>
              <w:bottom w:val="single" w:sz="4" w:space="0" w:color="auto"/>
              <w:right w:val="single" w:sz="4" w:space="0" w:color="auto"/>
            </w:tcBorders>
            <w:shd w:val="clear" w:color="auto" w:fill="auto"/>
            <w:noWrap/>
            <w:vAlign w:val="center"/>
            <w:hideMark/>
          </w:tcPr>
          <w:p w14:paraId="76D271F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$100,95</w:t>
            </w:r>
          </w:p>
        </w:tc>
      </w:tr>
      <w:tr w:rsidR="001A38D5" w:rsidRPr="001A38D5" w14:paraId="045BEC90"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4F0B1B14"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781ABF1B"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352274C8"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05E6EDCF"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073DC6D0"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 VIGENCIAS ANTERIORES</w:t>
            </w:r>
          </w:p>
        </w:tc>
        <w:tc>
          <w:tcPr>
            <w:tcW w:w="850" w:type="dxa"/>
            <w:tcBorders>
              <w:top w:val="nil"/>
              <w:left w:val="nil"/>
              <w:bottom w:val="single" w:sz="4" w:space="0" w:color="auto"/>
              <w:right w:val="single" w:sz="4" w:space="0" w:color="auto"/>
            </w:tcBorders>
            <w:shd w:val="clear" w:color="auto" w:fill="auto"/>
            <w:noWrap/>
            <w:vAlign w:val="center"/>
            <w:hideMark/>
          </w:tcPr>
          <w:p w14:paraId="6800DE4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$1.015,66</w:t>
            </w:r>
          </w:p>
        </w:tc>
      </w:tr>
      <w:tr w:rsidR="001A38D5" w:rsidRPr="001A38D5" w14:paraId="68C8ED6A"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558F0E94"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6C2F1B6E"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663C38BB"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2F593BD2"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0D58B19F"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INGRESOS CORRIENTES DE LIBRE DESTINACION EXCEPTO EL 42% DE LIBRE DESTINACIÓN DE PROPOSITO GENERAL DE MPIOS DE CATEGORIA 4, 5 Y 6 </w:t>
            </w:r>
          </w:p>
        </w:tc>
        <w:tc>
          <w:tcPr>
            <w:tcW w:w="850" w:type="dxa"/>
            <w:tcBorders>
              <w:top w:val="nil"/>
              <w:left w:val="nil"/>
              <w:bottom w:val="single" w:sz="4" w:space="0" w:color="auto"/>
              <w:right w:val="single" w:sz="4" w:space="0" w:color="auto"/>
            </w:tcBorders>
            <w:shd w:val="clear" w:color="auto" w:fill="auto"/>
            <w:noWrap/>
            <w:vAlign w:val="center"/>
            <w:hideMark/>
          </w:tcPr>
          <w:p w14:paraId="1EA2DB6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$360,00</w:t>
            </w:r>
          </w:p>
        </w:tc>
      </w:tr>
      <w:tr w:rsidR="001A38D5" w:rsidRPr="001A38D5" w14:paraId="664A1F90"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7F48EF45"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2C101C42"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0118E2ED"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32C6547F"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7DA46107"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CONFINANCIACION ALIMENTACIÓN ESCOLAR ARTICULO 145 LEY 1530 DE 2012 - CONPES 151 DE 2012 RENDIMIENTOS FINANCIEROS</w:t>
            </w:r>
          </w:p>
        </w:tc>
        <w:tc>
          <w:tcPr>
            <w:tcW w:w="850" w:type="dxa"/>
            <w:tcBorders>
              <w:top w:val="nil"/>
              <w:left w:val="nil"/>
              <w:bottom w:val="single" w:sz="4" w:space="0" w:color="auto"/>
              <w:right w:val="single" w:sz="4" w:space="0" w:color="auto"/>
            </w:tcBorders>
            <w:shd w:val="clear" w:color="auto" w:fill="auto"/>
            <w:noWrap/>
            <w:vAlign w:val="center"/>
            <w:hideMark/>
          </w:tcPr>
          <w:p w14:paraId="262B4D8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$18,18</w:t>
            </w:r>
          </w:p>
        </w:tc>
      </w:tr>
      <w:tr w:rsidR="001A38D5" w:rsidRPr="001A38D5" w14:paraId="6DBF78CC"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44A9CA41"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40C0EB84"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441800DE"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67E61D49"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01FE7528"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EDUCACION CALIDAD DOCE DOCEAVAS VIGENCIA ACTUAL</w:t>
            </w:r>
          </w:p>
        </w:tc>
        <w:tc>
          <w:tcPr>
            <w:tcW w:w="850" w:type="dxa"/>
            <w:tcBorders>
              <w:top w:val="nil"/>
              <w:left w:val="nil"/>
              <w:bottom w:val="single" w:sz="4" w:space="0" w:color="auto"/>
              <w:right w:val="single" w:sz="4" w:space="0" w:color="auto"/>
            </w:tcBorders>
            <w:shd w:val="clear" w:color="auto" w:fill="auto"/>
            <w:noWrap/>
            <w:vAlign w:val="center"/>
            <w:hideMark/>
          </w:tcPr>
          <w:p w14:paraId="19E127C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$168,44</w:t>
            </w:r>
          </w:p>
        </w:tc>
      </w:tr>
      <w:tr w:rsidR="001A38D5" w:rsidRPr="001A38D5" w14:paraId="1C4078A6" w14:textId="77777777" w:rsidTr="00A20990">
        <w:trPr>
          <w:trHeight w:val="20"/>
          <w:jc w:val="center"/>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14:paraId="658A1ED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2021</w:t>
            </w:r>
          </w:p>
        </w:tc>
        <w:tc>
          <w:tcPr>
            <w:tcW w:w="1580" w:type="dxa"/>
            <w:tcBorders>
              <w:top w:val="nil"/>
              <w:left w:val="nil"/>
              <w:bottom w:val="single" w:sz="4" w:space="0" w:color="auto"/>
              <w:right w:val="single" w:sz="4" w:space="0" w:color="auto"/>
            </w:tcBorders>
            <w:shd w:val="clear" w:color="auto" w:fill="auto"/>
            <w:noWrap/>
            <w:vAlign w:val="center"/>
            <w:hideMark/>
          </w:tcPr>
          <w:p w14:paraId="7ECE44A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Convenio interadministrativo No. 1104 del 18 de mayo de 2021</w:t>
            </w:r>
          </w:p>
        </w:tc>
        <w:tc>
          <w:tcPr>
            <w:tcW w:w="871" w:type="dxa"/>
            <w:tcBorders>
              <w:top w:val="nil"/>
              <w:left w:val="nil"/>
              <w:bottom w:val="single" w:sz="4" w:space="0" w:color="auto"/>
              <w:right w:val="single" w:sz="4" w:space="0" w:color="auto"/>
            </w:tcBorders>
            <w:shd w:val="clear" w:color="auto" w:fill="auto"/>
            <w:vAlign w:val="center"/>
            <w:hideMark/>
          </w:tcPr>
          <w:p w14:paraId="4A2D4C2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$38,79</w:t>
            </w:r>
          </w:p>
        </w:tc>
        <w:tc>
          <w:tcPr>
            <w:tcW w:w="1074" w:type="dxa"/>
            <w:tcBorders>
              <w:top w:val="nil"/>
              <w:left w:val="nil"/>
              <w:bottom w:val="single" w:sz="4" w:space="0" w:color="auto"/>
              <w:right w:val="single" w:sz="4" w:space="0" w:color="auto"/>
            </w:tcBorders>
            <w:shd w:val="clear" w:color="auto" w:fill="auto"/>
            <w:vAlign w:val="center"/>
            <w:hideMark/>
          </w:tcPr>
          <w:p w14:paraId="46CF741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123</w:t>
            </w:r>
          </w:p>
        </w:tc>
        <w:tc>
          <w:tcPr>
            <w:tcW w:w="4679" w:type="dxa"/>
            <w:tcBorders>
              <w:top w:val="nil"/>
              <w:left w:val="nil"/>
              <w:bottom w:val="single" w:sz="4" w:space="0" w:color="auto"/>
              <w:right w:val="single" w:sz="4" w:space="0" w:color="auto"/>
            </w:tcBorders>
            <w:shd w:val="clear" w:color="auto" w:fill="auto"/>
            <w:vAlign w:val="center"/>
            <w:hideMark/>
          </w:tcPr>
          <w:p w14:paraId="1FA4B2B4"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w:t>
            </w:r>
          </w:p>
        </w:tc>
        <w:tc>
          <w:tcPr>
            <w:tcW w:w="850" w:type="dxa"/>
            <w:tcBorders>
              <w:top w:val="nil"/>
              <w:left w:val="nil"/>
              <w:bottom w:val="single" w:sz="4" w:space="0" w:color="auto"/>
              <w:right w:val="single" w:sz="4" w:space="0" w:color="auto"/>
            </w:tcBorders>
            <w:shd w:val="clear" w:color="auto" w:fill="auto"/>
            <w:noWrap/>
            <w:vAlign w:val="center"/>
            <w:hideMark/>
          </w:tcPr>
          <w:p w14:paraId="0C6866E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$38,79</w:t>
            </w:r>
          </w:p>
        </w:tc>
      </w:tr>
      <w:tr w:rsidR="001A38D5" w:rsidRPr="001A38D5" w14:paraId="450C7D84"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70612BC7" w14:textId="77777777" w:rsidR="00A20990" w:rsidRPr="001A38D5" w:rsidRDefault="00A20990" w:rsidP="005140E1">
            <w:pPr>
              <w:contextualSpacing/>
              <w:rPr>
                <w:rFonts w:eastAsia="Times New Roman" w:cs="Arial"/>
                <w:sz w:val="14"/>
                <w:szCs w:val="14"/>
                <w:lang w:val="es-CO" w:eastAsia="es-CO"/>
              </w:rPr>
            </w:pP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5AD96954" w14:textId="77777777" w:rsidR="00A20990" w:rsidRPr="001A38D5" w:rsidRDefault="00A20990" w:rsidP="005140E1">
            <w:pPr>
              <w:contextualSpacing/>
              <w:jc w:val="center"/>
              <w:rPr>
                <w:rFonts w:eastAsia="Times New Roman" w:cs="Arial"/>
                <w:b/>
                <w:sz w:val="14"/>
                <w:szCs w:val="14"/>
                <w:lang w:val="es-CO" w:eastAsia="es-CO"/>
              </w:rPr>
            </w:pPr>
            <w:r w:rsidRPr="001A38D5">
              <w:rPr>
                <w:rFonts w:eastAsia="Times New Roman" w:cs="Arial"/>
                <w:b/>
                <w:sz w:val="14"/>
                <w:szCs w:val="14"/>
                <w:lang w:val="es-CO" w:eastAsia="es-CO"/>
              </w:rPr>
              <w:t>Contrato No. 939 del 8 de abril de 2021</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61AA950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$4.915,58</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6825163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73</w:t>
            </w:r>
          </w:p>
        </w:tc>
        <w:tc>
          <w:tcPr>
            <w:tcW w:w="4679" w:type="dxa"/>
            <w:tcBorders>
              <w:top w:val="nil"/>
              <w:left w:val="nil"/>
              <w:bottom w:val="single" w:sz="4" w:space="0" w:color="auto"/>
              <w:right w:val="single" w:sz="4" w:space="0" w:color="auto"/>
            </w:tcBorders>
            <w:shd w:val="clear" w:color="000000" w:fill="F8CBAD"/>
            <w:vAlign w:val="center"/>
            <w:hideMark/>
          </w:tcPr>
          <w:p w14:paraId="71D358C2"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ONCE DOCEAVAS VIGENCIA ACTUAL MAS ULTIMA DOCEAVA VIGENCIA ANTERIOR</w:t>
            </w:r>
          </w:p>
        </w:tc>
        <w:tc>
          <w:tcPr>
            <w:tcW w:w="850" w:type="dxa"/>
            <w:tcBorders>
              <w:top w:val="nil"/>
              <w:left w:val="nil"/>
              <w:bottom w:val="single" w:sz="4" w:space="0" w:color="auto"/>
              <w:right w:val="single" w:sz="4" w:space="0" w:color="auto"/>
            </w:tcBorders>
            <w:shd w:val="clear" w:color="000000" w:fill="F8CBAD"/>
            <w:noWrap/>
            <w:vAlign w:val="center"/>
            <w:hideMark/>
          </w:tcPr>
          <w:p w14:paraId="5400FD9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$350,00</w:t>
            </w:r>
          </w:p>
        </w:tc>
      </w:tr>
      <w:tr w:rsidR="001A38D5" w:rsidRPr="001A38D5" w14:paraId="44B2353C"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0B3802A1"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7EC98D83"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1546CF2E"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5886E376"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49D11835"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w:t>
            </w:r>
          </w:p>
        </w:tc>
        <w:tc>
          <w:tcPr>
            <w:tcW w:w="850" w:type="dxa"/>
            <w:tcBorders>
              <w:top w:val="nil"/>
              <w:left w:val="nil"/>
              <w:bottom w:val="single" w:sz="4" w:space="0" w:color="auto"/>
              <w:right w:val="single" w:sz="4" w:space="0" w:color="auto"/>
            </w:tcBorders>
            <w:shd w:val="clear" w:color="auto" w:fill="auto"/>
            <w:noWrap/>
            <w:vAlign w:val="center"/>
            <w:hideMark/>
          </w:tcPr>
          <w:p w14:paraId="759A8A2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$4.015,58</w:t>
            </w:r>
          </w:p>
        </w:tc>
      </w:tr>
      <w:tr w:rsidR="001A38D5" w:rsidRPr="001A38D5" w14:paraId="304AB763"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03B11472"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3B69FE21"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6C4711FA"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7D89836D"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1F83E41C"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CONFINANCIACION ALIMENTACIÓN ESCOLAR ARTICULO 145 LEY 1530 DE 2012 - CONPES 151 DE 2012</w:t>
            </w:r>
          </w:p>
        </w:tc>
        <w:tc>
          <w:tcPr>
            <w:tcW w:w="850" w:type="dxa"/>
            <w:tcBorders>
              <w:top w:val="nil"/>
              <w:left w:val="nil"/>
              <w:bottom w:val="single" w:sz="4" w:space="0" w:color="auto"/>
              <w:right w:val="single" w:sz="4" w:space="0" w:color="auto"/>
            </w:tcBorders>
            <w:shd w:val="clear" w:color="auto" w:fill="auto"/>
            <w:noWrap/>
            <w:vAlign w:val="center"/>
            <w:hideMark/>
          </w:tcPr>
          <w:p w14:paraId="21D2D53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$550,00</w:t>
            </w:r>
          </w:p>
        </w:tc>
      </w:tr>
      <w:tr w:rsidR="001A38D5" w:rsidRPr="001A38D5" w14:paraId="2A75EB6D"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3D6A15F9" w14:textId="77777777" w:rsidR="00A20990" w:rsidRPr="001A38D5" w:rsidRDefault="00A20990" w:rsidP="005140E1">
            <w:pPr>
              <w:contextualSpacing/>
              <w:rPr>
                <w:rFonts w:eastAsia="Times New Roman" w:cs="Arial"/>
                <w:sz w:val="14"/>
                <w:szCs w:val="14"/>
                <w:lang w:val="es-CO" w:eastAsia="es-CO"/>
              </w:rPr>
            </w:pP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29D9D676" w14:textId="77777777" w:rsidR="00A20990" w:rsidRPr="001A38D5" w:rsidRDefault="00A20990" w:rsidP="005140E1">
            <w:pPr>
              <w:contextualSpacing/>
              <w:jc w:val="center"/>
              <w:rPr>
                <w:rFonts w:eastAsia="Times New Roman" w:cs="Arial"/>
                <w:b/>
                <w:sz w:val="14"/>
                <w:szCs w:val="14"/>
                <w:lang w:val="es-CO" w:eastAsia="es-CO"/>
              </w:rPr>
            </w:pPr>
            <w:r w:rsidRPr="001A38D5">
              <w:rPr>
                <w:rFonts w:eastAsia="Times New Roman" w:cs="Arial"/>
                <w:b/>
                <w:sz w:val="14"/>
                <w:szCs w:val="14"/>
                <w:lang w:val="es-CO" w:eastAsia="es-CO"/>
              </w:rPr>
              <w:t xml:space="preserve">Contrato No. </w:t>
            </w:r>
            <w:r w:rsidRPr="001A38D5">
              <w:rPr>
                <w:rFonts w:eastAsia="Times New Roman" w:cs="Arial"/>
                <w:b/>
                <w:sz w:val="14"/>
                <w:szCs w:val="14"/>
                <w:lang w:val="es-CO" w:eastAsia="es-CO"/>
              </w:rPr>
              <w:lastRenderedPageBreak/>
              <w:t>1346 del 16 de julio de 2021</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2505410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lastRenderedPageBreak/>
              <w:t>$5.898,33</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559BE94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70</w:t>
            </w:r>
          </w:p>
        </w:tc>
        <w:tc>
          <w:tcPr>
            <w:tcW w:w="4679" w:type="dxa"/>
            <w:tcBorders>
              <w:top w:val="nil"/>
              <w:left w:val="nil"/>
              <w:bottom w:val="single" w:sz="4" w:space="0" w:color="auto"/>
              <w:right w:val="single" w:sz="4" w:space="0" w:color="auto"/>
            </w:tcBorders>
            <w:shd w:val="clear" w:color="auto" w:fill="auto"/>
            <w:vAlign w:val="center"/>
            <w:hideMark/>
          </w:tcPr>
          <w:p w14:paraId="5950424C"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w:t>
            </w:r>
          </w:p>
        </w:tc>
        <w:tc>
          <w:tcPr>
            <w:tcW w:w="850" w:type="dxa"/>
            <w:tcBorders>
              <w:top w:val="nil"/>
              <w:left w:val="nil"/>
              <w:bottom w:val="single" w:sz="4" w:space="0" w:color="auto"/>
              <w:right w:val="single" w:sz="4" w:space="0" w:color="auto"/>
            </w:tcBorders>
            <w:shd w:val="clear" w:color="auto" w:fill="auto"/>
            <w:noWrap/>
            <w:vAlign w:val="center"/>
            <w:hideMark/>
          </w:tcPr>
          <w:p w14:paraId="770C35B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$1.379,83</w:t>
            </w:r>
          </w:p>
        </w:tc>
      </w:tr>
      <w:tr w:rsidR="001A38D5" w:rsidRPr="001A38D5" w14:paraId="36013C69"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08D579C3"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00ACD40F"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014FE8FE"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71AA0BD3"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000000" w:fill="F8CBAD"/>
            <w:vAlign w:val="center"/>
            <w:hideMark/>
          </w:tcPr>
          <w:p w14:paraId="239481CB"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ONCE DOCEAVAS VIGENCIA ACTUAL MAS ULTIMA DOCEAVA VIGENCIA ANTERIOR</w:t>
            </w:r>
          </w:p>
        </w:tc>
        <w:tc>
          <w:tcPr>
            <w:tcW w:w="850" w:type="dxa"/>
            <w:tcBorders>
              <w:top w:val="nil"/>
              <w:left w:val="nil"/>
              <w:bottom w:val="single" w:sz="4" w:space="0" w:color="auto"/>
              <w:right w:val="single" w:sz="4" w:space="0" w:color="auto"/>
            </w:tcBorders>
            <w:shd w:val="clear" w:color="000000" w:fill="F8CBAD"/>
            <w:noWrap/>
            <w:vAlign w:val="center"/>
            <w:hideMark/>
          </w:tcPr>
          <w:p w14:paraId="134415B3"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$851,81</w:t>
            </w:r>
          </w:p>
        </w:tc>
      </w:tr>
      <w:tr w:rsidR="001A38D5" w:rsidRPr="001A38D5" w14:paraId="375B8351"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68774D73"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43E335A7"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7E8E31B0"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30152DF7"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000000" w:fill="F8CBAD"/>
            <w:vAlign w:val="center"/>
            <w:hideMark/>
          </w:tcPr>
          <w:p w14:paraId="37912E7A"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SALDOS NO EJECUTADOS VIGENCIAS ANTERIORES Y REINTEGROS</w:t>
            </w:r>
          </w:p>
        </w:tc>
        <w:tc>
          <w:tcPr>
            <w:tcW w:w="850" w:type="dxa"/>
            <w:tcBorders>
              <w:top w:val="nil"/>
              <w:left w:val="nil"/>
              <w:bottom w:val="single" w:sz="4" w:space="0" w:color="auto"/>
              <w:right w:val="single" w:sz="4" w:space="0" w:color="auto"/>
            </w:tcBorders>
            <w:shd w:val="clear" w:color="000000" w:fill="F8CBAD"/>
            <w:noWrap/>
            <w:vAlign w:val="center"/>
            <w:hideMark/>
          </w:tcPr>
          <w:p w14:paraId="57B0DEA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$85,82</w:t>
            </w:r>
          </w:p>
        </w:tc>
      </w:tr>
      <w:tr w:rsidR="001A38D5" w:rsidRPr="001A38D5" w14:paraId="2F78669F"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4CC9868D"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6A3BBE0A"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10F67847"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5A70EBD2"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000000" w:fill="F8CBAD"/>
            <w:vAlign w:val="center"/>
            <w:hideMark/>
          </w:tcPr>
          <w:p w14:paraId="3913C1B0"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RENDIMIENTOS FINANCIEROS</w:t>
            </w:r>
          </w:p>
        </w:tc>
        <w:tc>
          <w:tcPr>
            <w:tcW w:w="850" w:type="dxa"/>
            <w:tcBorders>
              <w:top w:val="nil"/>
              <w:left w:val="nil"/>
              <w:bottom w:val="single" w:sz="4" w:space="0" w:color="auto"/>
              <w:right w:val="single" w:sz="4" w:space="0" w:color="auto"/>
            </w:tcBorders>
            <w:shd w:val="clear" w:color="000000" w:fill="F8CBAD"/>
            <w:noWrap/>
            <w:vAlign w:val="center"/>
            <w:hideMark/>
          </w:tcPr>
          <w:p w14:paraId="45FA541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$16,00</w:t>
            </w:r>
          </w:p>
        </w:tc>
      </w:tr>
      <w:tr w:rsidR="001A38D5" w:rsidRPr="001A38D5" w14:paraId="5D5EC2A2"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3905B60F"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2B261E30"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7060EEE0"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51B9069A"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423F2C45"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 RENDIMIENTOS FINANCIEROS</w:t>
            </w:r>
          </w:p>
        </w:tc>
        <w:tc>
          <w:tcPr>
            <w:tcW w:w="850" w:type="dxa"/>
            <w:tcBorders>
              <w:top w:val="nil"/>
              <w:left w:val="nil"/>
              <w:bottom w:val="single" w:sz="4" w:space="0" w:color="auto"/>
              <w:right w:val="single" w:sz="4" w:space="0" w:color="auto"/>
            </w:tcBorders>
            <w:shd w:val="clear" w:color="auto" w:fill="auto"/>
            <w:noWrap/>
            <w:vAlign w:val="center"/>
            <w:hideMark/>
          </w:tcPr>
          <w:p w14:paraId="0C92233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$86,71</w:t>
            </w:r>
          </w:p>
        </w:tc>
      </w:tr>
      <w:tr w:rsidR="001A38D5" w:rsidRPr="001A38D5" w14:paraId="5825F2D8"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175DBB23"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01E0F1FB"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2DAFC981"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BD230DB"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59A92DFB"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CONFINANCIACION ALIMENTACIÓN ESCOLAR ARTICULO 145 LEY 1530 DE 2012 - CONPES 151 DE 2012</w:t>
            </w:r>
          </w:p>
        </w:tc>
        <w:tc>
          <w:tcPr>
            <w:tcW w:w="850" w:type="dxa"/>
            <w:tcBorders>
              <w:top w:val="nil"/>
              <w:left w:val="nil"/>
              <w:bottom w:val="single" w:sz="4" w:space="0" w:color="auto"/>
              <w:right w:val="single" w:sz="4" w:space="0" w:color="auto"/>
            </w:tcBorders>
            <w:shd w:val="clear" w:color="auto" w:fill="auto"/>
            <w:noWrap/>
            <w:vAlign w:val="center"/>
            <w:hideMark/>
          </w:tcPr>
          <w:p w14:paraId="4A55C9A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$163,58</w:t>
            </w:r>
          </w:p>
        </w:tc>
      </w:tr>
      <w:tr w:rsidR="001A38D5" w:rsidRPr="001A38D5" w14:paraId="115DFBCA"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42E226E1"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78FA5A7B"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376E0B3C"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13B1BBAA"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24792B72"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CONFINANCIACION ALIMENTACIÓN ESCOLAR ARTICULO 145 LEY 1530 DE 2012 - CONPES 151 DE 2012 VIGENCIAS ANTERIORES </w:t>
            </w:r>
          </w:p>
        </w:tc>
        <w:tc>
          <w:tcPr>
            <w:tcW w:w="850" w:type="dxa"/>
            <w:tcBorders>
              <w:top w:val="nil"/>
              <w:left w:val="nil"/>
              <w:bottom w:val="single" w:sz="4" w:space="0" w:color="auto"/>
              <w:right w:val="single" w:sz="4" w:space="0" w:color="auto"/>
            </w:tcBorders>
            <w:shd w:val="clear" w:color="auto" w:fill="auto"/>
            <w:noWrap/>
            <w:vAlign w:val="center"/>
            <w:hideMark/>
          </w:tcPr>
          <w:p w14:paraId="5784813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$1.337,44</w:t>
            </w:r>
          </w:p>
        </w:tc>
      </w:tr>
      <w:tr w:rsidR="001A38D5" w:rsidRPr="001A38D5" w14:paraId="14E3E2A2"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5D9141EF"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289B4797"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6816368F"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3737E976"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770421B7"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INGRESOS CORRIENTES DE LIBRE DESTINACION EXCEPTO EL 42% DE LIBRE DESTINACIÓN DE PROPOSITO GENERAL DE MPIOS DE CATEGORIA 4, 5 Y 6 </w:t>
            </w:r>
          </w:p>
        </w:tc>
        <w:tc>
          <w:tcPr>
            <w:tcW w:w="850" w:type="dxa"/>
            <w:tcBorders>
              <w:top w:val="nil"/>
              <w:left w:val="nil"/>
              <w:bottom w:val="single" w:sz="4" w:space="0" w:color="auto"/>
              <w:right w:val="single" w:sz="4" w:space="0" w:color="auto"/>
            </w:tcBorders>
            <w:shd w:val="clear" w:color="auto" w:fill="auto"/>
            <w:noWrap/>
            <w:vAlign w:val="center"/>
            <w:hideMark/>
          </w:tcPr>
          <w:p w14:paraId="748E5F1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$1.966,09</w:t>
            </w:r>
          </w:p>
        </w:tc>
      </w:tr>
      <w:tr w:rsidR="001A38D5" w:rsidRPr="001A38D5" w14:paraId="79A76C23"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057A2783"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3A4A8B15"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58C66AD6"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EFD7526"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6C8411BD"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CONFINANCIACION ALIMENTACIÓN ESCOLAR ARTICULO 145 LEY 1530 DE 2012 - CONPES 151 DE 2012 RENDIMIENTOS FINANCIEROS</w:t>
            </w:r>
          </w:p>
        </w:tc>
        <w:tc>
          <w:tcPr>
            <w:tcW w:w="850" w:type="dxa"/>
            <w:tcBorders>
              <w:top w:val="nil"/>
              <w:left w:val="nil"/>
              <w:bottom w:val="single" w:sz="4" w:space="0" w:color="auto"/>
              <w:right w:val="single" w:sz="4" w:space="0" w:color="auto"/>
            </w:tcBorders>
            <w:shd w:val="clear" w:color="auto" w:fill="auto"/>
            <w:noWrap/>
            <w:vAlign w:val="center"/>
            <w:hideMark/>
          </w:tcPr>
          <w:p w14:paraId="21A95ED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$11,04</w:t>
            </w:r>
          </w:p>
        </w:tc>
      </w:tr>
      <w:tr w:rsidR="001A38D5" w:rsidRPr="001A38D5" w14:paraId="033FA93C"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26EC705B" w14:textId="77777777" w:rsidR="00A20990" w:rsidRPr="001A38D5" w:rsidRDefault="00A20990" w:rsidP="005140E1">
            <w:pPr>
              <w:contextualSpacing/>
              <w:rPr>
                <w:rFonts w:eastAsia="Times New Roman" w:cs="Arial"/>
                <w:sz w:val="14"/>
                <w:szCs w:val="14"/>
                <w:lang w:val="es-CO" w:eastAsia="es-CO"/>
              </w:rPr>
            </w:pPr>
          </w:p>
        </w:tc>
        <w:tc>
          <w:tcPr>
            <w:tcW w:w="1580" w:type="dxa"/>
            <w:vMerge w:val="restart"/>
            <w:tcBorders>
              <w:top w:val="nil"/>
              <w:left w:val="single" w:sz="4" w:space="0" w:color="auto"/>
              <w:bottom w:val="nil"/>
              <w:right w:val="single" w:sz="4" w:space="0" w:color="auto"/>
            </w:tcBorders>
            <w:shd w:val="clear" w:color="auto" w:fill="auto"/>
            <w:vAlign w:val="center"/>
            <w:hideMark/>
          </w:tcPr>
          <w:p w14:paraId="579F0D6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Contrato No. 2014 del 13 de octubre de 2021</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0BD2FB8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$5.494,93</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3808E16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45</w:t>
            </w:r>
          </w:p>
        </w:tc>
        <w:tc>
          <w:tcPr>
            <w:tcW w:w="4679" w:type="dxa"/>
            <w:tcBorders>
              <w:top w:val="nil"/>
              <w:left w:val="nil"/>
              <w:bottom w:val="single" w:sz="4" w:space="0" w:color="auto"/>
              <w:right w:val="single" w:sz="4" w:space="0" w:color="auto"/>
            </w:tcBorders>
            <w:shd w:val="clear" w:color="auto" w:fill="auto"/>
            <w:vAlign w:val="center"/>
            <w:hideMark/>
          </w:tcPr>
          <w:p w14:paraId="47BB36EE"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INGRESOS CORRIENTES DE LIBRE DESTINACION EXCEPTO EL 42% DE LIBRE DESTINACIÓN DE PROPOSITO GENERAL DE MPIOS DE CATEGORIA 4, 5 Y 6 </w:t>
            </w:r>
          </w:p>
        </w:tc>
        <w:tc>
          <w:tcPr>
            <w:tcW w:w="850" w:type="dxa"/>
            <w:tcBorders>
              <w:top w:val="nil"/>
              <w:left w:val="nil"/>
              <w:bottom w:val="single" w:sz="4" w:space="0" w:color="auto"/>
              <w:right w:val="single" w:sz="4" w:space="0" w:color="auto"/>
            </w:tcBorders>
            <w:shd w:val="clear" w:color="auto" w:fill="auto"/>
            <w:noWrap/>
            <w:vAlign w:val="center"/>
            <w:hideMark/>
          </w:tcPr>
          <w:p w14:paraId="7437297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$133,91</w:t>
            </w:r>
          </w:p>
        </w:tc>
      </w:tr>
      <w:tr w:rsidR="001A38D5" w:rsidRPr="001A38D5" w14:paraId="555501D9"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3C4C09FC"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nil"/>
              <w:right w:val="single" w:sz="4" w:space="0" w:color="auto"/>
            </w:tcBorders>
            <w:vAlign w:val="center"/>
            <w:hideMark/>
          </w:tcPr>
          <w:p w14:paraId="4C27E250"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3121F8C5"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7F517202"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nil"/>
              <w:right w:val="nil"/>
            </w:tcBorders>
            <w:shd w:val="clear" w:color="auto" w:fill="auto"/>
            <w:noWrap/>
            <w:vAlign w:val="bottom"/>
            <w:hideMark/>
          </w:tcPr>
          <w:p w14:paraId="728FABC3"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OTROS SGP RECURSOS ASIGNADOS POR SGP DIFERENTES A SGP - ALIMENTACION ESCOLAR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CBD4D8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$405,00</w:t>
            </w:r>
          </w:p>
        </w:tc>
      </w:tr>
      <w:tr w:rsidR="001A38D5" w:rsidRPr="001A38D5" w14:paraId="1C7D6C92" w14:textId="77777777" w:rsidTr="00A20990">
        <w:trPr>
          <w:trHeight w:val="20"/>
          <w:jc w:val="center"/>
        </w:trPr>
        <w:tc>
          <w:tcPr>
            <w:tcW w:w="580" w:type="dxa"/>
            <w:vMerge/>
            <w:tcBorders>
              <w:top w:val="nil"/>
              <w:left w:val="single" w:sz="4" w:space="0" w:color="auto"/>
              <w:bottom w:val="single" w:sz="4" w:space="0" w:color="000000"/>
              <w:right w:val="single" w:sz="4" w:space="0" w:color="auto"/>
            </w:tcBorders>
            <w:vAlign w:val="center"/>
            <w:hideMark/>
          </w:tcPr>
          <w:p w14:paraId="3934C3B0"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nil"/>
              <w:right w:val="single" w:sz="4" w:space="0" w:color="auto"/>
            </w:tcBorders>
            <w:vAlign w:val="center"/>
            <w:hideMark/>
          </w:tcPr>
          <w:p w14:paraId="38441952"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278C2539"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67CCBA8"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single" w:sz="4" w:space="0" w:color="auto"/>
              <w:left w:val="nil"/>
              <w:bottom w:val="single" w:sz="4" w:space="0" w:color="auto"/>
              <w:right w:val="single" w:sz="4" w:space="0" w:color="auto"/>
            </w:tcBorders>
            <w:shd w:val="clear" w:color="auto" w:fill="auto"/>
            <w:vAlign w:val="center"/>
            <w:hideMark/>
          </w:tcPr>
          <w:p w14:paraId="3C9DBE9A"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w:t>
            </w:r>
          </w:p>
        </w:tc>
        <w:tc>
          <w:tcPr>
            <w:tcW w:w="850" w:type="dxa"/>
            <w:tcBorders>
              <w:top w:val="nil"/>
              <w:left w:val="nil"/>
              <w:bottom w:val="single" w:sz="4" w:space="0" w:color="auto"/>
              <w:right w:val="single" w:sz="4" w:space="0" w:color="auto"/>
            </w:tcBorders>
            <w:shd w:val="clear" w:color="auto" w:fill="auto"/>
            <w:noWrap/>
            <w:vAlign w:val="center"/>
            <w:hideMark/>
          </w:tcPr>
          <w:p w14:paraId="0AA5FA3B"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$4.956,02</w:t>
            </w:r>
          </w:p>
        </w:tc>
      </w:tr>
      <w:tr w:rsidR="001A38D5" w:rsidRPr="001A38D5" w14:paraId="6D30E072" w14:textId="77777777" w:rsidTr="00A20990">
        <w:trPr>
          <w:trHeight w:val="20"/>
          <w:jc w:val="center"/>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BAED4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2022</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DF7F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eastAsia="es-CO"/>
              </w:rPr>
              <w:t>Convenio interadministrativo No. 1932 del 17 de agosto de 2022</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068E8E8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eastAsia="es-CO"/>
              </w:rPr>
              <w:t>$39,60</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25FEBC0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75</w:t>
            </w:r>
          </w:p>
        </w:tc>
        <w:tc>
          <w:tcPr>
            <w:tcW w:w="4679" w:type="dxa"/>
            <w:tcBorders>
              <w:top w:val="nil"/>
              <w:left w:val="nil"/>
              <w:bottom w:val="single" w:sz="4" w:space="0" w:color="auto"/>
              <w:right w:val="single" w:sz="4" w:space="0" w:color="auto"/>
            </w:tcBorders>
            <w:shd w:val="clear" w:color="auto" w:fill="auto"/>
            <w:vAlign w:val="center"/>
            <w:hideMark/>
          </w:tcPr>
          <w:p w14:paraId="3880B429"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 RENDIMIENTOS FINANCIEROS</w:t>
            </w:r>
          </w:p>
        </w:tc>
        <w:tc>
          <w:tcPr>
            <w:tcW w:w="850" w:type="dxa"/>
            <w:tcBorders>
              <w:top w:val="nil"/>
              <w:left w:val="nil"/>
              <w:bottom w:val="single" w:sz="4" w:space="0" w:color="auto"/>
              <w:right w:val="single" w:sz="4" w:space="0" w:color="auto"/>
            </w:tcBorders>
            <w:shd w:val="clear" w:color="auto" w:fill="auto"/>
            <w:noWrap/>
            <w:vAlign w:val="center"/>
            <w:hideMark/>
          </w:tcPr>
          <w:p w14:paraId="3C8C4B4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$5,68</w:t>
            </w:r>
          </w:p>
        </w:tc>
      </w:tr>
      <w:tr w:rsidR="001A38D5" w:rsidRPr="001A38D5" w14:paraId="436A85F0"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071F66B6"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5AB3F9CE"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000000"/>
              <w:right w:val="single" w:sz="4" w:space="0" w:color="auto"/>
            </w:tcBorders>
            <w:vAlign w:val="center"/>
            <w:hideMark/>
          </w:tcPr>
          <w:p w14:paraId="45833BB0"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56959F56"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450E7C43"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EDUCACION CALIDAD SALDOS NO EJECUTADOS VIGENCIAS ANTERIORES Y REINTEGROS</w:t>
            </w:r>
          </w:p>
        </w:tc>
        <w:tc>
          <w:tcPr>
            <w:tcW w:w="850" w:type="dxa"/>
            <w:tcBorders>
              <w:top w:val="nil"/>
              <w:left w:val="nil"/>
              <w:bottom w:val="single" w:sz="4" w:space="0" w:color="auto"/>
              <w:right w:val="single" w:sz="4" w:space="0" w:color="auto"/>
            </w:tcBorders>
            <w:shd w:val="clear" w:color="auto" w:fill="auto"/>
            <w:noWrap/>
            <w:vAlign w:val="center"/>
            <w:hideMark/>
          </w:tcPr>
          <w:p w14:paraId="57C1DDE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$33,92</w:t>
            </w:r>
          </w:p>
        </w:tc>
      </w:tr>
      <w:tr w:rsidR="001A38D5" w:rsidRPr="001A38D5" w14:paraId="1B1F7AA2"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68A129AB" w14:textId="77777777" w:rsidR="00A20990" w:rsidRPr="001A38D5" w:rsidRDefault="00A20990" w:rsidP="005140E1">
            <w:pPr>
              <w:contextualSpacing/>
              <w:rPr>
                <w:rFonts w:eastAsia="Times New Roman" w:cs="Arial"/>
                <w:sz w:val="14"/>
                <w:szCs w:val="14"/>
                <w:lang w:val="es-CO" w:eastAsia="es-CO"/>
              </w:rPr>
            </w:pP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09C86B07" w14:textId="77777777" w:rsidR="00A20990" w:rsidRPr="001A38D5" w:rsidRDefault="00A20990" w:rsidP="005140E1">
            <w:pPr>
              <w:contextualSpacing/>
              <w:jc w:val="center"/>
              <w:rPr>
                <w:rFonts w:eastAsia="Times New Roman" w:cs="Arial"/>
                <w:b/>
                <w:sz w:val="14"/>
                <w:szCs w:val="14"/>
                <w:lang w:val="es-CO" w:eastAsia="es-CO"/>
              </w:rPr>
            </w:pPr>
            <w:bookmarkStart w:id="9" w:name="_Hlk146233151"/>
            <w:r w:rsidRPr="001A38D5">
              <w:rPr>
                <w:rFonts w:eastAsia="Times New Roman" w:cs="Arial"/>
                <w:b/>
                <w:sz w:val="14"/>
                <w:szCs w:val="14"/>
                <w:lang w:eastAsia="es-CO"/>
              </w:rPr>
              <w:t xml:space="preserve">Contrato de prestación de servicios No. 1719 del 25 de febrero de 2022 </w:t>
            </w:r>
            <w:bookmarkEnd w:id="9"/>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68BEA03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$5.382,05</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7415526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35</w:t>
            </w:r>
          </w:p>
        </w:tc>
        <w:tc>
          <w:tcPr>
            <w:tcW w:w="4679" w:type="dxa"/>
            <w:tcBorders>
              <w:top w:val="nil"/>
              <w:left w:val="nil"/>
              <w:bottom w:val="single" w:sz="4" w:space="0" w:color="auto"/>
              <w:right w:val="single" w:sz="4" w:space="0" w:color="auto"/>
            </w:tcBorders>
            <w:shd w:val="clear" w:color="000000" w:fill="F8CBAD"/>
            <w:vAlign w:val="center"/>
            <w:hideMark/>
          </w:tcPr>
          <w:p w14:paraId="7107B70C"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ONCE DOCEAVAS VIGENCIA ACTUAL MAS ULTIMA DOCEAVA VIGENCIA ANTERIOR</w:t>
            </w:r>
          </w:p>
        </w:tc>
        <w:tc>
          <w:tcPr>
            <w:tcW w:w="850" w:type="dxa"/>
            <w:tcBorders>
              <w:top w:val="nil"/>
              <w:left w:val="nil"/>
              <w:bottom w:val="single" w:sz="4" w:space="0" w:color="auto"/>
              <w:right w:val="single" w:sz="4" w:space="0" w:color="auto"/>
            </w:tcBorders>
            <w:shd w:val="clear" w:color="000000" w:fill="F8CBAD"/>
            <w:noWrap/>
            <w:vAlign w:val="center"/>
            <w:hideMark/>
          </w:tcPr>
          <w:p w14:paraId="50064204"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$732,24</w:t>
            </w:r>
          </w:p>
        </w:tc>
      </w:tr>
      <w:tr w:rsidR="001A38D5" w:rsidRPr="001A38D5" w14:paraId="1FA485DF"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21B050E6"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041C5C4D"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4F0DBA28"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5CAB759C"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38CBBCC9"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w:t>
            </w:r>
          </w:p>
        </w:tc>
        <w:tc>
          <w:tcPr>
            <w:tcW w:w="850" w:type="dxa"/>
            <w:tcBorders>
              <w:top w:val="nil"/>
              <w:left w:val="nil"/>
              <w:bottom w:val="single" w:sz="4" w:space="0" w:color="auto"/>
              <w:right w:val="single" w:sz="4" w:space="0" w:color="auto"/>
            </w:tcBorders>
            <w:shd w:val="clear" w:color="auto" w:fill="auto"/>
            <w:noWrap/>
            <w:vAlign w:val="center"/>
            <w:hideMark/>
          </w:tcPr>
          <w:p w14:paraId="7B16400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$4.649,81</w:t>
            </w:r>
          </w:p>
        </w:tc>
      </w:tr>
      <w:tr w:rsidR="001A38D5" w:rsidRPr="001A38D5" w14:paraId="1491C009"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05B090C2" w14:textId="77777777" w:rsidR="00A20990" w:rsidRPr="001A38D5" w:rsidRDefault="00A20990" w:rsidP="005140E1">
            <w:pPr>
              <w:contextualSpacing/>
              <w:rPr>
                <w:rFonts w:eastAsia="Times New Roman" w:cs="Arial"/>
                <w:sz w:val="14"/>
                <w:szCs w:val="14"/>
                <w:lang w:val="es-CO" w:eastAsia="es-CO"/>
              </w:rPr>
            </w:pP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1AE26A9" w14:textId="77777777" w:rsidR="00A20990" w:rsidRPr="001A38D5" w:rsidRDefault="00A20990" w:rsidP="005140E1">
            <w:pPr>
              <w:contextualSpacing/>
              <w:jc w:val="center"/>
              <w:rPr>
                <w:rFonts w:eastAsia="Times New Roman" w:cs="Arial"/>
                <w:sz w:val="14"/>
                <w:szCs w:val="14"/>
                <w:lang w:val="es-CO" w:eastAsia="es-CO"/>
              </w:rPr>
            </w:pPr>
            <w:bookmarkStart w:id="10" w:name="_Hlk146208941"/>
            <w:r w:rsidRPr="001A38D5">
              <w:rPr>
                <w:rFonts w:eastAsia="Times New Roman" w:cs="Arial"/>
                <w:sz w:val="14"/>
                <w:szCs w:val="14"/>
                <w:lang w:eastAsia="es-CO"/>
              </w:rPr>
              <w:t>Contrato de prestación de servicios y de apoyo logístico No. 1739 del 10 de mayo de 2022</w:t>
            </w:r>
            <w:bookmarkEnd w:id="10"/>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710E067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$5.289,42</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421B2B1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w:t>
            </w:r>
          </w:p>
        </w:tc>
        <w:tc>
          <w:tcPr>
            <w:tcW w:w="4679" w:type="dxa"/>
            <w:tcBorders>
              <w:top w:val="nil"/>
              <w:left w:val="nil"/>
              <w:bottom w:val="single" w:sz="4" w:space="0" w:color="auto"/>
              <w:right w:val="single" w:sz="4" w:space="0" w:color="auto"/>
            </w:tcBorders>
            <w:shd w:val="clear" w:color="auto" w:fill="auto"/>
            <w:vAlign w:val="center"/>
            <w:hideMark/>
          </w:tcPr>
          <w:p w14:paraId="27502696"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w:t>
            </w:r>
          </w:p>
        </w:tc>
        <w:tc>
          <w:tcPr>
            <w:tcW w:w="850" w:type="dxa"/>
            <w:tcBorders>
              <w:top w:val="nil"/>
              <w:left w:val="nil"/>
              <w:bottom w:val="single" w:sz="4" w:space="0" w:color="auto"/>
              <w:right w:val="single" w:sz="4" w:space="0" w:color="auto"/>
            </w:tcBorders>
            <w:shd w:val="clear" w:color="auto" w:fill="auto"/>
            <w:noWrap/>
            <w:vAlign w:val="center"/>
            <w:hideMark/>
          </w:tcPr>
          <w:p w14:paraId="48E5023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$1.844,55</w:t>
            </w:r>
          </w:p>
        </w:tc>
      </w:tr>
      <w:tr w:rsidR="001A38D5" w:rsidRPr="001A38D5" w14:paraId="01FCFC9E"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3680CF85"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06A5E847"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25CC9FCC"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361B0AD5"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467B7049"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 VIGENCIAS ANTERIORES</w:t>
            </w:r>
          </w:p>
        </w:tc>
        <w:tc>
          <w:tcPr>
            <w:tcW w:w="850" w:type="dxa"/>
            <w:tcBorders>
              <w:top w:val="nil"/>
              <w:left w:val="nil"/>
              <w:bottom w:val="single" w:sz="4" w:space="0" w:color="auto"/>
              <w:right w:val="single" w:sz="4" w:space="0" w:color="auto"/>
            </w:tcBorders>
            <w:shd w:val="clear" w:color="auto" w:fill="auto"/>
            <w:noWrap/>
            <w:vAlign w:val="center"/>
            <w:hideMark/>
          </w:tcPr>
          <w:p w14:paraId="088F715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$416,42</w:t>
            </w:r>
          </w:p>
        </w:tc>
      </w:tr>
      <w:tr w:rsidR="001A38D5" w:rsidRPr="001A38D5" w14:paraId="14D6E6D4"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6173E83A"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36A0E711"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55CD5A88"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216E7B3"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03C3A522"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INGRESOS CORRIENTES DE LIBRE DESTINACION EXCEPTO EL 42% DE LIBRE DESTINACIÓN DE PROPOSITO GENERAL DE MPIOS DE CATEGORIA 4, 5 Y 6 </w:t>
            </w:r>
          </w:p>
        </w:tc>
        <w:tc>
          <w:tcPr>
            <w:tcW w:w="850" w:type="dxa"/>
            <w:tcBorders>
              <w:top w:val="nil"/>
              <w:left w:val="nil"/>
              <w:bottom w:val="single" w:sz="4" w:space="0" w:color="auto"/>
              <w:right w:val="single" w:sz="4" w:space="0" w:color="auto"/>
            </w:tcBorders>
            <w:shd w:val="clear" w:color="auto" w:fill="auto"/>
            <w:noWrap/>
            <w:vAlign w:val="center"/>
            <w:hideMark/>
          </w:tcPr>
          <w:p w14:paraId="03A2BA6F"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$1.554,00</w:t>
            </w:r>
          </w:p>
        </w:tc>
      </w:tr>
      <w:tr w:rsidR="001A38D5" w:rsidRPr="001A38D5" w14:paraId="4CCDAC39"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136216D4"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35128541"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228ED7F8"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5D001843"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67AFB401"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EDUCACION CALIDAD SALDOS NO EJECUTADOS VIGENCIAS ANTERIORES Y REINTEGROS</w:t>
            </w:r>
          </w:p>
        </w:tc>
        <w:tc>
          <w:tcPr>
            <w:tcW w:w="850" w:type="dxa"/>
            <w:tcBorders>
              <w:top w:val="nil"/>
              <w:left w:val="nil"/>
              <w:bottom w:val="single" w:sz="4" w:space="0" w:color="auto"/>
              <w:right w:val="single" w:sz="4" w:space="0" w:color="auto"/>
            </w:tcBorders>
            <w:shd w:val="clear" w:color="auto" w:fill="auto"/>
            <w:noWrap/>
            <w:vAlign w:val="center"/>
            <w:hideMark/>
          </w:tcPr>
          <w:p w14:paraId="5A997941"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$1.041,60</w:t>
            </w:r>
          </w:p>
        </w:tc>
      </w:tr>
      <w:tr w:rsidR="001A38D5" w:rsidRPr="001A38D5" w14:paraId="351AE651"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0954D8FB"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1714D999"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15EC6FD7"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2A8B59DB"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3F02FCBA"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PRESTACION DEL SERVICIO EDUCATIVO SALDOS NO EJECUTADOS VIGENCIAS ANTERIORES Y REINTEGROS</w:t>
            </w:r>
          </w:p>
        </w:tc>
        <w:tc>
          <w:tcPr>
            <w:tcW w:w="850" w:type="dxa"/>
            <w:tcBorders>
              <w:top w:val="nil"/>
              <w:left w:val="nil"/>
              <w:bottom w:val="single" w:sz="4" w:space="0" w:color="auto"/>
              <w:right w:val="single" w:sz="4" w:space="0" w:color="auto"/>
            </w:tcBorders>
            <w:shd w:val="clear" w:color="auto" w:fill="auto"/>
            <w:noWrap/>
            <w:vAlign w:val="center"/>
            <w:hideMark/>
          </w:tcPr>
          <w:p w14:paraId="70A6411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$432,85</w:t>
            </w:r>
          </w:p>
        </w:tc>
      </w:tr>
      <w:tr w:rsidR="001A38D5" w:rsidRPr="001A38D5" w14:paraId="64A1F32F"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640293A8" w14:textId="77777777" w:rsidR="00A20990" w:rsidRPr="001A38D5" w:rsidRDefault="00A20990" w:rsidP="005140E1">
            <w:pPr>
              <w:contextualSpacing/>
              <w:rPr>
                <w:rFonts w:eastAsia="Times New Roman" w:cs="Arial"/>
                <w:sz w:val="14"/>
                <w:szCs w:val="14"/>
                <w:lang w:val="es-CO" w:eastAsia="es-CO"/>
              </w:rPr>
            </w:pP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51E772E4" w14:textId="77777777" w:rsidR="00A20990" w:rsidRPr="001A38D5" w:rsidRDefault="00A20990" w:rsidP="005140E1">
            <w:pPr>
              <w:contextualSpacing/>
              <w:jc w:val="center"/>
              <w:rPr>
                <w:rFonts w:eastAsia="Times New Roman" w:cs="Arial"/>
                <w:b/>
                <w:sz w:val="14"/>
                <w:szCs w:val="14"/>
                <w:lang w:val="es-CO" w:eastAsia="es-CO"/>
              </w:rPr>
            </w:pPr>
            <w:bookmarkStart w:id="11" w:name="_Hlk146208968"/>
            <w:r w:rsidRPr="001A38D5">
              <w:rPr>
                <w:rFonts w:eastAsia="Times New Roman" w:cs="Arial"/>
                <w:b/>
                <w:sz w:val="14"/>
                <w:szCs w:val="14"/>
                <w:lang w:eastAsia="es-CO"/>
              </w:rPr>
              <w:t>Contrato de prestación de servicios No. 1825 del 21 de julio de 2022</w:t>
            </w:r>
            <w:bookmarkEnd w:id="11"/>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372F6D0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$7.373,89</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31762AA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19</w:t>
            </w:r>
          </w:p>
        </w:tc>
        <w:tc>
          <w:tcPr>
            <w:tcW w:w="4679" w:type="dxa"/>
            <w:tcBorders>
              <w:top w:val="nil"/>
              <w:left w:val="nil"/>
              <w:bottom w:val="single" w:sz="4" w:space="0" w:color="auto"/>
              <w:right w:val="single" w:sz="4" w:space="0" w:color="auto"/>
            </w:tcBorders>
            <w:shd w:val="clear" w:color="000000" w:fill="F8CBAD"/>
            <w:vAlign w:val="center"/>
            <w:hideMark/>
          </w:tcPr>
          <w:p w14:paraId="1D4E968B"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ONCE DOCEAVAS VIGENCIA ACTUAL MAS ULTIMA DOCEAVA VIGENCIA ANTERIOR</w:t>
            </w:r>
          </w:p>
        </w:tc>
        <w:tc>
          <w:tcPr>
            <w:tcW w:w="850" w:type="dxa"/>
            <w:tcBorders>
              <w:top w:val="nil"/>
              <w:left w:val="nil"/>
              <w:bottom w:val="single" w:sz="4" w:space="0" w:color="auto"/>
              <w:right w:val="single" w:sz="4" w:space="0" w:color="auto"/>
            </w:tcBorders>
            <w:shd w:val="clear" w:color="000000" w:fill="F8CBAD"/>
            <w:noWrap/>
            <w:vAlign w:val="center"/>
            <w:hideMark/>
          </w:tcPr>
          <w:p w14:paraId="6AF2187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$359,24</w:t>
            </w:r>
          </w:p>
        </w:tc>
      </w:tr>
      <w:tr w:rsidR="001A38D5" w:rsidRPr="001A38D5" w14:paraId="1C92163E"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33FB3D73"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4871236B"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37689404"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203369E"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000000" w:fill="F8CBAD"/>
            <w:vAlign w:val="center"/>
            <w:hideMark/>
          </w:tcPr>
          <w:p w14:paraId="10532B16"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ALIMENTACION ESCOLAR RENDIMIENTOS FINANCIEROS</w:t>
            </w:r>
          </w:p>
        </w:tc>
        <w:tc>
          <w:tcPr>
            <w:tcW w:w="850" w:type="dxa"/>
            <w:tcBorders>
              <w:top w:val="nil"/>
              <w:left w:val="nil"/>
              <w:bottom w:val="single" w:sz="4" w:space="0" w:color="auto"/>
              <w:right w:val="single" w:sz="4" w:space="0" w:color="auto"/>
            </w:tcBorders>
            <w:shd w:val="clear" w:color="000000" w:fill="F8CBAD"/>
            <w:noWrap/>
            <w:vAlign w:val="center"/>
            <w:hideMark/>
          </w:tcPr>
          <w:p w14:paraId="61A89CB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$13,71</w:t>
            </w:r>
          </w:p>
        </w:tc>
      </w:tr>
      <w:tr w:rsidR="001A38D5" w:rsidRPr="001A38D5" w14:paraId="0E2B088C"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2B6C0D9C"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6B52DF47"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654C9D2D"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736C740"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1B86BE6A"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w:t>
            </w:r>
          </w:p>
        </w:tc>
        <w:tc>
          <w:tcPr>
            <w:tcW w:w="850" w:type="dxa"/>
            <w:tcBorders>
              <w:top w:val="nil"/>
              <w:left w:val="nil"/>
              <w:bottom w:val="single" w:sz="4" w:space="0" w:color="auto"/>
              <w:right w:val="single" w:sz="4" w:space="0" w:color="auto"/>
            </w:tcBorders>
            <w:shd w:val="clear" w:color="auto" w:fill="auto"/>
            <w:noWrap/>
            <w:vAlign w:val="center"/>
            <w:hideMark/>
          </w:tcPr>
          <w:p w14:paraId="1B43AC05"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$3.047,28</w:t>
            </w:r>
          </w:p>
        </w:tc>
      </w:tr>
      <w:tr w:rsidR="001A38D5" w:rsidRPr="001A38D5" w14:paraId="3B7096A5"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23F39656"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52DB32EA"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3E3D1466"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8445B48"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016EA4EA"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TRANSFERENCIAS PARA ALIMENTACION ESCOLAR LEY 1450 DE 2011. MEN RENDIMIENTOS FINANCIEROS</w:t>
            </w:r>
          </w:p>
        </w:tc>
        <w:tc>
          <w:tcPr>
            <w:tcW w:w="850" w:type="dxa"/>
            <w:tcBorders>
              <w:top w:val="nil"/>
              <w:left w:val="nil"/>
              <w:bottom w:val="single" w:sz="4" w:space="0" w:color="auto"/>
              <w:right w:val="single" w:sz="4" w:space="0" w:color="auto"/>
            </w:tcBorders>
            <w:shd w:val="clear" w:color="auto" w:fill="auto"/>
            <w:noWrap/>
            <w:vAlign w:val="center"/>
            <w:hideMark/>
          </w:tcPr>
          <w:p w14:paraId="0CB94AA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$82,67</w:t>
            </w:r>
          </w:p>
        </w:tc>
      </w:tr>
      <w:tr w:rsidR="001A38D5" w:rsidRPr="001A38D5" w14:paraId="25FC1011"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695017F6"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40B41C9F"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58BADAF3"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136E784B"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10098AD3"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INGRESOS CORRIENTES DE LIBRE DESTINACION EXCEPTO EL 42% DE LIBRE DESTINACIÓN DE PROPOSITO GENERAL DE MPIOS DE CATEGORIA 4, 5 Y 6 </w:t>
            </w:r>
          </w:p>
        </w:tc>
        <w:tc>
          <w:tcPr>
            <w:tcW w:w="850" w:type="dxa"/>
            <w:tcBorders>
              <w:top w:val="nil"/>
              <w:left w:val="nil"/>
              <w:bottom w:val="single" w:sz="4" w:space="0" w:color="auto"/>
              <w:right w:val="single" w:sz="4" w:space="0" w:color="auto"/>
            </w:tcBorders>
            <w:shd w:val="clear" w:color="auto" w:fill="auto"/>
            <w:noWrap/>
            <w:vAlign w:val="center"/>
            <w:hideMark/>
          </w:tcPr>
          <w:p w14:paraId="591F6F42"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$2.207,96</w:t>
            </w:r>
          </w:p>
        </w:tc>
      </w:tr>
      <w:tr w:rsidR="001A38D5" w:rsidRPr="001A38D5" w14:paraId="33B14C52"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520134E4"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1356EB11"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0884B5A9"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6639B6A2"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4F20656E"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EDUCACION CALIDAD SALDOS NO EJECUTADOS VIGENCIAS ANTERIORES Y REINTEGROS</w:t>
            </w:r>
          </w:p>
        </w:tc>
        <w:tc>
          <w:tcPr>
            <w:tcW w:w="850" w:type="dxa"/>
            <w:tcBorders>
              <w:top w:val="nil"/>
              <w:left w:val="nil"/>
              <w:bottom w:val="single" w:sz="4" w:space="0" w:color="auto"/>
              <w:right w:val="single" w:sz="4" w:space="0" w:color="auto"/>
            </w:tcBorders>
            <w:shd w:val="clear" w:color="auto" w:fill="auto"/>
            <w:noWrap/>
            <w:vAlign w:val="center"/>
            <w:hideMark/>
          </w:tcPr>
          <w:p w14:paraId="28DFFB1D"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$500,00</w:t>
            </w:r>
          </w:p>
        </w:tc>
      </w:tr>
      <w:tr w:rsidR="001A38D5" w:rsidRPr="001A38D5" w14:paraId="0054FAE5"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33C9B5E3"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5C53A5F9"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10131980"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47C60763"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13162A2C"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SPG EDUCACION CALIDAD DOCE DOCEAVAS VIGENCIA ACTUAL</w:t>
            </w:r>
          </w:p>
        </w:tc>
        <w:tc>
          <w:tcPr>
            <w:tcW w:w="850" w:type="dxa"/>
            <w:tcBorders>
              <w:top w:val="nil"/>
              <w:left w:val="nil"/>
              <w:bottom w:val="single" w:sz="4" w:space="0" w:color="auto"/>
              <w:right w:val="single" w:sz="4" w:space="0" w:color="auto"/>
            </w:tcBorders>
            <w:shd w:val="clear" w:color="auto" w:fill="auto"/>
            <w:noWrap/>
            <w:vAlign w:val="center"/>
            <w:hideMark/>
          </w:tcPr>
          <w:p w14:paraId="545C9F38"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$650,00</w:t>
            </w:r>
          </w:p>
        </w:tc>
      </w:tr>
      <w:tr w:rsidR="001A38D5" w:rsidRPr="001A38D5" w14:paraId="12439092"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5729C49C"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78686EF5"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5975B6DF"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13F56B3F"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49200862"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CONFINANCIACION ALIMENTACIÓN ESCOLAR ARTICULO 145 LEY 1530 DE 2012 - CONPES 151 DE 2012 RENDIMIENTOS FINANCIEROS</w:t>
            </w:r>
          </w:p>
        </w:tc>
        <w:tc>
          <w:tcPr>
            <w:tcW w:w="850" w:type="dxa"/>
            <w:tcBorders>
              <w:top w:val="nil"/>
              <w:left w:val="nil"/>
              <w:bottom w:val="single" w:sz="4" w:space="0" w:color="auto"/>
              <w:right w:val="single" w:sz="4" w:space="0" w:color="auto"/>
            </w:tcBorders>
            <w:shd w:val="clear" w:color="auto" w:fill="auto"/>
            <w:noWrap/>
            <w:vAlign w:val="center"/>
            <w:hideMark/>
          </w:tcPr>
          <w:p w14:paraId="6CEE6FCA"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$13,02</w:t>
            </w:r>
          </w:p>
        </w:tc>
      </w:tr>
      <w:tr w:rsidR="001A38D5" w:rsidRPr="001A38D5" w14:paraId="2704B517"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450DF200"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4309D659"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6B70E0D5"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646E36AD"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733468E1"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PROPOSITO GENERAL LIBRE INVERSION</w:t>
            </w:r>
          </w:p>
        </w:tc>
        <w:tc>
          <w:tcPr>
            <w:tcW w:w="850" w:type="dxa"/>
            <w:tcBorders>
              <w:top w:val="nil"/>
              <w:left w:val="nil"/>
              <w:bottom w:val="single" w:sz="4" w:space="0" w:color="auto"/>
              <w:right w:val="single" w:sz="4" w:space="0" w:color="auto"/>
            </w:tcBorders>
            <w:shd w:val="clear" w:color="auto" w:fill="auto"/>
            <w:noWrap/>
            <w:vAlign w:val="center"/>
            <w:hideMark/>
          </w:tcPr>
          <w:p w14:paraId="3CA87E5E"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$500,00</w:t>
            </w:r>
          </w:p>
        </w:tc>
      </w:tr>
      <w:tr w:rsidR="001A38D5" w:rsidRPr="001A38D5" w14:paraId="3BB0559C"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7AA3FE21" w14:textId="77777777" w:rsidR="00A20990" w:rsidRPr="001A38D5" w:rsidRDefault="00A20990" w:rsidP="005140E1">
            <w:pPr>
              <w:contextualSpacing/>
              <w:rPr>
                <w:rFonts w:eastAsia="Times New Roman" w:cs="Arial"/>
                <w:sz w:val="14"/>
                <w:szCs w:val="14"/>
                <w:lang w:val="es-CO" w:eastAsia="es-CO"/>
              </w:rPr>
            </w:pPr>
            <w:bookmarkStart w:id="12" w:name="_Hlk146208988"/>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005942D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eastAsia="es-CO"/>
              </w:rPr>
              <w:t>Contrato de prestación de servicios No. 3122 del 16 de septiembre de 2022</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7B65AF2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$4.538,58</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06FE74B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w:t>
            </w:r>
          </w:p>
        </w:tc>
        <w:tc>
          <w:tcPr>
            <w:tcW w:w="4679" w:type="dxa"/>
            <w:tcBorders>
              <w:top w:val="nil"/>
              <w:left w:val="nil"/>
              <w:bottom w:val="single" w:sz="4" w:space="0" w:color="auto"/>
              <w:right w:val="single" w:sz="4" w:space="0" w:color="auto"/>
            </w:tcBorders>
            <w:shd w:val="clear" w:color="auto" w:fill="auto"/>
            <w:vAlign w:val="center"/>
            <w:hideMark/>
          </w:tcPr>
          <w:p w14:paraId="6ACF91A0"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SGP PRESTACION DEL SERVICIO EDUCATIVO SALDOS NO EJECUTADOS VIGENCIAS ANTERIORES Y REINTEGROS</w:t>
            </w:r>
          </w:p>
        </w:tc>
        <w:tc>
          <w:tcPr>
            <w:tcW w:w="850" w:type="dxa"/>
            <w:tcBorders>
              <w:top w:val="nil"/>
              <w:left w:val="nil"/>
              <w:bottom w:val="single" w:sz="4" w:space="0" w:color="auto"/>
              <w:right w:val="single" w:sz="4" w:space="0" w:color="auto"/>
            </w:tcBorders>
            <w:shd w:val="clear" w:color="auto" w:fill="auto"/>
            <w:noWrap/>
            <w:vAlign w:val="center"/>
            <w:hideMark/>
          </w:tcPr>
          <w:p w14:paraId="38129379"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$37.821,47</w:t>
            </w:r>
          </w:p>
        </w:tc>
      </w:tr>
      <w:bookmarkEnd w:id="12"/>
      <w:tr w:rsidR="001A38D5" w:rsidRPr="001A38D5" w14:paraId="2BBF310B"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76D1148A" w14:textId="77777777" w:rsidR="00A20990" w:rsidRPr="001A38D5" w:rsidRDefault="00A20990" w:rsidP="005140E1">
            <w:pPr>
              <w:contextualSpacing/>
              <w:rPr>
                <w:rFonts w:eastAsia="Times New Roman" w:cs="Arial"/>
                <w:sz w:val="14"/>
                <w:szCs w:val="14"/>
                <w:lang w:val="es-CO" w:eastAsia="es-CO"/>
              </w:rPr>
            </w:pPr>
          </w:p>
        </w:tc>
        <w:tc>
          <w:tcPr>
            <w:tcW w:w="1580" w:type="dxa"/>
            <w:vMerge/>
            <w:tcBorders>
              <w:top w:val="nil"/>
              <w:left w:val="single" w:sz="4" w:space="0" w:color="auto"/>
              <w:bottom w:val="single" w:sz="4" w:space="0" w:color="auto"/>
              <w:right w:val="single" w:sz="4" w:space="0" w:color="auto"/>
            </w:tcBorders>
            <w:vAlign w:val="center"/>
            <w:hideMark/>
          </w:tcPr>
          <w:p w14:paraId="4E0DEE4A" w14:textId="77777777" w:rsidR="00A20990" w:rsidRPr="001A38D5" w:rsidRDefault="00A20990" w:rsidP="005140E1">
            <w:pPr>
              <w:contextualSpacing/>
              <w:rPr>
                <w:rFonts w:eastAsia="Times New Roman" w:cs="Arial"/>
                <w:sz w:val="14"/>
                <w:szCs w:val="14"/>
                <w:lang w:val="es-CO" w:eastAsia="es-CO"/>
              </w:rPr>
            </w:pPr>
          </w:p>
        </w:tc>
        <w:tc>
          <w:tcPr>
            <w:tcW w:w="871" w:type="dxa"/>
            <w:vMerge/>
            <w:tcBorders>
              <w:top w:val="nil"/>
              <w:left w:val="single" w:sz="4" w:space="0" w:color="auto"/>
              <w:bottom w:val="single" w:sz="4" w:space="0" w:color="auto"/>
              <w:right w:val="single" w:sz="4" w:space="0" w:color="auto"/>
            </w:tcBorders>
            <w:vAlign w:val="center"/>
            <w:hideMark/>
          </w:tcPr>
          <w:p w14:paraId="077B65FA" w14:textId="77777777" w:rsidR="00A20990" w:rsidRPr="001A38D5" w:rsidRDefault="00A20990" w:rsidP="005140E1">
            <w:pPr>
              <w:contextualSpacing/>
              <w:rPr>
                <w:rFonts w:eastAsia="Times New Roman" w:cs="Arial"/>
                <w:sz w:val="14"/>
                <w:szCs w:val="14"/>
                <w:lang w:val="es-CO" w:eastAsia="es-CO"/>
              </w:rPr>
            </w:pPr>
          </w:p>
        </w:tc>
        <w:tc>
          <w:tcPr>
            <w:tcW w:w="1074" w:type="dxa"/>
            <w:vMerge/>
            <w:tcBorders>
              <w:top w:val="nil"/>
              <w:left w:val="single" w:sz="4" w:space="0" w:color="auto"/>
              <w:bottom w:val="single" w:sz="4" w:space="0" w:color="auto"/>
              <w:right w:val="single" w:sz="4" w:space="0" w:color="auto"/>
            </w:tcBorders>
            <w:vAlign w:val="center"/>
            <w:hideMark/>
          </w:tcPr>
          <w:p w14:paraId="2403DA2D" w14:textId="77777777" w:rsidR="00A20990" w:rsidRPr="001A38D5" w:rsidRDefault="00A20990" w:rsidP="005140E1">
            <w:pPr>
              <w:contextualSpacing/>
              <w:rPr>
                <w:rFonts w:eastAsia="Times New Roman" w:cs="Arial"/>
                <w:sz w:val="14"/>
                <w:szCs w:val="14"/>
                <w:lang w:val="es-CO" w:eastAsia="es-CO"/>
              </w:rPr>
            </w:pPr>
          </w:p>
        </w:tc>
        <w:tc>
          <w:tcPr>
            <w:tcW w:w="4679" w:type="dxa"/>
            <w:tcBorders>
              <w:top w:val="nil"/>
              <w:left w:val="nil"/>
              <w:bottom w:val="single" w:sz="4" w:space="0" w:color="auto"/>
              <w:right w:val="single" w:sz="4" w:space="0" w:color="auto"/>
            </w:tcBorders>
            <w:shd w:val="clear" w:color="auto" w:fill="auto"/>
            <w:vAlign w:val="center"/>
            <w:hideMark/>
          </w:tcPr>
          <w:p w14:paraId="42D5A639"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SISTEMA GENERAL DE REGALÍAS </w:t>
            </w:r>
          </w:p>
        </w:tc>
        <w:tc>
          <w:tcPr>
            <w:tcW w:w="850" w:type="dxa"/>
            <w:tcBorders>
              <w:top w:val="nil"/>
              <w:left w:val="nil"/>
              <w:bottom w:val="single" w:sz="4" w:space="0" w:color="auto"/>
              <w:right w:val="single" w:sz="4" w:space="0" w:color="auto"/>
            </w:tcBorders>
            <w:shd w:val="clear" w:color="auto" w:fill="auto"/>
            <w:noWrap/>
            <w:vAlign w:val="center"/>
            <w:hideMark/>
          </w:tcPr>
          <w:p w14:paraId="1956A330"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$756,43</w:t>
            </w:r>
          </w:p>
        </w:tc>
      </w:tr>
      <w:tr w:rsidR="001A38D5" w:rsidRPr="001A38D5" w14:paraId="087F29EC" w14:textId="77777777" w:rsidTr="00A20990">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14:paraId="60C94D35" w14:textId="77777777" w:rsidR="00A20990" w:rsidRPr="001A38D5" w:rsidRDefault="00A20990" w:rsidP="005140E1">
            <w:pPr>
              <w:contextualSpacing/>
              <w:rPr>
                <w:rFonts w:eastAsia="Times New Roman" w:cs="Arial"/>
                <w:sz w:val="14"/>
                <w:szCs w:val="14"/>
                <w:lang w:val="es-CO" w:eastAsia="es-CO"/>
              </w:rPr>
            </w:pPr>
          </w:p>
        </w:tc>
        <w:tc>
          <w:tcPr>
            <w:tcW w:w="1580" w:type="dxa"/>
            <w:tcBorders>
              <w:top w:val="nil"/>
              <w:left w:val="nil"/>
              <w:bottom w:val="single" w:sz="4" w:space="0" w:color="auto"/>
              <w:right w:val="single" w:sz="4" w:space="0" w:color="auto"/>
            </w:tcBorders>
            <w:shd w:val="clear" w:color="auto" w:fill="auto"/>
            <w:vAlign w:val="center"/>
            <w:hideMark/>
          </w:tcPr>
          <w:p w14:paraId="25A3DEC5" w14:textId="77777777" w:rsidR="00A20990" w:rsidRPr="001A38D5" w:rsidRDefault="00A20990" w:rsidP="005140E1">
            <w:pPr>
              <w:contextualSpacing/>
              <w:jc w:val="center"/>
              <w:rPr>
                <w:rFonts w:eastAsia="Times New Roman" w:cs="Arial"/>
                <w:sz w:val="14"/>
                <w:szCs w:val="14"/>
                <w:lang w:val="es-CO" w:eastAsia="es-CO"/>
              </w:rPr>
            </w:pPr>
            <w:bookmarkStart w:id="13" w:name="_Hlk146209019"/>
            <w:r w:rsidRPr="001A38D5">
              <w:rPr>
                <w:rFonts w:eastAsia="Times New Roman" w:cs="Arial"/>
                <w:sz w:val="14"/>
                <w:szCs w:val="14"/>
                <w:lang w:eastAsia="es-CO"/>
              </w:rPr>
              <w:t>Contrato de prestación de servicios No. 3369 del 2 de noviembre de 2022</w:t>
            </w:r>
            <w:bookmarkEnd w:id="13"/>
          </w:p>
        </w:tc>
        <w:tc>
          <w:tcPr>
            <w:tcW w:w="871" w:type="dxa"/>
            <w:tcBorders>
              <w:top w:val="nil"/>
              <w:left w:val="nil"/>
              <w:bottom w:val="single" w:sz="4" w:space="0" w:color="auto"/>
              <w:right w:val="single" w:sz="4" w:space="0" w:color="auto"/>
            </w:tcBorders>
            <w:shd w:val="clear" w:color="auto" w:fill="auto"/>
            <w:vAlign w:val="center"/>
            <w:hideMark/>
          </w:tcPr>
          <w:p w14:paraId="1AA5F05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$2.836,61</w:t>
            </w:r>
          </w:p>
        </w:tc>
        <w:tc>
          <w:tcPr>
            <w:tcW w:w="1074" w:type="dxa"/>
            <w:tcBorders>
              <w:top w:val="nil"/>
              <w:left w:val="nil"/>
              <w:bottom w:val="single" w:sz="4" w:space="0" w:color="auto"/>
              <w:right w:val="single" w:sz="4" w:space="0" w:color="auto"/>
            </w:tcBorders>
            <w:shd w:val="clear" w:color="auto" w:fill="auto"/>
            <w:vAlign w:val="center"/>
            <w:hideMark/>
          </w:tcPr>
          <w:p w14:paraId="6B027CC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17</w:t>
            </w:r>
          </w:p>
        </w:tc>
        <w:tc>
          <w:tcPr>
            <w:tcW w:w="4679" w:type="dxa"/>
            <w:tcBorders>
              <w:top w:val="nil"/>
              <w:left w:val="nil"/>
              <w:bottom w:val="single" w:sz="4" w:space="0" w:color="auto"/>
              <w:right w:val="single" w:sz="4" w:space="0" w:color="auto"/>
            </w:tcBorders>
            <w:shd w:val="clear" w:color="auto" w:fill="auto"/>
            <w:vAlign w:val="center"/>
            <w:hideMark/>
          </w:tcPr>
          <w:p w14:paraId="597A5841" w14:textId="77777777" w:rsidR="00A20990" w:rsidRPr="001A38D5" w:rsidRDefault="00A20990" w:rsidP="005140E1">
            <w:pPr>
              <w:contextualSpacing/>
              <w:rPr>
                <w:rFonts w:eastAsia="Times New Roman" w:cs="Arial"/>
                <w:sz w:val="12"/>
                <w:szCs w:val="14"/>
                <w:lang w:val="es-CO" w:eastAsia="es-CO"/>
              </w:rPr>
            </w:pPr>
            <w:r w:rsidRPr="001A38D5">
              <w:rPr>
                <w:rFonts w:eastAsia="Times New Roman" w:cs="Arial"/>
                <w:sz w:val="12"/>
                <w:szCs w:val="14"/>
                <w:lang w:val="es-CO" w:eastAsia="es-CO"/>
              </w:rPr>
              <w:t xml:space="preserve">SISTEMA GENERAL DE REGALÍAS </w:t>
            </w:r>
          </w:p>
        </w:tc>
        <w:tc>
          <w:tcPr>
            <w:tcW w:w="850" w:type="dxa"/>
            <w:tcBorders>
              <w:top w:val="nil"/>
              <w:left w:val="nil"/>
              <w:bottom w:val="single" w:sz="4" w:space="0" w:color="auto"/>
              <w:right w:val="single" w:sz="4" w:space="0" w:color="auto"/>
            </w:tcBorders>
            <w:shd w:val="clear" w:color="auto" w:fill="auto"/>
            <w:noWrap/>
            <w:vAlign w:val="center"/>
            <w:hideMark/>
          </w:tcPr>
          <w:p w14:paraId="45988DA7" w14:textId="77777777" w:rsidR="00A20990" w:rsidRPr="001A38D5" w:rsidRDefault="00A20990" w:rsidP="005140E1">
            <w:pPr>
              <w:contextualSpacing/>
              <w:jc w:val="right"/>
              <w:rPr>
                <w:rFonts w:eastAsia="Times New Roman" w:cs="Arial"/>
                <w:sz w:val="14"/>
                <w:szCs w:val="14"/>
                <w:lang w:val="es-CO" w:eastAsia="es-CO"/>
              </w:rPr>
            </w:pPr>
            <w:r w:rsidRPr="001A38D5">
              <w:rPr>
                <w:rFonts w:eastAsia="Times New Roman" w:cs="Arial"/>
                <w:sz w:val="14"/>
                <w:szCs w:val="14"/>
                <w:lang w:val="es-CO" w:eastAsia="es-CO"/>
              </w:rPr>
              <w:t>$2.836,61</w:t>
            </w:r>
          </w:p>
        </w:tc>
      </w:tr>
    </w:tbl>
    <w:p w14:paraId="1177E594" w14:textId="77777777" w:rsidR="00A20990" w:rsidRPr="001A38D5" w:rsidRDefault="00A20990" w:rsidP="005140E1">
      <w:pPr>
        <w:contextualSpacing/>
        <w:jc w:val="center"/>
        <w:textAlignment w:val="baseline"/>
        <w:rPr>
          <w:rFonts w:cs="Arial"/>
          <w:sz w:val="16"/>
        </w:rPr>
      </w:pPr>
      <w:r w:rsidRPr="001A38D5">
        <w:rPr>
          <w:rFonts w:cs="Arial"/>
          <w:sz w:val="16"/>
        </w:rPr>
        <w:t>Fuente: Elaboración DAF con base en el reporte de la Categoría MEN-PAE del Sistema Consolidador - CHIP, el Sistema Electrónico de Contratación Pública – SECOP e Información de la Entidad Territorial.</w:t>
      </w:r>
    </w:p>
    <w:p w14:paraId="3FAF2400" w14:textId="77777777" w:rsidR="00A20990" w:rsidRPr="001A38D5" w:rsidRDefault="00A20990" w:rsidP="005140E1">
      <w:pPr>
        <w:contextualSpacing/>
        <w:jc w:val="both"/>
        <w:rPr>
          <w:rFonts w:cs="Arial"/>
          <w:lang w:val="es-CO"/>
        </w:rPr>
      </w:pPr>
    </w:p>
    <w:p w14:paraId="3D04E78C" w14:textId="77777777" w:rsidR="00A20990" w:rsidRPr="001A38D5" w:rsidRDefault="00A20990" w:rsidP="005140E1">
      <w:pPr>
        <w:contextualSpacing/>
        <w:jc w:val="both"/>
        <w:rPr>
          <w:rFonts w:cs="Arial"/>
          <w:lang w:val="es-CO"/>
        </w:rPr>
      </w:pPr>
      <w:r w:rsidRPr="001A38D5">
        <w:rPr>
          <w:rFonts w:cs="Arial"/>
          <w:lang w:val="es-CO"/>
        </w:rPr>
        <w:t xml:space="preserve">En la siguiente tabla se muestra el estado de la publicación de los documentos en los </w:t>
      </w:r>
      <w:r w:rsidRPr="001A38D5">
        <w:rPr>
          <w:rFonts w:cs="Arial"/>
          <w:lang w:val="es-CO"/>
        </w:rPr>
        <w:lastRenderedPageBreak/>
        <w:t>procesos precontractual, contractual y poscontractual para cada uno de los contratos relacionados con el Programa de Alimentación Escolar del Municipio entre 2019 y 2022.</w:t>
      </w:r>
    </w:p>
    <w:p w14:paraId="0033ADA5" w14:textId="77777777" w:rsidR="00A20990" w:rsidRPr="001A38D5" w:rsidRDefault="00A20990" w:rsidP="005140E1">
      <w:pPr>
        <w:contextualSpacing/>
        <w:jc w:val="both"/>
        <w:rPr>
          <w:rFonts w:cs="Arial"/>
          <w:lang w:val="es-CO"/>
        </w:rPr>
      </w:pPr>
    </w:p>
    <w:p w14:paraId="599946DE"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11</w:t>
      </w:r>
      <w:r w:rsidRPr="007A412F">
        <w:rPr>
          <w:rFonts w:ascii="Verdana" w:hAnsi="Verdana"/>
          <w:color w:val="auto"/>
          <w:sz w:val="20"/>
          <w:szCs w:val="20"/>
        </w:rPr>
        <w:fldChar w:fldCharType="end"/>
      </w:r>
      <w:r w:rsidRPr="007A412F">
        <w:rPr>
          <w:rFonts w:ascii="Verdana" w:hAnsi="Verdana"/>
          <w:color w:val="auto"/>
          <w:sz w:val="20"/>
          <w:szCs w:val="20"/>
        </w:rPr>
        <w:t xml:space="preserve"> Documentos de los Procesos Contractuales publicados en el Sistema Electrónico de Contratación Pública del Municipio de Villavicencio para las vigencias 2019-2022.</w:t>
      </w:r>
    </w:p>
    <w:tbl>
      <w:tblPr>
        <w:tblW w:w="5938" w:type="pct"/>
        <w:jc w:val="center"/>
        <w:tblLayout w:type="fixed"/>
        <w:tblCellMar>
          <w:left w:w="70" w:type="dxa"/>
          <w:right w:w="70" w:type="dxa"/>
        </w:tblCellMar>
        <w:tblLook w:val="04A0" w:firstRow="1" w:lastRow="0" w:firstColumn="1" w:lastColumn="0" w:noHBand="0" w:noVBand="1"/>
      </w:tblPr>
      <w:tblGrid>
        <w:gridCol w:w="1222"/>
        <w:gridCol w:w="651"/>
        <w:gridCol w:w="704"/>
        <w:gridCol w:w="620"/>
        <w:gridCol w:w="652"/>
        <w:gridCol w:w="683"/>
        <w:gridCol w:w="625"/>
        <w:gridCol w:w="652"/>
        <w:gridCol w:w="652"/>
        <w:gridCol w:w="779"/>
        <w:gridCol w:w="627"/>
        <w:gridCol w:w="627"/>
        <w:gridCol w:w="629"/>
        <w:gridCol w:w="627"/>
        <w:gridCol w:w="627"/>
        <w:gridCol w:w="779"/>
      </w:tblGrid>
      <w:tr w:rsidR="001A38D5" w:rsidRPr="001A38D5" w14:paraId="29B9C057" w14:textId="77777777" w:rsidTr="001029CF">
        <w:trPr>
          <w:trHeight w:val="20"/>
          <w:tblHeader/>
          <w:jc w:val="center"/>
        </w:trPr>
        <w:tc>
          <w:tcPr>
            <w:tcW w:w="548"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84087C4"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eastAsia="es-CO"/>
              </w:rPr>
              <w:t>Vigencia</w:t>
            </w:r>
          </w:p>
        </w:tc>
        <w:tc>
          <w:tcPr>
            <w:tcW w:w="608" w:type="pct"/>
            <w:gridSpan w:val="2"/>
            <w:tcBorders>
              <w:top w:val="single" w:sz="4" w:space="0" w:color="auto"/>
              <w:left w:val="nil"/>
              <w:bottom w:val="single" w:sz="4" w:space="0" w:color="auto"/>
              <w:right w:val="single" w:sz="4" w:space="0" w:color="000000"/>
            </w:tcBorders>
            <w:shd w:val="clear" w:color="auto" w:fill="FFC000"/>
            <w:vAlign w:val="center"/>
            <w:hideMark/>
          </w:tcPr>
          <w:p w14:paraId="0EA55F9E"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eastAsia="es-CO"/>
              </w:rPr>
              <w:t>2019</w:t>
            </w:r>
          </w:p>
        </w:tc>
        <w:tc>
          <w:tcPr>
            <w:tcW w:w="876" w:type="pct"/>
            <w:gridSpan w:val="3"/>
            <w:tcBorders>
              <w:top w:val="single" w:sz="4" w:space="0" w:color="auto"/>
              <w:left w:val="nil"/>
              <w:bottom w:val="single" w:sz="4" w:space="0" w:color="auto"/>
              <w:right w:val="single" w:sz="4" w:space="0" w:color="auto"/>
            </w:tcBorders>
            <w:shd w:val="clear" w:color="auto" w:fill="FFC000"/>
            <w:vAlign w:val="center"/>
            <w:hideMark/>
          </w:tcPr>
          <w:p w14:paraId="7951FC13"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eastAsia="es-CO"/>
              </w:rPr>
              <w:t>2020</w:t>
            </w:r>
          </w:p>
        </w:tc>
        <w:tc>
          <w:tcPr>
            <w:tcW w:w="1213" w:type="pct"/>
            <w:gridSpan w:val="4"/>
            <w:tcBorders>
              <w:top w:val="single" w:sz="4" w:space="0" w:color="auto"/>
              <w:left w:val="nil"/>
              <w:bottom w:val="single" w:sz="4" w:space="0" w:color="auto"/>
              <w:right w:val="single" w:sz="4" w:space="0" w:color="000000"/>
            </w:tcBorders>
            <w:shd w:val="clear" w:color="auto" w:fill="FFC000"/>
            <w:vAlign w:val="center"/>
            <w:hideMark/>
          </w:tcPr>
          <w:p w14:paraId="59405046"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eastAsia="es-CO"/>
              </w:rPr>
              <w:t>2021</w:t>
            </w:r>
          </w:p>
        </w:tc>
        <w:tc>
          <w:tcPr>
            <w:tcW w:w="1755" w:type="pct"/>
            <w:gridSpan w:val="6"/>
            <w:tcBorders>
              <w:top w:val="single" w:sz="4" w:space="0" w:color="auto"/>
              <w:left w:val="nil"/>
              <w:bottom w:val="single" w:sz="4" w:space="0" w:color="auto"/>
              <w:right w:val="single" w:sz="4" w:space="0" w:color="000000"/>
            </w:tcBorders>
            <w:shd w:val="clear" w:color="auto" w:fill="FFC000"/>
            <w:vAlign w:val="center"/>
            <w:hideMark/>
          </w:tcPr>
          <w:p w14:paraId="13547283"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eastAsia="es-CO"/>
              </w:rPr>
              <w:t>2022</w:t>
            </w:r>
          </w:p>
        </w:tc>
      </w:tr>
      <w:tr w:rsidR="001A38D5" w:rsidRPr="001A38D5" w14:paraId="49D2BEBB" w14:textId="77777777" w:rsidTr="001029CF">
        <w:trPr>
          <w:trHeight w:val="20"/>
          <w:tblHeader/>
          <w:jc w:val="center"/>
        </w:trPr>
        <w:tc>
          <w:tcPr>
            <w:tcW w:w="548" w:type="pct"/>
            <w:vMerge w:val="restart"/>
            <w:tcBorders>
              <w:top w:val="nil"/>
              <w:left w:val="single" w:sz="4" w:space="0" w:color="auto"/>
              <w:bottom w:val="single" w:sz="4" w:space="0" w:color="auto"/>
              <w:right w:val="single" w:sz="4" w:space="0" w:color="auto"/>
            </w:tcBorders>
            <w:shd w:val="clear" w:color="auto" w:fill="FFC000"/>
            <w:vAlign w:val="center"/>
            <w:hideMark/>
          </w:tcPr>
          <w:p w14:paraId="56149EA6" w14:textId="77777777" w:rsidR="00A20990" w:rsidRPr="001A38D5" w:rsidRDefault="00A20990" w:rsidP="005140E1">
            <w:pPr>
              <w:contextualSpacing/>
              <w:rPr>
                <w:rFonts w:eastAsia="Times New Roman" w:cs="Arial"/>
                <w:b/>
                <w:bCs/>
                <w:sz w:val="12"/>
                <w:szCs w:val="12"/>
                <w:lang w:val="es-CO" w:eastAsia="es-CO"/>
              </w:rPr>
            </w:pPr>
            <w:r w:rsidRPr="001A38D5">
              <w:rPr>
                <w:rFonts w:eastAsia="Times New Roman" w:cs="Arial"/>
                <w:b/>
                <w:bCs/>
                <w:sz w:val="12"/>
                <w:szCs w:val="12"/>
                <w:lang w:eastAsia="es-CO"/>
              </w:rPr>
              <w:t>Documentos</w:t>
            </w:r>
          </w:p>
        </w:tc>
        <w:tc>
          <w:tcPr>
            <w:tcW w:w="292" w:type="pct"/>
            <w:tcBorders>
              <w:top w:val="nil"/>
              <w:left w:val="nil"/>
              <w:bottom w:val="single" w:sz="4" w:space="0" w:color="auto"/>
              <w:right w:val="single" w:sz="4" w:space="0" w:color="auto"/>
            </w:tcBorders>
            <w:shd w:val="clear" w:color="auto" w:fill="FFC000"/>
            <w:vAlign w:val="center"/>
            <w:hideMark/>
          </w:tcPr>
          <w:p w14:paraId="7017265C" w14:textId="77777777" w:rsidR="00A20990" w:rsidRPr="001A38D5" w:rsidRDefault="00425319" w:rsidP="005140E1">
            <w:pPr>
              <w:contextualSpacing/>
              <w:jc w:val="center"/>
              <w:rPr>
                <w:rFonts w:eastAsia="Times New Roman" w:cs="Arial"/>
                <w:b/>
                <w:bCs/>
                <w:sz w:val="12"/>
                <w:szCs w:val="12"/>
                <w:u w:val="single"/>
                <w:lang w:val="es-CO" w:eastAsia="es-CO"/>
              </w:rPr>
            </w:pPr>
            <w:hyperlink r:id="rId17" w:history="1">
              <w:r w:rsidR="00A20990" w:rsidRPr="001A38D5">
                <w:rPr>
                  <w:rFonts w:eastAsia="Times New Roman" w:cs="Arial"/>
                  <w:b/>
                  <w:bCs/>
                  <w:sz w:val="12"/>
                  <w:szCs w:val="12"/>
                  <w:u w:val="single"/>
                  <w:lang w:val="es-CO" w:eastAsia="es-CO"/>
                </w:rPr>
                <w:t>LP-026 DE 2018</w:t>
              </w:r>
            </w:hyperlink>
          </w:p>
        </w:tc>
        <w:tc>
          <w:tcPr>
            <w:tcW w:w="316" w:type="pct"/>
            <w:tcBorders>
              <w:top w:val="nil"/>
              <w:left w:val="nil"/>
              <w:bottom w:val="single" w:sz="4" w:space="0" w:color="auto"/>
              <w:right w:val="single" w:sz="4" w:space="0" w:color="auto"/>
            </w:tcBorders>
            <w:shd w:val="clear" w:color="auto" w:fill="FFC000"/>
            <w:vAlign w:val="center"/>
            <w:hideMark/>
          </w:tcPr>
          <w:p w14:paraId="43279261" w14:textId="77777777" w:rsidR="00A20990" w:rsidRPr="001A38D5" w:rsidRDefault="00425319" w:rsidP="005140E1">
            <w:pPr>
              <w:contextualSpacing/>
              <w:jc w:val="center"/>
              <w:rPr>
                <w:rFonts w:eastAsia="Times New Roman" w:cs="Arial"/>
                <w:b/>
                <w:bCs/>
                <w:sz w:val="12"/>
                <w:szCs w:val="12"/>
                <w:u w:val="single"/>
                <w:lang w:val="es-CO" w:eastAsia="es-CO"/>
              </w:rPr>
            </w:pPr>
            <w:hyperlink r:id="rId18" w:history="1">
              <w:r w:rsidR="00A20990" w:rsidRPr="001A38D5">
                <w:rPr>
                  <w:rFonts w:eastAsia="Times New Roman" w:cs="Arial"/>
                  <w:b/>
                  <w:bCs/>
                  <w:sz w:val="12"/>
                  <w:szCs w:val="12"/>
                  <w:u w:val="single"/>
                  <w:lang w:val="es-CO" w:eastAsia="es-CO"/>
                </w:rPr>
                <w:t>LP-003 DE 2019</w:t>
              </w:r>
            </w:hyperlink>
          </w:p>
        </w:tc>
        <w:tc>
          <w:tcPr>
            <w:tcW w:w="278" w:type="pct"/>
            <w:tcBorders>
              <w:top w:val="nil"/>
              <w:left w:val="nil"/>
              <w:bottom w:val="single" w:sz="4" w:space="0" w:color="auto"/>
              <w:right w:val="single" w:sz="4" w:space="0" w:color="auto"/>
            </w:tcBorders>
            <w:shd w:val="clear" w:color="auto" w:fill="FFC000"/>
            <w:vAlign w:val="center"/>
            <w:hideMark/>
          </w:tcPr>
          <w:p w14:paraId="60276FEC" w14:textId="77777777" w:rsidR="00A20990" w:rsidRPr="001A38D5" w:rsidRDefault="00425319" w:rsidP="005140E1">
            <w:pPr>
              <w:contextualSpacing/>
              <w:jc w:val="center"/>
              <w:rPr>
                <w:rFonts w:eastAsia="Times New Roman" w:cs="Arial"/>
                <w:b/>
                <w:bCs/>
                <w:sz w:val="12"/>
                <w:szCs w:val="12"/>
                <w:u w:val="single"/>
                <w:lang w:val="es-CO" w:eastAsia="es-CO"/>
              </w:rPr>
            </w:pPr>
            <w:hyperlink r:id="rId19" w:history="1">
              <w:r w:rsidR="00A20990" w:rsidRPr="001A38D5">
                <w:rPr>
                  <w:rFonts w:eastAsia="Times New Roman" w:cs="Arial"/>
                  <w:b/>
                  <w:bCs/>
                  <w:sz w:val="12"/>
                  <w:szCs w:val="12"/>
                  <w:u w:val="single"/>
                  <w:lang w:val="es-CO" w:eastAsia="es-CO"/>
                </w:rPr>
                <w:t>CD-570-2020</w:t>
              </w:r>
            </w:hyperlink>
          </w:p>
        </w:tc>
        <w:tc>
          <w:tcPr>
            <w:tcW w:w="292" w:type="pct"/>
            <w:tcBorders>
              <w:top w:val="nil"/>
              <w:left w:val="nil"/>
              <w:bottom w:val="single" w:sz="4" w:space="0" w:color="auto"/>
              <w:right w:val="single" w:sz="4" w:space="0" w:color="auto"/>
            </w:tcBorders>
            <w:shd w:val="clear" w:color="auto" w:fill="FFC000"/>
            <w:vAlign w:val="center"/>
            <w:hideMark/>
          </w:tcPr>
          <w:p w14:paraId="63FDA505" w14:textId="77777777" w:rsidR="00A20990" w:rsidRPr="001A38D5" w:rsidRDefault="00425319" w:rsidP="005140E1">
            <w:pPr>
              <w:contextualSpacing/>
              <w:jc w:val="center"/>
              <w:rPr>
                <w:rFonts w:eastAsia="Times New Roman" w:cs="Arial"/>
                <w:b/>
                <w:bCs/>
                <w:sz w:val="12"/>
                <w:szCs w:val="12"/>
                <w:u w:val="single"/>
                <w:lang w:val="es-CO" w:eastAsia="es-CO"/>
              </w:rPr>
            </w:pPr>
            <w:hyperlink r:id="rId20" w:history="1">
              <w:r w:rsidR="00A20990" w:rsidRPr="001A38D5">
                <w:rPr>
                  <w:rFonts w:eastAsia="Times New Roman" w:cs="Arial"/>
                  <w:b/>
                  <w:bCs/>
                  <w:sz w:val="12"/>
                  <w:szCs w:val="12"/>
                  <w:u w:val="single"/>
                  <w:lang w:val="es-CO" w:eastAsia="es-CO"/>
                </w:rPr>
                <w:t>LP-021 de 2019</w:t>
              </w:r>
            </w:hyperlink>
          </w:p>
        </w:tc>
        <w:tc>
          <w:tcPr>
            <w:tcW w:w="306" w:type="pct"/>
            <w:tcBorders>
              <w:top w:val="nil"/>
              <w:left w:val="nil"/>
              <w:bottom w:val="single" w:sz="4" w:space="0" w:color="auto"/>
              <w:right w:val="single" w:sz="4" w:space="0" w:color="auto"/>
            </w:tcBorders>
            <w:shd w:val="clear" w:color="auto" w:fill="FFC000"/>
            <w:vAlign w:val="center"/>
            <w:hideMark/>
          </w:tcPr>
          <w:p w14:paraId="14B0AD6D" w14:textId="77777777" w:rsidR="00A20990" w:rsidRPr="001A38D5" w:rsidRDefault="00425319" w:rsidP="005140E1">
            <w:pPr>
              <w:contextualSpacing/>
              <w:jc w:val="center"/>
              <w:rPr>
                <w:rFonts w:eastAsia="Times New Roman" w:cs="Arial"/>
                <w:b/>
                <w:bCs/>
                <w:sz w:val="12"/>
                <w:szCs w:val="12"/>
                <w:u w:val="single"/>
                <w:lang w:val="es-CO" w:eastAsia="es-CO"/>
              </w:rPr>
            </w:pPr>
            <w:hyperlink r:id="rId21" w:anchor="Evaluation" w:history="1">
              <w:r w:rsidR="00A20990" w:rsidRPr="001A38D5">
                <w:rPr>
                  <w:rFonts w:eastAsia="Times New Roman" w:cs="Arial"/>
                  <w:b/>
                  <w:bCs/>
                  <w:sz w:val="12"/>
                  <w:szCs w:val="12"/>
                  <w:u w:val="single"/>
                  <w:lang w:val="es-CO" w:eastAsia="es-CO"/>
                </w:rPr>
                <w:t>LP-006-2020</w:t>
              </w:r>
            </w:hyperlink>
          </w:p>
        </w:tc>
        <w:tc>
          <w:tcPr>
            <w:tcW w:w="280" w:type="pct"/>
            <w:tcBorders>
              <w:top w:val="nil"/>
              <w:left w:val="nil"/>
              <w:bottom w:val="single" w:sz="4" w:space="0" w:color="auto"/>
              <w:right w:val="single" w:sz="4" w:space="0" w:color="auto"/>
            </w:tcBorders>
            <w:shd w:val="clear" w:color="auto" w:fill="FFC000"/>
            <w:vAlign w:val="center"/>
            <w:hideMark/>
          </w:tcPr>
          <w:p w14:paraId="58F9E4B2" w14:textId="77777777" w:rsidR="00A20990" w:rsidRPr="001A38D5" w:rsidRDefault="00425319" w:rsidP="005140E1">
            <w:pPr>
              <w:contextualSpacing/>
              <w:jc w:val="center"/>
              <w:rPr>
                <w:rFonts w:eastAsia="Times New Roman" w:cs="Arial"/>
                <w:b/>
                <w:bCs/>
                <w:sz w:val="12"/>
                <w:szCs w:val="12"/>
                <w:u w:val="single"/>
                <w:lang w:val="es-CO" w:eastAsia="es-CO"/>
              </w:rPr>
            </w:pPr>
            <w:hyperlink r:id="rId22" w:history="1">
              <w:r w:rsidR="00A20990" w:rsidRPr="001A38D5">
                <w:rPr>
                  <w:rFonts w:eastAsia="Times New Roman" w:cs="Arial"/>
                  <w:b/>
                  <w:bCs/>
                  <w:sz w:val="12"/>
                  <w:szCs w:val="12"/>
                  <w:u w:val="single"/>
                  <w:lang w:val="es-CO" w:eastAsia="es-CO"/>
                </w:rPr>
                <w:t>CD-1070-2021</w:t>
              </w:r>
            </w:hyperlink>
          </w:p>
        </w:tc>
        <w:tc>
          <w:tcPr>
            <w:tcW w:w="292" w:type="pct"/>
            <w:tcBorders>
              <w:top w:val="nil"/>
              <w:left w:val="nil"/>
              <w:bottom w:val="single" w:sz="4" w:space="0" w:color="auto"/>
              <w:right w:val="single" w:sz="4" w:space="0" w:color="auto"/>
            </w:tcBorders>
            <w:shd w:val="clear" w:color="auto" w:fill="FFC000"/>
            <w:vAlign w:val="center"/>
            <w:hideMark/>
          </w:tcPr>
          <w:p w14:paraId="05C7600D" w14:textId="77777777" w:rsidR="00A20990" w:rsidRPr="001A38D5" w:rsidRDefault="00425319" w:rsidP="005140E1">
            <w:pPr>
              <w:contextualSpacing/>
              <w:jc w:val="center"/>
              <w:rPr>
                <w:rFonts w:eastAsia="Times New Roman" w:cs="Arial"/>
                <w:b/>
                <w:bCs/>
                <w:sz w:val="12"/>
                <w:szCs w:val="12"/>
                <w:u w:val="single"/>
                <w:lang w:val="es-CO" w:eastAsia="es-CO"/>
              </w:rPr>
            </w:pPr>
            <w:hyperlink r:id="rId23" w:history="1">
              <w:r w:rsidR="00A20990" w:rsidRPr="001A38D5">
                <w:rPr>
                  <w:rFonts w:eastAsia="Times New Roman" w:cs="Arial"/>
                  <w:b/>
                  <w:bCs/>
                  <w:sz w:val="12"/>
                  <w:szCs w:val="12"/>
                  <w:u w:val="single"/>
                  <w:lang w:val="es-CO" w:eastAsia="es-CO"/>
                </w:rPr>
                <w:t>Orden de compra 66808</w:t>
              </w:r>
            </w:hyperlink>
          </w:p>
        </w:tc>
        <w:tc>
          <w:tcPr>
            <w:tcW w:w="292" w:type="pct"/>
            <w:tcBorders>
              <w:top w:val="nil"/>
              <w:left w:val="nil"/>
              <w:bottom w:val="single" w:sz="4" w:space="0" w:color="auto"/>
              <w:right w:val="single" w:sz="4" w:space="0" w:color="auto"/>
            </w:tcBorders>
            <w:shd w:val="clear" w:color="auto" w:fill="FFC000"/>
            <w:vAlign w:val="center"/>
            <w:hideMark/>
          </w:tcPr>
          <w:p w14:paraId="4CBC8EF7" w14:textId="77777777" w:rsidR="00A20990" w:rsidRPr="001A38D5" w:rsidRDefault="00425319" w:rsidP="005140E1">
            <w:pPr>
              <w:contextualSpacing/>
              <w:jc w:val="center"/>
              <w:rPr>
                <w:rFonts w:eastAsia="Times New Roman" w:cs="Arial"/>
                <w:b/>
                <w:bCs/>
                <w:sz w:val="12"/>
                <w:szCs w:val="12"/>
                <w:u w:val="single"/>
                <w:lang w:val="es-CO" w:eastAsia="es-CO"/>
              </w:rPr>
            </w:pPr>
            <w:hyperlink r:id="rId24" w:history="1">
              <w:r w:rsidR="00A20990" w:rsidRPr="001A38D5">
                <w:rPr>
                  <w:rFonts w:eastAsia="Times New Roman" w:cs="Arial"/>
                  <w:b/>
                  <w:bCs/>
                  <w:sz w:val="12"/>
                  <w:szCs w:val="12"/>
                  <w:u w:val="single"/>
                  <w:lang w:val="es-CO" w:eastAsia="es-CO"/>
                </w:rPr>
                <w:t>Orden de compra 72682</w:t>
              </w:r>
            </w:hyperlink>
          </w:p>
        </w:tc>
        <w:tc>
          <w:tcPr>
            <w:tcW w:w="349" w:type="pct"/>
            <w:tcBorders>
              <w:top w:val="nil"/>
              <w:left w:val="nil"/>
              <w:bottom w:val="single" w:sz="4" w:space="0" w:color="auto"/>
              <w:right w:val="single" w:sz="4" w:space="0" w:color="auto"/>
            </w:tcBorders>
            <w:shd w:val="clear" w:color="auto" w:fill="FFC000"/>
            <w:vAlign w:val="center"/>
            <w:hideMark/>
          </w:tcPr>
          <w:p w14:paraId="78C57511" w14:textId="77777777" w:rsidR="00A20990" w:rsidRPr="001A38D5" w:rsidRDefault="00425319" w:rsidP="005140E1">
            <w:pPr>
              <w:contextualSpacing/>
              <w:jc w:val="center"/>
              <w:rPr>
                <w:rFonts w:eastAsia="Times New Roman" w:cs="Arial"/>
                <w:b/>
                <w:bCs/>
                <w:sz w:val="12"/>
                <w:szCs w:val="12"/>
                <w:u w:val="single"/>
                <w:lang w:val="es-CO" w:eastAsia="es-CO"/>
              </w:rPr>
            </w:pPr>
            <w:hyperlink r:id="rId25" w:history="1">
              <w:r w:rsidR="00A20990" w:rsidRPr="001A38D5">
                <w:rPr>
                  <w:rFonts w:eastAsia="Times New Roman" w:cs="Arial"/>
                  <w:b/>
                  <w:bCs/>
                  <w:sz w:val="12"/>
                  <w:szCs w:val="12"/>
                  <w:u w:val="single"/>
                  <w:lang w:val="es-CO" w:eastAsia="es-CO"/>
                </w:rPr>
                <w:t>Orden de compra 77691</w:t>
              </w:r>
            </w:hyperlink>
          </w:p>
        </w:tc>
        <w:tc>
          <w:tcPr>
            <w:tcW w:w="281" w:type="pct"/>
            <w:tcBorders>
              <w:top w:val="nil"/>
              <w:left w:val="nil"/>
              <w:bottom w:val="single" w:sz="4" w:space="0" w:color="auto"/>
              <w:right w:val="single" w:sz="4" w:space="0" w:color="auto"/>
            </w:tcBorders>
            <w:shd w:val="clear" w:color="auto" w:fill="FFC000"/>
            <w:vAlign w:val="center"/>
            <w:hideMark/>
          </w:tcPr>
          <w:p w14:paraId="4A28F720" w14:textId="77777777" w:rsidR="00A20990" w:rsidRPr="001A38D5" w:rsidRDefault="00425319" w:rsidP="005140E1">
            <w:pPr>
              <w:contextualSpacing/>
              <w:jc w:val="center"/>
              <w:rPr>
                <w:rFonts w:eastAsia="Times New Roman" w:cs="Arial"/>
                <w:b/>
                <w:bCs/>
                <w:sz w:val="12"/>
                <w:szCs w:val="12"/>
                <w:u w:val="single"/>
                <w:lang w:val="es-CO" w:eastAsia="es-CO"/>
              </w:rPr>
            </w:pPr>
            <w:hyperlink r:id="rId26" w:history="1">
              <w:r w:rsidR="00A20990" w:rsidRPr="001A38D5">
                <w:rPr>
                  <w:rFonts w:eastAsia="Times New Roman" w:cs="Arial"/>
                  <w:b/>
                  <w:bCs/>
                  <w:sz w:val="12"/>
                  <w:szCs w:val="12"/>
                  <w:u w:val="single"/>
                  <w:lang w:val="es-CO" w:eastAsia="es-CO"/>
                </w:rPr>
                <w:t>CD-1819-2022</w:t>
              </w:r>
            </w:hyperlink>
          </w:p>
        </w:tc>
        <w:tc>
          <w:tcPr>
            <w:tcW w:w="281" w:type="pct"/>
            <w:tcBorders>
              <w:top w:val="nil"/>
              <w:left w:val="nil"/>
              <w:bottom w:val="single" w:sz="4" w:space="0" w:color="auto"/>
              <w:right w:val="single" w:sz="4" w:space="0" w:color="auto"/>
            </w:tcBorders>
            <w:shd w:val="clear" w:color="auto" w:fill="FFC000"/>
            <w:vAlign w:val="center"/>
            <w:hideMark/>
          </w:tcPr>
          <w:p w14:paraId="209D5A79" w14:textId="77777777" w:rsidR="00A20990" w:rsidRPr="001A38D5" w:rsidRDefault="00425319" w:rsidP="005140E1">
            <w:pPr>
              <w:contextualSpacing/>
              <w:jc w:val="center"/>
              <w:rPr>
                <w:rFonts w:eastAsia="Times New Roman" w:cs="Arial"/>
                <w:b/>
                <w:bCs/>
                <w:sz w:val="12"/>
                <w:szCs w:val="12"/>
                <w:u w:val="single"/>
                <w:lang w:val="es-CO" w:eastAsia="es-CO"/>
              </w:rPr>
            </w:pPr>
            <w:hyperlink r:id="rId27" w:history="1">
              <w:r w:rsidR="00A20990" w:rsidRPr="001A38D5">
                <w:rPr>
                  <w:rFonts w:eastAsia="Times New Roman" w:cs="Arial"/>
                  <w:b/>
                  <w:bCs/>
                  <w:sz w:val="12"/>
                  <w:szCs w:val="12"/>
                  <w:u w:val="single"/>
                  <w:lang w:val="es-CO" w:eastAsia="es-CO"/>
                </w:rPr>
                <w:t>LP-011-2021</w:t>
              </w:r>
            </w:hyperlink>
          </w:p>
        </w:tc>
        <w:tc>
          <w:tcPr>
            <w:tcW w:w="282" w:type="pct"/>
            <w:tcBorders>
              <w:top w:val="nil"/>
              <w:left w:val="nil"/>
              <w:bottom w:val="single" w:sz="4" w:space="0" w:color="auto"/>
              <w:right w:val="single" w:sz="4" w:space="0" w:color="auto"/>
            </w:tcBorders>
            <w:shd w:val="clear" w:color="auto" w:fill="FFC000"/>
            <w:vAlign w:val="center"/>
            <w:hideMark/>
          </w:tcPr>
          <w:p w14:paraId="4FA4913F" w14:textId="77777777" w:rsidR="00A20990" w:rsidRPr="001A38D5" w:rsidRDefault="00425319" w:rsidP="005140E1">
            <w:pPr>
              <w:contextualSpacing/>
              <w:jc w:val="center"/>
              <w:rPr>
                <w:rFonts w:eastAsia="Times New Roman" w:cs="Arial"/>
                <w:b/>
                <w:bCs/>
                <w:sz w:val="12"/>
                <w:szCs w:val="12"/>
                <w:u w:val="single"/>
                <w:lang w:val="es-CO" w:eastAsia="es-CO"/>
              </w:rPr>
            </w:pPr>
            <w:hyperlink r:id="rId28" w:history="1">
              <w:r w:rsidR="00A20990" w:rsidRPr="001A38D5">
                <w:rPr>
                  <w:rFonts w:eastAsia="Times New Roman" w:cs="Arial"/>
                  <w:b/>
                  <w:bCs/>
                  <w:sz w:val="12"/>
                  <w:szCs w:val="12"/>
                  <w:u w:val="single"/>
                  <w:lang w:val="es-CO" w:eastAsia="es-CO"/>
                </w:rPr>
                <w:t>CD-1689-2022</w:t>
              </w:r>
            </w:hyperlink>
          </w:p>
        </w:tc>
        <w:tc>
          <w:tcPr>
            <w:tcW w:w="281" w:type="pct"/>
            <w:tcBorders>
              <w:top w:val="nil"/>
              <w:left w:val="nil"/>
              <w:bottom w:val="single" w:sz="4" w:space="0" w:color="auto"/>
              <w:right w:val="single" w:sz="4" w:space="0" w:color="auto"/>
            </w:tcBorders>
            <w:shd w:val="clear" w:color="auto" w:fill="FFC000"/>
            <w:vAlign w:val="center"/>
            <w:hideMark/>
          </w:tcPr>
          <w:p w14:paraId="77650E0D" w14:textId="77777777" w:rsidR="00A20990" w:rsidRPr="001A38D5" w:rsidRDefault="00425319" w:rsidP="005140E1">
            <w:pPr>
              <w:contextualSpacing/>
              <w:jc w:val="center"/>
              <w:rPr>
                <w:rFonts w:eastAsia="Times New Roman" w:cs="Arial"/>
                <w:b/>
                <w:bCs/>
                <w:sz w:val="12"/>
                <w:szCs w:val="12"/>
                <w:u w:val="single"/>
                <w:lang w:val="es-CO" w:eastAsia="es-CO"/>
              </w:rPr>
            </w:pPr>
            <w:hyperlink r:id="rId29" w:history="1">
              <w:r w:rsidR="00A20990" w:rsidRPr="001A38D5">
                <w:rPr>
                  <w:rFonts w:eastAsia="Times New Roman" w:cs="Arial"/>
                  <w:b/>
                  <w:bCs/>
                  <w:sz w:val="12"/>
                  <w:szCs w:val="12"/>
                  <w:u w:val="single"/>
                  <w:lang w:val="es-CO" w:eastAsia="es-CO"/>
                </w:rPr>
                <w:t>LP-005-2022</w:t>
              </w:r>
            </w:hyperlink>
          </w:p>
        </w:tc>
        <w:tc>
          <w:tcPr>
            <w:tcW w:w="281" w:type="pct"/>
            <w:tcBorders>
              <w:top w:val="nil"/>
              <w:left w:val="nil"/>
              <w:bottom w:val="single" w:sz="4" w:space="0" w:color="auto"/>
              <w:right w:val="single" w:sz="4" w:space="0" w:color="auto"/>
            </w:tcBorders>
            <w:shd w:val="clear" w:color="auto" w:fill="FFC000"/>
            <w:vAlign w:val="center"/>
            <w:hideMark/>
          </w:tcPr>
          <w:p w14:paraId="7AD905B3" w14:textId="77777777" w:rsidR="00A20990" w:rsidRPr="001A38D5" w:rsidRDefault="00425319" w:rsidP="005140E1">
            <w:pPr>
              <w:contextualSpacing/>
              <w:jc w:val="center"/>
              <w:rPr>
                <w:rFonts w:eastAsia="Times New Roman" w:cs="Arial"/>
                <w:b/>
                <w:bCs/>
                <w:sz w:val="12"/>
                <w:szCs w:val="12"/>
                <w:u w:val="single"/>
                <w:lang w:val="es-CO" w:eastAsia="es-CO"/>
              </w:rPr>
            </w:pPr>
            <w:hyperlink r:id="rId30" w:history="1">
              <w:r w:rsidR="00A20990" w:rsidRPr="001A38D5">
                <w:rPr>
                  <w:rFonts w:eastAsia="Times New Roman" w:cs="Arial"/>
                  <w:b/>
                  <w:bCs/>
                  <w:sz w:val="12"/>
                  <w:szCs w:val="12"/>
                  <w:u w:val="single"/>
                  <w:lang w:val="es-CO" w:eastAsia="es-CO"/>
                </w:rPr>
                <w:t>CD-3502-2022</w:t>
              </w:r>
            </w:hyperlink>
          </w:p>
        </w:tc>
        <w:tc>
          <w:tcPr>
            <w:tcW w:w="349" w:type="pct"/>
            <w:tcBorders>
              <w:top w:val="nil"/>
              <w:left w:val="nil"/>
              <w:bottom w:val="single" w:sz="4" w:space="0" w:color="auto"/>
              <w:right w:val="single" w:sz="4" w:space="0" w:color="auto"/>
            </w:tcBorders>
            <w:shd w:val="clear" w:color="auto" w:fill="FFC000"/>
            <w:vAlign w:val="center"/>
            <w:hideMark/>
          </w:tcPr>
          <w:p w14:paraId="72BCA354" w14:textId="77777777" w:rsidR="00A20990" w:rsidRPr="001A38D5" w:rsidRDefault="00425319" w:rsidP="005140E1">
            <w:pPr>
              <w:contextualSpacing/>
              <w:jc w:val="center"/>
              <w:rPr>
                <w:rFonts w:eastAsia="Times New Roman" w:cs="Arial"/>
                <w:b/>
                <w:bCs/>
                <w:sz w:val="12"/>
                <w:szCs w:val="12"/>
                <w:u w:val="single"/>
                <w:lang w:val="es-CO" w:eastAsia="es-CO"/>
              </w:rPr>
            </w:pPr>
            <w:hyperlink r:id="rId31" w:history="1">
              <w:r w:rsidR="00A20990" w:rsidRPr="001A38D5">
                <w:rPr>
                  <w:rFonts w:eastAsia="Times New Roman" w:cs="Arial"/>
                  <w:b/>
                  <w:bCs/>
                  <w:sz w:val="12"/>
                  <w:szCs w:val="12"/>
                  <w:u w:val="single"/>
                  <w:lang w:val="es-CO" w:eastAsia="es-CO"/>
                </w:rPr>
                <w:t xml:space="preserve">LP-009-2022 </w:t>
              </w:r>
            </w:hyperlink>
          </w:p>
        </w:tc>
      </w:tr>
      <w:tr w:rsidR="001A38D5" w:rsidRPr="001A38D5" w14:paraId="1787543F" w14:textId="77777777" w:rsidTr="001029CF">
        <w:trPr>
          <w:trHeight w:val="20"/>
          <w:tblHeader/>
          <w:jc w:val="center"/>
        </w:trPr>
        <w:tc>
          <w:tcPr>
            <w:tcW w:w="548" w:type="pct"/>
            <w:vMerge/>
            <w:tcBorders>
              <w:top w:val="nil"/>
              <w:left w:val="single" w:sz="4" w:space="0" w:color="auto"/>
              <w:bottom w:val="single" w:sz="4" w:space="0" w:color="auto"/>
              <w:right w:val="single" w:sz="4" w:space="0" w:color="auto"/>
            </w:tcBorders>
            <w:shd w:val="clear" w:color="auto" w:fill="FFC000"/>
            <w:vAlign w:val="center"/>
            <w:hideMark/>
          </w:tcPr>
          <w:p w14:paraId="34EBF775" w14:textId="77777777" w:rsidR="00A20990" w:rsidRPr="001A38D5" w:rsidRDefault="00A20990" w:rsidP="005140E1">
            <w:pPr>
              <w:contextualSpacing/>
              <w:rPr>
                <w:rFonts w:eastAsia="Times New Roman" w:cs="Arial"/>
                <w:b/>
                <w:bCs/>
                <w:sz w:val="12"/>
                <w:szCs w:val="12"/>
                <w:lang w:val="es-CO" w:eastAsia="es-CO"/>
              </w:rPr>
            </w:pPr>
          </w:p>
        </w:tc>
        <w:tc>
          <w:tcPr>
            <w:tcW w:w="292" w:type="pct"/>
            <w:tcBorders>
              <w:top w:val="nil"/>
              <w:left w:val="nil"/>
              <w:bottom w:val="single" w:sz="4" w:space="0" w:color="auto"/>
              <w:right w:val="single" w:sz="4" w:space="0" w:color="auto"/>
            </w:tcBorders>
            <w:shd w:val="clear" w:color="auto" w:fill="FFC000"/>
            <w:vAlign w:val="center"/>
            <w:hideMark/>
          </w:tcPr>
          <w:p w14:paraId="5B811014"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077 de 2019</w:t>
            </w:r>
          </w:p>
        </w:tc>
        <w:tc>
          <w:tcPr>
            <w:tcW w:w="316" w:type="pct"/>
            <w:tcBorders>
              <w:top w:val="nil"/>
              <w:left w:val="nil"/>
              <w:bottom w:val="single" w:sz="4" w:space="0" w:color="auto"/>
              <w:right w:val="single" w:sz="4" w:space="0" w:color="auto"/>
            </w:tcBorders>
            <w:shd w:val="clear" w:color="auto" w:fill="FFC000"/>
            <w:vAlign w:val="center"/>
            <w:hideMark/>
          </w:tcPr>
          <w:p w14:paraId="0152C189"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1198 de 2019</w:t>
            </w:r>
          </w:p>
        </w:tc>
        <w:tc>
          <w:tcPr>
            <w:tcW w:w="278" w:type="pct"/>
            <w:tcBorders>
              <w:top w:val="nil"/>
              <w:left w:val="nil"/>
              <w:bottom w:val="single" w:sz="4" w:space="0" w:color="auto"/>
              <w:right w:val="single" w:sz="4" w:space="0" w:color="auto"/>
            </w:tcBorders>
            <w:shd w:val="clear" w:color="auto" w:fill="FFC000"/>
            <w:vAlign w:val="center"/>
            <w:hideMark/>
          </w:tcPr>
          <w:p w14:paraId="5ED75852"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594 de 2020</w:t>
            </w:r>
          </w:p>
        </w:tc>
        <w:tc>
          <w:tcPr>
            <w:tcW w:w="292" w:type="pct"/>
            <w:tcBorders>
              <w:top w:val="nil"/>
              <w:left w:val="nil"/>
              <w:bottom w:val="single" w:sz="4" w:space="0" w:color="auto"/>
              <w:right w:val="single" w:sz="4" w:space="0" w:color="auto"/>
            </w:tcBorders>
            <w:shd w:val="clear" w:color="auto" w:fill="FFC000"/>
            <w:vAlign w:val="center"/>
            <w:hideMark/>
          </w:tcPr>
          <w:p w14:paraId="06641A6F"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049 de 2020</w:t>
            </w:r>
          </w:p>
        </w:tc>
        <w:tc>
          <w:tcPr>
            <w:tcW w:w="306" w:type="pct"/>
            <w:tcBorders>
              <w:top w:val="nil"/>
              <w:left w:val="nil"/>
              <w:bottom w:val="single" w:sz="4" w:space="0" w:color="auto"/>
              <w:right w:val="single" w:sz="4" w:space="0" w:color="auto"/>
            </w:tcBorders>
            <w:shd w:val="clear" w:color="auto" w:fill="FFC000"/>
            <w:vAlign w:val="center"/>
            <w:hideMark/>
          </w:tcPr>
          <w:p w14:paraId="4956CEB1"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1961 de 2020</w:t>
            </w:r>
          </w:p>
        </w:tc>
        <w:tc>
          <w:tcPr>
            <w:tcW w:w="280" w:type="pct"/>
            <w:tcBorders>
              <w:top w:val="nil"/>
              <w:left w:val="nil"/>
              <w:bottom w:val="single" w:sz="4" w:space="0" w:color="auto"/>
              <w:right w:val="single" w:sz="4" w:space="0" w:color="auto"/>
            </w:tcBorders>
            <w:shd w:val="clear" w:color="auto" w:fill="FFC000"/>
            <w:vAlign w:val="center"/>
            <w:hideMark/>
          </w:tcPr>
          <w:p w14:paraId="22444940"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Convenio No. 1104 de 2021</w:t>
            </w:r>
          </w:p>
        </w:tc>
        <w:tc>
          <w:tcPr>
            <w:tcW w:w="292" w:type="pct"/>
            <w:tcBorders>
              <w:top w:val="nil"/>
              <w:left w:val="nil"/>
              <w:bottom w:val="single" w:sz="4" w:space="0" w:color="auto"/>
              <w:right w:val="single" w:sz="4" w:space="0" w:color="auto"/>
            </w:tcBorders>
            <w:shd w:val="clear" w:color="auto" w:fill="FFC000"/>
            <w:vAlign w:val="center"/>
            <w:hideMark/>
          </w:tcPr>
          <w:p w14:paraId="30BAD3C6"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939 de 2021</w:t>
            </w:r>
          </w:p>
        </w:tc>
        <w:tc>
          <w:tcPr>
            <w:tcW w:w="292" w:type="pct"/>
            <w:tcBorders>
              <w:top w:val="nil"/>
              <w:left w:val="nil"/>
              <w:bottom w:val="single" w:sz="4" w:space="0" w:color="auto"/>
              <w:right w:val="single" w:sz="4" w:space="0" w:color="auto"/>
            </w:tcBorders>
            <w:shd w:val="clear" w:color="auto" w:fill="FFC000"/>
            <w:vAlign w:val="center"/>
            <w:hideMark/>
          </w:tcPr>
          <w:p w14:paraId="0A5B1D43"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1346 de 2021</w:t>
            </w:r>
          </w:p>
        </w:tc>
        <w:tc>
          <w:tcPr>
            <w:tcW w:w="349" w:type="pct"/>
            <w:tcBorders>
              <w:top w:val="nil"/>
              <w:left w:val="nil"/>
              <w:bottom w:val="single" w:sz="4" w:space="0" w:color="auto"/>
              <w:right w:val="single" w:sz="4" w:space="0" w:color="auto"/>
            </w:tcBorders>
            <w:shd w:val="clear" w:color="auto" w:fill="FFC000"/>
            <w:vAlign w:val="center"/>
            <w:hideMark/>
          </w:tcPr>
          <w:p w14:paraId="647E4E02"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2014 de 2021</w:t>
            </w:r>
          </w:p>
        </w:tc>
        <w:tc>
          <w:tcPr>
            <w:tcW w:w="281" w:type="pct"/>
            <w:tcBorders>
              <w:top w:val="nil"/>
              <w:left w:val="nil"/>
              <w:bottom w:val="single" w:sz="4" w:space="0" w:color="auto"/>
              <w:right w:val="single" w:sz="4" w:space="0" w:color="auto"/>
            </w:tcBorders>
            <w:shd w:val="clear" w:color="auto" w:fill="FFC000"/>
            <w:vAlign w:val="center"/>
            <w:hideMark/>
          </w:tcPr>
          <w:p w14:paraId="5C83852E"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Convenio No. 1932 de 2022</w:t>
            </w:r>
          </w:p>
        </w:tc>
        <w:tc>
          <w:tcPr>
            <w:tcW w:w="281" w:type="pct"/>
            <w:tcBorders>
              <w:top w:val="nil"/>
              <w:left w:val="nil"/>
              <w:bottom w:val="single" w:sz="4" w:space="0" w:color="auto"/>
              <w:right w:val="single" w:sz="4" w:space="0" w:color="auto"/>
            </w:tcBorders>
            <w:shd w:val="clear" w:color="auto" w:fill="FFC000"/>
            <w:vAlign w:val="center"/>
            <w:hideMark/>
          </w:tcPr>
          <w:p w14:paraId="3C99297A"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1719 de 2022</w:t>
            </w:r>
          </w:p>
        </w:tc>
        <w:tc>
          <w:tcPr>
            <w:tcW w:w="282" w:type="pct"/>
            <w:tcBorders>
              <w:top w:val="nil"/>
              <w:left w:val="nil"/>
              <w:bottom w:val="single" w:sz="4" w:space="0" w:color="auto"/>
              <w:right w:val="single" w:sz="4" w:space="0" w:color="auto"/>
            </w:tcBorders>
            <w:shd w:val="clear" w:color="auto" w:fill="FFC000"/>
            <w:vAlign w:val="center"/>
            <w:hideMark/>
          </w:tcPr>
          <w:p w14:paraId="5AD8F925"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1739 de 2022</w:t>
            </w:r>
          </w:p>
        </w:tc>
        <w:tc>
          <w:tcPr>
            <w:tcW w:w="281" w:type="pct"/>
            <w:tcBorders>
              <w:top w:val="nil"/>
              <w:left w:val="nil"/>
              <w:bottom w:val="single" w:sz="4" w:space="0" w:color="auto"/>
              <w:right w:val="single" w:sz="4" w:space="0" w:color="auto"/>
            </w:tcBorders>
            <w:shd w:val="clear" w:color="auto" w:fill="FFC000"/>
            <w:vAlign w:val="center"/>
            <w:hideMark/>
          </w:tcPr>
          <w:p w14:paraId="50DAF9C0"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1825 de 2022</w:t>
            </w:r>
          </w:p>
        </w:tc>
        <w:tc>
          <w:tcPr>
            <w:tcW w:w="281" w:type="pct"/>
            <w:tcBorders>
              <w:top w:val="nil"/>
              <w:left w:val="nil"/>
              <w:bottom w:val="single" w:sz="4" w:space="0" w:color="auto"/>
              <w:right w:val="single" w:sz="4" w:space="0" w:color="auto"/>
            </w:tcBorders>
            <w:shd w:val="clear" w:color="auto" w:fill="FFC000"/>
            <w:vAlign w:val="center"/>
            <w:hideMark/>
          </w:tcPr>
          <w:p w14:paraId="7BAC1782"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3122 de 2022</w:t>
            </w:r>
          </w:p>
        </w:tc>
        <w:tc>
          <w:tcPr>
            <w:tcW w:w="349" w:type="pct"/>
            <w:tcBorders>
              <w:top w:val="nil"/>
              <w:left w:val="nil"/>
              <w:bottom w:val="single" w:sz="4" w:space="0" w:color="auto"/>
              <w:right w:val="single" w:sz="4" w:space="0" w:color="auto"/>
            </w:tcBorders>
            <w:shd w:val="clear" w:color="auto" w:fill="FFC000"/>
            <w:vAlign w:val="center"/>
            <w:hideMark/>
          </w:tcPr>
          <w:p w14:paraId="140ED17D"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Contrato No. 3369 de 2022</w:t>
            </w:r>
          </w:p>
        </w:tc>
      </w:tr>
      <w:tr w:rsidR="001A38D5" w:rsidRPr="001A38D5" w14:paraId="39A1296F" w14:textId="77777777" w:rsidTr="001029CF">
        <w:trPr>
          <w:trHeight w:val="20"/>
          <w:jc w:val="center"/>
        </w:trPr>
        <w:tc>
          <w:tcPr>
            <w:tcW w:w="548" w:type="pct"/>
            <w:tcBorders>
              <w:top w:val="nil"/>
              <w:left w:val="single" w:sz="4" w:space="0" w:color="auto"/>
              <w:bottom w:val="single" w:sz="4" w:space="0" w:color="auto"/>
              <w:right w:val="single" w:sz="4" w:space="0" w:color="auto"/>
            </w:tcBorders>
            <w:shd w:val="clear" w:color="auto" w:fill="FFC000"/>
            <w:vAlign w:val="center"/>
            <w:hideMark/>
          </w:tcPr>
          <w:p w14:paraId="3DB7B254" w14:textId="77777777" w:rsidR="00A20990" w:rsidRPr="001A38D5" w:rsidRDefault="00A20990" w:rsidP="005140E1">
            <w:pPr>
              <w:contextualSpacing/>
              <w:rPr>
                <w:rFonts w:eastAsia="Times New Roman" w:cs="Arial"/>
                <w:b/>
                <w:bCs/>
                <w:sz w:val="12"/>
                <w:szCs w:val="12"/>
                <w:lang w:val="es-CO" w:eastAsia="es-CO"/>
              </w:rPr>
            </w:pPr>
            <w:r w:rsidRPr="001A38D5">
              <w:rPr>
                <w:rFonts w:eastAsia="Times New Roman" w:cs="Arial"/>
                <w:b/>
                <w:bCs/>
                <w:sz w:val="12"/>
                <w:szCs w:val="12"/>
                <w:lang w:eastAsia="es-CO"/>
              </w:rPr>
              <w:t>Etapa precontractual</w:t>
            </w:r>
          </w:p>
        </w:tc>
        <w:tc>
          <w:tcPr>
            <w:tcW w:w="292" w:type="pct"/>
            <w:tcBorders>
              <w:top w:val="nil"/>
              <w:left w:val="nil"/>
              <w:bottom w:val="single" w:sz="4" w:space="0" w:color="auto"/>
              <w:right w:val="single" w:sz="4" w:space="0" w:color="auto"/>
            </w:tcBorders>
            <w:shd w:val="clear" w:color="auto" w:fill="FFC000"/>
            <w:vAlign w:val="center"/>
            <w:hideMark/>
          </w:tcPr>
          <w:p w14:paraId="4B411842"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eastAsia="es-CO"/>
              </w:rPr>
              <w:t> </w:t>
            </w:r>
          </w:p>
        </w:tc>
        <w:tc>
          <w:tcPr>
            <w:tcW w:w="316" w:type="pct"/>
            <w:tcBorders>
              <w:top w:val="nil"/>
              <w:left w:val="nil"/>
              <w:bottom w:val="single" w:sz="4" w:space="0" w:color="auto"/>
              <w:right w:val="single" w:sz="4" w:space="0" w:color="auto"/>
            </w:tcBorders>
            <w:shd w:val="clear" w:color="auto" w:fill="FFC000"/>
            <w:vAlign w:val="center"/>
            <w:hideMark/>
          </w:tcPr>
          <w:p w14:paraId="1B4C6A5B"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eastAsia="es-CO"/>
              </w:rPr>
              <w:t> </w:t>
            </w:r>
          </w:p>
        </w:tc>
        <w:tc>
          <w:tcPr>
            <w:tcW w:w="278" w:type="pct"/>
            <w:tcBorders>
              <w:top w:val="nil"/>
              <w:left w:val="nil"/>
              <w:bottom w:val="single" w:sz="4" w:space="0" w:color="auto"/>
              <w:right w:val="single" w:sz="4" w:space="0" w:color="auto"/>
            </w:tcBorders>
            <w:shd w:val="clear" w:color="auto" w:fill="FFC000"/>
            <w:vAlign w:val="center"/>
            <w:hideMark/>
          </w:tcPr>
          <w:p w14:paraId="5D98D862"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eastAsia="es-CO"/>
              </w:rPr>
              <w:t> </w:t>
            </w:r>
          </w:p>
        </w:tc>
        <w:tc>
          <w:tcPr>
            <w:tcW w:w="292" w:type="pct"/>
            <w:tcBorders>
              <w:top w:val="nil"/>
              <w:left w:val="nil"/>
              <w:bottom w:val="single" w:sz="4" w:space="0" w:color="auto"/>
              <w:right w:val="single" w:sz="4" w:space="0" w:color="auto"/>
            </w:tcBorders>
            <w:shd w:val="clear" w:color="auto" w:fill="FFC000"/>
            <w:vAlign w:val="center"/>
            <w:hideMark/>
          </w:tcPr>
          <w:p w14:paraId="4BB211B3"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eastAsia="es-CO"/>
              </w:rPr>
              <w:t> </w:t>
            </w:r>
          </w:p>
        </w:tc>
        <w:tc>
          <w:tcPr>
            <w:tcW w:w="306" w:type="pct"/>
            <w:tcBorders>
              <w:top w:val="nil"/>
              <w:left w:val="nil"/>
              <w:bottom w:val="single" w:sz="4" w:space="0" w:color="auto"/>
              <w:right w:val="single" w:sz="4" w:space="0" w:color="auto"/>
            </w:tcBorders>
            <w:shd w:val="clear" w:color="auto" w:fill="FFC000"/>
            <w:vAlign w:val="center"/>
            <w:hideMark/>
          </w:tcPr>
          <w:p w14:paraId="095DE1AA"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eastAsia="es-CO"/>
              </w:rPr>
              <w:t> </w:t>
            </w:r>
          </w:p>
        </w:tc>
        <w:tc>
          <w:tcPr>
            <w:tcW w:w="280" w:type="pct"/>
            <w:tcBorders>
              <w:top w:val="nil"/>
              <w:left w:val="nil"/>
              <w:bottom w:val="single" w:sz="4" w:space="0" w:color="auto"/>
              <w:right w:val="single" w:sz="4" w:space="0" w:color="auto"/>
            </w:tcBorders>
            <w:shd w:val="clear" w:color="auto" w:fill="FFC000"/>
            <w:vAlign w:val="center"/>
            <w:hideMark/>
          </w:tcPr>
          <w:p w14:paraId="71A6DDDE"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eastAsia="es-CO"/>
              </w:rPr>
              <w:t> </w:t>
            </w:r>
          </w:p>
        </w:tc>
        <w:tc>
          <w:tcPr>
            <w:tcW w:w="292" w:type="pct"/>
            <w:tcBorders>
              <w:top w:val="nil"/>
              <w:left w:val="nil"/>
              <w:bottom w:val="single" w:sz="4" w:space="0" w:color="auto"/>
              <w:right w:val="single" w:sz="4" w:space="0" w:color="auto"/>
            </w:tcBorders>
            <w:shd w:val="clear" w:color="auto" w:fill="FFC000"/>
            <w:vAlign w:val="center"/>
            <w:hideMark/>
          </w:tcPr>
          <w:p w14:paraId="299A86CF"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 </w:t>
            </w:r>
          </w:p>
        </w:tc>
        <w:tc>
          <w:tcPr>
            <w:tcW w:w="292" w:type="pct"/>
            <w:tcBorders>
              <w:top w:val="nil"/>
              <w:left w:val="nil"/>
              <w:bottom w:val="single" w:sz="4" w:space="0" w:color="auto"/>
              <w:right w:val="single" w:sz="4" w:space="0" w:color="auto"/>
            </w:tcBorders>
            <w:shd w:val="clear" w:color="auto" w:fill="FFC000"/>
            <w:vAlign w:val="center"/>
            <w:hideMark/>
          </w:tcPr>
          <w:p w14:paraId="2832821A"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 </w:t>
            </w:r>
          </w:p>
        </w:tc>
        <w:tc>
          <w:tcPr>
            <w:tcW w:w="349" w:type="pct"/>
            <w:tcBorders>
              <w:top w:val="nil"/>
              <w:left w:val="nil"/>
              <w:bottom w:val="single" w:sz="4" w:space="0" w:color="auto"/>
              <w:right w:val="single" w:sz="4" w:space="0" w:color="auto"/>
            </w:tcBorders>
            <w:shd w:val="clear" w:color="auto" w:fill="FFC000"/>
            <w:vAlign w:val="center"/>
            <w:hideMark/>
          </w:tcPr>
          <w:p w14:paraId="34B5DD30"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 </w:t>
            </w:r>
          </w:p>
        </w:tc>
        <w:tc>
          <w:tcPr>
            <w:tcW w:w="281" w:type="pct"/>
            <w:tcBorders>
              <w:top w:val="nil"/>
              <w:left w:val="nil"/>
              <w:bottom w:val="single" w:sz="4" w:space="0" w:color="auto"/>
              <w:right w:val="single" w:sz="4" w:space="0" w:color="auto"/>
            </w:tcBorders>
            <w:shd w:val="clear" w:color="auto" w:fill="FFC000"/>
            <w:vAlign w:val="center"/>
            <w:hideMark/>
          </w:tcPr>
          <w:p w14:paraId="3FF347B0"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 </w:t>
            </w:r>
          </w:p>
        </w:tc>
        <w:tc>
          <w:tcPr>
            <w:tcW w:w="281" w:type="pct"/>
            <w:tcBorders>
              <w:top w:val="nil"/>
              <w:left w:val="nil"/>
              <w:bottom w:val="single" w:sz="4" w:space="0" w:color="auto"/>
              <w:right w:val="single" w:sz="4" w:space="0" w:color="auto"/>
            </w:tcBorders>
            <w:shd w:val="clear" w:color="auto" w:fill="FFC000"/>
            <w:vAlign w:val="center"/>
            <w:hideMark/>
          </w:tcPr>
          <w:p w14:paraId="73120F30"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 </w:t>
            </w:r>
          </w:p>
        </w:tc>
        <w:tc>
          <w:tcPr>
            <w:tcW w:w="282" w:type="pct"/>
            <w:tcBorders>
              <w:top w:val="nil"/>
              <w:left w:val="nil"/>
              <w:bottom w:val="single" w:sz="4" w:space="0" w:color="auto"/>
              <w:right w:val="single" w:sz="4" w:space="0" w:color="auto"/>
            </w:tcBorders>
            <w:shd w:val="clear" w:color="auto" w:fill="FFC000"/>
            <w:vAlign w:val="center"/>
            <w:hideMark/>
          </w:tcPr>
          <w:p w14:paraId="16DDA5FE"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 </w:t>
            </w:r>
          </w:p>
        </w:tc>
        <w:tc>
          <w:tcPr>
            <w:tcW w:w="281" w:type="pct"/>
            <w:tcBorders>
              <w:top w:val="nil"/>
              <w:left w:val="nil"/>
              <w:bottom w:val="single" w:sz="4" w:space="0" w:color="auto"/>
              <w:right w:val="single" w:sz="4" w:space="0" w:color="auto"/>
            </w:tcBorders>
            <w:shd w:val="clear" w:color="auto" w:fill="FFC000"/>
            <w:vAlign w:val="center"/>
            <w:hideMark/>
          </w:tcPr>
          <w:p w14:paraId="5035B6FF"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 </w:t>
            </w:r>
          </w:p>
        </w:tc>
        <w:tc>
          <w:tcPr>
            <w:tcW w:w="281" w:type="pct"/>
            <w:tcBorders>
              <w:top w:val="nil"/>
              <w:left w:val="nil"/>
              <w:bottom w:val="single" w:sz="4" w:space="0" w:color="auto"/>
              <w:right w:val="single" w:sz="4" w:space="0" w:color="auto"/>
            </w:tcBorders>
            <w:shd w:val="clear" w:color="auto" w:fill="FFC000"/>
            <w:vAlign w:val="center"/>
            <w:hideMark/>
          </w:tcPr>
          <w:p w14:paraId="37BA378B"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val="es-CO" w:eastAsia="es-CO"/>
              </w:rPr>
              <w:t> </w:t>
            </w:r>
          </w:p>
        </w:tc>
        <w:tc>
          <w:tcPr>
            <w:tcW w:w="349" w:type="pct"/>
            <w:tcBorders>
              <w:top w:val="nil"/>
              <w:left w:val="nil"/>
              <w:bottom w:val="single" w:sz="4" w:space="0" w:color="auto"/>
              <w:right w:val="single" w:sz="4" w:space="0" w:color="auto"/>
            </w:tcBorders>
            <w:shd w:val="clear" w:color="auto" w:fill="FFC000"/>
            <w:vAlign w:val="center"/>
            <w:hideMark/>
          </w:tcPr>
          <w:p w14:paraId="7DF1A057" w14:textId="77777777" w:rsidR="00A20990" w:rsidRPr="001A38D5" w:rsidRDefault="00A20990" w:rsidP="005140E1">
            <w:pPr>
              <w:contextualSpacing/>
              <w:jc w:val="center"/>
              <w:rPr>
                <w:rFonts w:eastAsia="Times New Roman" w:cs="Arial"/>
                <w:b/>
                <w:bCs/>
                <w:sz w:val="12"/>
                <w:szCs w:val="12"/>
                <w:lang w:val="es-CO" w:eastAsia="es-CO"/>
              </w:rPr>
            </w:pPr>
            <w:r w:rsidRPr="001A38D5">
              <w:rPr>
                <w:rFonts w:eastAsia="Times New Roman" w:cs="Arial"/>
                <w:b/>
                <w:bCs/>
                <w:sz w:val="12"/>
                <w:szCs w:val="12"/>
                <w:lang w:eastAsia="es-CO"/>
              </w:rPr>
              <w:t> </w:t>
            </w:r>
          </w:p>
        </w:tc>
      </w:tr>
      <w:tr w:rsidR="001A38D5" w:rsidRPr="001A38D5" w14:paraId="01406218"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76BF5CA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Aviso de convocatoria</w:t>
            </w:r>
          </w:p>
        </w:tc>
        <w:tc>
          <w:tcPr>
            <w:tcW w:w="292" w:type="pct"/>
            <w:tcBorders>
              <w:top w:val="nil"/>
              <w:left w:val="nil"/>
              <w:bottom w:val="single" w:sz="4" w:space="0" w:color="auto"/>
              <w:right w:val="single" w:sz="4" w:space="0" w:color="auto"/>
            </w:tcBorders>
            <w:shd w:val="clear" w:color="auto" w:fill="auto"/>
            <w:vAlign w:val="center"/>
          </w:tcPr>
          <w:p w14:paraId="2652E1B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54A9078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7393E4F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auto"/>
            <w:vAlign w:val="center"/>
            <w:hideMark/>
          </w:tcPr>
          <w:p w14:paraId="0BC4E1A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1B10B2F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6AAF2AB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5D05842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37AC447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66CBFAD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3A64353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3159A67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5754F5C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7164DFF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45F1651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auto"/>
            <w:vAlign w:val="center"/>
            <w:hideMark/>
          </w:tcPr>
          <w:p w14:paraId="58C10DE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6EFF9B28"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1DFFE52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Proyecto de pliego de condiciones </w:t>
            </w:r>
          </w:p>
        </w:tc>
        <w:tc>
          <w:tcPr>
            <w:tcW w:w="292" w:type="pct"/>
            <w:tcBorders>
              <w:top w:val="nil"/>
              <w:left w:val="nil"/>
              <w:bottom w:val="single" w:sz="4" w:space="0" w:color="auto"/>
              <w:right w:val="single" w:sz="4" w:space="0" w:color="auto"/>
            </w:tcBorders>
            <w:shd w:val="clear" w:color="auto" w:fill="auto"/>
            <w:vAlign w:val="center"/>
          </w:tcPr>
          <w:p w14:paraId="7D069FA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0227752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3EC6A40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auto"/>
            <w:vAlign w:val="center"/>
            <w:hideMark/>
          </w:tcPr>
          <w:p w14:paraId="658E626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2260ED9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7B86B4B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79CF663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2490F32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67CD927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54788A8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2F67A98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36DF47E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2ED65B0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706F343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auto"/>
            <w:vAlign w:val="center"/>
            <w:hideMark/>
          </w:tcPr>
          <w:p w14:paraId="753435C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1D622F4E"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5EF0509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Pliego de condiciones</w:t>
            </w:r>
          </w:p>
        </w:tc>
        <w:tc>
          <w:tcPr>
            <w:tcW w:w="292" w:type="pct"/>
            <w:tcBorders>
              <w:top w:val="nil"/>
              <w:left w:val="nil"/>
              <w:bottom w:val="single" w:sz="4" w:space="0" w:color="auto"/>
              <w:right w:val="single" w:sz="4" w:space="0" w:color="auto"/>
            </w:tcBorders>
            <w:shd w:val="clear" w:color="auto" w:fill="auto"/>
            <w:vAlign w:val="center"/>
          </w:tcPr>
          <w:p w14:paraId="4450322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539FF93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3B27F1D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auto"/>
            <w:vAlign w:val="center"/>
            <w:hideMark/>
          </w:tcPr>
          <w:p w14:paraId="0676B16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1280C1D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709A286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650BFD0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17F810F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22B0093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565E0D8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713A7EC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6C1ED76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763BA53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693F5FB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auto"/>
            <w:vAlign w:val="center"/>
            <w:hideMark/>
          </w:tcPr>
          <w:p w14:paraId="3F46E23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690B87CB"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5ABD817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Estudios y documentos previos</w:t>
            </w:r>
          </w:p>
        </w:tc>
        <w:tc>
          <w:tcPr>
            <w:tcW w:w="292" w:type="pct"/>
            <w:tcBorders>
              <w:top w:val="nil"/>
              <w:left w:val="nil"/>
              <w:bottom w:val="single" w:sz="4" w:space="0" w:color="auto"/>
              <w:right w:val="single" w:sz="4" w:space="0" w:color="auto"/>
            </w:tcBorders>
            <w:shd w:val="clear" w:color="auto" w:fill="auto"/>
            <w:vAlign w:val="center"/>
          </w:tcPr>
          <w:p w14:paraId="331C08D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558D22A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22778A7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auto"/>
            <w:vAlign w:val="center"/>
            <w:hideMark/>
          </w:tcPr>
          <w:p w14:paraId="5F0774E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3C1CD04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386F387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1DD7078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5D49748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660843B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661BD50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54C80A7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1946556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3A47A9B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6A467BA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49" w:type="pct"/>
            <w:tcBorders>
              <w:top w:val="nil"/>
              <w:left w:val="nil"/>
              <w:bottom w:val="single" w:sz="4" w:space="0" w:color="auto"/>
              <w:right w:val="single" w:sz="4" w:space="0" w:color="auto"/>
            </w:tcBorders>
            <w:shd w:val="clear" w:color="auto" w:fill="auto"/>
            <w:vAlign w:val="center"/>
            <w:hideMark/>
          </w:tcPr>
          <w:p w14:paraId="2D030CB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489A9291"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7A65633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Estudios del sector</w:t>
            </w:r>
          </w:p>
        </w:tc>
        <w:tc>
          <w:tcPr>
            <w:tcW w:w="292" w:type="pct"/>
            <w:tcBorders>
              <w:top w:val="nil"/>
              <w:left w:val="nil"/>
              <w:bottom w:val="single" w:sz="4" w:space="0" w:color="auto"/>
              <w:right w:val="single" w:sz="4" w:space="0" w:color="auto"/>
            </w:tcBorders>
            <w:shd w:val="clear" w:color="auto" w:fill="auto"/>
            <w:vAlign w:val="center"/>
          </w:tcPr>
          <w:p w14:paraId="1E9D1BF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0C468F8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09FBE0E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auto"/>
            <w:vAlign w:val="center"/>
            <w:hideMark/>
          </w:tcPr>
          <w:p w14:paraId="1EEF57E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5F0D1BC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14EF84B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43C3887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3F57469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123B4D3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080E32B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23BB5F8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664BC25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036B3B5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43D0CAE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349" w:type="pct"/>
            <w:tcBorders>
              <w:top w:val="nil"/>
              <w:left w:val="nil"/>
              <w:bottom w:val="single" w:sz="4" w:space="0" w:color="auto"/>
              <w:right w:val="single" w:sz="4" w:space="0" w:color="auto"/>
            </w:tcBorders>
            <w:shd w:val="clear" w:color="auto" w:fill="auto"/>
            <w:vAlign w:val="center"/>
            <w:hideMark/>
          </w:tcPr>
          <w:p w14:paraId="3C05E12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5E7016FE"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CF5ADD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Observaciones y respuesta a observaciones </w:t>
            </w:r>
          </w:p>
        </w:tc>
        <w:tc>
          <w:tcPr>
            <w:tcW w:w="292" w:type="pct"/>
            <w:tcBorders>
              <w:top w:val="nil"/>
              <w:left w:val="nil"/>
              <w:bottom w:val="single" w:sz="4" w:space="0" w:color="auto"/>
              <w:right w:val="single" w:sz="4" w:space="0" w:color="auto"/>
            </w:tcBorders>
            <w:shd w:val="clear" w:color="auto" w:fill="auto"/>
            <w:vAlign w:val="center"/>
          </w:tcPr>
          <w:p w14:paraId="281C451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5F94422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55BB8D9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auto"/>
            <w:vAlign w:val="center"/>
            <w:hideMark/>
          </w:tcPr>
          <w:p w14:paraId="1734B50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5C10893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016D7A2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5FF4A66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479F9A2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50E990F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2B6B934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58FCBC3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72CD6C2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4DBA529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7FFFE0B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auto"/>
            <w:vAlign w:val="center"/>
            <w:hideMark/>
          </w:tcPr>
          <w:p w14:paraId="165BE51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0EEE22CE"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0D2EE93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Resolución de apertura</w:t>
            </w:r>
          </w:p>
        </w:tc>
        <w:tc>
          <w:tcPr>
            <w:tcW w:w="292" w:type="pct"/>
            <w:tcBorders>
              <w:top w:val="nil"/>
              <w:left w:val="nil"/>
              <w:bottom w:val="single" w:sz="4" w:space="0" w:color="auto"/>
              <w:right w:val="single" w:sz="4" w:space="0" w:color="auto"/>
            </w:tcBorders>
            <w:shd w:val="clear" w:color="auto" w:fill="auto"/>
            <w:vAlign w:val="center"/>
          </w:tcPr>
          <w:p w14:paraId="5BB6904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05C9690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1ACE1F3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auto"/>
            <w:vAlign w:val="center"/>
            <w:hideMark/>
          </w:tcPr>
          <w:p w14:paraId="709017E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62F20F7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7B47857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01D82C8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5D30178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19032E2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2A0F2B3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22F8F58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43EF359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4AE8F3D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65DF929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auto"/>
            <w:vAlign w:val="center"/>
            <w:hideMark/>
          </w:tcPr>
          <w:p w14:paraId="4D068A2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46B8D483"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0B9F44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Adendas</w:t>
            </w:r>
          </w:p>
        </w:tc>
        <w:tc>
          <w:tcPr>
            <w:tcW w:w="292" w:type="pct"/>
            <w:tcBorders>
              <w:top w:val="nil"/>
              <w:left w:val="nil"/>
              <w:bottom w:val="single" w:sz="4" w:space="0" w:color="auto"/>
              <w:right w:val="single" w:sz="4" w:space="0" w:color="auto"/>
            </w:tcBorders>
            <w:shd w:val="clear" w:color="auto" w:fill="auto"/>
            <w:vAlign w:val="center"/>
          </w:tcPr>
          <w:p w14:paraId="58DC3D0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141E001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5DF68EA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auto"/>
            <w:vAlign w:val="center"/>
            <w:hideMark/>
          </w:tcPr>
          <w:p w14:paraId="56CB991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5BBE2F2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2A23AC6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359AD9D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10A3094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59A8E22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3EF8024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4B7D168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18D6B2C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7F9565C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216EECF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auto"/>
            <w:vAlign w:val="center"/>
            <w:hideMark/>
          </w:tcPr>
          <w:p w14:paraId="3786BAC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771E2399"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3BBD8C7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Evaluación de la licitación</w:t>
            </w:r>
          </w:p>
        </w:tc>
        <w:tc>
          <w:tcPr>
            <w:tcW w:w="292" w:type="pct"/>
            <w:tcBorders>
              <w:top w:val="nil"/>
              <w:left w:val="nil"/>
              <w:bottom w:val="single" w:sz="4" w:space="0" w:color="auto"/>
              <w:right w:val="single" w:sz="4" w:space="0" w:color="auto"/>
            </w:tcBorders>
            <w:shd w:val="clear" w:color="auto" w:fill="auto"/>
            <w:vAlign w:val="center"/>
          </w:tcPr>
          <w:p w14:paraId="71C29A2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519FC93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79F72C1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auto"/>
            <w:vAlign w:val="center"/>
            <w:hideMark/>
          </w:tcPr>
          <w:p w14:paraId="1A63DB9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03EB999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007084D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77A3C73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611DCCB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4F44528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0B1F56D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4C5366B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3698A14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186FBAA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115818F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auto"/>
            <w:vAlign w:val="center"/>
            <w:hideMark/>
          </w:tcPr>
          <w:p w14:paraId="7BC2B17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6BA55699"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5A48A5F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Acta de adjudicación</w:t>
            </w:r>
          </w:p>
        </w:tc>
        <w:tc>
          <w:tcPr>
            <w:tcW w:w="292" w:type="pct"/>
            <w:tcBorders>
              <w:top w:val="nil"/>
              <w:left w:val="nil"/>
              <w:bottom w:val="single" w:sz="4" w:space="0" w:color="auto"/>
              <w:right w:val="single" w:sz="4" w:space="0" w:color="auto"/>
            </w:tcBorders>
            <w:shd w:val="clear" w:color="auto" w:fill="auto"/>
            <w:vAlign w:val="center"/>
            <w:hideMark/>
          </w:tcPr>
          <w:p w14:paraId="301482B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1DE6D1D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3B0BE8A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auto"/>
            <w:vAlign w:val="center"/>
            <w:hideMark/>
          </w:tcPr>
          <w:p w14:paraId="52E97BE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624324F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44EDB54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6E4F47D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7283088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27EAD03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764308E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04BA4D5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7A366D3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1508593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7C53F14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auto"/>
            <w:vAlign w:val="center"/>
            <w:hideMark/>
          </w:tcPr>
          <w:p w14:paraId="3B5CA15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0C174ADC" w14:textId="77777777" w:rsidTr="001029CF">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40F811E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Resolución de Adjudicación</w:t>
            </w:r>
          </w:p>
        </w:tc>
        <w:tc>
          <w:tcPr>
            <w:tcW w:w="292" w:type="pct"/>
            <w:tcBorders>
              <w:top w:val="nil"/>
              <w:left w:val="nil"/>
              <w:bottom w:val="single" w:sz="4" w:space="0" w:color="auto"/>
              <w:right w:val="single" w:sz="4" w:space="0" w:color="auto"/>
            </w:tcBorders>
            <w:shd w:val="clear" w:color="auto" w:fill="auto"/>
            <w:vAlign w:val="center"/>
            <w:hideMark/>
          </w:tcPr>
          <w:p w14:paraId="07D4DC7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0C1A5E2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6A9ADC5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auto"/>
            <w:vAlign w:val="center"/>
            <w:hideMark/>
          </w:tcPr>
          <w:p w14:paraId="52044EE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0A539E1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44E52F6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275841B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7FDE8F6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1831496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35D9B13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7B6F3DD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75A3BB1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254E444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469EB55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auto"/>
            <w:vAlign w:val="center"/>
            <w:hideMark/>
          </w:tcPr>
          <w:p w14:paraId="51A0422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5616F58D" w14:textId="77777777" w:rsidTr="001029CF">
        <w:trPr>
          <w:trHeight w:val="20"/>
          <w:jc w:val="center"/>
        </w:trPr>
        <w:tc>
          <w:tcPr>
            <w:tcW w:w="54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49F883A" w14:textId="77777777" w:rsidR="00A20990" w:rsidRPr="001A38D5" w:rsidRDefault="00A20990" w:rsidP="005140E1">
            <w:pPr>
              <w:contextualSpacing/>
              <w:rPr>
                <w:rFonts w:eastAsia="Times New Roman" w:cs="Arial"/>
                <w:b/>
                <w:bCs/>
                <w:sz w:val="14"/>
                <w:szCs w:val="14"/>
                <w:lang w:val="es-CO" w:eastAsia="es-CO"/>
              </w:rPr>
            </w:pPr>
            <w:r w:rsidRPr="001A38D5">
              <w:rPr>
                <w:rFonts w:eastAsia="Times New Roman" w:cs="Arial"/>
                <w:b/>
                <w:bCs/>
                <w:sz w:val="14"/>
                <w:szCs w:val="14"/>
                <w:lang w:eastAsia="es-CO"/>
              </w:rPr>
              <w:t>Ejecución</w:t>
            </w:r>
          </w:p>
        </w:tc>
        <w:tc>
          <w:tcPr>
            <w:tcW w:w="292" w:type="pct"/>
            <w:tcBorders>
              <w:top w:val="single" w:sz="4" w:space="0" w:color="auto"/>
              <w:left w:val="nil"/>
              <w:bottom w:val="single" w:sz="4" w:space="0" w:color="auto"/>
              <w:right w:val="single" w:sz="4" w:space="0" w:color="auto"/>
            </w:tcBorders>
            <w:shd w:val="clear" w:color="000000" w:fill="FFC000"/>
            <w:vAlign w:val="center"/>
            <w:hideMark/>
          </w:tcPr>
          <w:p w14:paraId="2739FCA7" w14:textId="77777777" w:rsidR="00A20990" w:rsidRPr="001A38D5" w:rsidRDefault="00A20990" w:rsidP="005140E1">
            <w:pPr>
              <w:contextualSpacing/>
              <w:jc w:val="center"/>
              <w:rPr>
                <w:rFonts w:eastAsia="Times New Roman" w:cs="Arial"/>
                <w:b/>
                <w:bCs/>
                <w:sz w:val="16"/>
                <w:szCs w:val="16"/>
                <w:lang w:val="es-CO" w:eastAsia="es-CO"/>
              </w:rPr>
            </w:pPr>
          </w:p>
        </w:tc>
        <w:tc>
          <w:tcPr>
            <w:tcW w:w="316" w:type="pct"/>
            <w:tcBorders>
              <w:top w:val="single" w:sz="4" w:space="0" w:color="auto"/>
              <w:left w:val="nil"/>
              <w:bottom w:val="single" w:sz="4" w:space="0" w:color="auto"/>
              <w:right w:val="single" w:sz="4" w:space="0" w:color="auto"/>
            </w:tcBorders>
            <w:shd w:val="clear" w:color="000000" w:fill="FFC000"/>
            <w:vAlign w:val="center"/>
            <w:hideMark/>
          </w:tcPr>
          <w:p w14:paraId="769E5593" w14:textId="77777777" w:rsidR="00A20990" w:rsidRPr="001A38D5" w:rsidRDefault="00A20990" w:rsidP="005140E1">
            <w:pPr>
              <w:contextualSpacing/>
              <w:jc w:val="center"/>
              <w:rPr>
                <w:rFonts w:eastAsia="Times New Roman" w:cs="Arial"/>
                <w:b/>
                <w:bCs/>
                <w:sz w:val="16"/>
                <w:szCs w:val="16"/>
                <w:lang w:val="es-CO" w:eastAsia="es-CO"/>
              </w:rPr>
            </w:pPr>
          </w:p>
        </w:tc>
        <w:tc>
          <w:tcPr>
            <w:tcW w:w="278" w:type="pct"/>
            <w:tcBorders>
              <w:top w:val="single" w:sz="4" w:space="0" w:color="auto"/>
              <w:left w:val="nil"/>
              <w:bottom w:val="single" w:sz="4" w:space="0" w:color="auto"/>
              <w:right w:val="single" w:sz="4" w:space="0" w:color="auto"/>
            </w:tcBorders>
            <w:shd w:val="clear" w:color="000000" w:fill="FFC000"/>
            <w:vAlign w:val="center"/>
            <w:hideMark/>
          </w:tcPr>
          <w:p w14:paraId="3345F079" w14:textId="77777777" w:rsidR="00A20990" w:rsidRPr="001A38D5" w:rsidRDefault="00A20990" w:rsidP="005140E1">
            <w:pPr>
              <w:contextualSpacing/>
              <w:jc w:val="center"/>
              <w:rPr>
                <w:rFonts w:eastAsia="Times New Roman" w:cs="Arial"/>
                <w:b/>
                <w:bCs/>
                <w:sz w:val="16"/>
                <w:szCs w:val="16"/>
                <w:lang w:val="es-CO" w:eastAsia="es-CO"/>
              </w:rPr>
            </w:pPr>
          </w:p>
        </w:tc>
        <w:tc>
          <w:tcPr>
            <w:tcW w:w="292" w:type="pct"/>
            <w:tcBorders>
              <w:top w:val="single" w:sz="4" w:space="0" w:color="auto"/>
              <w:left w:val="nil"/>
              <w:bottom w:val="single" w:sz="4" w:space="0" w:color="auto"/>
              <w:right w:val="single" w:sz="4" w:space="0" w:color="auto"/>
            </w:tcBorders>
            <w:shd w:val="clear" w:color="000000" w:fill="FFC000"/>
            <w:vAlign w:val="center"/>
            <w:hideMark/>
          </w:tcPr>
          <w:p w14:paraId="1D272667" w14:textId="77777777" w:rsidR="00A20990" w:rsidRPr="001A38D5" w:rsidRDefault="00A20990" w:rsidP="005140E1">
            <w:pPr>
              <w:contextualSpacing/>
              <w:jc w:val="center"/>
              <w:rPr>
                <w:rFonts w:eastAsia="Times New Roman" w:cs="Arial"/>
                <w:b/>
                <w:bCs/>
                <w:sz w:val="16"/>
                <w:szCs w:val="16"/>
                <w:lang w:val="es-CO" w:eastAsia="es-CO"/>
              </w:rPr>
            </w:pPr>
          </w:p>
        </w:tc>
        <w:tc>
          <w:tcPr>
            <w:tcW w:w="306" w:type="pct"/>
            <w:tcBorders>
              <w:top w:val="single" w:sz="4" w:space="0" w:color="auto"/>
              <w:left w:val="nil"/>
              <w:bottom w:val="single" w:sz="4" w:space="0" w:color="auto"/>
              <w:right w:val="single" w:sz="4" w:space="0" w:color="auto"/>
            </w:tcBorders>
            <w:shd w:val="clear" w:color="000000" w:fill="FFC000"/>
            <w:vAlign w:val="center"/>
            <w:hideMark/>
          </w:tcPr>
          <w:p w14:paraId="01F90C19" w14:textId="77777777" w:rsidR="00A20990" w:rsidRPr="001A38D5" w:rsidRDefault="00A20990" w:rsidP="005140E1">
            <w:pPr>
              <w:contextualSpacing/>
              <w:jc w:val="center"/>
              <w:rPr>
                <w:rFonts w:eastAsia="Times New Roman" w:cs="Arial"/>
                <w:b/>
                <w:bCs/>
                <w:sz w:val="16"/>
                <w:szCs w:val="16"/>
                <w:lang w:val="es-CO" w:eastAsia="es-CO"/>
              </w:rPr>
            </w:pPr>
          </w:p>
        </w:tc>
        <w:tc>
          <w:tcPr>
            <w:tcW w:w="280" w:type="pct"/>
            <w:tcBorders>
              <w:top w:val="single" w:sz="4" w:space="0" w:color="auto"/>
              <w:left w:val="nil"/>
              <w:bottom w:val="single" w:sz="4" w:space="0" w:color="auto"/>
              <w:right w:val="single" w:sz="4" w:space="0" w:color="auto"/>
            </w:tcBorders>
            <w:shd w:val="clear" w:color="000000" w:fill="FFC000"/>
            <w:vAlign w:val="center"/>
            <w:hideMark/>
          </w:tcPr>
          <w:p w14:paraId="4A51C3EB" w14:textId="77777777" w:rsidR="00A20990" w:rsidRPr="001A38D5" w:rsidRDefault="00A20990" w:rsidP="005140E1">
            <w:pPr>
              <w:contextualSpacing/>
              <w:jc w:val="center"/>
              <w:rPr>
                <w:rFonts w:eastAsia="Times New Roman" w:cs="Arial"/>
                <w:b/>
                <w:bCs/>
                <w:sz w:val="16"/>
                <w:szCs w:val="16"/>
                <w:lang w:val="es-CO" w:eastAsia="es-CO"/>
              </w:rPr>
            </w:pPr>
          </w:p>
        </w:tc>
        <w:tc>
          <w:tcPr>
            <w:tcW w:w="292" w:type="pct"/>
            <w:tcBorders>
              <w:top w:val="single" w:sz="4" w:space="0" w:color="auto"/>
              <w:left w:val="nil"/>
              <w:bottom w:val="single" w:sz="4" w:space="0" w:color="auto"/>
              <w:right w:val="single" w:sz="4" w:space="0" w:color="auto"/>
            </w:tcBorders>
            <w:shd w:val="clear" w:color="000000" w:fill="FFC000"/>
            <w:vAlign w:val="center"/>
            <w:hideMark/>
          </w:tcPr>
          <w:p w14:paraId="3DD5E7FD" w14:textId="77777777" w:rsidR="00A20990" w:rsidRPr="001A38D5" w:rsidRDefault="00A20990" w:rsidP="005140E1">
            <w:pPr>
              <w:contextualSpacing/>
              <w:jc w:val="center"/>
              <w:rPr>
                <w:rFonts w:eastAsia="Times New Roman" w:cs="Arial"/>
                <w:b/>
                <w:bCs/>
                <w:sz w:val="16"/>
                <w:szCs w:val="16"/>
                <w:lang w:val="es-CO" w:eastAsia="es-CO"/>
              </w:rPr>
            </w:pPr>
          </w:p>
        </w:tc>
        <w:tc>
          <w:tcPr>
            <w:tcW w:w="292" w:type="pct"/>
            <w:tcBorders>
              <w:top w:val="single" w:sz="4" w:space="0" w:color="auto"/>
              <w:left w:val="nil"/>
              <w:bottom w:val="single" w:sz="4" w:space="0" w:color="auto"/>
              <w:right w:val="single" w:sz="4" w:space="0" w:color="auto"/>
            </w:tcBorders>
            <w:shd w:val="clear" w:color="000000" w:fill="FFC000"/>
            <w:vAlign w:val="center"/>
            <w:hideMark/>
          </w:tcPr>
          <w:p w14:paraId="5231A8AE" w14:textId="77777777" w:rsidR="00A20990" w:rsidRPr="001A38D5" w:rsidRDefault="00A20990" w:rsidP="005140E1">
            <w:pPr>
              <w:contextualSpacing/>
              <w:jc w:val="center"/>
              <w:rPr>
                <w:rFonts w:eastAsia="Times New Roman" w:cs="Arial"/>
                <w:b/>
                <w:bCs/>
                <w:sz w:val="16"/>
                <w:szCs w:val="16"/>
                <w:lang w:val="es-CO" w:eastAsia="es-CO"/>
              </w:rPr>
            </w:pPr>
          </w:p>
        </w:tc>
        <w:tc>
          <w:tcPr>
            <w:tcW w:w="349" w:type="pct"/>
            <w:tcBorders>
              <w:top w:val="single" w:sz="4" w:space="0" w:color="auto"/>
              <w:left w:val="nil"/>
              <w:bottom w:val="single" w:sz="4" w:space="0" w:color="auto"/>
              <w:right w:val="single" w:sz="4" w:space="0" w:color="auto"/>
            </w:tcBorders>
            <w:shd w:val="clear" w:color="000000" w:fill="FFC000"/>
            <w:vAlign w:val="center"/>
            <w:hideMark/>
          </w:tcPr>
          <w:p w14:paraId="5620F7E5" w14:textId="77777777" w:rsidR="00A20990" w:rsidRPr="001A38D5" w:rsidRDefault="00A20990" w:rsidP="005140E1">
            <w:pPr>
              <w:contextualSpacing/>
              <w:jc w:val="center"/>
              <w:rPr>
                <w:rFonts w:eastAsia="Times New Roman" w:cs="Arial"/>
                <w:b/>
                <w:bCs/>
                <w:sz w:val="16"/>
                <w:szCs w:val="16"/>
                <w:lang w:val="es-CO" w:eastAsia="es-CO"/>
              </w:rPr>
            </w:pPr>
          </w:p>
        </w:tc>
        <w:tc>
          <w:tcPr>
            <w:tcW w:w="281" w:type="pct"/>
            <w:tcBorders>
              <w:top w:val="single" w:sz="4" w:space="0" w:color="auto"/>
              <w:left w:val="nil"/>
              <w:bottom w:val="single" w:sz="4" w:space="0" w:color="auto"/>
              <w:right w:val="single" w:sz="4" w:space="0" w:color="auto"/>
            </w:tcBorders>
            <w:shd w:val="clear" w:color="000000" w:fill="FFC000"/>
            <w:vAlign w:val="center"/>
            <w:hideMark/>
          </w:tcPr>
          <w:p w14:paraId="49D3007B" w14:textId="77777777" w:rsidR="00A20990" w:rsidRPr="001A38D5" w:rsidRDefault="00A20990" w:rsidP="005140E1">
            <w:pPr>
              <w:contextualSpacing/>
              <w:jc w:val="center"/>
              <w:rPr>
                <w:rFonts w:eastAsia="Times New Roman" w:cs="Arial"/>
                <w:b/>
                <w:bCs/>
                <w:sz w:val="16"/>
                <w:szCs w:val="16"/>
                <w:lang w:val="es-CO" w:eastAsia="es-CO"/>
              </w:rPr>
            </w:pPr>
          </w:p>
        </w:tc>
        <w:tc>
          <w:tcPr>
            <w:tcW w:w="281" w:type="pct"/>
            <w:tcBorders>
              <w:top w:val="single" w:sz="4" w:space="0" w:color="auto"/>
              <w:left w:val="nil"/>
              <w:bottom w:val="single" w:sz="4" w:space="0" w:color="auto"/>
              <w:right w:val="single" w:sz="4" w:space="0" w:color="auto"/>
            </w:tcBorders>
            <w:shd w:val="clear" w:color="000000" w:fill="FFC000"/>
            <w:vAlign w:val="center"/>
            <w:hideMark/>
          </w:tcPr>
          <w:p w14:paraId="3EC644ED" w14:textId="77777777" w:rsidR="00A20990" w:rsidRPr="001A38D5" w:rsidRDefault="00A20990" w:rsidP="005140E1">
            <w:pPr>
              <w:contextualSpacing/>
              <w:jc w:val="center"/>
              <w:rPr>
                <w:rFonts w:eastAsia="Times New Roman" w:cs="Arial"/>
                <w:b/>
                <w:bCs/>
                <w:sz w:val="16"/>
                <w:szCs w:val="16"/>
                <w:lang w:val="es-CO" w:eastAsia="es-CO"/>
              </w:rPr>
            </w:pPr>
          </w:p>
        </w:tc>
        <w:tc>
          <w:tcPr>
            <w:tcW w:w="282" w:type="pct"/>
            <w:tcBorders>
              <w:top w:val="single" w:sz="4" w:space="0" w:color="auto"/>
              <w:left w:val="nil"/>
              <w:bottom w:val="single" w:sz="4" w:space="0" w:color="auto"/>
              <w:right w:val="single" w:sz="4" w:space="0" w:color="auto"/>
            </w:tcBorders>
            <w:shd w:val="clear" w:color="000000" w:fill="FFC000"/>
            <w:vAlign w:val="center"/>
            <w:hideMark/>
          </w:tcPr>
          <w:p w14:paraId="574F148F" w14:textId="77777777" w:rsidR="00A20990" w:rsidRPr="001A38D5" w:rsidRDefault="00A20990" w:rsidP="005140E1">
            <w:pPr>
              <w:contextualSpacing/>
              <w:jc w:val="center"/>
              <w:rPr>
                <w:rFonts w:eastAsia="Times New Roman" w:cs="Arial"/>
                <w:b/>
                <w:bCs/>
                <w:sz w:val="16"/>
                <w:szCs w:val="16"/>
                <w:lang w:val="es-CO" w:eastAsia="es-CO"/>
              </w:rPr>
            </w:pPr>
          </w:p>
        </w:tc>
        <w:tc>
          <w:tcPr>
            <w:tcW w:w="281" w:type="pct"/>
            <w:tcBorders>
              <w:top w:val="single" w:sz="4" w:space="0" w:color="auto"/>
              <w:left w:val="nil"/>
              <w:bottom w:val="single" w:sz="4" w:space="0" w:color="auto"/>
              <w:right w:val="single" w:sz="4" w:space="0" w:color="auto"/>
            </w:tcBorders>
            <w:shd w:val="clear" w:color="000000" w:fill="FFC000"/>
            <w:vAlign w:val="center"/>
            <w:hideMark/>
          </w:tcPr>
          <w:p w14:paraId="0FD49156" w14:textId="77777777" w:rsidR="00A20990" w:rsidRPr="001A38D5" w:rsidRDefault="00A20990" w:rsidP="005140E1">
            <w:pPr>
              <w:contextualSpacing/>
              <w:jc w:val="center"/>
              <w:rPr>
                <w:rFonts w:eastAsia="Times New Roman" w:cs="Arial"/>
                <w:b/>
                <w:bCs/>
                <w:sz w:val="16"/>
                <w:szCs w:val="16"/>
                <w:lang w:val="es-CO" w:eastAsia="es-CO"/>
              </w:rPr>
            </w:pPr>
          </w:p>
        </w:tc>
        <w:tc>
          <w:tcPr>
            <w:tcW w:w="281" w:type="pct"/>
            <w:tcBorders>
              <w:top w:val="single" w:sz="4" w:space="0" w:color="auto"/>
              <w:left w:val="nil"/>
              <w:bottom w:val="single" w:sz="4" w:space="0" w:color="auto"/>
              <w:right w:val="single" w:sz="4" w:space="0" w:color="auto"/>
            </w:tcBorders>
            <w:shd w:val="clear" w:color="000000" w:fill="FFC000"/>
            <w:vAlign w:val="center"/>
            <w:hideMark/>
          </w:tcPr>
          <w:p w14:paraId="68D84C7B" w14:textId="77777777" w:rsidR="00A20990" w:rsidRPr="001A38D5" w:rsidRDefault="00A20990" w:rsidP="005140E1">
            <w:pPr>
              <w:contextualSpacing/>
              <w:jc w:val="center"/>
              <w:rPr>
                <w:rFonts w:eastAsia="Times New Roman" w:cs="Arial"/>
                <w:b/>
                <w:bCs/>
                <w:sz w:val="16"/>
                <w:szCs w:val="16"/>
                <w:lang w:val="es-CO" w:eastAsia="es-CO"/>
              </w:rPr>
            </w:pPr>
          </w:p>
        </w:tc>
        <w:tc>
          <w:tcPr>
            <w:tcW w:w="349" w:type="pct"/>
            <w:tcBorders>
              <w:top w:val="single" w:sz="4" w:space="0" w:color="auto"/>
              <w:left w:val="nil"/>
              <w:bottom w:val="single" w:sz="4" w:space="0" w:color="auto"/>
              <w:right w:val="single" w:sz="4" w:space="0" w:color="auto"/>
            </w:tcBorders>
            <w:shd w:val="clear" w:color="000000" w:fill="FFC000"/>
            <w:vAlign w:val="center"/>
            <w:hideMark/>
          </w:tcPr>
          <w:p w14:paraId="4CFB0C62" w14:textId="77777777" w:rsidR="00A20990" w:rsidRPr="001A38D5" w:rsidRDefault="00A20990" w:rsidP="005140E1">
            <w:pPr>
              <w:contextualSpacing/>
              <w:jc w:val="center"/>
              <w:rPr>
                <w:rFonts w:eastAsia="Times New Roman" w:cs="Arial"/>
                <w:b/>
                <w:bCs/>
                <w:sz w:val="16"/>
                <w:szCs w:val="16"/>
                <w:lang w:val="es-CO" w:eastAsia="es-CO"/>
              </w:rPr>
            </w:pPr>
          </w:p>
        </w:tc>
      </w:tr>
      <w:tr w:rsidR="001A38D5" w:rsidRPr="001A38D5" w14:paraId="496283A7"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49D6F5E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Contrato</w:t>
            </w:r>
          </w:p>
        </w:tc>
        <w:tc>
          <w:tcPr>
            <w:tcW w:w="292" w:type="pct"/>
            <w:tcBorders>
              <w:top w:val="nil"/>
              <w:left w:val="nil"/>
              <w:bottom w:val="single" w:sz="4" w:space="0" w:color="auto"/>
              <w:right w:val="single" w:sz="4" w:space="0" w:color="auto"/>
            </w:tcBorders>
            <w:shd w:val="clear" w:color="auto" w:fill="auto"/>
            <w:vAlign w:val="center"/>
            <w:hideMark/>
          </w:tcPr>
          <w:p w14:paraId="56A50E1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151A5A6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2F0AF74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auto"/>
            <w:vAlign w:val="center"/>
            <w:hideMark/>
          </w:tcPr>
          <w:p w14:paraId="52BD8B8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4C9DA17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5649192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4D56670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06BB2F1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5609698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42215AE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14A8E5A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2E7EDEB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5432919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3307D41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49" w:type="pct"/>
            <w:tcBorders>
              <w:top w:val="nil"/>
              <w:left w:val="nil"/>
              <w:bottom w:val="single" w:sz="4" w:space="0" w:color="auto"/>
              <w:right w:val="single" w:sz="4" w:space="0" w:color="auto"/>
            </w:tcBorders>
            <w:shd w:val="clear" w:color="auto" w:fill="auto"/>
            <w:vAlign w:val="center"/>
            <w:hideMark/>
          </w:tcPr>
          <w:p w14:paraId="4E5FB9A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625A8337"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3616FC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Acta de inicio</w:t>
            </w:r>
          </w:p>
        </w:tc>
        <w:tc>
          <w:tcPr>
            <w:tcW w:w="292" w:type="pct"/>
            <w:tcBorders>
              <w:top w:val="nil"/>
              <w:left w:val="nil"/>
              <w:bottom w:val="single" w:sz="4" w:space="0" w:color="auto"/>
              <w:right w:val="single" w:sz="4" w:space="0" w:color="auto"/>
            </w:tcBorders>
            <w:shd w:val="clear" w:color="auto" w:fill="auto"/>
            <w:vAlign w:val="center"/>
            <w:hideMark/>
          </w:tcPr>
          <w:p w14:paraId="2C0A753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283FC13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F2DBDB" w:themeFill="accent2" w:themeFillTint="33"/>
            <w:vAlign w:val="center"/>
            <w:hideMark/>
          </w:tcPr>
          <w:p w14:paraId="30E3DC4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92" w:type="pct"/>
            <w:tcBorders>
              <w:top w:val="nil"/>
              <w:left w:val="nil"/>
              <w:bottom w:val="single" w:sz="4" w:space="0" w:color="auto"/>
              <w:right w:val="single" w:sz="4" w:space="0" w:color="auto"/>
            </w:tcBorders>
            <w:shd w:val="clear" w:color="auto" w:fill="auto"/>
            <w:vAlign w:val="center"/>
            <w:hideMark/>
          </w:tcPr>
          <w:p w14:paraId="308586D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0D9224F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3AA2040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748185F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27FE280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5C519A2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4194E58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0836277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F2DBDB" w:themeFill="accent2" w:themeFillTint="33"/>
            <w:vAlign w:val="center"/>
            <w:hideMark/>
          </w:tcPr>
          <w:p w14:paraId="2094B54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81" w:type="pct"/>
            <w:tcBorders>
              <w:top w:val="nil"/>
              <w:left w:val="nil"/>
              <w:bottom w:val="single" w:sz="4" w:space="0" w:color="auto"/>
              <w:right w:val="single" w:sz="4" w:space="0" w:color="auto"/>
            </w:tcBorders>
            <w:shd w:val="clear" w:color="auto" w:fill="auto"/>
            <w:vAlign w:val="center"/>
            <w:hideMark/>
          </w:tcPr>
          <w:p w14:paraId="03FB55B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5C13F6B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349" w:type="pct"/>
            <w:tcBorders>
              <w:top w:val="nil"/>
              <w:left w:val="nil"/>
              <w:bottom w:val="single" w:sz="4" w:space="0" w:color="auto"/>
              <w:right w:val="single" w:sz="4" w:space="0" w:color="auto"/>
            </w:tcBorders>
            <w:shd w:val="clear" w:color="auto" w:fill="auto"/>
            <w:vAlign w:val="center"/>
            <w:hideMark/>
          </w:tcPr>
          <w:p w14:paraId="04EBBA6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7E0C4F0F"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4568BC9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Aprobación de la póliza </w:t>
            </w:r>
          </w:p>
        </w:tc>
        <w:tc>
          <w:tcPr>
            <w:tcW w:w="292" w:type="pct"/>
            <w:tcBorders>
              <w:top w:val="nil"/>
              <w:left w:val="nil"/>
              <w:bottom w:val="single" w:sz="4" w:space="0" w:color="auto"/>
              <w:right w:val="single" w:sz="4" w:space="0" w:color="auto"/>
            </w:tcBorders>
            <w:shd w:val="clear" w:color="auto" w:fill="F2DBDB" w:themeFill="accent2" w:themeFillTint="33"/>
            <w:vAlign w:val="center"/>
          </w:tcPr>
          <w:p w14:paraId="5E18682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316" w:type="pct"/>
            <w:tcBorders>
              <w:top w:val="nil"/>
              <w:left w:val="nil"/>
              <w:bottom w:val="single" w:sz="4" w:space="0" w:color="auto"/>
              <w:right w:val="single" w:sz="4" w:space="0" w:color="auto"/>
            </w:tcBorders>
            <w:shd w:val="clear" w:color="auto" w:fill="F2DBDB" w:themeFill="accent2" w:themeFillTint="33"/>
            <w:vAlign w:val="center"/>
            <w:hideMark/>
          </w:tcPr>
          <w:p w14:paraId="6960F5A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78" w:type="pct"/>
            <w:tcBorders>
              <w:top w:val="nil"/>
              <w:left w:val="nil"/>
              <w:bottom w:val="single" w:sz="4" w:space="0" w:color="auto"/>
              <w:right w:val="single" w:sz="4" w:space="0" w:color="auto"/>
            </w:tcBorders>
            <w:shd w:val="clear" w:color="auto" w:fill="auto"/>
            <w:vAlign w:val="center"/>
            <w:hideMark/>
          </w:tcPr>
          <w:p w14:paraId="47BC5B0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auto"/>
            <w:vAlign w:val="center"/>
            <w:hideMark/>
          </w:tcPr>
          <w:p w14:paraId="1FFC520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F2DBDB" w:themeFill="accent2" w:themeFillTint="33"/>
            <w:vAlign w:val="center"/>
            <w:hideMark/>
          </w:tcPr>
          <w:p w14:paraId="2DE41C3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80" w:type="pct"/>
            <w:tcBorders>
              <w:top w:val="nil"/>
              <w:left w:val="nil"/>
              <w:bottom w:val="single" w:sz="4" w:space="0" w:color="auto"/>
              <w:right w:val="single" w:sz="4" w:space="0" w:color="auto"/>
            </w:tcBorders>
            <w:shd w:val="clear" w:color="auto" w:fill="auto"/>
            <w:vAlign w:val="center"/>
            <w:hideMark/>
          </w:tcPr>
          <w:p w14:paraId="231AD72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57BD9C7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2029114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628958B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4A1C4E1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3AED001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3128E7C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0951192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073E04A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49" w:type="pct"/>
            <w:tcBorders>
              <w:top w:val="nil"/>
              <w:left w:val="nil"/>
              <w:bottom w:val="single" w:sz="4" w:space="0" w:color="auto"/>
              <w:right w:val="single" w:sz="4" w:space="0" w:color="auto"/>
            </w:tcBorders>
            <w:shd w:val="clear" w:color="auto" w:fill="auto"/>
            <w:vAlign w:val="center"/>
            <w:hideMark/>
          </w:tcPr>
          <w:p w14:paraId="7144F8D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11EBF4EE"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394200B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Póliza </w:t>
            </w:r>
          </w:p>
        </w:tc>
        <w:tc>
          <w:tcPr>
            <w:tcW w:w="292" w:type="pct"/>
            <w:tcBorders>
              <w:top w:val="nil"/>
              <w:left w:val="nil"/>
              <w:bottom w:val="single" w:sz="4" w:space="0" w:color="auto"/>
              <w:right w:val="single" w:sz="4" w:space="0" w:color="auto"/>
            </w:tcBorders>
            <w:shd w:val="clear" w:color="auto" w:fill="F2DBDB" w:themeFill="accent2" w:themeFillTint="33"/>
            <w:vAlign w:val="center"/>
          </w:tcPr>
          <w:p w14:paraId="34232A1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316" w:type="pct"/>
            <w:tcBorders>
              <w:top w:val="nil"/>
              <w:left w:val="nil"/>
              <w:bottom w:val="single" w:sz="4" w:space="0" w:color="auto"/>
              <w:right w:val="single" w:sz="4" w:space="0" w:color="auto"/>
            </w:tcBorders>
            <w:shd w:val="clear" w:color="auto" w:fill="F2DBDB" w:themeFill="accent2" w:themeFillTint="33"/>
            <w:vAlign w:val="center"/>
            <w:hideMark/>
          </w:tcPr>
          <w:p w14:paraId="4413004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78" w:type="pct"/>
            <w:tcBorders>
              <w:top w:val="nil"/>
              <w:left w:val="nil"/>
              <w:bottom w:val="single" w:sz="4" w:space="0" w:color="auto"/>
              <w:right w:val="single" w:sz="4" w:space="0" w:color="auto"/>
            </w:tcBorders>
            <w:shd w:val="clear" w:color="auto" w:fill="F2DBDB" w:themeFill="accent2" w:themeFillTint="33"/>
            <w:vAlign w:val="center"/>
            <w:hideMark/>
          </w:tcPr>
          <w:p w14:paraId="27FFC0E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92" w:type="pct"/>
            <w:tcBorders>
              <w:top w:val="nil"/>
              <w:left w:val="nil"/>
              <w:bottom w:val="single" w:sz="4" w:space="0" w:color="auto"/>
              <w:right w:val="single" w:sz="4" w:space="0" w:color="auto"/>
            </w:tcBorders>
            <w:shd w:val="clear" w:color="auto" w:fill="auto"/>
            <w:vAlign w:val="center"/>
            <w:hideMark/>
          </w:tcPr>
          <w:p w14:paraId="1997139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53D8376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28D1CA8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13525BC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5998B65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5299076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53BD7FF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27E2EB2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476397B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52BF7CC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1722B47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49" w:type="pct"/>
            <w:tcBorders>
              <w:top w:val="nil"/>
              <w:left w:val="nil"/>
              <w:bottom w:val="single" w:sz="4" w:space="0" w:color="auto"/>
              <w:right w:val="single" w:sz="4" w:space="0" w:color="auto"/>
            </w:tcBorders>
            <w:shd w:val="clear" w:color="auto" w:fill="auto"/>
            <w:vAlign w:val="center"/>
            <w:hideMark/>
          </w:tcPr>
          <w:p w14:paraId="2971E85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38C04B2C"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24200A5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Informes de supervisión </w:t>
            </w:r>
          </w:p>
        </w:tc>
        <w:tc>
          <w:tcPr>
            <w:tcW w:w="292" w:type="pct"/>
            <w:tcBorders>
              <w:top w:val="nil"/>
              <w:left w:val="nil"/>
              <w:bottom w:val="single" w:sz="4" w:space="0" w:color="auto"/>
              <w:right w:val="single" w:sz="4" w:space="0" w:color="auto"/>
            </w:tcBorders>
            <w:shd w:val="clear" w:color="auto" w:fill="auto"/>
            <w:vAlign w:val="center"/>
            <w:hideMark/>
          </w:tcPr>
          <w:p w14:paraId="7C39175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3542961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5683DC1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auto"/>
            <w:vAlign w:val="center"/>
            <w:hideMark/>
          </w:tcPr>
          <w:p w14:paraId="1B9E8CD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2C8DAF9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52969A2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76A5E4D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554948A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7773FC4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37A183E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4A4D648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16161FF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69D5959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41D948B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49" w:type="pct"/>
            <w:tcBorders>
              <w:top w:val="nil"/>
              <w:left w:val="nil"/>
              <w:bottom w:val="single" w:sz="4" w:space="0" w:color="auto"/>
              <w:right w:val="single" w:sz="4" w:space="0" w:color="auto"/>
            </w:tcBorders>
            <w:shd w:val="clear" w:color="auto" w:fill="FFFFFF" w:themeFill="background1"/>
            <w:vAlign w:val="center"/>
            <w:hideMark/>
          </w:tcPr>
          <w:p w14:paraId="47C702B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792900F4"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4410BA4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Modificaciones</w:t>
            </w:r>
          </w:p>
        </w:tc>
        <w:tc>
          <w:tcPr>
            <w:tcW w:w="292" w:type="pct"/>
            <w:tcBorders>
              <w:top w:val="nil"/>
              <w:left w:val="nil"/>
              <w:bottom w:val="single" w:sz="4" w:space="0" w:color="auto"/>
              <w:right w:val="single" w:sz="4" w:space="0" w:color="auto"/>
            </w:tcBorders>
            <w:shd w:val="clear" w:color="auto" w:fill="auto"/>
            <w:vAlign w:val="center"/>
            <w:hideMark/>
          </w:tcPr>
          <w:p w14:paraId="50C6900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6C9047C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761E014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auto"/>
            <w:vAlign w:val="center"/>
            <w:hideMark/>
          </w:tcPr>
          <w:p w14:paraId="7823909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076F4A6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5385040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30F8D23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54A4847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467B44F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021283B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1B54BDB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1CFF812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1109C9C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3F8F65C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49" w:type="pct"/>
            <w:tcBorders>
              <w:top w:val="nil"/>
              <w:left w:val="nil"/>
              <w:bottom w:val="single" w:sz="4" w:space="0" w:color="auto"/>
              <w:right w:val="single" w:sz="4" w:space="0" w:color="auto"/>
            </w:tcBorders>
            <w:shd w:val="clear" w:color="auto" w:fill="auto"/>
            <w:vAlign w:val="center"/>
            <w:hideMark/>
          </w:tcPr>
          <w:p w14:paraId="7B409F3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1EBCF79A" w14:textId="77777777" w:rsidTr="001029CF">
        <w:trPr>
          <w:trHeight w:val="6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35169A2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RP </w:t>
            </w:r>
          </w:p>
        </w:tc>
        <w:tc>
          <w:tcPr>
            <w:tcW w:w="292" w:type="pct"/>
            <w:tcBorders>
              <w:top w:val="nil"/>
              <w:left w:val="nil"/>
              <w:bottom w:val="single" w:sz="4" w:space="0" w:color="auto"/>
              <w:right w:val="single" w:sz="4" w:space="0" w:color="auto"/>
            </w:tcBorders>
            <w:shd w:val="clear" w:color="auto" w:fill="auto"/>
            <w:vAlign w:val="center"/>
            <w:hideMark/>
          </w:tcPr>
          <w:p w14:paraId="3F23F02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60C1E8C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0A0C12D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auto"/>
            <w:vAlign w:val="center"/>
            <w:hideMark/>
          </w:tcPr>
          <w:p w14:paraId="0C3C190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7897ECB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7762036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062939E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769ED7E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46CEF28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0C3BAF1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68B9C59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2" w:type="pct"/>
            <w:tcBorders>
              <w:top w:val="nil"/>
              <w:left w:val="nil"/>
              <w:bottom w:val="single" w:sz="4" w:space="0" w:color="auto"/>
              <w:right w:val="single" w:sz="4" w:space="0" w:color="auto"/>
            </w:tcBorders>
            <w:shd w:val="clear" w:color="auto" w:fill="auto"/>
            <w:vAlign w:val="center"/>
            <w:hideMark/>
          </w:tcPr>
          <w:p w14:paraId="39DE652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23DBA2E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3C06071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49" w:type="pct"/>
            <w:tcBorders>
              <w:top w:val="nil"/>
              <w:left w:val="nil"/>
              <w:bottom w:val="single" w:sz="4" w:space="0" w:color="auto"/>
              <w:right w:val="single" w:sz="4" w:space="0" w:color="auto"/>
            </w:tcBorders>
            <w:shd w:val="clear" w:color="auto" w:fill="auto"/>
            <w:vAlign w:val="center"/>
            <w:hideMark/>
          </w:tcPr>
          <w:p w14:paraId="4E4A982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4CB4ADC5" w14:textId="77777777" w:rsidTr="001029CF">
        <w:trPr>
          <w:trHeight w:val="20"/>
          <w:jc w:val="center"/>
        </w:trPr>
        <w:tc>
          <w:tcPr>
            <w:tcW w:w="54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2738F15" w14:textId="77777777" w:rsidR="00A20990" w:rsidRPr="001A38D5" w:rsidRDefault="00A20990" w:rsidP="005140E1">
            <w:pPr>
              <w:contextualSpacing/>
              <w:rPr>
                <w:rFonts w:eastAsia="Times New Roman" w:cs="Arial"/>
                <w:b/>
                <w:bCs/>
                <w:sz w:val="14"/>
                <w:szCs w:val="14"/>
                <w:lang w:val="es-CO" w:eastAsia="es-CO"/>
              </w:rPr>
            </w:pPr>
            <w:r w:rsidRPr="001A38D5">
              <w:rPr>
                <w:rFonts w:eastAsia="Times New Roman" w:cs="Arial"/>
                <w:b/>
                <w:bCs/>
                <w:sz w:val="14"/>
                <w:szCs w:val="14"/>
                <w:lang w:eastAsia="es-CO"/>
              </w:rPr>
              <w:t>Poscontrac</w:t>
            </w:r>
            <w:r w:rsidR="007D606A">
              <w:rPr>
                <w:rFonts w:eastAsia="Times New Roman" w:cs="Arial"/>
                <w:b/>
                <w:bCs/>
                <w:sz w:val="14"/>
                <w:szCs w:val="14"/>
                <w:lang w:eastAsia="es-CO"/>
              </w:rPr>
              <w:t>-</w:t>
            </w:r>
            <w:r w:rsidRPr="001A38D5">
              <w:rPr>
                <w:rFonts w:eastAsia="Times New Roman" w:cs="Arial"/>
                <w:b/>
                <w:bCs/>
                <w:sz w:val="14"/>
                <w:szCs w:val="14"/>
                <w:lang w:eastAsia="es-CO"/>
              </w:rPr>
              <w:t>tual</w:t>
            </w:r>
          </w:p>
        </w:tc>
        <w:tc>
          <w:tcPr>
            <w:tcW w:w="292" w:type="pct"/>
            <w:tcBorders>
              <w:top w:val="single" w:sz="4" w:space="0" w:color="auto"/>
              <w:left w:val="nil"/>
              <w:bottom w:val="single" w:sz="4" w:space="0" w:color="auto"/>
              <w:right w:val="single" w:sz="4" w:space="0" w:color="auto"/>
            </w:tcBorders>
            <w:shd w:val="clear" w:color="000000" w:fill="FFC000"/>
            <w:vAlign w:val="center"/>
            <w:hideMark/>
          </w:tcPr>
          <w:p w14:paraId="3645050D" w14:textId="77777777" w:rsidR="00A20990" w:rsidRPr="001A38D5" w:rsidRDefault="00A20990" w:rsidP="005140E1">
            <w:pPr>
              <w:contextualSpacing/>
              <w:jc w:val="center"/>
              <w:rPr>
                <w:rFonts w:eastAsia="Times New Roman" w:cs="Arial"/>
                <w:b/>
                <w:bCs/>
                <w:sz w:val="16"/>
                <w:szCs w:val="16"/>
                <w:lang w:val="es-CO" w:eastAsia="es-CO"/>
              </w:rPr>
            </w:pPr>
          </w:p>
        </w:tc>
        <w:tc>
          <w:tcPr>
            <w:tcW w:w="316" w:type="pct"/>
            <w:tcBorders>
              <w:top w:val="single" w:sz="4" w:space="0" w:color="auto"/>
              <w:left w:val="nil"/>
              <w:bottom w:val="single" w:sz="4" w:space="0" w:color="auto"/>
              <w:right w:val="single" w:sz="4" w:space="0" w:color="auto"/>
            </w:tcBorders>
            <w:shd w:val="clear" w:color="000000" w:fill="FFC000"/>
            <w:vAlign w:val="center"/>
            <w:hideMark/>
          </w:tcPr>
          <w:p w14:paraId="10DF9732" w14:textId="77777777" w:rsidR="00A20990" w:rsidRPr="001A38D5" w:rsidRDefault="00A20990" w:rsidP="005140E1">
            <w:pPr>
              <w:contextualSpacing/>
              <w:jc w:val="center"/>
              <w:rPr>
                <w:rFonts w:eastAsia="Times New Roman" w:cs="Arial"/>
                <w:b/>
                <w:bCs/>
                <w:sz w:val="16"/>
                <w:szCs w:val="16"/>
                <w:lang w:val="es-CO" w:eastAsia="es-CO"/>
              </w:rPr>
            </w:pPr>
          </w:p>
        </w:tc>
        <w:tc>
          <w:tcPr>
            <w:tcW w:w="278" w:type="pct"/>
            <w:tcBorders>
              <w:top w:val="single" w:sz="4" w:space="0" w:color="auto"/>
              <w:left w:val="nil"/>
              <w:bottom w:val="single" w:sz="4" w:space="0" w:color="auto"/>
              <w:right w:val="single" w:sz="4" w:space="0" w:color="auto"/>
            </w:tcBorders>
            <w:shd w:val="clear" w:color="000000" w:fill="FFC000"/>
            <w:vAlign w:val="center"/>
            <w:hideMark/>
          </w:tcPr>
          <w:p w14:paraId="6CB819FA" w14:textId="77777777" w:rsidR="00A20990" w:rsidRPr="001A38D5" w:rsidRDefault="00A20990" w:rsidP="005140E1">
            <w:pPr>
              <w:contextualSpacing/>
              <w:jc w:val="center"/>
              <w:rPr>
                <w:rFonts w:eastAsia="Times New Roman" w:cs="Arial"/>
                <w:b/>
                <w:bCs/>
                <w:sz w:val="16"/>
                <w:szCs w:val="16"/>
                <w:lang w:val="es-CO" w:eastAsia="es-CO"/>
              </w:rPr>
            </w:pPr>
          </w:p>
        </w:tc>
        <w:tc>
          <w:tcPr>
            <w:tcW w:w="292" w:type="pct"/>
            <w:tcBorders>
              <w:top w:val="single" w:sz="4" w:space="0" w:color="auto"/>
              <w:left w:val="nil"/>
              <w:bottom w:val="single" w:sz="4" w:space="0" w:color="auto"/>
              <w:right w:val="single" w:sz="4" w:space="0" w:color="auto"/>
            </w:tcBorders>
            <w:shd w:val="clear" w:color="000000" w:fill="FFC000"/>
            <w:vAlign w:val="center"/>
            <w:hideMark/>
          </w:tcPr>
          <w:p w14:paraId="6DC96A3A" w14:textId="77777777" w:rsidR="00A20990" w:rsidRPr="001A38D5" w:rsidRDefault="00A20990" w:rsidP="005140E1">
            <w:pPr>
              <w:contextualSpacing/>
              <w:jc w:val="center"/>
              <w:rPr>
                <w:rFonts w:eastAsia="Times New Roman" w:cs="Arial"/>
                <w:b/>
                <w:bCs/>
                <w:sz w:val="16"/>
                <w:szCs w:val="16"/>
                <w:lang w:val="es-CO" w:eastAsia="es-CO"/>
              </w:rPr>
            </w:pPr>
          </w:p>
        </w:tc>
        <w:tc>
          <w:tcPr>
            <w:tcW w:w="306" w:type="pct"/>
            <w:tcBorders>
              <w:top w:val="single" w:sz="4" w:space="0" w:color="auto"/>
              <w:left w:val="nil"/>
              <w:bottom w:val="single" w:sz="4" w:space="0" w:color="auto"/>
              <w:right w:val="single" w:sz="4" w:space="0" w:color="auto"/>
            </w:tcBorders>
            <w:shd w:val="clear" w:color="000000" w:fill="FFC000"/>
            <w:vAlign w:val="center"/>
            <w:hideMark/>
          </w:tcPr>
          <w:p w14:paraId="62FD2E2D" w14:textId="77777777" w:rsidR="00A20990" w:rsidRPr="001A38D5" w:rsidRDefault="00A20990" w:rsidP="005140E1">
            <w:pPr>
              <w:contextualSpacing/>
              <w:jc w:val="center"/>
              <w:rPr>
                <w:rFonts w:eastAsia="Times New Roman" w:cs="Arial"/>
                <w:b/>
                <w:bCs/>
                <w:sz w:val="16"/>
                <w:szCs w:val="16"/>
                <w:lang w:val="es-CO" w:eastAsia="es-CO"/>
              </w:rPr>
            </w:pPr>
          </w:p>
        </w:tc>
        <w:tc>
          <w:tcPr>
            <w:tcW w:w="280" w:type="pct"/>
            <w:tcBorders>
              <w:top w:val="single" w:sz="4" w:space="0" w:color="auto"/>
              <w:left w:val="nil"/>
              <w:bottom w:val="single" w:sz="4" w:space="0" w:color="auto"/>
              <w:right w:val="single" w:sz="4" w:space="0" w:color="auto"/>
            </w:tcBorders>
            <w:shd w:val="clear" w:color="000000" w:fill="FFC000"/>
            <w:vAlign w:val="center"/>
            <w:hideMark/>
          </w:tcPr>
          <w:p w14:paraId="25E15EF9" w14:textId="77777777" w:rsidR="00A20990" w:rsidRPr="001A38D5" w:rsidRDefault="00A20990" w:rsidP="005140E1">
            <w:pPr>
              <w:contextualSpacing/>
              <w:jc w:val="center"/>
              <w:rPr>
                <w:rFonts w:eastAsia="Times New Roman" w:cs="Arial"/>
                <w:b/>
                <w:bCs/>
                <w:sz w:val="16"/>
                <w:szCs w:val="16"/>
                <w:lang w:val="es-CO" w:eastAsia="es-CO"/>
              </w:rPr>
            </w:pPr>
          </w:p>
        </w:tc>
        <w:tc>
          <w:tcPr>
            <w:tcW w:w="292" w:type="pct"/>
            <w:tcBorders>
              <w:top w:val="single" w:sz="4" w:space="0" w:color="auto"/>
              <w:left w:val="nil"/>
              <w:bottom w:val="single" w:sz="4" w:space="0" w:color="auto"/>
              <w:right w:val="single" w:sz="4" w:space="0" w:color="auto"/>
            </w:tcBorders>
            <w:shd w:val="clear" w:color="000000" w:fill="FFC000"/>
            <w:vAlign w:val="center"/>
            <w:hideMark/>
          </w:tcPr>
          <w:p w14:paraId="52053C24" w14:textId="77777777" w:rsidR="00A20990" w:rsidRPr="001A38D5" w:rsidRDefault="00A20990" w:rsidP="005140E1">
            <w:pPr>
              <w:contextualSpacing/>
              <w:jc w:val="center"/>
              <w:rPr>
                <w:rFonts w:eastAsia="Times New Roman" w:cs="Arial"/>
                <w:b/>
                <w:bCs/>
                <w:sz w:val="16"/>
                <w:szCs w:val="16"/>
                <w:lang w:val="es-CO" w:eastAsia="es-CO"/>
              </w:rPr>
            </w:pPr>
          </w:p>
        </w:tc>
        <w:tc>
          <w:tcPr>
            <w:tcW w:w="292" w:type="pct"/>
            <w:tcBorders>
              <w:top w:val="single" w:sz="4" w:space="0" w:color="auto"/>
              <w:left w:val="nil"/>
              <w:bottom w:val="single" w:sz="4" w:space="0" w:color="auto"/>
              <w:right w:val="single" w:sz="4" w:space="0" w:color="auto"/>
            </w:tcBorders>
            <w:shd w:val="clear" w:color="000000" w:fill="FFC000"/>
            <w:vAlign w:val="center"/>
            <w:hideMark/>
          </w:tcPr>
          <w:p w14:paraId="2DE10812" w14:textId="77777777" w:rsidR="00A20990" w:rsidRPr="001A38D5" w:rsidRDefault="00A20990" w:rsidP="005140E1">
            <w:pPr>
              <w:contextualSpacing/>
              <w:jc w:val="center"/>
              <w:rPr>
                <w:rFonts w:eastAsia="Times New Roman" w:cs="Arial"/>
                <w:b/>
                <w:bCs/>
                <w:sz w:val="16"/>
                <w:szCs w:val="16"/>
                <w:lang w:val="es-CO" w:eastAsia="es-CO"/>
              </w:rPr>
            </w:pPr>
          </w:p>
        </w:tc>
        <w:tc>
          <w:tcPr>
            <w:tcW w:w="349" w:type="pct"/>
            <w:tcBorders>
              <w:top w:val="single" w:sz="4" w:space="0" w:color="auto"/>
              <w:left w:val="nil"/>
              <w:bottom w:val="single" w:sz="4" w:space="0" w:color="auto"/>
              <w:right w:val="single" w:sz="4" w:space="0" w:color="auto"/>
            </w:tcBorders>
            <w:shd w:val="clear" w:color="000000" w:fill="FFC000"/>
            <w:vAlign w:val="center"/>
            <w:hideMark/>
          </w:tcPr>
          <w:p w14:paraId="2CFF6FF5" w14:textId="77777777" w:rsidR="00A20990" w:rsidRPr="001A38D5" w:rsidRDefault="00A20990" w:rsidP="005140E1">
            <w:pPr>
              <w:contextualSpacing/>
              <w:jc w:val="center"/>
              <w:rPr>
                <w:rFonts w:eastAsia="Times New Roman" w:cs="Arial"/>
                <w:b/>
                <w:bCs/>
                <w:sz w:val="16"/>
                <w:szCs w:val="16"/>
                <w:lang w:val="es-CO" w:eastAsia="es-CO"/>
              </w:rPr>
            </w:pPr>
          </w:p>
        </w:tc>
        <w:tc>
          <w:tcPr>
            <w:tcW w:w="281" w:type="pct"/>
            <w:tcBorders>
              <w:top w:val="single" w:sz="4" w:space="0" w:color="auto"/>
              <w:left w:val="nil"/>
              <w:bottom w:val="single" w:sz="4" w:space="0" w:color="auto"/>
              <w:right w:val="single" w:sz="4" w:space="0" w:color="auto"/>
            </w:tcBorders>
            <w:shd w:val="clear" w:color="000000" w:fill="FFC000"/>
            <w:vAlign w:val="center"/>
            <w:hideMark/>
          </w:tcPr>
          <w:p w14:paraId="5E76E68A" w14:textId="77777777" w:rsidR="00A20990" w:rsidRPr="001A38D5" w:rsidRDefault="00A20990" w:rsidP="005140E1">
            <w:pPr>
              <w:contextualSpacing/>
              <w:jc w:val="center"/>
              <w:rPr>
                <w:rFonts w:eastAsia="Times New Roman" w:cs="Arial"/>
                <w:b/>
                <w:bCs/>
                <w:sz w:val="16"/>
                <w:szCs w:val="16"/>
                <w:lang w:val="es-CO" w:eastAsia="es-CO"/>
              </w:rPr>
            </w:pPr>
          </w:p>
        </w:tc>
        <w:tc>
          <w:tcPr>
            <w:tcW w:w="281" w:type="pct"/>
            <w:tcBorders>
              <w:top w:val="single" w:sz="4" w:space="0" w:color="auto"/>
              <w:left w:val="nil"/>
              <w:bottom w:val="single" w:sz="4" w:space="0" w:color="auto"/>
              <w:right w:val="single" w:sz="4" w:space="0" w:color="auto"/>
            </w:tcBorders>
            <w:shd w:val="clear" w:color="000000" w:fill="FFC000"/>
            <w:vAlign w:val="center"/>
            <w:hideMark/>
          </w:tcPr>
          <w:p w14:paraId="1277227D" w14:textId="77777777" w:rsidR="00A20990" w:rsidRPr="001A38D5" w:rsidRDefault="00A20990" w:rsidP="005140E1">
            <w:pPr>
              <w:contextualSpacing/>
              <w:jc w:val="center"/>
              <w:rPr>
                <w:rFonts w:eastAsia="Times New Roman" w:cs="Arial"/>
                <w:b/>
                <w:bCs/>
                <w:sz w:val="16"/>
                <w:szCs w:val="16"/>
                <w:lang w:val="es-CO" w:eastAsia="es-CO"/>
              </w:rPr>
            </w:pPr>
          </w:p>
        </w:tc>
        <w:tc>
          <w:tcPr>
            <w:tcW w:w="282" w:type="pct"/>
            <w:tcBorders>
              <w:top w:val="single" w:sz="4" w:space="0" w:color="auto"/>
              <w:left w:val="nil"/>
              <w:bottom w:val="single" w:sz="4" w:space="0" w:color="auto"/>
              <w:right w:val="single" w:sz="4" w:space="0" w:color="auto"/>
            </w:tcBorders>
            <w:shd w:val="clear" w:color="000000" w:fill="FFC000"/>
            <w:vAlign w:val="center"/>
            <w:hideMark/>
          </w:tcPr>
          <w:p w14:paraId="7F72CD87" w14:textId="77777777" w:rsidR="00A20990" w:rsidRPr="001A38D5" w:rsidRDefault="00A20990" w:rsidP="005140E1">
            <w:pPr>
              <w:contextualSpacing/>
              <w:jc w:val="center"/>
              <w:rPr>
                <w:rFonts w:eastAsia="Times New Roman" w:cs="Arial"/>
                <w:b/>
                <w:bCs/>
                <w:sz w:val="16"/>
                <w:szCs w:val="16"/>
                <w:lang w:val="es-CO" w:eastAsia="es-CO"/>
              </w:rPr>
            </w:pPr>
          </w:p>
        </w:tc>
        <w:tc>
          <w:tcPr>
            <w:tcW w:w="281" w:type="pct"/>
            <w:tcBorders>
              <w:top w:val="single" w:sz="4" w:space="0" w:color="auto"/>
              <w:left w:val="nil"/>
              <w:bottom w:val="single" w:sz="4" w:space="0" w:color="auto"/>
              <w:right w:val="single" w:sz="4" w:space="0" w:color="auto"/>
            </w:tcBorders>
            <w:shd w:val="clear" w:color="000000" w:fill="FFC000"/>
            <w:vAlign w:val="center"/>
            <w:hideMark/>
          </w:tcPr>
          <w:p w14:paraId="7243B61E" w14:textId="77777777" w:rsidR="00A20990" w:rsidRPr="001A38D5" w:rsidRDefault="00A20990" w:rsidP="005140E1">
            <w:pPr>
              <w:contextualSpacing/>
              <w:jc w:val="center"/>
              <w:rPr>
                <w:rFonts w:eastAsia="Times New Roman" w:cs="Arial"/>
                <w:b/>
                <w:bCs/>
                <w:sz w:val="16"/>
                <w:szCs w:val="16"/>
                <w:lang w:val="es-CO" w:eastAsia="es-CO"/>
              </w:rPr>
            </w:pPr>
          </w:p>
        </w:tc>
        <w:tc>
          <w:tcPr>
            <w:tcW w:w="281" w:type="pct"/>
            <w:tcBorders>
              <w:top w:val="single" w:sz="4" w:space="0" w:color="auto"/>
              <w:left w:val="nil"/>
              <w:bottom w:val="single" w:sz="4" w:space="0" w:color="auto"/>
              <w:right w:val="single" w:sz="4" w:space="0" w:color="auto"/>
            </w:tcBorders>
            <w:shd w:val="clear" w:color="000000" w:fill="FFC000"/>
            <w:vAlign w:val="center"/>
            <w:hideMark/>
          </w:tcPr>
          <w:p w14:paraId="2AAE8354" w14:textId="77777777" w:rsidR="00A20990" w:rsidRPr="001A38D5" w:rsidRDefault="00A20990" w:rsidP="005140E1">
            <w:pPr>
              <w:contextualSpacing/>
              <w:jc w:val="center"/>
              <w:rPr>
                <w:rFonts w:eastAsia="Times New Roman" w:cs="Arial"/>
                <w:b/>
                <w:bCs/>
                <w:sz w:val="16"/>
                <w:szCs w:val="16"/>
                <w:lang w:val="es-CO" w:eastAsia="es-CO"/>
              </w:rPr>
            </w:pPr>
          </w:p>
        </w:tc>
        <w:tc>
          <w:tcPr>
            <w:tcW w:w="349" w:type="pct"/>
            <w:tcBorders>
              <w:top w:val="single" w:sz="4" w:space="0" w:color="auto"/>
              <w:left w:val="nil"/>
              <w:bottom w:val="single" w:sz="4" w:space="0" w:color="auto"/>
              <w:right w:val="single" w:sz="4" w:space="0" w:color="auto"/>
            </w:tcBorders>
            <w:shd w:val="clear" w:color="000000" w:fill="FFC000"/>
            <w:vAlign w:val="center"/>
            <w:hideMark/>
          </w:tcPr>
          <w:p w14:paraId="03F0ECAF" w14:textId="77777777" w:rsidR="00A20990" w:rsidRPr="001A38D5" w:rsidRDefault="00A20990" w:rsidP="005140E1">
            <w:pPr>
              <w:contextualSpacing/>
              <w:jc w:val="center"/>
              <w:rPr>
                <w:rFonts w:eastAsia="Times New Roman" w:cs="Arial"/>
                <w:b/>
                <w:bCs/>
                <w:sz w:val="16"/>
                <w:szCs w:val="16"/>
                <w:lang w:val="es-CO" w:eastAsia="es-CO"/>
              </w:rPr>
            </w:pPr>
          </w:p>
        </w:tc>
      </w:tr>
      <w:tr w:rsidR="001A38D5" w:rsidRPr="001A38D5" w14:paraId="46F4F65F" w14:textId="77777777" w:rsidTr="00A20990">
        <w:trPr>
          <w:trHeight w:val="20"/>
          <w:jc w:val="center"/>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4A7B413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Acta de liquidación / Terminación</w:t>
            </w:r>
          </w:p>
        </w:tc>
        <w:tc>
          <w:tcPr>
            <w:tcW w:w="292" w:type="pct"/>
            <w:tcBorders>
              <w:top w:val="nil"/>
              <w:left w:val="nil"/>
              <w:bottom w:val="single" w:sz="4" w:space="0" w:color="auto"/>
              <w:right w:val="single" w:sz="4" w:space="0" w:color="auto"/>
            </w:tcBorders>
            <w:shd w:val="clear" w:color="auto" w:fill="auto"/>
            <w:vAlign w:val="center"/>
            <w:hideMark/>
          </w:tcPr>
          <w:p w14:paraId="7582F03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6" w:type="pct"/>
            <w:tcBorders>
              <w:top w:val="nil"/>
              <w:left w:val="nil"/>
              <w:bottom w:val="single" w:sz="4" w:space="0" w:color="auto"/>
              <w:right w:val="single" w:sz="4" w:space="0" w:color="auto"/>
            </w:tcBorders>
            <w:shd w:val="clear" w:color="auto" w:fill="auto"/>
            <w:vAlign w:val="center"/>
            <w:hideMark/>
          </w:tcPr>
          <w:p w14:paraId="3B456DA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78" w:type="pct"/>
            <w:tcBorders>
              <w:top w:val="nil"/>
              <w:left w:val="nil"/>
              <w:bottom w:val="single" w:sz="4" w:space="0" w:color="auto"/>
              <w:right w:val="single" w:sz="4" w:space="0" w:color="auto"/>
            </w:tcBorders>
            <w:shd w:val="clear" w:color="auto" w:fill="auto"/>
            <w:vAlign w:val="center"/>
            <w:hideMark/>
          </w:tcPr>
          <w:p w14:paraId="718B8DA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auto"/>
            <w:vAlign w:val="center"/>
            <w:hideMark/>
          </w:tcPr>
          <w:p w14:paraId="11C5590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06" w:type="pct"/>
            <w:tcBorders>
              <w:top w:val="nil"/>
              <w:left w:val="nil"/>
              <w:bottom w:val="single" w:sz="4" w:space="0" w:color="auto"/>
              <w:right w:val="single" w:sz="4" w:space="0" w:color="auto"/>
            </w:tcBorders>
            <w:shd w:val="clear" w:color="auto" w:fill="auto"/>
            <w:vAlign w:val="center"/>
            <w:hideMark/>
          </w:tcPr>
          <w:p w14:paraId="5AF4CE4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0" w:type="pct"/>
            <w:tcBorders>
              <w:top w:val="nil"/>
              <w:left w:val="nil"/>
              <w:bottom w:val="single" w:sz="4" w:space="0" w:color="auto"/>
              <w:right w:val="single" w:sz="4" w:space="0" w:color="auto"/>
            </w:tcBorders>
            <w:shd w:val="clear" w:color="auto" w:fill="auto"/>
            <w:vAlign w:val="center"/>
            <w:hideMark/>
          </w:tcPr>
          <w:p w14:paraId="7C9AAC9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54DB460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2" w:type="pct"/>
            <w:tcBorders>
              <w:top w:val="nil"/>
              <w:left w:val="nil"/>
              <w:bottom w:val="single" w:sz="4" w:space="0" w:color="auto"/>
              <w:right w:val="single" w:sz="4" w:space="0" w:color="auto"/>
            </w:tcBorders>
            <w:shd w:val="clear" w:color="auto" w:fill="EAF1DD" w:themeFill="accent3" w:themeFillTint="33"/>
            <w:vAlign w:val="center"/>
            <w:hideMark/>
          </w:tcPr>
          <w:p w14:paraId="7B19CD5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49" w:type="pct"/>
            <w:tcBorders>
              <w:top w:val="nil"/>
              <w:left w:val="nil"/>
              <w:bottom w:val="single" w:sz="4" w:space="0" w:color="auto"/>
              <w:right w:val="single" w:sz="4" w:space="0" w:color="auto"/>
            </w:tcBorders>
            <w:shd w:val="clear" w:color="auto" w:fill="EAF1DD" w:themeFill="accent3" w:themeFillTint="33"/>
            <w:vAlign w:val="center"/>
            <w:hideMark/>
          </w:tcPr>
          <w:p w14:paraId="27E82E5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1" w:type="pct"/>
            <w:tcBorders>
              <w:top w:val="nil"/>
              <w:left w:val="nil"/>
              <w:bottom w:val="single" w:sz="4" w:space="0" w:color="auto"/>
              <w:right w:val="single" w:sz="4" w:space="0" w:color="auto"/>
            </w:tcBorders>
            <w:shd w:val="clear" w:color="auto" w:fill="auto"/>
            <w:vAlign w:val="center"/>
            <w:hideMark/>
          </w:tcPr>
          <w:p w14:paraId="1145C8D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3D36E42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82" w:type="pct"/>
            <w:tcBorders>
              <w:top w:val="nil"/>
              <w:left w:val="nil"/>
              <w:bottom w:val="single" w:sz="4" w:space="0" w:color="auto"/>
              <w:right w:val="single" w:sz="4" w:space="0" w:color="auto"/>
            </w:tcBorders>
            <w:shd w:val="clear" w:color="auto" w:fill="auto"/>
            <w:vAlign w:val="center"/>
            <w:hideMark/>
          </w:tcPr>
          <w:p w14:paraId="7DDAA1C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477D165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4CE4F7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349" w:type="pct"/>
            <w:tcBorders>
              <w:top w:val="nil"/>
              <w:left w:val="nil"/>
              <w:bottom w:val="single" w:sz="4" w:space="0" w:color="auto"/>
              <w:right w:val="single" w:sz="4" w:space="0" w:color="auto"/>
            </w:tcBorders>
            <w:shd w:val="clear" w:color="auto" w:fill="auto"/>
            <w:vAlign w:val="center"/>
            <w:hideMark/>
          </w:tcPr>
          <w:p w14:paraId="19CC200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bl>
    <w:p w14:paraId="3E9C67D7" w14:textId="77777777" w:rsidR="00A20990" w:rsidRPr="001A38D5" w:rsidRDefault="00A20990" w:rsidP="005140E1">
      <w:pPr>
        <w:contextualSpacing/>
        <w:jc w:val="center"/>
        <w:textAlignment w:val="baseline"/>
        <w:rPr>
          <w:rFonts w:cs="Arial"/>
          <w:sz w:val="16"/>
        </w:rPr>
      </w:pPr>
      <w:r w:rsidRPr="001A38D5">
        <w:rPr>
          <w:rFonts w:cs="Arial"/>
          <w:sz w:val="16"/>
        </w:rPr>
        <w:t>Fuente: Elaboración DAF con base en el reporte en el Sistema Electrónico de Contratación Pública SECOP.</w:t>
      </w:r>
    </w:p>
    <w:p w14:paraId="114867F8" w14:textId="77777777" w:rsidR="00A20990" w:rsidRPr="001A38D5" w:rsidRDefault="00A20990" w:rsidP="005140E1">
      <w:pPr>
        <w:contextualSpacing/>
        <w:jc w:val="both"/>
        <w:rPr>
          <w:rFonts w:cs="Arial"/>
          <w:lang w:val="es-CO"/>
        </w:rPr>
      </w:pPr>
    </w:p>
    <w:p w14:paraId="21C945CD" w14:textId="77777777" w:rsidR="00A20990" w:rsidRPr="001A38D5" w:rsidRDefault="00A20990" w:rsidP="005140E1">
      <w:pPr>
        <w:contextualSpacing/>
        <w:jc w:val="both"/>
        <w:rPr>
          <w:rFonts w:cs="Arial"/>
          <w:lang w:val="es-CO"/>
        </w:rPr>
      </w:pPr>
      <w:r w:rsidRPr="001A38D5">
        <w:rPr>
          <w:rFonts w:cs="Arial"/>
          <w:lang w:val="es-CO"/>
        </w:rPr>
        <w:t xml:space="preserve">Resulta importante señalar que según lo establecido en el artículo 2.2.1.1.1.7.1. del Decreto 1082 del 2015, la Entidad está obligada a publicar en el SECOP todos los documentos y los actos administrativos del proceso precontractual, contractual y poscontractual, dentro de los tres (3) días siguientes a su expedición. Adicionalmente, la Ley 1474 del 2011 expresa la importancia de la realización y publicación de los </w:t>
      </w:r>
      <w:r w:rsidRPr="001A38D5">
        <w:rPr>
          <w:rFonts w:cs="Arial"/>
          <w:lang w:val="es-CO"/>
        </w:rPr>
        <w:lastRenderedPageBreak/>
        <w:t>informes de supervisión o interventoría. Teniendo en cuenta lo anterior, se evidencia que no se publicaron la totalidad de los documentos soporte de la ejecución de los recursos.</w:t>
      </w:r>
    </w:p>
    <w:p w14:paraId="41877F7F" w14:textId="77777777" w:rsidR="00A20990" w:rsidRPr="001A38D5" w:rsidRDefault="00A20990" w:rsidP="005140E1">
      <w:pPr>
        <w:contextualSpacing/>
        <w:jc w:val="both"/>
        <w:rPr>
          <w:rFonts w:cs="Arial"/>
          <w:lang w:val="es-CO"/>
        </w:rPr>
      </w:pPr>
    </w:p>
    <w:p w14:paraId="0633038E" w14:textId="77777777" w:rsidR="00A20990" w:rsidRPr="001A38D5" w:rsidRDefault="00A20990" w:rsidP="005140E1">
      <w:pPr>
        <w:contextualSpacing/>
        <w:jc w:val="both"/>
        <w:rPr>
          <w:rFonts w:cs="Arial"/>
          <w:i/>
          <w:lang w:val="es-CO"/>
        </w:rPr>
      </w:pPr>
      <w:r w:rsidRPr="001A38D5">
        <w:rPr>
          <w:rFonts w:cs="Arial"/>
          <w:lang w:val="es-CO"/>
        </w:rPr>
        <w:t xml:space="preserve">Sobre la </w:t>
      </w:r>
      <w:r w:rsidRPr="001A38D5">
        <w:rPr>
          <w:rFonts w:cs="Arial"/>
        </w:rPr>
        <w:t xml:space="preserve">publicidad de </w:t>
      </w:r>
      <w:r w:rsidR="00572AB4">
        <w:rPr>
          <w:rFonts w:cs="Arial"/>
        </w:rPr>
        <w:t>ó</w:t>
      </w:r>
      <w:r w:rsidRPr="001A38D5">
        <w:rPr>
          <w:rFonts w:cs="Arial"/>
        </w:rPr>
        <w:t xml:space="preserve">rdenes de </w:t>
      </w:r>
      <w:r w:rsidR="00572AB4">
        <w:rPr>
          <w:rFonts w:cs="Arial"/>
        </w:rPr>
        <w:t>c</w:t>
      </w:r>
      <w:r w:rsidRPr="001A38D5">
        <w:rPr>
          <w:rFonts w:cs="Arial"/>
        </w:rPr>
        <w:t>ompra</w:t>
      </w:r>
      <w:r w:rsidRPr="001A38D5">
        <w:rPr>
          <w:rFonts w:cs="Arial"/>
          <w:lang w:val="es-CO"/>
        </w:rPr>
        <w:t xml:space="preserve"> la Entidad Territorial cumple con la obligación </w:t>
      </w:r>
      <w:r w:rsidRPr="001A38D5">
        <w:rPr>
          <w:rFonts w:cs="Arial"/>
        </w:rPr>
        <w:t xml:space="preserve">establecida en la Ley 1150 de 2007 y en el Decreto Ley 019 de 2012, de publicar en el SECOP la actividad contractual en la que se ejecutan recursos públicos, una vez colocan las </w:t>
      </w:r>
      <w:r w:rsidR="00572AB4">
        <w:rPr>
          <w:rFonts w:cs="Arial"/>
        </w:rPr>
        <w:t>ó</w:t>
      </w:r>
      <w:r w:rsidRPr="001A38D5">
        <w:rPr>
          <w:rFonts w:cs="Arial"/>
        </w:rPr>
        <w:t xml:space="preserve">rdenes de </w:t>
      </w:r>
      <w:r w:rsidR="00572AB4">
        <w:rPr>
          <w:rFonts w:cs="Arial"/>
        </w:rPr>
        <w:t>c</w:t>
      </w:r>
      <w:r w:rsidRPr="001A38D5">
        <w:rPr>
          <w:rFonts w:cs="Arial"/>
        </w:rPr>
        <w:t xml:space="preserve">ompra en la Tienda Virtual del Estado Colombiano, en el enlace: </w:t>
      </w:r>
      <w:hyperlink r:id="rId32" w:history="1">
        <w:r w:rsidR="00572AB4" w:rsidRPr="004568ED">
          <w:rPr>
            <w:rStyle w:val="Hipervnculo"/>
            <w:rFonts w:cs="Arial"/>
          </w:rPr>
          <w:t>http://www.colombiacompra.gov.co/amp-ordenes-de-compra</w:t>
        </w:r>
      </w:hyperlink>
      <w:r w:rsidRPr="001A38D5">
        <w:rPr>
          <w:rFonts w:cs="Arial"/>
        </w:rPr>
        <w:t xml:space="preserve">. En consecuencia, para estas </w:t>
      </w:r>
      <w:r w:rsidR="00572AB4">
        <w:rPr>
          <w:rFonts w:cs="Arial"/>
        </w:rPr>
        <w:t>ó</w:t>
      </w:r>
      <w:r w:rsidRPr="001A38D5">
        <w:rPr>
          <w:rFonts w:cs="Arial"/>
        </w:rPr>
        <w:t xml:space="preserve">rdenes se cumple con el </w:t>
      </w:r>
      <w:r w:rsidR="00572AB4">
        <w:rPr>
          <w:rFonts w:cs="Arial"/>
        </w:rPr>
        <w:t>P</w:t>
      </w:r>
      <w:r w:rsidRPr="001A38D5">
        <w:rPr>
          <w:rFonts w:cs="Arial"/>
        </w:rPr>
        <w:t xml:space="preserve">rincipio de </w:t>
      </w:r>
      <w:r w:rsidR="00572AB4">
        <w:rPr>
          <w:rFonts w:cs="Arial"/>
        </w:rPr>
        <w:t>P</w:t>
      </w:r>
      <w:r w:rsidRPr="001A38D5">
        <w:rPr>
          <w:rFonts w:cs="Arial"/>
        </w:rPr>
        <w:t>ublicidad</w:t>
      </w:r>
      <w:r w:rsidRPr="001A38D5">
        <w:rPr>
          <w:rStyle w:val="Refdenotaalpie"/>
          <w:rFonts w:cs="Arial"/>
        </w:rPr>
        <w:footnoteReference w:id="5"/>
      </w:r>
      <w:r w:rsidRPr="001A38D5">
        <w:rPr>
          <w:rFonts w:cs="Arial"/>
        </w:rPr>
        <w:t>.</w:t>
      </w:r>
    </w:p>
    <w:p w14:paraId="6E1C1EF2" w14:textId="77777777" w:rsidR="00A20990" w:rsidRPr="001A38D5" w:rsidRDefault="00A20990" w:rsidP="005140E1">
      <w:pPr>
        <w:contextualSpacing/>
        <w:jc w:val="both"/>
        <w:rPr>
          <w:rFonts w:cs="Arial"/>
          <w:lang w:val="es-CO"/>
        </w:rPr>
      </w:pPr>
    </w:p>
    <w:p w14:paraId="47DC2B3D" w14:textId="77777777" w:rsidR="00A20990" w:rsidRPr="001A38D5" w:rsidRDefault="00A20990" w:rsidP="005140E1">
      <w:pPr>
        <w:contextualSpacing/>
        <w:jc w:val="both"/>
        <w:rPr>
          <w:rFonts w:cs="Arial"/>
          <w:lang w:val="es-CO"/>
        </w:rPr>
      </w:pPr>
      <w:r w:rsidRPr="001A38D5">
        <w:rPr>
          <w:rFonts w:cs="Arial"/>
          <w:lang w:val="es-CO"/>
        </w:rPr>
        <w:t>Es preciso señalar que se destacan aquí únicamente los contratos para la prestación del Servicio de Alimentación Escolar, los demás contratos se anexan al final del documento.</w:t>
      </w:r>
    </w:p>
    <w:p w14:paraId="6473B0C7" w14:textId="77777777" w:rsidR="00A20990" w:rsidRPr="001A38D5" w:rsidRDefault="00A20990" w:rsidP="005140E1">
      <w:pPr>
        <w:contextualSpacing/>
        <w:jc w:val="both"/>
        <w:rPr>
          <w:rFonts w:cs="Arial"/>
          <w:lang w:val="es-CO"/>
        </w:rPr>
      </w:pPr>
    </w:p>
    <w:p w14:paraId="4551B888" w14:textId="77777777" w:rsidR="00A20990" w:rsidRPr="001A38D5" w:rsidRDefault="00A20990" w:rsidP="005140E1">
      <w:pPr>
        <w:pStyle w:val="Ttulo3"/>
        <w:contextualSpacing/>
        <w:jc w:val="both"/>
        <w:rPr>
          <w:rFonts w:ascii="Verdana" w:hAnsi="Verdana"/>
        </w:rPr>
      </w:pPr>
      <w:r w:rsidRPr="001A38D5">
        <w:rPr>
          <w:rFonts w:ascii="Verdana" w:hAnsi="Verdana"/>
        </w:rPr>
        <w:t>Reporte de información para el seguimiento y monitoreo a los recursos destinados al PAE en CHIP.</w:t>
      </w:r>
    </w:p>
    <w:p w14:paraId="6B210502" w14:textId="77777777" w:rsidR="00A20990" w:rsidRPr="001A38D5" w:rsidRDefault="00A20990" w:rsidP="005140E1">
      <w:pPr>
        <w:contextualSpacing/>
        <w:jc w:val="both"/>
        <w:rPr>
          <w:rFonts w:cs="Arial"/>
          <w:bCs/>
          <w:highlight w:val="yellow"/>
        </w:rPr>
      </w:pPr>
    </w:p>
    <w:p w14:paraId="6CCA0221" w14:textId="77777777" w:rsidR="00A20990" w:rsidRPr="001A38D5" w:rsidRDefault="00A20990" w:rsidP="005140E1">
      <w:pPr>
        <w:contextualSpacing/>
        <w:jc w:val="both"/>
        <w:rPr>
          <w:rFonts w:cs="Arial"/>
          <w:bCs/>
        </w:rPr>
      </w:pPr>
      <w:r w:rsidRPr="001A38D5">
        <w:rPr>
          <w:rFonts w:cs="Arial"/>
          <w:bCs/>
        </w:rPr>
        <w:t xml:space="preserve">En virtud de lo establecido en el Decreto 1852 de 2015 en su artículo 2.3.10.4.3, la Resolución 19530 de 2016 del Ministerio de Educación Nacional y los Lineamientos Técnicos Administrativos del PAE, las </w:t>
      </w:r>
      <w:r w:rsidR="00184B3F">
        <w:rPr>
          <w:rFonts w:cs="Arial"/>
          <w:bCs/>
        </w:rPr>
        <w:t>e</w:t>
      </w:r>
      <w:r w:rsidRPr="001A38D5">
        <w:rPr>
          <w:rFonts w:cs="Arial"/>
          <w:bCs/>
        </w:rPr>
        <w:t>ntidades territoriales son responsables de consolidar y reportar la información de ejecución del PAE en su respectiva jurisdicción y de cargarla en el Sistema Consolidador de Hacienda e Información Pública - CHIP. A continuación, se analiza el reporte en el CHIP sobre los datos del funcionamiento y seguimiento del PAE definidas en las Categoría</w:t>
      </w:r>
      <w:r w:rsidR="00184B3F">
        <w:rPr>
          <w:rFonts w:cs="Arial"/>
          <w:bCs/>
        </w:rPr>
        <w:t>s</w:t>
      </w:r>
      <w:r w:rsidRPr="001A38D5">
        <w:rPr>
          <w:rFonts w:cs="Arial"/>
          <w:bCs/>
        </w:rPr>
        <w:t xml:space="preserve"> MEN-PAE y MEN-PAE </w:t>
      </w:r>
      <w:r w:rsidR="00184B3F">
        <w:rPr>
          <w:rFonts w:cs="Arial"/>
          <w:bCs/>
        </w:rPr>
        <w:t>E</w:t>
      </w:r>
      <w:r w:rsidRPr="001A38D5">
        <w:rPr>
          <w:rFonts w:cs="Arial"/>
          <w:bCs/>
        </w:rPr>
        <w:t xml:space="preserve">jecución de </w:t>
      </w:r>
      <w:r w:rsidR="00184B3F">
        <w:rPr>
          <w:rFonts w:cs="Arial"/>
          <w:bCs/>
        </w:rPr>
        <w:t>R</w:t>
      </w:r>
      <w:r w:rsidRPr="001A38D5">
        <w:rPr>
          <w:rFonts w:cs="Arial"/>
          <w:bCs/>
        </w:rPr>
        <w:t>ecursos para las vigencias 2019 y 2020 y en la Categoría UAPA-PAE a partir de 2021.</w:t>
      </w:r>
    </w:p>
    <w:p w14:paraId="1CC0951D" w14:textId="77777777" w:rsidR="00A20990" w:rsidRPr="001A38D5" w:rsidRDefault="00A20990" w:rsidP="005140E1">
      <w:pPr>
        <w:contextualSpacing/>
        <w:jc w:val="both"/>
        <w:rPr>
          <w:rFonts w:cs="Arial"/>
          <w:bCs/>
          <w:highlight w:val="yellow"/>
        </w:rPr>
      </w:pPr>
    </w:p>
    <w:p w14:paraId="23254D62" w14:textId="77777777" w:rsidR="00A20990" w:rsidRPr="001A38D5" w:rsidRDefault="00A20990" w:rsidP="005140E1">
      <w:pPr>
        <w:contextualSpacing/>
        <w:jc w:val="both"/>
        <w:rPr>
          <w:rFonts w:cs="Arial"/>
          <w:b/>
        </w:rPr>
      </w:pPr>
      <w:r w:rsidRPr="001A38D5">
        <w:rPr>
          <w:rFonts w:cs="Arial"/>
          <w:b/>
        </w:rPr>
        <w:t>Financiación</w:t>
      </w:r>
      <w:r w:rsidR="00184B3F">
        <w:rPr>
          <w:rFonts w:cs="Arial"/>
          <w:b/>
        </w:rPr>
        <w:t>.</w:t>
      </w:r>
    </w:p>
    <w:p w14:paraId="691665E4" w14:textId="77777777" w:rsidR="00A20990" w:rsidRPr="001A38D5" w:rsidRDefault="00A20990" w:rsidP="005140E1">
      <w:pPr>
        <w:contextualSpacing/>
        <w:jc w:val="both"/>
        <w:rPr>
          <w:rFonts w:cs="Arial"/>
        </w:rPr>
      </w:pPr>
      <w:bookmarkStart w:id="14" w:name="_Hlk146219223"/>
    </w:p>
    <w:p w14:paraId="1B4FCC00" w14:textId="77777777" w:rsidR="00A20990" w:rsidRPr="001A38D5" w:rsidRDefault="00A20990" w:rsidP="005140E1">
      <w:pPr>
        <w:contextualSpacing/>
        <w:jc w:val="both"/>
        <w:rPr>
          <w:rFonts w:cs="Arial"/>
          <w:bCs/>
        </w:rPr>
      </w:pPr>
      <w:r w:rsidRPr="001A38D5">
        <w:rPr>
          <w:rFonts w:cs="Arial"/>
        </w:rPr>
        <w:t xml:space="preserve">Según la información disponible en el </w:t>
      </w:r>
      <w:r w:rsidRPr="001A38D5">
        <w:rPr>
          <w:rFonts w:cs="Arial"/>
          <w:bCs/>
        </w:rPr>
        <w:t>Formulario A_MEN_PAE_DATOS_CONTRATO durante la vigencia 2019 se destinaron recursos por $11.721,34 millones, 1,1</w:t>
      </w:r>
      <w:r w:rsidR="00184B3F">
        <w:rPr>
          <w:rFonts w:cs="Arial"/>
          <w:bCs/>
        </w:rPr>
        <w:t xml:space="preserve"> </w:t>
      </w:r>
      <w:r w:rsidRPr="001A38D5">
        <w:rPr>
          <w:rFonts w:cs="Arial"/>
          <w:bCs/>
        </w:rPr>
        <w:t xml:space="preserve">% para equipo PAE y el restante para la contratación con terceros para la </w:t>
      </w:r>
      <w:r w:rsidR="00184B3F">
        <w:rPr>
          <w:rFonts w:cs="Arial"/>
          <w:bCs/>
        </w:rPr>
        <w:t>o</w:t>
      </w:r>
      <w:r w:rsidRPr="001A38D5">
        <w:rPr>
          <w:rFonts w:cs="Arial"/>
          <w:bCs/>
        </w:rPr>
        <w:t xml:space="preserve">perar el Programa. La información por fuente guarda consistencia con lo comprometido según la ejecución presupuestal de gastos de 2019. </w:t>
      </w:r>
    </w:p>
    <w:p w14:paraId="5F51CC41" w14:textId="77777777" w:rsidR="00A20990" w:rsidRPr="001A38D5" w:rsidRDefault="00A20990" w:rsidP="005140E1">
      <w:pPr>
        <w:contextualSpacing/>
        <w:jc w:val="both"/>
        <w:rPr>
          <w:rFonts w:cs="Arial"/>
          <w:bCs/>
        </w:rPr>
      </w:pPr>
    </w:p>
    <w:p w14:paraId="6015B28D" w14:textId="77777777" w:rsidR="00A20990" w:rsidRPr="001A38D5" w:rsidRDefault="00A20990" w:rsidP="005140E1">
      <w:pPr>
        <w:contextualSpacing/>
        <w:jc w:val="both"/>
        <w:rPr>
          <w:rFonts w:cs="Arial"/>
          <w:lang w:val="es-CO"/>
        </w:rPr>
      </w:pPr>
      <w:r w:rsidRPr="001A38D5">
        <w:rPr>
          <w:rFonts w:cs="Arial"/>
          <w:bCs/>
        </w:rPr>
        <w:t xml:space="preserve">Para la vigencia 2020, no se reportó el Contrato No. 594 del 14 de mayo de 2020. De los contratos reportados se establecieron compromisos por $12.616,7 millones, lo que difiere de lo certificado en la ejecución presupuestal de gastos de la vigencia 2020, en donde se reportan compromisos por $12.671,79 millones. Por fuentes de financiación se encuentran diferencias en: i) los ingresos corrientes con destinación </w:t>
      </w:r>
      <w:r w:rsidR="00496D37" w:rsidRPr="001A38D5">
        <w:rPr>
          <w:rFonts w:cs="Arial"/>
          <w:bCs/>
        </w:rPr>
        <w:t>específica</w:t>
      </w:r>
      <w:r w:rsidRPr="001A38D5">
        <w:rPr>
          <w:rFonts w:cs="Arial"/>
          <w:bCs/>
        </w:rPr>
        <w:t xml:space="preserve"> de la Entidad Territorial ($1.388,06 en MEN PAE frente a $1.376,48 millones en la ejecución presupuestal de gastos); ii) los ingresos corrientes del SGP Alimentación Escolar ($1.101,22 millones en el Formulario </w:t>
      </w:r>
      <w:r w:rsidRPr="001A38D5">
        <w:rPr>
          <w:rFonts w:cs="Arial"/>
          <w:bCs/>
        </w:rPr>
        <w:lastRenderedPageBreak/>
        <w:t>A_MEN_PAE_DATOS_CONTRATO frente a $1.167,49 millones en la ejecución presupuestal) y iii) en los recursos del PGN Transferencias para Alimentación Escolar Ley 1450 de 2011 ya que en el Formulario en cuestión se agruparon los recursos corrientes ($5.680,29 millones) y los recursos de capital ($1.085,63 millones de vigencias anteriores y $119,37 millones de rendimientos financieros) en la fuente 540 TRANSFENCIAS PARA ALIMENTACION ESCOLAR LEY 1450 DE 2011 MEN</w:t>
      </w:r>
      <w:r w:rsidRPr="001A38D5">
        <w:rPr>
          <w:rFonts w:cs="Arial"/>
          <w:lang w:val="es-CO"/>
        </w:rPr>
        <w:t>.</w:t>
      </w:r>
    </w:p>
    <w:p w14:paraId="3B6FBC5D" w14:textId="77777777" w:rsidR="00A20990" w:rsidRPr="001A38D5" w:rsidRDefault="00A20990" w:rsidP="005140E1">
      <w:pPr>
        <w:contextualSpacing/>
        <w:jc w:val="both"/>
        <w:rPr>
          <w:rFonts w:cs="Arial"/>
          <w:lang w:val="es-CO"/>
        </w:rPr>
      </w:pPr>
    </w:p>
    <w:p w14:paraId="489A2044" w14:textId="77777777" w:rsidR="00A20990" w:rsidRPr="001A38D5" w:rsidRDefault="00A20990" w:rsidP="005140E1">
      <w:pPr>
        <w:contextualSpacing/>
        <w:jc w:val="both"/>
        <w:rPr>
          <w:rFonts w:cs="Arial"/>
          <w:lang w:val="es-CO"/>
        </w:rPr>
      </w:pPr>
      <w:r w:rsidRPr="001A38D5">
        <w:rPr>
          <w:rFonts w:cs="Arial"/>
          <w:lang w:val="es-CO"/>
        </w:rPr>
        <w:t>En 2021, la Entidad reportó la financiación del PAE por $17.402,59 millones en el Formulario B_FINANCIACION_Y_BOLSA_COMUN, lo que corresponde a la apropiación definitiva de recursos con destino a la implementación del PAE en Villavicencio y no al valor efectivamente recaudado de manera acumulada al corte del cuarto trimestre de la vigencia ($16.595,34 millones). Las diferencias se presentan a continuación:</w:t>
      </w:r>
    </w:p>
    <w:p w14:paraId="5BD49A6E" w14:textId="77777777" w:rsidR="00A20990" w:rsidRPr="001A38D5" w:rsidRDefault="00A20990" w:rsidP="005140E1">
      <w:pPr>
        <w:contextualSpacing/>
        <w:jc w:val="both"/>
        <w:rPr>
          <w:rFonts w:cs="Arial"/>
          <w:lang w:val="es-CO"/>
        </w:rPr>
      </w:pPr>
    </w:p>
    <w:p w14:paraId="063563FA"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12</w:t>
      </w:r>
      <w:r w:rsidRPr="007A412F">
        <w:rPr>
          <w:rFonts w:ascii="Verdana" w:hAnsi="Verdana"/>
          <w:color w:val="auto"/>
          <w:sz w:val="20"/>
          <w:szCs w:val="20"/>
        </w:rPr>
        <w:fldChar w:fldCharType="end"/>
      </w:r>
      <w:r w:rsidRPr="007A412F">
        <w:rPr>
          <w:rFonts w:ascii="Verdana" w:hAnsi="Verdana"/>
          <w:color w:val="auto"/>
          <w:sz w:val="20"/>
          <w:szCs w:val="20"/>
        </w:rPr>
        <w:t xml:space="preserve"> Valor recaudado a diciembre de 2021 (valores en millones de pesos colombianos).</w:t>
      </w:r>
    </w:p>
    <w:tbl>
      <w:tblPr>
        <w:tblW w:w="5000" w:type="pct"/>
        <w:tblCellMar>
          <w:left w:w="70" w:type="dxa"/>
          <w:right w:w="70" w:type="dxa"/>
        </w:tblCellMar>
        <w:tblLook w:val="04A0" w:firstRow="1" w:lastRow="0" w:firstColumn="1" w:lastColumn="0" w:noHBand="0" w:noVBand="1"/>
      </w:tblPr>
      <w:tblGrid>
        <w:gridCol w:w="6476"/>
        <w:gridCol w:w="1377"/>
        <w:gridCol w:w="1541"/>
      </w:tblGrid>
      <w:tr w:rsidR="001A38D5" w:rsidRPr="001A38D5" w14:paraId="7613BACD" w14:textId="77777777" w:rsidTr="007D606A">
        <w:trPr>
          <w:trHeight w:val="20"/>
          <w:tblHeader/>
        </w:trPr>
        <w:tc>
          <w:tcPr>
            <w:tcW w:w="345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9492485"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FUENTE DE RECURSOS</w:t>
            </w:r>
          </w:p>
        </w:tc>
        <w:tc>
          <w:tcPr>
            <w:tcW w:w="736" w:type="pct"/>
            <w:tcBorders>
              <w:top w:val="single" w:sz="4" w:space="0" w:color="auto"/>
              <w:left w:val="nil"/>
              <w:bottom w:val="single" w:sz="4" w:space="0" w:color="auto"/>
              <w:right w:val="single" w:sz="4" w:space="0" w:color="auto"/>
            </w:tcBorders>
            <w:shd w:val="clear" w:color="000000" w:fill="FFC000"/>
            <w:vAlign w:val="center"/>
            <w:hideMark/>
          </w:tcPr>
          <w:p w14:paraId="160ACCB9"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UAPA-PAE</w:t>
            </w:r>
          </w:p>
        </w:tc>
        <w:tc>
          <w:tcPr>
            <w:tcW w:w="814" w:type="pct"/>
            <w:tcBorders>
              <w:top w:val="single" w:sz="4" w:space="0" w:color="auto"/>
              <w:left w:val="nil"/>
              <w:bottom w:val="single" w:sz="4" w:space="0" w:color="auto"/>
              <w:right w:val="single" w:sz="4" w:space="0" w:color="auto"/>
            </w:tcBorders>
            <w:shd w:val="clear" w:color="000000" w:fill="FFC000"/>
            <w:vAlign w:val="center"/>
            <w:hideMark/>
          </w:tcPr>
          <w:p w14:paraId="375C96D8"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EJECUCIÓN PRESUPUESTAL</w:t>
            </w:r>
          </w:p>
        </w:tc>
      </w:tr>
      <w:tr w:rsidR="001A38D5" w:rsidRPr="001A38D5" w14:paraId="38681BFD" w14:textId="77777777" w:rsidTr="007D606A">
        <w:trPr>
          <w:trHeight w:val="20"/>
        </w:trPr>
        <w:tc>
          <w:tcPr>
            <w:tcW w:w="3450"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F23E9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RECURSOS DE INVERSION DEL PGN ASIGNADOS POR UAPA - VIGENCIA ACTUAL </w:t>
            </w:r>
          </w:p>
        </w:tc>
        <w:tc>
          <w:tcPr>
            <w:tcW w:w="736"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0158D57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$11.021,13</w:t>
            </w:r>
          </w:p>
        </w:tc>
        <w:tc>
          <w:tcPr>
            <w:tcW w:w="814" w:type="pct"/>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48030F2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$10.637,94</w:t>
            </w:r>
          </w:p>
        </w:tc>
      </w:tr>
      <w:tr w:rsidR="001A38D5" w:rsidRPr="001A38D5" w14:paraId="31ABA238" w14:textId="77777777" w:rsidTr="00A20990">
        <w:trPr>
          <w:trHeight w:val="20"/>
        </w:trPr>
        <w:tc>
          <w:tcPr>
            <w:tcW w:w="3450" w:type="pct"/>
            <w:tcBorders>
              <w:top w:val="nil"/>
              <w:left w:val="single" w:sz="4" w:space="0" w:color="auto"/>
              <w:bottom w:val="single" w:sz="4" w:space="0" w:color="auto"/>
              <w:right w:val="single" w:sz="4" w:space="0" w:color="auto"/>
            </w:tcBorders>
            <w:shd w:val="clear" w:color="auto" w:fill="auto"/>
            <w:vAlign w:val="center"/>
            <w:hideMark/>
          </w:tcPr>
          <w:p w14:paraId="0D06844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SGP ALIMENTACION ESCOLAR ONCE DOCEAVAS VIGENCIA ACTUAL MAS ULTIMA DOCEAVA VIGENCIA ANTERIOR </w:t>
            </w:r>
          </w:p>
        </w:tc>
        <w:tc>
          <w:tcPr>
            <w:tcW w:w="736" w:type="pct"/>
            <w:tcBorders>
              <w:top w:val="nil"/>
              <w:left w:val="nil"/>
              <w:bottom w:val="single" w:sz="4" w:space="0" w:color="auto"/>
              <w:right w:val="single" w:sz="4" w:space="0" w:color="auto"/>
            </w:tcBorders>
            <w:shd w:val="clear" w:color="auto" w:fill="auto"/>
            <w:noWrap/>
            <w:vAlign w:val="center"/>
            <w:hideMark/>
          </w:tcPr>
          <w:p w14:paraId="4E0DDA6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$1.201,81</w:t>
            </w:r>
          </w:p>
        </w:tc>
        <w:tc>
          <w:tcPr>
            <w:tcW w:w="814" w:type="pct"/>
            <w:tcBorders>
              <w:top w:val="nil"/>
              <w:left w:val="nil"/>
              <w:bottom w:val="single" w:sz="4" w:space="0" w:color="auto"/>
              <w:right w:val="single" w:sz="4" w:space="0" w:color="auto"/>
            </w:tcBorders>
            <w:shd w:val="clear" w:color="auto" w:fill="auto"/>
            <w:noWrap/>
            <w:vAlign w:val="center"/>
            <w:hideMark/>
          </w:tcPr>
          <w:p w14:paraId="047FB0BB"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$1.201,81</w:t>
            </w:r>
          </w:p>
        </w:tc>
      </w:tr>
      <w:tr w:rsidR="001A38D5" w:rsidRPr="001A38D5" w14:paraId="7BF218FE" w14:textId="77777777" w:rsidTr="00A20990">
        <w:trPr>
          <w:trHeight w:val="20"/>
        </w:trPr>
        <w:tc>
          <w:tcPr>
            <w:tcW w:w="3450" w:type="pct"/>
            <w:tcBorders>
              <w:top w:val="nil"/>
              <w:left w:val="single" w:sz="4" w:space="0" w:color="auto"/>
              <w:bottom w:val="single" w:sz="4" w:space="0" w:color="auto"/>
              <w:right w:val="single" w:sz="4" w:space="0" w:color="auto"/>
            </w:tcBorders>
            <w:shd w:val="clear" w:color="auto" w:fill="auto"/>
            <w:vAlign w:val="center"/>
            <w:hideMark/>
          </w:tcPr>
          <w:p w14:paraId="207AFF3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COFINANCIACION ALIMENTACION ESCOLAR - CONPES LEY 1530 DE 2012 </w:t>
            </w:r>
          </w:p>
        </w:tc>
        <w:tc>
          <w:tcPr>
            <w:tcW w:w="736" w:type="pct"/>
            <w:tcBorders>
              <w:top w:val="nil"/>
              <w:left w:val="nil"/>
              <w:bottom w:val="single" w:sz="4" w:space="0" w:color="auto"/>
              <w:right w:val="single" w:sz="4" w:space="0" w:color="auto"/>
            </w:tcBorders>
            <w:shd w:val="clear" w:color="auto" w:fill="auto"/>
            <w:noWrap/>
            <w:vAlign w:val="center"/>
            <w:hideMark/>
          </w:tcPr>
          <w:p w14:paraId="299E5FD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$713,58</w:t>
            </w:r>
          </w:p>
        </w:tc>
        <w:tc>
          <w:tcPr>
            <w:tcW w:w="814" w:type="pct"/>
            <w:tcBorders>
              <w:top w:val="nil"/>
              <w:left w:val="nil"/>
              <w:bottom w:val="single" w:sz="4" w:space="0" w:color="auto"/>
              <w:right w:val="single" w:sz="4" w:space="0" w:color="auto"/>
            </w:tcBorders>
            <w:shd w:val="clear" w:color="auto" w:fill="auto"/>
            <w:noWrap/>
            <w:vAlign w:val="center"/>
            <w:hideMark/>
          </w:tcPr>
          <w:p w14:paraId="3BCE7F3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$713,58</w:t>
            </w:r>
          </w:p>
        </w:tc>
      </w:tr>
      <w:tr w:rsidR="001A38D5" w:rsidRPr="001A38D5" w14:paraId="58288EA6" w14:textId="77777777" w:rsidTr="00A20990">
        <w:trPr>
          <w:trHeight w:val="20"/>
        </w:trPr>
        <w:tc>
          <w:tcPr>
            <w:tcW w:w="3450"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11B5D032"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RENDIMIENTOS FINANCIEROS </w:t>
            </w:r>
          </w:p>
        </w:tc>
        <w:tc>
          <w:tcPr>
            <w:tcW w:w="736" w:type="pct"/>
            <w:tcBorders>
              <w:top w:val="nil"/>
              <w:left w:val="nil"/>
              <w:bottom w:val="single" w:sz="4" w:space="0" w:color="auto"/>
              <w:right w:val="single" w:sz="4" w:space="0" w:color="auto"/>
            </w:tcBorders>
            <w:shd w:val="clear" w:color="auto" w:fill="F2DBDB" w:themeFill="accent2" w:themeFillTint="33"/>
            <w:noWrap/>
            <w:vAlign w:val="center"/>
            <w:hideMark/>
          </w:tcPr>
          <w:p w14:paraId="0700D4D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$15,58</w:t>
            </w:r>
          </w:p>
        </w:tc>
        <w:tc>
          <w:tcPr>
            <w:tcW w:w="814" w:type="pct"/>
            <w:tcBorders>
              <w:top w:val="nil"/>
              <w:left w:val="nil"/>
              <w:bottom w:val="single" w:sz="4" w:space="0" w:color="auto"/>
              <w:right w:val="single" w:sz="4" w:space="0" w:color="auto"/>
            </w:tcBorders>
            <w:shd w:val="clear" w:color="auto" w:fill="F2DBDB" w:themeFill="accent2" w:themeFillTint="33"/>
            <w:noWrap/>
            <w:vAlign w:val="center"/>
            <w:hideMark/>
          </w:tcPr>
          <w:p w14:paraId="45F1612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$11,04</w:t>
            </w:r>
          </w:p>
        </w:tc>
      </w:tr>
      <w:tr w:rsidR="001A38D5" w:rsidRPr="001A38D5" w14:paraId="572F58CD" w14:textId="77777777" w:rsidTr="00A20990">
        <w:trPr>
          <w:trHeight w:val="20"/>
        </w:trPr>
        <w:tc>
          <w:tcPr>
            <w:tcW w:w="3450"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26F557B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RENDIMIENTOS FINANCIEROS </w:t>
            </w:r>
          </w:p>
        </w:tc>
        <w:tc>
          <w:tcPr>
            <w:tcW w:w="736" w:type="pct"/>
            <w:tcBorders>
              <w:top w:val="nil"/>
              <w:left w:val="nil"/>
              <w:bottom w:val="single" w:sz="4" w:space="0" w:color="auto"/>
              <w:right w:val="single" w:sz="4" w:space="0" w:color="auto"/>
            </w:tcBorders>
            <w:shd w:val="clear" w:color="auto" w:fill="F2DBDB" w:themeFill="accent2" w:themeFillTint="33"/>
            <w:noWrap/>
            <w:vAlign w:val="center"/>
            <w:hideMark/>
          </w:tcPr>
          <w:p w14:paraId="2D32C00E"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$125,45</w:t>
            </w:r>
          </w:p>
        </w:tc>
        <w:tc>
          <w:tcPr>
            <w:tcW w:w="814" w:type="pct"/>
            <w:tcBorders>
              <w:top w:val="nil"/>
              <w:left w:val="nil"/>
              <w:bottom w:val="single" w:sz="4" w:space="0" w:color="auto"/>
              <w:right w:val="single" w:sz="4" w:space="0" w:color="auto"/>
            </w:tcBorders>
            <w:shd w:val="clear" w:color="auto" w:fill="F2DBDB" w:themeFill="accent2" w:themeFillTint="33"/>
            <w:noWrap/>
            <w:vAlign w:val="center"/>
            <w:hideMark/>
          </w:tcPr>
          <w:p w14:paraId="0EFE91E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$86,71</w:t>
            </w:r>
          </w:p>
        </w:tc>
      </w:tr>
      <w:tr w:rsidR="001A38D5" w:rsidRPr="001A38D5" w14:paraId="5C7A64AC" w14:textId="77777777" w:rsidTr="00A20990">
        <w:trPr>
          <w:trHeight w:val="20"/>
        </w:trPr>
        <w:tc>
          <w:tcPr>
            <w:tcW w:w="3450"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4E6E982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RENDIMIENTOS FINANCIEROS </w:t>
            </w:r>
          </w:p>
        </w:tc>
        <w:tc>
          <w:tcPr>
            <w:tcW w:w="736" w:type="pct"/>
            <w:tcBorders>
              <w:top w:val="nil"/>
              <w:left w:val="nil"/>
              <w:bottom w:val="single" w:sz="4" w:space="0" w:color="auto"/>
              <w:right w:val="single" w:sz="4" w:space="0" w:color="auto"/>
            </w:tcBorders>
            <w:shd w:val="clear" w:color="auto" w:fill="F2DBDB" w:themeFill="accent2" w:themeFillTint="33"/>
            <w:noWrap/>
            <w:vAlign w:val="center"/>
            <w:hideMark/>
          </w:tcPr>
          <w:p w14:paraId="03D0B8D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$24,15</w:t>
            </w:r>
          </w:p>
        </w:tc>
        <w:tc>
          <w:tcPr>
            <w:tcW w:w="814" w:type="pct"/>
            <w:tcBorders>
              <w:top w:val="nil"/>
              <w:left w:val="nil"/>
              <w:bottom w:val="single" w:sz="4" w:space="0" w:color="auto"/>
              <w:right w:val="single" w:sz="4" w:space="0" w:color="auto"/>
            </w:tcBorders>
            <w:shd w:val="clear" w:color="auto" w:fill="F2DBDB" w:themeFill="accent2" w:themeFillTint="33"/>
            <w:noWrap/>
            <w:vAlign w:val="center"/>
            <w:hideMark/>
          </w:tcPr>
          <w:p w14:paraId="794EBB7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$16,00</w:t>
            </w:r>
          </w:p>
        </w:tc>
      </w:tr>
      <w:tr w:rsidR="001A38D5" w:rsidRPr="001A38D5" w14:paraId="1F507CF3" w14:textId="77777777" w:rsidTr="00A20990">
        <w:trPr>
          <w:trHeight w:val="20"/>
        </w:trPr>
        <w:tc>
          <w:tcPr>
            <w:tcW w:w="3450" w:type="pct"/>
            <w:tcBorders>
              <w:top w:val="nil"/>
              <w:left w:val="single" w:sz="4" w:space="0" w:color="auto"/>
              <w:bottom w:val="single" w:sz="4" w:space="0" w:color="auto"/>
              <w:right w:val="single" w:sz="4" w:space="0" w:color="auto"/>
            </w:tcBorders>
            <w:shd w:val="clear" w:color="auto" w:fill="auto"/>
            <w:vAlign w:val="center"/>
            <w:hideMark/>
          </w:tcPr>
          <w:p w14:paraId="5E750D5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RECURSOS PROPIOS DE LA ENTIDAD TERRITORIAL </w:t>
            </w:r>
          </w:p>
        </w:tc>
        <w:tc>
          <w:tcPr>
            <w:tcW w:w="736" w:type="pct"/>
            <w:tcBorders>
              <w:top w:val="nil"/>
              <w:left w:val="nil"/>
              <w:bottom w:val="single" w:sz="4" w:space="0" w:color="auto"/>
              <w:right w:val="single" w:sz="4" w:space="0" w:color="auto"/>
            </w:tcBorders>
            <w:shd w:val="clear" w:color="auto" w:fill="auto"/>
            <w:noWrap/>
            <w:vAlign w:val="center"/>
            <w:hideMark/>
          </w:tcPr>
          <w:p w14:paraId="4B8DFAA1"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$2.100,00</w:t>
            </w:r>
          </w:p>
        </w:tc>
        <w:tc>
          <w:tcPr>
            <w:tcW w:w="814" w:type="pct"/>
            <w:tcBorders>
              <w:top w:val="nil"/>
              <w:left w:val="nil"/>
              <w:bottom w:val="single" w:sz="4" w:space="0" w:color="auto"/>
              <w:right w:val="single" w:sz="4" w:space="0" w:color="auto"/>
            </w:tcBorders>
            <w:shd w:val="clear" w:color="auto" w:fill="auto"/>
            <w:noWrap/>
            <w:vAlign w:val="center"/>
            <w:hideMark/>
          </w:tcPr>
          <w:p w14:paraId="20D4D087"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$2.100,00</w:t>
            </w:r>
          </w:p>
        </w:tc>
      </w:tr>
      <w:tr w:rsidR="001A38D5" w:rsidRPr="001A38D5" w14:paraId="13E17189" w14:textId="77777777" w:rsidTr="00A20990">
        <w:trPr>
          <w:trHeight w:val="20"/>
        </w:trPr>
        <w:tc>
          <w:tcPr>
            <w:tcW w:w="3450"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6DD628B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OTROS SGP RECURSOS ASIGNADOS POR SGP DIFERENTES A AESGPAE</w:t>
            </w:r>
          </w:p>
        </w:tc>
        <w:tc>
          <w:tcPr>
            <w:tcW w:w="736" w:type="pct"/>
            <w:tcBorders>
              <w:top w:val="nil"/>
              <w:left w:val="nil"/>
              <w:bottom w:val="single" w:sz="4" w:space="0" w:color="auto"/>
              <w:right w:val="single" w:sz="4" w:space="0" w:color="auto"/>
            </w:tcBorders>
            <w:shd w:val="clear" w:color="auto" w:fill="F2DBDB" w:themeFill="accent2" w:themeFillTint="33"/>
            <w:noWrap/>
            <w:vAlign w:val="center"/>
            <w:hideMark/>
          </w:tcPr>
          <w:p w14:paraId="4BE46498"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$744,39</w:t>
            </w:r>
          </w:p>
        </w:tc>
        <w:tc>
          <w:tcPr>
            <w:tcW w:w="814" w:type="pct"/>
            <w:tcBorders>
              <w:top w:val="nil"/>
              <w:left w:val="nil"/>
              <w:bottom w:val="single" w:sz="4" w:space="0" w:color="auto"/>
              <w:right w:val="single" w:sz="4" w:space="0" w:color="auto"/>
            </w:tcBorders>
            <w:shd w:val="clear" w:color="auto" w:fill="F2DBDB" w:themeFill="accent2" w:themeFillTint="33"/>
            <w:noWrap/>
            <w:vAlign w:val="center"/>
            <w:hideMark/>
          </w:tcPr>
          <w:p w14:paraId="13F407F1"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$405,00</w:t>
            </w:r>
          </w:p>
        </w:tc>
      </w:tr>
      <w:tr w:rsidR="001A38D5" w:rsidRPr="001A38D5" w14:paraId="2208B451" w14:textId="77777777" w:rsidTr="00A20990">
        <w:trPr>
          <w:trHeight w:val="20"/>
        </w:trPr>
        <w:tc>
          <w:tcPr>
            <w:tcW w:w="3450" w:type="pct"/>
            <w:tcBorders>
              <w:top w:val="nil"/>
              <w:left w:val="single" w:sz="4" w:space="0" w:color="auto"/>
              <w:bottom w:val="single" w:sz="4" w:space="0" w:color="auto"/>
              <w:right w:val="single" w:sz="4" w:space="0" w:color="auto"/>
            </w:tcBorders>
            <w:shd w:val="clear" w:color="auto" w:fill="auto"/>
            <w:vAlign w:val="center"/>
            <w:hideMark/>
          </w:tcPr>
          <w:p w14:paraId="4ACD451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SGP ALIMENTACION ESCOLAR SALDOS NO EJECUTADOS VIGENCIAS ANTERIORES </w:t>
            </w:r>
          </w:p>
        </w:tc>
        <w:tc>
          <w:tcPr>
            <w:tcW w:w="736" w:type="pct"/>
            <w:tcBorders>
              <w:top w:val="nil"/>
              <w:left w:val="nil"/>
              <w:bottom w:val="single" w:sz="4" w:space="0" w:color="auto"/>
              <w:right w:val="single" w:sz="4" w:space="0" w:color="auto"/>
            </w:tcBorders>
            <w:shd w:val="clear" w:color="auto" w:fill="auto"/>
            <w:noWrap/>
            <w:vAlign w:val="center"/>
            <w:hideMark/>
          </w:tcPr>
          <w:p w14:paraId="3FE0AFFE"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$85,82</w:t>
            </w:r>
          </w:p>
        </w:tc>
        <w:tc>
          <w:tcPr>
            <w:tcW w:w="814" w:type="pct"/>
            <w:tcBorders>
              <w:top w:val="nil"/>
              <w:left w:val="nil"/>
              <w:bottom w:val="single" w:sz="4" w:space="0" w:color="auto"/>
              <w:right w:val="single" w:sz="4" w:space="0" w:color="auto"/>
            </w:tcBorders>
            <w:shd w:val="clear" w:color="auto" w:fill="auto"/>
            <w:noWrap/>
            <w:vAlign w:val="center"/>
            <w:hideMark/>
          </w:tcPr>
          <w:p w14:paraId="29CC69E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$85,82</w:t>
            </w:r>
          </w:p>
        </w:tc>
      </w:tr>
      <w:tr w:rsidR="001A38D5" w:rsidRPr="001A38D5" w14:paraId="3C002CCE" w14:textId="77777777" w:rsidTr="007D606A">
        <w:trPr>
          <w:trHeight w:val="20"/>
        </w:trPr>
        <w:tc>
          <w:tcPr>
            <w:tcW w:w="3450"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42FA4DA2"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RECURSOS DE INVERSION DEL PGN ASIGNADOS POR MEN / UAPA - VIGENCIAS ANT. </w:t>
            </w:r>
          </w:p>
        </w:tc>
        <w:tc>
          <w:tcPr>
            <w:tcW w:w="736" w:type="pct"/>
            <w:tcBorders>
              <w:top w:val="nil"/>
              <w:left w:val="nil"/>
              <w:bottom w:val="single" w:sz="4" w:space="0" w:color="auto"/>
              <w:right w:val="single" w:sz="4" w:space="0" w:color="auto"/>
            </w:tcBorders>
            <w:shd w:val="clear" w:color="auto" w:fill="F2DBDB" w:themeFill="accent2" w:themeFillTint="33"/>
            <w:noWrap/>
            <w:vAlign w:val="center"/>
            <w:hideMark/>
          </w:tcPr>
          <w:p w14:paraId="1781214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$1.370,67</w:t>
            </w:r>
          </w:p>
        </w:tc>
        <w:tc>
          <w:tcPr>
            <w:tcW w:w="814" w:type="pct"/>
            <w:tcBorders>
              <w:top w:val="nil"/>
              <w:left w:val="nil"/>
              <w:bottom w:val="single" w:sz="4" w:space="0" w:color="auto"/>
              <w:right w:val="single" w:sz="4" w:space="0" w:color="auto"/>
            </w:tcBorders>
            <w:shd w:val="clear" w:color="auto" w:fill="F2DBDB" w:themeFill="accent2" w:themeFillTint="33"/>
            <w:noWrap/>
            <w:vAlign w:val="center"/>
            <w:hideMark/>
          </w:tcPr>
          <w:p w14:paraId="4FE5BFE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$1.337,44</w:t>
            </w:r>
          </w:p>
        </w:tc>
      </w:tr>
      <w:tr w:rsidR="001A38D5" w:rsidRPr="001A38D5" w14:paraId="50732A21" w14:textId="77777777" w:rsidTr="007D606A">
        <w:trPr>
          <w:trHeight w:val="20"/>
        </w:trPr>
        <w:tc>
          <w:tcPr>
            <w:tcW w:w="3450"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DC3A889"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Total general</w:t>
            </w:r>
          </w:p>
        </w:tc>
        <w:tc>
          <w:tcPr>
            <w:tcW w:w="736" w:type="pct"/>
            <w:tcBorders>
              <w:top w:val="single" w:sz="4" w:space="0" w:color="auto"/>
              <w:left w:val="nil"/>
              <w:bottom w:val="single" w:sz="4" w:space="0" w:color="auto"/>
              <w:right w:val="single" w:sz="4" w:space="0" w:color="auto"/>
            </w:tcBorders>
            <w:shd w:val="clear" w:color="000000" w:fill="FFC000"/>
            <w:noWrap/>
            <w:vAlign w:val="center"/>
            <w:hideMark/>
          </w:tcPr>
          <w:p w14:paraId="06257779" w14:textId="77777777" w:rsidR="00A20990" w:rsidRPr="001A38D5" w:rsidRDefault="00A20990" w:rsidP="005140E1">
            <w:pPr>
              <w:contextualSpacing/>
              <w:jc w:val="right"/>
              <w:rPr>
                <w:rFonts w:eastAsia="Times New Roman" w:cs="Arial"/>
                <w:b/>
                <w:bCs/>
                <w:sz w:val="18"/>
                <w:szCs w:val="18"/>
                <w:lang w:val="es-CO" w:eastAsia="es-CO"/>
              </w:rPr>
            </w:pPr>
            <w:r w:rsidRPr="001A38D5">
              <w:rPr>
                <w:rFonts w:eastAsia="Times New Roman" w:cs="Arial"/>
                <w:b/>
                <w:bCs/>
                <w:sz w:val="18"/>
                <w:szCs w:val="18"/>
                <w:lang w:val="es-CO" w:eastAsia="es-CO"/>
              </w:rPr>
              <w:t>$17.402,59</w:t>
            </w:r>
          </w:p>
        </w:tc>
        <w:tc>
          <w:tcPr>
            <w:tcW w:w="814" w:type="pct"/>
            <w:tcBorders>
              <w:top w:val="single" w:sz="4" w:space="0" w:color="auto"/>
              <w:left w:val="nil"/>
              <w:bottom w:val="single" w:sz="4" w:space="0" w:color="auto"/>
              <w:right w:val="single" w:sz="4" w:space="0" w:color="auto"/>
            </w:tcBorders>
            <w:shd w:val="clear" w:color="000000" w:fill="FFC000"/>
            <w:noWrap/>
            <w:vAlign w:val="center"/>
            <w:hideMark/>
          </w:tcPr>
          <w:p w14:paraId="66651F6B" w14:textId="77777777" w:rsidR="00A20990" w:rsidRPr="001A38D5" w:rsidRDefault="00A20990" w:rsidP="005140E1">
            <w:pPr>
              <w:contextualSpacing/>
              <w:jc w:val="right"/>
              <w:rPr>
                <w:rFonts w:eastAsia="Times New Roman" w:cs="Arial"/>
                <w:b/>
                <w:bCs/>
                <w:sz w:val="18"/>
                <w:szCs w:val="18"/>
                <w:lang w:val="es-CO" w:eastAsia="es-CO"/>
              </w:rPr>
            </w:pPr>
            <w:r w:rsidRPr="001A38D5">
              <w:rPr>
                <w:rFonts w:eastAsia="Times New Roman" w:cs="Arial"/>
                <w:b/>
                <w:bCs/>
                <w:sz w:val="18"/>
                <w:szCs w:val="18"/>
                <w:lang w:val="es-CO" w:eastAsia="es-CO"/>
              </w:rPr>
              <w:t>$16.595,34</w:t>
            </w:r>
          </w:p>
        </w:tc>
      </w:tr>
    </w:tbl>
    <w:p w14:paraId="6D242128" w14:textId="77777777" w:rsidR="00A20990" w:rsidRPr="007A412F" w:rsidRDefault="00A20990" w:rsidP="005140E1">
      <w:pPr>
        <w:contextualSpacing/>
        <w:jc w:val="center"/>
        <w:rPr>
          <w:rFonts w:cs="Arial"/>
          <w:sz w:val="21"/>
          <w:szCs w:val="21"/>
          <w:lang w:val="es-CO"/>
        </w:rPr>
      </w:pPr>
      <w:r w:rsidRPr="007A412F">
        <w:rPr>
          <w:rFonts w:cs="Arial"/>
          <w:bCs/>
          <w:sz w:val="16"/>
          <w:szCs w:val="21"/>
        </w:rPr>
        <w:t>Fuente: Elaboración DAF con base en el reporte en la Categoría UAPA PAE del CHIP y la ejecución presupuestal de gastos vigencia 2021.</w:t>
      </w:r>
    </w:p>
    <w:p w14:paraId="1E18EE53" w14:textId="77777777" w:rsidR="00A20990" w:rsidRPr="001A38D5" w:rsidRDefault="00A20990" w:rsidP="005140E1">
      <w:pPr>
        <w:contextualSpacing/>
        <w:jc w:val="both"/>
        <w:rPr>
          <w:rFonts w:cs="Arial"/>
          <w:lang w:val="es-CO"/>
        </w:rPr>
      </w:pPr>
    </w:p>
    <w:p w14:paraId="3D7BA41E" w14:textId="77777777" w:rsidR="00A20990" w:rsidRPr="001A38D5" w:rsidRDefault="00A20990" w:rsidP="005140E1">
      <w:pPr>
        <w:contextualSpacing/>
        <w:jc w:val="both"/>
        <w:rPr>
          <w:rFonts w:cs="Arial"/>
          <w:lang w:val="es-CO"/>
        </w:rPr>
      </w:pPr>
      <w:r w:rsidRPr="001A38D5">
        <w:rPr>
          <w:rFonts w:cs="Arial"/>
          <w:lang w:val="es-CO"/>
        </w:rPr>
        <w:t xml:space="preserve">Finalmente, para la vigencia 2022 la Entidad Territorial reportó un valor asignado para el total de las fuentes de financiación por $1.361.889,64 millones y un recaudo acumulado a diciembre de 2022 de $660.835,42 millones. De lo anterior resulta importante señalar, en primer lugar, que el recaudo acumulado a diciembre de 2022 de recursos del presupuesto ordinario según la ejecución presupuestal para esa vigencia fue de $19.092,99 millones. En segundo lugar, la apropiación definitiva de los recursos del SGR para la vigencia 2022 asociada al BPIN 20225000010017, que corresponde a la implementación del PAE en Villavicencio, ascendió a $7.000 millones, según el reporte de programación de gastos del SGR del CHIP, al tiempo, los compromisos por esta fuente fueron de $6.840,75 millones según la ejecución de gastos del SGR de CHIP. A continuación, se presentan las diferencias: </w:t>
      </w:r>
    </w:p>
    <w:p w14:paraId="4B53F50E" w14:textId="77777777" w:rsidR="00A20990" w:rsidRPr="001A38D5" w:rsidRDefault="00A20990" w:rsidP="005140E1">
      <w:pPr>
        <w:contextualSpacing/>
        <w:rPr>
          <w:rFonts w:cs="Arial"/>
          <w:lang w:val="es-CO"/>
        </w:rPr>
      </w:pPr>
    </w:p>
    <w:p w14:paraId="6EECF1F9"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13</w:t>
      </w:r>
      <w:r w:rsidRPr="007A412F">
        <w:rPr>
          <w:rFonts w:ascii="Verdana" w:hAnsi="Verdana"/>
          <w:color w:val="auto"/>
          <w:sz w:val="20"/>
          <w:szCs w:val="20"/>
        </w:rPr>
        <w:fldChar w:fldCharType="end"/>
      </w:r>
      <w:r w:rsidRPr="007A412F">
        <w:rPr>
          <w:rFonts w:ascii="Verdana" w:hAnsi="Verdana"/>
          <w:color w:val="auto"/>
          <w:sz w:val="20"/>
          <w:szCs w:val="20"/>
        </w:rPr>
        <w:t xml:space="preserve"> Valor asignado y recaudado a diciembre de 2021 (valores en millones de pesos colombianos).</w:t>
      </w:r>
    </w:p>
    <w:tbl>
      <w:tblPr>
        <w:tblW w:w="5000" w:type="pct"/>
        <w:tblCellMar>
          <w:left w:w="70" w:type="dxa"/>
          <w:right w:w="70" w:type="dxa"/>
        </w:tblCellMar>
        <w:tblLook w:val="04A0" w:firstRow="1" w:lastRow="0" w:firstColumn="1" w:lastColumn="0" w:noHBand="0" w:noVBand="1"/>
      </w:tblPr>
      <w:tblGrid>
        <w:gridCol w:w="3823"/>
        <w:gridCol w:w="1430"/>
        <w:gridCol w:w="1452"/>
        <w:gridCol w:w="1323"/>
        <w:gridCol w:w="1366"/>
      </w:tblGrid>
      <w:tr w:rsidR="001A38D5" w:rsidRPr="001A38D5" w14:paraId="05B5EE99" w14:textId="77777777" w:rsidTr="00B23E6E">
        <w:trPr>
          <w:trHeight w:val="20"/>
          <w:tblHeader/>
        </w:trPr>
        <w:tc>
          <w:tcPr>
            <w:tcW w:w="2045" w:type="pct"/>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130BE023"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FUENTE DE RECURSOS</w:t>
            </w:r>
          </w:p>
        </w:tc>
        <w:tc>
          <w:tcPr>
            <w:tcW w:w="1554" w:type="pct"/>
            <w:gridSpan w:val="2"/>
            <w:tcBorders>
              <w:top w:val="single" w:sz="4" w:space="0" w:color="auto"/>
              <w:left w:val="nil"/>
              <w:bottom w:val="single" w:sz="4" w:space="0" w:color="auto"/>
              <w:right w:val="single" w:sz="4" w:space="0" w:color="auto"/>
            </w:tcBorders>
            <w:shd w:val="clear" w:color="auto" w:fill="FFC000"/>
            <w:vAlign w:val="center"/>
            <w:hideMark/>
          </w:tcPr>
          <w:p w14:paraId="49A249CC"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ASIGNACIÓN</w:t>
            </w:r>
          </w:p>
        </w:tc>
        <w:tc>
          <w:tcPr>
            <w:tcW w:w="1402" w:type="pct"/>
            <w:gridSpan w:val="2"/>
            <w:tcBorders>
              <w:top w:val="single" w:sz="4" w:space="0" w:color="auto"/>
              <w:left w:val="nil"/>
              <w:bottom w:val="single" w:sz="4" w:space="0" w:color="auto"/>
              <w:right w:val="single" w:sz="4" w:space="0" w:color="auto"/>
            </w:tcBorders>
            <w:shd w:val="clear" w:color="auto" w:fill="FFC000"/>
            <w:vAlign w:val="center"/>
            <w:hideMark/>
          </w:tcPr>
          <w:p w14:paraId="71F601F4"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RECAUDO</w:t>
            </w:r>
          </w:p>
        </w:tc>
      </w:tr>
      <w:tr w:rsidR="001A38D5" w:rsidRPr="001A38D5" w14:paraId="544486CA" w14:textId="77777777" w:rsidTr="00B23E6E">
        <w:trPr>
          <w:trHeight w:val="20"/>
          <w:tblHeader/>
        </w:trPr>
        <w:tc>
          <w:tcPr>
            <w:tcW w:w="2045" w:type="pct"/>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2F8F07EC" w14:textId="77777777" w:rsidR="00A20990" w:rsidRPr="001A38D5" w:rsidRDefault="00A20990" w:rsidP="005140E1">
            <w:pPr>
              <w:contextualSpacing/>
              <w:rPr>
                <w:rFonts w:eastAsia="Times New Roman" w:cs="Arial"/>
                <w:b/>
                <w:bCs/>
                <w:sz w:val="16"/>
                <w:szCs w:val="16"/>
                <w:lang w:val="es-CO" w:eastAsia="es-CO"/>
              </w:rPr>
            </w:pPr>
          </w:p>
        </w:tc>
        <w:tc>
          <w:tcPr>
            <w:tcW w:w="771" w:type="pct"/>
            <w:tcBorders>
              <w:top w:val="nil"/>
              <w:left w:val="nil"/>
              <w:bottom w:val="single" w:sz="4" w:space="0" w:color="auto"/>
              <w:right w:val="single" w:sz="4" w:space="0" w:color="auto"/>
            </w:tcBorders>
            <w:shd w:val="clear" w:color="auto" w:fill="FFC000"/>
            <w:vAlign w:val="center"/>
            <w:hideMark/>
          </w:tcPr>
          <w:p w14:paraId="1D2FC63F"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UAPA-PAE</w:t>
            </w:r>
          </w:p>
        </w:tc>
        <w:tc>
          <w:tcPr>
            <w:tcW w:w="783" w:type="pct"/>
            <w:tcBorders>
              <w:top w:val="nil"/>
              <w:left w:val="nil"/>
              <w:bottom w:val="single" w:sz="4" w:space="0" w:color="auto"/>
              <w:right w:val="single" w:sz="4" w:space="0" w:color="auto"/>
            </w:tcBorders>
            <w:shd w:val="clear" w:color="auto" w:fill="FFC000"/>
            <w:vAlign w:val="center"/>
            <w:hideMark/>
          </w:tcPr>
          <w:p w14:paraId="4CD52CBD"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EJECUCIÓN PRESUPUESTAL</w:t>
            </w:r>
          </w:p>
        </w:tc>
        <w:tc>
          <w:tcPr>
            <w:tcW w:w="714" w:type="pct"/>
            <w:tcBorders>
              <w:top w:val="nil"/>
              <w:left w:val="nil"/>
              <w:bottom w:val="single" w:sz="4" w:space="0" w:color="auto"/>
              <w:right w:val="single" w:sz="4" w:space="0" w:color="auto"/>
            </w:tcBorders>
            <w:shd w:val="clear" w:color="auto" w:fill="FFC000"/>
            <w:vAlign w:val="center"/>
            <w:hideMark/>
          </w:tcPr>
          <w:p w14:paraId="29221DF0"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UAPA-PAE</w:t>
            </w:r>
          </w:p>
        </w:tc>
        <w:tc>
          <w:tcPr>
            <w:tcW w:w="687" w:type="pct"/>
            <w:tcBorders>
              <w:top w:val="nil"/>
              <w:left w:val="nil"/>
              <w:bottom w:val="single" w:sz="4" w:space="0" w:color="auto"/>
              <w:right w:val="single" w:sz="4" w:space="0" w:color="auto"/>
            </w:tcBorders>
            <w:shd w:val="clear" w:color="auto" w:fill="FFC000"/>
            <w:vAlign w:val="center"/>
            <w:hideMark/>
          </w:tcPr>
          <w:p w14:paraId="1CE33A6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EJECUCIÓN PRESUPUESTAL</w:t>
            </w:r>
          </w:p>
        </w:tc>
      </w:tr>
      <w:tr w:rsidR="001A38D5" w:rsidRPr="001A38D5" w14:paraId="4807AB6E"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63F3D982"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RECURSOS DE INVERSION DEL PGN ASIGNADOS POR UAPA - VIGENCIA ACTUAL </w:t>
            </w:r>
          </w:p>
        </w:tc>
        <w:tc>
          <w:tcPr>
            <w:tcW w:w="771" w:type="pct"/>
            <w:tcBorders>
              <w:top w:val="nil"/>
              <w:left w:val="nil"/>
              <w:bottom w:val="single" w:sz="4" w:space="0" w:color="auto"/>
              <w:right w:val="single" w:sz="4" w:space="0" w:color="auto"/>
            </w:tcBorders>
            <w:shd w:val="clear" w:color="auto" w:fill="auto"/>
            <w:noWrap/>
            <w:vAlign w:val="center"/>
            <w:hideMark/>
          </w:tcPr>
          <w:p w14:paraId="1CEC402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$10.045,07</w:t>
            </w:r>
          </w:p>
        </w:tc>
        <w:tc>
          <w:tcPr>
            <w:tcW w:w="783" w:type="pct"/>
            <w:tcBorders>
              <w:top w:val="nil"/>
              <w:left w:val="nil"/>
              <w:bottom w:val="single" w:sz="4" w:space="0" w:color="auto"/>
              <w:right w:val="single" w:sz="4" w:space="0" w:color="auto"/>
            </w:tcBorders>
            <w:shd w:val="clear" w:color="000000" w:fill="EDEDED"/>
            <w:noWrap/>
            <w:vAlign w:val="center"/>
            <w:hideMark/>
          </w:tcPr>
          <w:p w14:paraId="2E6699B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$10.045,07</w:t>
            </w:r>
          </w:p>
        </w:tc>
        <w:tc>
          <w:tcPr>
            <w:tcW w:w="714" w:type="pct"/>
            <w:tcBorders>
              <w:top w:val="nil"/>
              <w:left w:val="nil"/>
              <w:bottom w:val="single" w:sz="4" w:space="0" w:color="auto"/>
              <w:right w:val="single" w:sz="4" w:space="0" w:color="auto"/>
            </w:tcBorders>
            <w:shd w:val="clear" w:color="auto" w:fill="F2DBDB" w:themeFill="accent2" w:themeFillTint="33"/>
            <w:noWrap/>
            <w:vAlign w:val="center"/>
            <w:hideMark/>
          </w:tcPr>
          <w:p w14:paraId="312326F8"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$8.990,84</w:t>
            </w:r>
          </w:p>
        </w:tc>
        <w:tc>
          <w:tcPr>
            <w:tcW w:w="687" w:type="pct"/>
            <w:tcBorders>
              <w:top w:val="nil"/>
              <w:left w:val="nil"/>
              <w:bottom w:val="single" w:sz="4" w:space="0" w:color="auto"/>
              <w:right w:val="single" w:sz="4" w:space="0" w:color="auto"/>
            </w:tcBorders>
            <w:shd w:val="clear" w:color="auto" w:fill="F2DBDB" w:themeFill="accent2" w:themeFillTint="33"/>
            <w:noWrap/>
            <w:vAlign w:val="center"/>
            <w:hideMark/>
          </w:tcPr>
          <w:p w14:paraId="2C9AC1C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$9.781,23</w:t>
            </w:r>
          </w:p>
        </w:tc>
      </w:tr>
      <w:tr w:rsidR="001A38D5" w:rsidRPr="001A38D5" w14:paraId="32B23F9F"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auto"/>
            <w:vAlign w:val="center"/>
            <w:hideMark/>
          </w:tcPr>
          <w:p w14:paraId="69487C2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SGP ALIMENTACION ESCOLAR ONCE DOCEAVAS VIGENCIA ACTUAL MAS ULTIMA DOCEAVA VIGENCIA ANTERIOR </w:t>
            </w:r>
          </w:p>
        </w:tc>
        <w:tc>
          <w:tcPr>
            <w:tcW w:w="771" w:type="pct"/>
            <w:tcBorders>
              <w:top w:val="nil"/>
              <w:left w:val="nil"/>
              <w:bottom w:val="single" w:sz="4" w:space="0" w:color="auto"/>
              <w:right w:val="single" w:sz="4" w:space="0" w:color="auto"/>
            </w:tcBorders>
            <w:shd w:val="clear" w:color="auto" w:fill="auto"/>
            <w:noWrap/>
            <w:vAlign w:val="center"/>
            <w:hideMark/>
          </w:tcPr>
          <w:p w14:paraId="1CCF617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c>
          <w:tcPr>
            <w:tcW w:w="783" w:type="pct"/>
            <w:tcBorders>
              <w:top w:val="nil"/>
              <w:left w:val="nil"/>
              <w:bottom w:val="single" w:sz="4" w:space="0" w:color="auto"/>
              <w:right w:val="single" w:sz="4" w:space="0" w:color="auto"/>
            </w:tcBorders>
            <w:shd w:val="clear" w:color="000000" w:fill="EDEDED"/>
            <w:noWrap/>
            <w:vAlign w:val="center"/>
            <w:hideMark/>
          </w:tcPr>
          <w:p w14:paraId="5ADB241D"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c>
          <w:tcPr>
            <w:tcW w:w="714" w:type="pct"/>
            <w:tcBorders>
              <w:top w:val="nil"/>
              <w:left w:val="nil"/>
              <w:bottom w:val="single" w:sz="4" w:space="0" w:color="auto"/>
              <w:right w:val="single" w:sz="4" w:space="0" w:color="auto"/>
            </w:tcBorders>
            <w:shd w:val="clear" w:color="auto" w:fill="auto"/>
            <w:noWrap/>
            <w:vAlign w:val="center"/>
            <w:hideMark/>
          </w:tcPr>
          <w:p w14:paraId="24055F7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c>
          <w:tcPr>
            <w:tcW w:w="687" w:type="pct"/>
            <w:tcBorders>
              <w:top w:val="nil"/>
              <w:left w:val="nil"/>
              <w:bottom w:val="single" w:sz="4" w:space="0" w:color="auto"/>
              <w:right w:val="single" w:sz="4" w:space="0" w:color="auto"/>
            </w:tcBorders>
            <w:shd w:val="clear" w:color="000000" w:fill="EDEDED"/>
            <w:noWrap/>
            <w:vAlign w:val="center"/>
            <w:hideMark/>
          </w:tcPr>
          <w:p w14:paraId="7D2C9738"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r>
      <w:tr w:rsidR="001A38D5" w:rsidRPr="001A38D5" w14:paraId="08465D7B"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7B3F8F6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lastRenderedPageBreak/>
              <w:t xml:space="preserve">RENDIMIENTOS FINANCIEROS </w:t>
            </w:r>
          </w:p>
        </w:tc>
        <w:tc>
          <w:tcPr>
            <w:tcW w:w="771" w:type="pct"/>
            <w:tcBorders>
              <w:top w:val="nil"/>
              <w:left w:val="nil"/>
              <w:bottom w:val="single" w:sz="4" w:space="0" w:color="auto"/>
              <w:right w:val="single" w:sz="4" w:space="0" w:color="auto"/>
            </w:tcBorders>
            <w:shd w:val="clear" w:color="auto" w:fill="F2DBDB" w:themeFill="accent2" w:themeFillTint="33"/>
            <w:noWrap/>
            <w:vAlign w:val="center"/>
            <w:hideMark/>
          </w:tcPr>
          <w:p w14:paraId="506D37B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$547,93</w:t>
            </w:r>
          </w:p>
        </w:tc>
        <w:tc>
          <w:tcPr>
            <w:tcW w:w="783" w:type="pct"/>
            <w:tcBorders>
              <w:top w:val="nil"/>
              <w:left w:val="nil"/>
              <w:bottom w:val="single" w:sz="4" w:space="0" w:color="auto"/>
              <w:right w:val="single" w:sz="4" w:space="0" w:color="auto"/>
            </w:tcBorders>
            <w:shd w:val="clear" w:color="auto" w:fill="F2DBDB" w:themeFill="accent2" w:themeFillTint="33"/>
            <w:noWrap/>
            <w:vAlign w:val="center"/>
            <w:hideMark/>
          </w:tcPr>
          <w:p w14:paraId="08FE29B1" w14:textId="77777777" w:rsidR="00A20990" w:rsidRPr="001A38D5" w:rsidRDefault="00A20990" w:rsidP="005140E1">
            <w:pPr>
              <w:contextualSpacing/>
              <w:jc w:val="right"/>
              <w:rPr>
                <w:rFonts w:eastAsia="Times New Roman" w:cs="Arial"/>
                <w:sz w:val="16"/>
                <w:szCs w:val="16"/>
                <w:lang w:val="es-CO" w:eastAsia="es-CO"/>
              </w:rPr>
            </w:pPr>
          </w:p>
        </w:tc>
        <w:tc>
          <w:tcPr>
            <w:tcW w:w="714" w:type="pct"/>
            <w:tcBorders>
              <w:top w:val="nil"/>
              <w:left w:val="nil"/>
              <w:bottom w:val="single" w:sz="4" w:space="0" w:color="auto"/>
              <w:right w:val="single" w:sz="4" w:space="0" w:color="auto"/>
            </w:tcBorders>
            <w:shd w:val="clear" w:color="auto" w:fill="F2DBDB" w:themeFill="accent2" w:themeFillTint="33"/>
            <w:noWrap/>
            <w:vAlign w:val="center"/>
            <w:hideMark/>
          </w:tcPr>
          <w:p w14:paraId="19921B1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$547,93</w:t>
            </w:r>
          </w:p>
        </w:tc>
        <w:tc>
          <w:tcPr>
            <w:tcW w:w="687" w:type="pct"/>
            <w:tcBorders>
              <w:top w:val="nil"/>
              <w:left w:val="nil"/>
              <w:bottom w:val="single" w:sz="4" w:space="0" w:color="auto"/>
              <w:right w:val="single" w:sz="4" w:space="0" w:color="auto"/>
            </w:tcBorders>
            <w:shd w:val="clear" w:color="auto" w:fill="F2DBDB" w:themeFill="accent2" w:themeFillTint="33"/>
            <w:noWrap/>
            <w:vAlign w:val="center"/>
            <w:hideMark/>
          </w:tcPr>
          <w:p w14:paraId="1526B04E" w14:textId="77777777" w:rsidR="00A20990" w:rsidRPr="001A38D5" w:rsidRDefault="00A20990" w:rsidP="005140E1">
            <w:pPr>
              <w:contextualSpacing/>
              <w:jc w:val="right"/>
              <w:rPr>
                <w:rFonts w:eastAsia="Times New Roman" w:cs="Arial"/>
                <w:sz w:val="16"/>
                <w:szCs w:val="16"/>
                <w:lang w:val="es-CO" w:eastAsia="es-CO"/>
              </w:rPr>
            </w:pPr>
          </w:p>
        </w:tc>
      </w:tr>
      <w:tr w:rsidR="001A38D5" w:rsidRPr="001A38D5" w14:paraId="6F4F0B7B"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0E7CF38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RECURSOS DE INVERSION DEL PGN ASIGNADOS POR MEN / UAPA - VIGENCIAS ANTERIORES </w:t>
            </w:r>
          </w:p>
        </w:tc>
        <w:tc>
          <w:tcPr>
            <w:tcW w:w="771" w:type="pct"/>
            <w:tcBorders>
              <w:top w:val="nil"/>
              <w:left w:val="nil"/>
              <w:bottom w:val="single" w:sz="4" w:space="0" w:color="auto"/>
              <w:right w:val="single" w:sz="4" w:space="0" w:color="auto"/>
            </w:tcBorders>
            <w:shd w:val="clear" w:color="auto" w:fill="auto"/>
            <w:noWrap/>
            <w:vAlign w:val="center"/>
            <w:hideMark/>
          </w:tcPr>
          <w:p w14:paraId="6A98471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$1.444,41</w:t>
            </w:r>
          </w:p>
        </w:tc>
        <w:tc>
          <w:tcPr>
            <w:tcW w:w="783" w:type="pct"/>
            <w:tcBorders>
              <w:top w:val="nil"/>
              <w:left w:val="nil"/>
              <w:bottom w:val="single" w:sz="4" w:space="0" w:color="auto"/>
              <w:right w:val="single" w:sz="4" w:space="0" w:color="auto"/>
            </w:tcBorders>
            <w:shd w:val="clear" w:color="000000" w:fill="EDEDED"/>
            <w:noWrap/>
            <w:vAlign w:val="center"/>
            <w:hideMark/>
          </w:tcPr>
          <w:p w14:paraId="6EEBC8D1"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$1.444,41</w:t>
            </w:r>
          </w:p>
        </w:tc>
        <w:tc>
          <w:tcPr>
            <w:tcW w:w="714" w:type="pct"/>
            <w:tcBorders>
              <w:top w:val="nil"/>
              <w:left w:val="nil"/>
              <w:bottom w:val="single" w:sz="4" w:space="0" w:color="auto"/>
              <w:right w:val="single" w:sz="4" w:space="0" w:color="auto"/>
            </w:tcBorders>
            <w:shd w:val="clear" w:color="auto" w:fill="auto"/>
            <w:noWrap/>
            <w:vAlign w:val="center"/>
            <w:hideMark/>
          </w:tcPr>
          <w:p w14:paraId="6683F21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$1.444,41</w:t>
            </w:r>
          </w:p>
        </w:tc>
        <w:tc>
          <w:tcPr>
            <w:tcW w:w="687" w:type="pct"/>
            <w:tcBorders>
              <w:top w:val="nil"/>
              <w:left w:val="nil"/>
              <w:bottom w:val="single" w:sz="4" w:space="0" w:color="auto"/>
              <w:right w:val="single" w:sz="4" w:space="0" w:color="auto"/>
            </w:tcBorders>
            <w:shd w:val="clear" w:color="auto" w:fill="F2DBDB" w:themeFill="accent2" w:themeFillTint="33"/>
            <w:noWrap/>
            <w:vAlign w:val="center"/>
            <w:hideMark/>
          </w:tcPr>
          <w:p w14:paraId="6EEC037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$1.172,85</w:t>
            </w:r>
          </w:p>
        </w:tc>
      </w:tr>
      <w:tr w:rsidR="001A38D5" w:rsidRPr="001A38D5" w14:paraId="1F293BFF"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467860B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OTROS RECURSOS POR SGP DIFERENTES A AEGSPAE</w:t>
            </w:r>
          </w:p>
        </w:tc>
        <w:tc>
          <w:tcPr>
            <w:tcW w:w="771" w:type="pct"/>
            <w:tcBorders>
              <w:top w:val="nil"/>
              <w:left w:val="nil"/>
              <w:bottom w:val="single" w:sz="4" w:space="0" w:color="auto"/>
              <w:right w:val="single" w:sz="4" w:space="0" w:color="auto"/>
            </w:tcBorders>
            <w:shd w:val="clear" w:color="auto" w:fill="F2DBDB" w:themeFill="accent2" w:themeFillTint="33"/>
            <w:noWrap/>
            <w:vAlign w:val="center"/>
            <w:hideMark/>
          </w:tcPr>
          <w:p w14:paraId="132285F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$277.952,37</w:t>
            </w:r>
          </w:p>
        </w:tc>
        <w:tc>
          <w:tcPr>
            <w:tcW w:w="783" w:type="pct"/>
            <w:tcBorders>
              <w:top w:val="nil"/>
              <w:left w:val="nil"/>
              <w:bottom w:val="single" w:sz="4" w:space="0" w:color="auto"/>
              <w:right w:val="single" w:sz="4" w:space="0" w:color="auto"/>
            </w:tcBorders>
            <w:shd w:val="clear" w:color="auto" w:fill="F2DBDB" w:themeFill="accent2" w:themeFillTint="33"/>
            <w:noWrap/>
            <w:vAlign w:val="bottom"/>
            <w:hideMark/>
          </w:tcPr>
          <w:p w14:paraId="2E7A7E38" w14:textId="77777777" w:rsidR="00A20990" w:rsidRPr="001A38D5" w:rsidRDefault="00A20990" w:rsidP="005140E1">
            <w:pPr>
              <w:contextualSpacing/>
              <w:jc w:val="right"/>
              <w:rPr>
                <w:rFonts w:eastAsia="Times New Roman" w:cs="Arial"/>
                <w:sz w:val="16"/>
                <w:szCs w:val="16"/>
                <w:lang w:val="es-CO" w:eastAsia="es-CO"/>
              </w:rPr>
            </w:pPr>
          </w:p>
        </w:tc>
        <w:tc>
          <w:tcPr>
            <w:tcW w:w="714" w:type="pct"/>
            <w:tcBorders>
              <w:top w:val="nil"/>
              <w:left w:val="nil"/>
              <w:bottom w:val="single" w:sz="4" w:space="0" w:color="auto"/>
              <w:right w:val="single" w:sz="4" w:space="0" w:color="auto"/>
            </w:tcBorders>
            <w:shd w:val="clear" w:color="auto" w:fill="F2DBDB" w:themeFill="accent2" w:themeFillTint="33"/>
            <w:noWrap/>
            <w:vAlign w:val="center"/>
            <w:hideMark/>
          </w:tcPr>
          <w:p w14:paraId="2C48FF3D"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$277.952,37</w:t>
            </w:r>
          </w:p>
        </w:tc>
        <w:tc>
          <w:tcPr>
            <w:tcW w:w="687" w:type="pct"/>
            <w:tcBorders>
              <w:top w:val="nil"/>
              <w:left w:val="nil"/>
              <w:bottom w:val="single" w:sz="4" w:space="0" w:color="auto"/>
              <w:right w:val="single" w:sz="4" w:space="0" w:color="auto"/>
            </w:tcBorders>
            <w:shd w:val="clear" w:color="auto" w:fill="F2DBDB" w:themeFill="accent2" w:themeFillTint="33"/>
            <w:noWrap/>
            <w:vAlign w:val="bottom"/>
            <w:hideMark/>
          </w:tcPr>
          <w:p w14:paraId="07749949" w14:textId="77777777" w:rsidR="00A20990" w:rsidRPr="001A38D5" w:rsidRDefault="00A20990" w:rsidP="005140E1">
            <w:pPr>
              <w:contextualSpacing/>
              <w:jc w:val="right"/>
              <w:rPr>
                <w:rFonts w:eastAsia="Times New Roman" w:cs="Arial"/>
                <w:sz w:val="16"/>
                <w:szCs w:val="16"/>
                <w:lang w:val="es-CO" w:eastAsia="es-CO"/>
              </w:rPr>
            </w:pPr>
          </w:p>
        </w:tc>
      </w:tr>
      <w:tr w:rsidR="001A38D5" w:rsidRPr="001A38D5" w14:paraId="40E1CF54"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auto"/>
            <w:vAlign w:val="center"/>
            <w:hideMark/>
          </w:tcPr>
          <w:p w14:paraId="0BEF5B2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RECURSOS PROPIOS DE LA ENTIDAD TERRITORIAL </w:t>
            </w:r>
          </w:p>
        </w:tc>
        <w:tc>
          <w:tcPr>
            <w:tcW w:w="771" w:type="pct"/>
            <w:tcBorders>
              <w:top w:val="nil"/>
              <w:left w:val="nil"/>
              <w:bottom w:val="single" w:sz="4" w:space="0" w:color="auto"/>
              <w:right w:val="single" w:sz="4" w:space="0" w:color="auto"/>
            </w:tcBorders>
            <w:shd w:val="clear" w:color="auto" w:fill="auto"/>
            <w:noWrap/>
            <w:vAlign w:val="center"/>
            <w:hideMark/>
          </w:tcPr>
          <w:p w14:paraId="78881BB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$370.796,37</w:t>
            </w:r>
          </w:p>
        </w:tc>
        <w:tc>
          <w:tcPr>
            <w:tcW w:w="783" w:type="pct"/>
            <w:tcBorders>
              <w:top w:val="nil"/>
              <w:left w:val="nil"/>
              <w:bottom w:val="single" w:sz="4" w:space="0" w:color="auto"/>
              <w:right w:val="single" w:sz="4" w:space="0" w:color="auto"/>
            </w:tcBorders>
            <w:shd w:val="clear" w:color="000000" w:fill="EDEDED"/>
            <w:noWrap/>
            <w:vAlign w:val="center"/>
            <w:hideMark/>
          </w:tcPr>
          <w:p w14:paraId="189C18B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$3.707,96</w:t>
            </w:r>
          </w:p>
        </w:tc>
        <w:tc>
          <w:tcPr>
            <w:tcW w:w="714" w:type="pct"/>
            <w:tcBorders>
              <w:top w:val="nil"/>
              <w:left w:val="nil"/>
              <w:bottom w:val="single" w:sz="4" w:space="0" w:color="auto"/>
              <w:right w:val="single" w:sz="4" w:space="0" w:color="auto"/>
            </w:tcBorders>
            <w:shd w:val="clear" w:color="auto" w:fill="auto"/>
            <w:noWrap/>
            <w:vAlign w:val="center"/>
            <w:hideMark/>
          </w:tcPr>
          <w:p w14:paraId="376C16A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$370.796,37</w:t>
            </w:r>
          </w:p>
        </w:tc>
        <w:tc>
          <w:tcPr>
            <w:tcW w:w="687" w:type="pct"/>
            <w:tcBorders>
              <w:top w:val="nil"/>
              <w:left w:val="nil"/>
              <w:bottom w:val="single" w:sz="4" w:space="0" w:color="auto"/>
              <w:right w:val="single" w:sz="4" w:space="0" w:color="auto"/>
            </w:tcBorders>
            <w:shd w:val="clear" w:color="000000" w:fill="EDEDED"/>
            <w:noWrap/>
            <w:vAlign w:val="center"/>
            <w:hideMark/>
          </w:tcPr>
          <w:p w14:paraId="48AD715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$3.707,96</w:t>
            </w:r>
          </w:p>
        </w:tc>
      </w:tr>
      <w:tr w:rsidR="001A38D5" w:rsidRPr="001A38D5" w14:paraId="56A93EFA"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31DB9040"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 xml:space="preserve">RECURSOS DEL SISTEMA GENERAL DE REGALIAS </w:t>
            </w:r>
          </w:p>
        </w:tc>
        <w:tc>
          <w:tcPr>
            <w:tcW w:w="771" w:type="pct"/>
            <w:tcBorders>
              <w:top w:val="nil"/>
              <w:left w:val="nil"/>
              <w:bottom w:val="single" w:sz="4" w:space="0" w:color="auto"/>
              <w:right w:val="single" w:sz="4" w:space="0" w:color="auto"/>
            </w:tcBorders>
            <w:shd w:val="clear" w:color="auto" w:fill="F2DBDB" w:themeFill="accent2" w:themeFillTint="33"/>
            <w:noWrap/>
            <w:vAlign w:val="center"/>
            <w:hideMark/>
          </w:tcPr>
          <w:p w14:paraId="4F39ACB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$700.000,00</w:t>
            </w:r>
          </w:p>
        </w:tc>
        <w:tc>
          <w:tcPr>
            <w:tcW w:w="783" w:type="pct"/>
            <w:tcBorders>
              <w:top w:val="nil"/>
              <w:left w:val="nil"/>
              <w:bottom w:val="single" w:sz="4" w:space="0" w:color="auto"/>
              <w:right w:val="single" w:sz="4" w:space="0" w:color="auto"/>
            </w:tcBorders>
            <w:shd w:val="clear" w:color="auto" w:fill="F2DBDB" w:themeFill="accent2" w:themeFillTint="33"/>
            <w:noWrap/>
            <w:vAlign w:val="center"/>
            <w:hideMark/>
          </w:tcPr>
          <w:p w14:paraId="72A3843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$7.000,00</w:t>
            </w:r>
          </w:p>
        </w:tc>
        <w:tc>
          <w:tcPr>
            <w:tcW w:w="714" w:type="pct"/>
            <w:tcBorders>
              <w:top w:val="nil"/>
              <w:left w:val="nil"/>
              <w:bottom w:val="single" w:sz="4" w:space="0" w:color="auto"/>
              <w:right w:val="single" w:sz="4" w:space="0" w:color="auto"/>
            </w:tcBorders>
            <w:shd w:val="clear" w:color="auto" w:fill="F2DBDB" w:themeFill="accent2" w:themeFillTint="33"/>
            <w:noWrap/>
            <w:vAlign w:val="center"/>
            <w:hideMark/>
          </w:tcPr>
          <w:p w14:paraId="0613A0AD"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687" w:type="pct"/>
            <w:tcBorders>
              <w:top w:val="nil"/>
              <w:left w:val="nil"/>
              <w:bottom w:val="single" w:sz="4" w:space="0" w:color="auto"/>
              <w:right w:val="single" w:sz="4" w:space="0" w:color="auto"/>
            </w:tcBorders>
            <w:shd w:val="clear" w:color="auto" w:fill="F2DBDB" w:themeFill="accent2" w:themeFillTint="33"/>
            <w:noWrap/>
            <w:vAlign w:val="center"/>
            <w:hideMark/>
          </w:tcPr>
          <w:p w14:paraId="3A07C1F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$6.840,76</w:t>
            </w:r>
          </w:p>
        </w:tc>
      </w:tr>
      <w:tr w:rsidR="001A38D5" w:rsidRPr="001A38D5" w14:paraId="68C56D85"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35E1EEA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RENDIMIENTOS FINANCIEROS AESGPAE</w:t>
            </w:r>
          </w:p>
        </w:tc>
        <w:tc>
          <w:tcPr>
            <w:tcW w:w="771" w:type="pct"/>
            <w:tcBorders>
              <w:top w:val="nil"/>
              <w:left w:val="nil"/>
              <w:bottom w:val="single" w:sz="4" w:space="0" w:color="auto"/>
              <w:right w:val="single" w:sz="4" w:space="0" w:color="auto"/>
            </w:tcBorders>
            <w:shd w:val="clear" w:color="auto" w:fill="F2DBDB" w:themeFill="accent2" w:themeFillTint="33"/>
            <w:noWrap/>
            <w:vAlign w:val="center"/>
          </w:tcPr>
          <w:p w14:paraId="378CB9AF" w14:textId="77777777" w:rsidR="00A20990" w:rsidRPr="001A38D5" w:rsidRDefault="00A20990" w:rsidP="005140E1">
            <w:pPr>
              <w:contextualSpacing/>
              <w:jc w:val="right"/>
              <w:rPr>
                <w:rFonts w:eastAsia="Times New Roman" w:cs="Arial"/>
                <w:sz w:val="16"/>
                <w:szCs w:val="16"/>
                <w:lang w:val="es-CO" w:eastAsia="es-CO"/>
              </w:rPr>
            </w:pPr>
          </w:p>
        </w:tc>
        <w:tc>
          <w:tcPr>
            <w:tcW w:w="783" w:type="pct"/>
            <w:tcBorders>
              <w:top w:val="nil"/>
              <w:left w:val="nil"/>
              <w:bottom w:val="single" w:sz="4" w:space="0" w:color="auto"/>
              <w:right w:val="single" w:sz="4" w:space="0" w:color="auto"/>
            </w:tcBorders>
            <w:shd w:val="clear" w:color="auto" w:fill="F2DBDB" w:themeFill="accent2" w:themeFillTint="33"/>
            <w:noWrap/>
            <w:vAlign w:val="center"/>
            <w:hideMark/>
          </w:tcPr>
          <w:p w14:paraId="2CBC399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$25,01</w:t>
            </w:r>
          </w:p>
        </w:tc>
        <w:tc>
          <w:tcPr>
            <w:tcW w:w="714" w:type="pct"/>
            <w:tcBorders>
              <w:top w:val="nil"/>
              <w:left w:val="nil"/>
              <w:bottom w:val="single" w:sz="4" w:space="0" w:color="auto"/>
              <w:right w:val="single" w:sz="4" w:space="0" w:color="auto"/>
            </w:tcBorders>
            <w:shd w:val="clear" w:color="auto" w:fill="F2DBDB" w:themeFill="accent2" w:themeFillTint="33"/>
            <w:noWrap/>
            <w:vAlign w:val="center"/>
          </w:tcPr>
          <w:p w14:paraId="4BF9B5C9" w14:textId="77777777" w:rsidR="00A20990" w:rsidRPr="001A38D5" w:rsidRDefault="00A20990" w:rsidP="005140E1">
            <w:pPr>
              <w:contextualSpacing/>
              <w:jc w:val="right"/>
              <w:rPr>
                <w:rFonts w:eastAsia="Times New Roman" w:cs="Arial"/>
                <w:sz w:val="16"/>
                <w:szCs w:val="16"/>
                <w:lang w:val="es-CO" w:eastAsia="es-CO"/>
              </w:rPr>
            </w:pPr>
          </w:p>
        </w:tc>
        <w:tc>
          <w:tcPr>
            <w:tcW w:w="687" w:type="pct"/>
            <w:tcBorders>
              <w:top w:val="nil"/>
              <w:left w:val="nil"/>
              <w:bottom w:val="single" w:sz="4" w:space="0" w:color="auto"/>
              <w:right w:val="single" w:sz="4" w:space="0" w:color="auto"/>
            </w:tcBorders>
            <w:shd w:val="clear" w:color="auto" w:fill="F2DBDB" w:themeFill="accent2" w:themeFillTint="33"/>
            <w:noWrap/>
            <w:vAlign w:val="center"/>
            <w:hideMark/>
          </w:tcPr>
          <w:p w14:paraId="45BFC3C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$13,71</w:t>
            </w:r>
          </w:p>
        </w:tc>
      </w:tr>
      <w:tr w:rsidR="001A38D5" w:rsidRPr="001A38D5" w14:paraId="1B1A7A4E"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7907802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RENDIMIENTOS FINANCIEROS PGN</w:t>
            </w:r>
          </w:p>
        </w:tc>
        <w:tc>
          <w:tcPr>
            <w:tcW w:w="771" w:type="pct"/>
            <w:tcBorders>
              <w:top w:val="nil"/>
              <w:left w:val="nil"/>
              <w:bottom w:val="single" w:sz="4" w:space="0" w:color="auto"/>
              <w:right w:val="single" w:sz="4" w:space="0" w:color="auto"/>
            </w:tcBorders>
            <w:shd w:val="clear" w:color="auto" w:fill="F2DBDB" w:themeFill="accent2" w:themeFillTint="33"/>
            <w:noWrap/>
            <w:vAlign w:val="center"/>
          </w:tcPr>
          <w:p w14:paraId="2FCD17AA" w14:textId="77777777" w:rsidR="00A20990" w:rsidRPr="001A38D5" w:rsidRDefault="00A20990" w:rsidP="005140E1">
            <w:pPr>
              <w:contextualSpacing/>
              <w:jc w:val="right"/>
              <w:rPr>
                <w:rFonts w:eastAsia="Times New Roman" w:cs="Arial"/>
                <w:sz w:val="16"/>
                <w:szCs w:val="16"/>
                <w:lang w:val="es-CO" w:eastAsia="es-CO"/>
              </w:rPr>
            </w:pPr>
          </w:p>
        </w:tc>
        <w:tc>
          <w:tcPr>
            <w:tcW w:w="783" w:type="pct"/>
            <w:tcBorders>
              <w:top w:val="nil"/>
              <w:left w:val="nil"/>
              <w:bottom w:val="single" w:sz="4" w:space="0" w:color="auto"/>
              <w:right w:val="single" w:sz="4" w:space="0" w:color="auto"/>
            </w:tcBorders>
            <w:shd w:val="clear" w:color="auto" w:fill="F2DBDB" w:themeFill="accent2" w:themeFillTint="33"/>
            <w:noWrap/>
            <w:vAlign w:val="center"/>
            <w:hideMark/>
          </w:tcPr>
          <w:p w14:paraId="6A119C0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$173,90</w:t>
            </w:r>
          </w:p>
        </w:tc>
        <w:tc>
          <w:tcPr>
            <w:tcW w:w="714" w:type="pct"/>
            <w:tcBorders>
              <w:top w:val="nil"/>
              <w:left w:val="nil"/>
              <w:bottom w:val="single" w:sz="4" w:space="0" w:color="auto"/>
              <w:right w:val="single" w:sz="4" w:space="0" w:color="auto"/>
            </w:tcBorders>
            <w:shd w:val="clear" w:color="auto" w:fill="F2DBDB" w:themeFill="accent2" w:themeFillTint="33"/>
            <w:noWrap/>
            <w:vAlign w:val="center"/>
          </w:tcPr>
          <w:p w14:paraId="409B1554" w14:textId="77777777" w:rsidR="00A20990" w:rsidRPr="001A38D5" w:rsidRDefault="00A20990" w:rsidP="005140E1">
            <w:pPr>
              <w:contextualSpacing/>
              <w:jc w:val="right"/>
              <w:rPr>
                <w:rFonts w:eastAsia="Times New Roman" w:cs="Arial"/>
                <w:sz w:val="16"/>
                <w:szCs w:val="16"/>
                <w:lang w:val="es-CO" w:eastAsia="es-CO"/>
              </w:rPr>
            </w:pPr>
          </w:p>
        </w:tc>
        <w:tc>
          <w:tcPr>
            <w:tcW w:w="687" w:type="pct"/>
            <w:tcBorders>
              <w:top w:val="nil"/>
              <w:left w:val="nil"/>
              <w:bottom w:val="single" w:sz="4" w:space="0" w:color="auto"/>
              <w:right w:val="single" w:sz="4" w:space="0" w:color="auto"/>
            </w:tcBorders>
            <w:shd w:val="clear" w:color="auto" w:fill="F2DBDB" w:themeFill="accent2" w:themeFillTint="33"/>
            <w:noWrap/>
            <w:vAlign w:val="center"/>
            <w:hideMark/>
          </w:tcPr>
          <w:p w14:paraId="188E031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$88,35</w:t>
            </w:r>
          </w:p>
        </w:tc>
      </w:tr>
      <w:tr w:rsidR="001A38D5" w:rsidRPr="001A38D5" w14:paraId="2E16C160"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61D2C51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COFINANCIACION ALIMENTACION ESCOLAR - CONPES LEY 1530 DE 2012</w:t>
            </w:r>
          </w:p>
        </w:tc>
        <w:tc>
          <w:tcPr>
            <w:tcW w:w="771" w:type="pct"/>
            <w:tcBorders>
              <w:top w:val="nil"/>
              <w:left w:val="nil"/>
              <w:bottom w:val="single" w:sz="4" w:space="0" w:color="auto"/>
              <w:right w:val="single" w:sz="4" w:space="0" w:color="auto"/>
            </w:tcBorders>
            <w:shd w:val="clear" w:color="auto" w:fill="F2DBDB" w:themeFill="accent2" w:themeFillTint="33"/>
            <w:noWrap/>
            <w:vAlign w:val="center"/>
          </w:tcPr>
          <w:p w14:paraId="6DE023D9" w14:textId="77777777" w:rsidR="00A20990" w:rsidRPr="001A38D5" w:rsidRDefault="00A20990" w:rsidP="005140E1">
            <w:pPr>
              <w:contextualSpacing/>
              <w:jc w:val="right"/>
              <w:rPr>
                <w:rFonts w:eastAsia="Times New Roman" w:cs="Arial"/>
                <w:sz w:val="16"/>
                <w:szCs w:val="16"/>
                <w:lang w:val="es-CO" w:eastAsia="es-CO"/>
              </w:rPr>
            </w:pPr>
          </w:p>
        </w:tc>
        <w:tc>
          <w:tcPr>
            <w:tcW w:w="783" w:type="pct"/>
            <w:tcBorders>
              <w:top w:val="nil"/>
              <w:left w:val="nil"/>
              <w:bottom w:val="single" w:sz="4" w:space="0" w:color="auto"/>
              <w:right w:val="single" w:sz="4" w:space="0" w:color="auto"/>
            </w:tcBorders>
            <w:shd w:val="clear" w:color="auto" w:fill="F2DBDB" w:themeFill="accent2" w:themeFillTint="33"/>
            <w:noWrap/>
            <w:vAlign w:val="center"/>
            <w:hideMark/>
          </w:tcPr>
          <w:p w14:paraId="4ACC3EE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$13,02</w:t>
            </w:r>
          </w:p>
        </w:tc>
        <w:tc>
          <w:tcPr>
            <w:tcW w:w="714" w:type="pct"/>
            <w:tcBorders>
              <w:top w:val="nil"/>
              <w:left w:val="nil"/>
              <w:bottom w:val="single" w:sz="4" w:space="0" w:color="auto"/>
              <w:right w:val="single" w:sz="4" w:space="0" w:color="auto"/>
            </w:tcBorders>
            <w:shd w:val="clear" w:color="auto" w:fill="F2DBDB" w:themeFill="accent2" w:themeFillTint="33"/>
            <w:noWrap/>
            <w:vAlign w:val="bottom"/>
          </w:tcPr>
          <w:p w14:paraId="1895321B" w14:textId="77777777" w:rsidR="00A20990" w:rsidRPr="001A38D5" w:rsidRDefault="00A20990" w:rsidP="005140E1">
            <w:pPr>
              <w:contextualSpacing/>
              <w:jc w:val="right"/>
              <w:rPr>
                <w:rFonts w:eastAsia="Times New Roman" w:cs="Arial"/>
                <w:sz w:val="16"/>
                <w:szCs w:val="16"/>
                <w:lang w:val="es-CO" w:eastAsia="es-CO"/>
              </w:rPr>
            </w:pPr>
          </w:p>
        </w:tc>
        <w:tc>
          <w:tcPr>
            <w:tcW w:w="687" w:type="pct"/>
            <w:tcBorders>
              <w:top w:val="nil"/>
              <w:left w:val="nil"/>
              <w:bottom w:val="single" w:sz="4" w:space="0" w:color="auto"/>
              <w:right w:val="single" w:sz="4" w:space="0" w:color="auto"/>
            </w:tcBorders>
            <w:shd w:val="clear" w:color="auto" w:fill="F2DBDB" w:themeFill="accent2" w:themeFillTint="33"/>
            <w:noWrap/>
            <w:vAlign w:val="center"/>
            <w:hideMark/>
          </w:tcPr>
          <w:p w14:paraId="2EAFECA8"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$13,02</w:t>
            </w:r>
          </w:p>
        </w:tc>
      </w:tr>
      <w:tr w:rsidR="001A38D5" w:rsidRPr="001A38D5" w14:paraId="7E9D3CEE"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3A05394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CALIDAD MATRICULA</w:t>
            </w:r>
          </w:p>
        </w:tc>
        <w:tc>
          <w:tcPr>
            <w:tcW w:w="771" w:type="pct"/>
            <w:tcBorders>
              <w:top w:val="nil"/>
              <w:left w:val="nil"/>
              <w:bottom w:val="single" w:sz="4" w:space="0" w:color="auto"/>
              <w:right w:val="single" w:sz="4" w:space="0" w:color="auto"/>
            </w:tcBorders>
            <w:shd w:val="clear" w:color="auto" w:fill="F2DBDB" w:themeFill="accent2" w:themeFillTint="33"/>
            <w:noWrap/>
            <w:vAlign w:val="center"/>
          </w:tcPr>
          <w:p w14:paraId="7572EB26" w14:textId="77777777" w:rsidR="00A20990" w:rsidRPr="001A38D5" w:rsidRDefault="00A20990" w:rsidP="005140E1">
            <w:pPr>
              <w:contextualSpacing/>
              <w:jc w:val="right"/>
              <w:rPr>
                <w:rFonts w:eastAsia="Times New Roman" w:cs="Arial"/>
                <w:sz w:val="16"/>
                <w:szCs w:val="16"/>
                <w:lang w:val="es-CO" w:eastAsia="es-CO"/>
              </w:rPr>
            </w:pPr>
          </w:p>
        </w:tc>
        <w:tc>
          <w:tcPr>
            <w:tcW w:w="783" w:type="pct"/>
            <w:tcBorders>
              <w:top w:val="nil"/>
              <w:left w:val="nil"/>
              <w:bottom w:val="single" w:sz="4" w:space="0" w:color="auto"/>
              <w:right w:val="single" w:sz="4" w:space="0" w:color="auto"/>
            </w:tcBorders>
            <w:shd w:val="clear" w:color="auto" w:fill="F2DBDB" w:themeFill="accent2" w:themeFillTint="33"/>
            <w:noWrap/>
            <w:vAlign w:val="center"/>
            <w:hideMark/>
          </w:tcPr>
          <w:p w14:paraId="54B3FDE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$2.225,52</w:t>
            </w:r>
          </w:p>
        </w:tc>
        <w:tc>
          <w:tcPr>
            <w:tcW w:w="714" w:type="pct"/>
            <w:tcBorders>
              <w:top w:val="nil"/>
              <w:left w:val="nil"/>
              <w:bottom w:val="single" w:sz="4" w:space="0" w:color="auto"/>
              <w:right w:val="single" w:sz="4" w:space="0" w:color="auto"/>
            </w:tcBorders>
            <w:shd w:val="clear" w:color="auto" w:fill="F2DBDB" w:themeFill="accent2" w:themeFillTint="33"/>
            <w:noWrap/>
            <w:vAlign w:val="bottom"/>
          </w:tcPr>
          <w:p w14:paraId="18204C61" w14:textId="77777777" w:rsidR="00A20990" w:rsidRPr="001A38D5" w:rsidRDefault="00A20990" w:rsidP="005140E1">
            <w:pPr>
              <w:contextualSpacing/>
              <w:jc w:val="right"/>
              <w:rPr>
                <w:rFonts w:eastAsia="Times New Roman" w:cs="Arial"/>
                <w:sz w:val="16"/>
                <w:szCs w:val="16"/>
                <w:lang w:val="es-CO" w:eastAsia="es-CO"/>
              </w:rPr>
            </w:pPr>
          </w:p>
        </w:tc>
        <w:tc>
          <w:tcPr>
            <w:tcW w:w="687" w:type="pct"/>
            <w:tcBorders>
              <w:top w:val="nil"/>
              <w:left w:val="nil"/>
              <w:bottom w:val="single" w:sz="4" w:space="0" w:color="auto"/>
              <w:right w:val="single" w:sz="4" w:space="0" w:color="auto"/>
            </w:tcBorders>
            <w:shd w:val="clear" w:color="auto" w:fill="F2DBDB" w:themeFill="accent2" w:themeFillTint="33"/>
            <w:noWrap/>
            <w:vAlign w:val="center"/>
            <w:hideMark/>
          </w:tcPr>
          <w:p w14:paraId="2A1EE75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$2.225,52</w:t>
            </w:r>
          </w:p>
        </w:tc>
      </w:tr>
      <w:tr w:rsidR="001A38D5" w:rsidRPr="001A38D5" w14:paraId="1C5BDFAB" w14:textId="77777777" w:rsidTr="00A20990">
        <w:trPr>
          <w:trHeight w:val="20"/>
        </w:trPr>
        <w:tc>
          <w:tcPr>
            <w:tcW w:w="2045"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7137783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PRESTACIÓN DEL SERVICIO EDUCATIVO</w:t>
            </w:r>
          </w:p>
        </w:tc>
        <w:tc>
          <w:tcPr>
            <w:tcW w:w="771" w:type="pct"/>
            <w:tcBorders>
              <w:top w:val="nil"/>
              <w:left w:val="nil"/>
              <w:bottom w:val="single" w:sz="4" w:space="0" w:color="auto"/>
              <w:right w:val="single" w:sz="4" w:space="0" w:color="auto"/>
            </w:tcBorders>
            <w:shd w:val="clear" w:color="auto" w:fill="F2DBDB" w:themeFill="accent2" w:themeFillTint="33"/>
            <w:noWrap/>
            <w:vAlign w:val="bottom"/>
          </w:tcPr>
          <w:p w14:paraId="780C86B6" w14:textId="77777777" w:rsidR="00A20990" w:rsidRPr="001A38D5" w:rsidRDefault="00A20990" w:rsidP="005140E1">
            <w:pPr>
              <w:contextualSpacing/>
              <w:jc w:val="right"/>
              <w:rPr>
                <w:rFonts w:eastAsia="Times New Roman" w:cs="Arial"/>
                <w:sz w:val="16"/>
                <w:szCs w:val="16"/>
                <w:lang w:val="es-CO" w:eastAsia="es-CO"/>
              </w:rPr>
            </w:pPr>
          </w:p>
        </w:tc>
        <w:tc>
          <w:tcPr>
            <w:tcW w:w="783" w:type="pct"/>
            <w:tcBorders>
              <w:top w:val="nil"/>
              <w:left w:val="nil"/>
              <w:bottom w:val="single" w:sz="4" w:space="0" w:color="auto"/>
              <w:right w:val="single" w:sz="4" w:space="0" w:color="auto"/>
            </w:tcBorders>
            <w:shd w:val="clear" w:color="auto" w:fill="F2DBDB" w:themeFill="accent2" w:themeFillTint="33"/>
            <w:noWrap/>
            <w:vAlign w:val="center"/>
            <w:hideMark/>
          </w:tcPr>
          <w:p w14:paraId="1398EA2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$432,85</w:t>
            </w:r>
          </w:p>
        </w:tc>
        <w:tc>
          <w:tcPr>
            <w:tcW w:w="714" w:type="pct"/>
            <w:tcBorders>
              <w:top w:val="nil"/>
              <w:left w:val="nil"/>
              <w:bottom w:val="single" w:sz="4" w:space="0" w:color="auto"/>
              <w:right w:val="single" w:sz="4" w:space="0" w:color="auto"/>
            </w:tcBorders>
            <w:shd w:val="clear" w:color="auto" w:fill="F2DBDB" w:themeFill="accent2" w:themeFillTint="33"/>
            <w:noWrap/>
            <w:vAlign w:val="bottom"/>
          </w:tcPr>
          <w:p w14:paraId="6C5AD11F" w14:textId="77777777" w:rsidR="00A20990" w:rsidRPr="001A38D5" w:rsidRDefault="00A20990" w:rsidP="005140E1">
            <w:pPr>
              <w:contextualSpacing/>
              <w:jc w:val="right"/>
              <w:rPr>
                <w:rFonts w:eastAsia="Times New Roman" w:cs="Arial"/>
                <w:sz w:val="16"/>
                <w:szCs w:val="16"/>
                <w:lang w:val="es-CO" w:eastAsia="es-CO"/>
              </w:rPr>
            </w:pPr>
          </w:p>
        </w:tc>
        <w:tc>
          <w:tcPr>
            <w:tcW w:w="687" w:type="pct"/>
            <w:tcBorders>
              <w:top w:val="nil"/>
              <w:left w:val="nil"/>
              <w:bottom w:val="single" w:sz="4" w:space="0" w:color="auto"/>
              <w:right w:val="single" w:sz="4" w:space="0" w:color="auto"/>
            </w:tcBorders>
            <w:shd w:val="clear" w:color="auto" w:fill="F2DBDB" w:themeFill="accent2" w:themeFillTint="33"/>
            <w:noWrap/>
            <w:vAlign w:val="center"/>
            <w:hideMark/>
          </w:tcPr>
          <w:p w14:paraId="731589F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$432,85</w:t>
            </w:r>
          </w:p>
        </w:tc>
      </w:tr>
      <w:tr w:rsidR="001A38D5" w:rsidRPr="001A38D5" w14:paraId="5A0C5912" w14:textId="77777777" w:rsidTr="00B23E6E">
        <w:trPr>
          <w:trHeight w:val="20"/>
        </w:trPr>
        <w:tc>
          <w:tcPr>
            <w:tcW w:w="2045" w:type="pct"/>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0BA0697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PROPÓSITO GENERAL LIBRE INVERSIÓN</w:t>
            </w:r>
          </w:p>
        </w:tc>
        <w:tc>
          <w:tcPr>
            <w:tcW w:w="771" w:type="pct"/>
            <w:tcBorders>
              <w:top w:val="nil"/>
              <w:left w:val="nil"/>
              <w:bottom w:val="single" w:sz="4" w:space="0" w:color="auto"/>
              <w:right w:val="single" w:sz="4" w:space="0" w:color="auto"/>
            </w:tcBorders>
            <w:shd w:val="clear" w:color="auto" w:fill="F2DBDB" w:themeFill="accent2" w:themeFillTint="33"/>
            <w:noWrap/>
            <w:vAlign w:val="bottom"/>
          </w:tcPr>
          <w:p w14:paraId="23FB5CAA" w14:textId="77777777" w:rsidR="00A20990" w:rsidRPr="001A38D5" w:rsidRDefault="00A20990" w:rsidP="005140E1">
            <w:pPr>
              <w:contextualSpacing/>
              <w:jc w:val="right"/>
              <w:rPr>
                <w:rFonts w:eastAsia="Times New Roman" w:cs="Arial"/>
                <w:sz w:val="16"/>
                <w:szCs w:val="16"/>
                <w:lang w:val="es-CO" w:eastAsia="es-CO"/>
              </w:rPr>
            </w:pPr>
          </w:p>
        </w:tc>
        <w:tc>
          <w:tcPr>
            <w:tcW w:w="783" w:type="pct"/>
            <w:tcBorders>
              <w:top w:val="nil"/>
              <w:left w:val="nil"/>
              <w:bottom w:val="single" w:sz="4" w:space="0" w:color="auto"/>
              <w:right w:val="single" w:sz="4" w:space="0" w:color="auto"/>
            </w:tcBorders>
            <w:shd w:val="clear" w:color="auto" w:fill="F2DBDB" w:themeFill="accent2" w:themeFillTint="33"/>
            <w:noWrap/>
            <w:vAlign w:val="center"/>
            <w:hideMark/>
          </w:tcPr>
          <w:p w14:paraId="7D1EBC7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$554,00</w:t>
            </w:r>
          </w:p>
        </w:tc>
        <w:tc>
          <w:tcPr>
            <w:tcW w:w="714" w:type="pct"/>
            <w:tcBorders>
              <w:top w:val="nil"/>
              <w:left w:val="nil"/>
              <w:bottom w:val="single" w:sz="4" w:space="0" w:color="auto"/>
              <w:right w:val="single" w:sz="4" w:space="0" w:color="auto"/>
            </w:tcBorders>
            <w:shd w:val="clear" w:color="auto" w:fill="F2DBDB" w:themeFill="accent2" w:themeFillTint="33"/>
            <w:noWrap/>
            <w:vAlign w:val="bottom"/>
          </w:tcPr>
          <w:p w14:paraId="1F3067B0" w14:textId="77777777" w:rsidR="00A20990" w:rsidRPr="001A38D5" w:rsidRDefault="00A20990" w:rsidP="005140E1">
            <w:pPr>
              <w:contextualSpacing/>
              <w:jc w:val="right"/>
              <w:rPr>
                <w:rFonts w:eastAsia="Times New Roman" w:cs="Arial"/>
                <w:sz w:val="16"/>
                <w:szCs w:val="16"/>
                <w:lang w:val="es-CO" w:eastAsia="es-CO"/>
              </w:rPr>
            </w:pPr>
          </w:p>
        </w:tc>
        <w:tc>
          <w:tcPr>
            <w:tcW w:w="687" w:type="pct"/>
            <w:tcBorders>
              <w:top w:val="nil"/>
              <w:left w:val="nil"/>
              <w:bottom w:val="single" w:sz="4" w:space="0" w:color="auto"/>
              <w:right w:val="single" w:sz="4" w:space="0" w:color="auto"/>
            </w:tcBorders>
            <w:shd w:val="clear" w:color="auto" w:fill="F2DBDB" w:themeFill="accent2" w:themeFillTint="33"/>
            <w:noWrap/>
            <w:vAlign w:val="center"/>
            <w:hideMark/>
          </w:tcPr>
          <w:p w14:paraId="1F06919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$554,00</w:t>
            </w:r>
          </w:p>
        </w:tc>
      </w:tr>
      <w:tr w:rsidR="001A38D5" w:rsidRPr="001A38D5" w14:paraId="136E984F" w14:textId="77777777" w:rsidTr="00B23E6E">
        <w:trPr>
          <w:trHeight w:val="20"/>
        </w:trPr>
        <w:tc>
          <w:tcPr>
            <w:tcW w:w="2045"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6C1F41D"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Total general</w:t>
            </w:r>
          </w:p>
        </w:tc>
        <w:tc>
          <w:tcPr>
            <w:tcW w:w="771" w:type="pct"/>
            <w:tcBorders>
              <w:top w:val="single" w:sz="4" w:space="0" w:color="auto"/>
              <w:left w:val="nil"/>
              <w:bottom w:val="single" w:sz="4" w:space="0" w:color="auto"/>
              <w:right w:val="single" w:sz="4" w:space="0" w:color="auto"/>
            </w:tcBorders>
            <w:shd w:val="clear" w:color="auto" w:fill="FFC000"/>
            <w:noWrap/>
            <w:vAlign w:val="center"/>
            <w:hideMark/>
          </w:tcPr>
          <w:p w14:paraId="79BEB793"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$1.361.890</w:t>
            </w:r>
          </w:p>
        </w:tc>
        <w:tc>
          <w:tcPr>
            <w:tcW w:w="783" w:type="pct"/>
            <w:tcBorders>
              <w:top w:val="single" w:sz="4" w:space="0" w:color="auto"/>
              <w:left w:val="nil"/>
              <w:bottom w:val="single" w:sz="4" w:space="0" w:color="auto"/>
              <w:right w:val="single" w:sz="4" w:space="0" w:color="auto"/>
            </w:tcBorders>
            <w:shd w:val="clear" w:color="auto" w:fill="FFC000"/>
            <w:noWrap/>
            <w:vAlign w:val="center"/>
            <w:hideMark/>
          </w:tcPr>
          <w:p w14:paraId="249587B4"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$26.725</w:t>
            </w:r>
          </w:p>
        </w:tc>
        <w:tc>
          <w:tcPr>
            <w:tcW w:w="714" w:type="pct"/>
            <w:tcBorders>
              <w:top w:val="single" w:sz="4" w:space="0" w:color="auto"/>
              <w:left w:val="nil"/>
              <w:bottom w:val="single" w:sz="4" w:space="0" w:color="auto"/>
              <w:right w:val="single" w:sz="4" w:space="0" w:color="auto"/>
            </w:tcBorders>
            <w:shd w:val="clear" w:color="auto" w:fill="FFC000"/>
            <w:noWrap/>
            <w:vAlign w:val="center"/>
            <w:hideMark/>
          </w:tcPr>
          <w:p w14:paraId="1783BD44"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$660.835</w:t>
            </w:r>
          </w:p>
        </w:tc>
        <w:tc>
          <w:tcPr>
            <w:tcW w:w="687" w:type="pct"/>
            <w:tcBorders>
              <w:top w:val="single" w:sz="4" w:space="0" w:color="auto"/>
              <w:left w:val="nil"/>
              <w:bottom w:val="single" w:sz="4" w:space="0" w:color="auto"/>
              <w:right w:val="single" w:sz="4" w:space="0" w:color="auto"/>
            </w:tcBorders>
            <w:shd w:val="clear" w:color="auto" w:fill="FFC000"/>
            <w:noWrap/>
            <w:vAlign w:val="center"/>
            <w:hideMark/>
          </w:tcPr>
          <w:p w14:paraId="34008803" w14:textId="77777777" w:rsidR="00A20990" w:rsidRPr="001A38D5" w:rsidRDefault="00A20990" w:rsidP="005140E1">
            <w:pPr>
              <w:contextualSpacing/>
              <w:jc w:val="right"/>
              <w:rPr>
                <w:rFonts w:eastAsia="Times New Roman" w:cs="Arial"/>
                <w:b/>
                <w:bCs/>
                <w:sz w:val="16"/>
                <w:szCs w:val="16"/>
                <w:lang w:val="es-CO" w:eastAsia="es-CO"/>
              </w:rPr>
            </w:pPr>
            <w:r w:rsidRPr="001A38D5">
              <w:rPr>
                <w:rFonts w:eastAsia="Times New Roman" w:cs="Arial"/>
                <w:b/>
                <w:bCs/>
                <w:sz w:val="16"/>
                <w:szCs w:val="16"/>
                <w:lang w:val="es-CO" w:eastAsia="es-CO"/>
              </w:rPr>
              <w:t>$25.934</w:t>
            </w:r>
          </w:p>
        </w:tc>
      </w:tr>
    </w:tbl>
    <w:p w14:paraId="14D5D18A" w14:textId="77777777" w:rsidR="00A20990" w:rsidRPr="007A412F" w:rsidRDefault="00A20990" w:rsidP="005140E1">
      <w:pPr>
        <w:contextualSpacing/>
        <w:jc w:val="center"/>
        <w:rPr>
          <w:rFonts w:cs="Arial"/>
          <w:sz w:val="21"/>
          <w:szCs w:val="21"/>
          <w:lang w:val="es-CO"/>
        </w:rPr>
      </w:pPr>
      <w:r w:rsidRPr="007A412F">
        <w:rPr>
          <w:rFonts w:cs="Arial"/>
          <w:bCs/>
          <w:sz w:val="16"/>
          <w:szCs w:val="21"/>
        </w:rPr>
        <w:t>Fuente: Elaboración DAF con base en el reporte en la Categoría UAPA</w:t>
      </w:r>
      <w:r w:rsidR="002C198C">
        <w:rPr>
          <w:rFonts w:cs="Arial"/>
          <w:bCs/>
          <w:sz w:val="16"/>
          <w:szCs w:val="21"/>
        </w:rPr>
        <w:t>-</w:t>
      </w:r>
      <w:r w:rsidRPr="007A412F">
        <w:rPr>
          <w:rFonts w:cs="Arial"/>
          <w:bCs/>
          <w:sz w:val="16"/>
          <w:szCs w:val="21"/>
        </w:rPr>
        <w:t>PAE y SGR del CHIP y la ejecución presupuestal de gastos vigencia 2021.</w:t>
      </w:r>
    </w:p>
    <w:p w14:paraId="69D44F81" w14:textId="77777777" w:rsidR="00A20990" w:rsidRPr="001A38D5" w:rsidRDefault="00A20990" w:rsidP="005140E1">
      <w:pPr>
        <w:contextualSpacing/>
        <w:jc w:val="both"/>
        <w:rPr>
          <w:rFonts w:cs="Arial"/>
          <w:lang w:val="es-CO"/>
        </w:rPr>
      </w:pPr>
    </w:p>
    <w:p w14:paraId="10FB06CC" w14:textId="77777777" w:rsidR="00A20990" w:rsidRPr="001A38D5" w:rsidRDefault="00A20990" w:rsidP="005140E1">
      <w:pPr>
        <w:contextualSpacing/>
        <w:jc w:val="both"/>
        <w:rPr>
          <w:rFonts w:cs="Arial"/>
          <w:lang w:val="es-CO"/>
        </w:rPr>
      </w:pPr>
      <w:r w:rsidRPr="001A38D5">
        <w:rPr>
          <w:rFonts w:cs="Arial"/>
          <w:lang w:val="es-CO"/>
        </w:rPr>
        <w:t xml:space="preserve">Resulta preciso indicar que la UAPA señala que, si a los recursos le aplica varias fuentes, debe replicar el diligenciamiento de la fila por cada fuente de financiación con su respectivo valor, esto especialmente para el reporte de otros recursos del SGP diferentes a la AESGPAE y de los rendimientos financieros de las diferentes fuentes. </w:t>
      </w:r>
    </w:p>
    <w:bookmarkEnd w:id="14"/>
    <w:p w14:paraId="0940680D" w14:textId="77777777" w:rsidR="00A20990" w:rsidRPr="001A38D5" w:rsidRDefault="00A20990" w:rsidP="005140E1">
      <w:pPr>
        <w:contextualSpacing/>
        <w:jc w:val="both"/>
        <w:rPr>
          <w:rFonts w:cs="Arial"/>
          <w:lang w:val="es-CO"/>
        </w:rPr>
      </w:pPr>
    </w:p>
    <w:p w14:paraId="06E46716" w14:textId="77777777" w:rsidR="00A20990" w:rsidRPr="001A38D5" w:rsidRDefault="00A20990" w:rsidP="005140E1">
      <w:pPr>
        <w:contextualSpacing/>
        <w:jc w:val="both"/>
        <w:rPr>
          <w:rFonts w:cs="Arial"/>
          <w:b/>
        </w:rPr>
      </w:pPr>
      <w:r w:rsidRPr="001A38D5">
        <w:rPr>
          <w:rFonts w:cs="Arial"/>
          <w:b/>
        </w:rPr>
        <w:t>Contratación</w:t>
      </w:r>
      <w:r w:rsidR="002C198C">
        <w:rPr>
          <w:rFonts w:cs="Arial"/>
          <w:b/>
        </w:rPr>
        <w:t>.</w:t>
      </w:r>
    </w:p>
    <w:p w14:paraId="0353587D" w14:textId="77777777" w:rsidR="00A20990" w:rsidRPr="001A38D5" w:rsidRDefault="00A20990" w:rsidP="005140E1">
      <w:pPr>
        <w:contextualSpacing/>
        <w:jc w:val="both"/>
        <w:rPr>
          <w:rFonts w:cs="Arial"/>
          <w:bCs/>
        </w:rPr>
      </w:pPr>
    </w:p>
    <w:p w14:paraId="2F766E4E" w14:textId="77777777" w:rsidR="000D27CA" w:rsidRPr="000D27CA" w:rsidRDefault="00A20990" w:rsidP="005140E1">
      <w:pPr>
        <w:contextualSpacing/>
        <w:jc w:val="both"/>
        <w:rPr>
          <w:rFonts w:cs="Arial"/>
          <w:bCs/>
        </w:rPr>
      </w:pPr>
      <w:r w:rsidRPr="001A38D5">
        <w:rPr>
          <w:rFonts w:cs="Arial"/>
          <w:bCs/>
        </w:rPr>
        <w:t xml:space="preserve">Para la vigencia 2019 se registraron los </w:t>
      </w:r>
      <w:r w:rsidR="002C198C">
        <w:rPr>
          <w:rFonts w:cs="Arial"/>
          <w:bCs/>
        </w:rPr>
        <w:t>c</w:t>
      </w:r>
      <w:r w:rsidRPr="001A38D5">
        <w:rPr>
          <w:rFonts w:cs="Arial"/>
          <w:bCs/>
        </w:rPr>
        <w:t>ontratos suscritos para la prestación del servicio y los correspondientes al equipo PAE de conformidad con la información en los documentos contractuales. El valor de los contratos correspondió al valor ejecutado por fuente para cada uno de ellos</w:t>
      </w:r>
      <w:r w:rsidR="000D27CA">
        <w:rPr>
          <w:rFonts w:cs="Arial"/>
          <w:bCs/>
        </w:rPr>
        <w:t xml:space="preserve">, a saber: </w:t>
      </w:r>
      <w:r w:rsidR="000D27CA" w:rsidRPr="000D27CA">
        <w:rPr>
          <w:rFonts w:cs="Arial"/>
          <w:bCs/>
        </w:rPr>
        <w:t xml:space="preserve">120 SGP Alimentación Escolar saldos no </w:t>
      </w:r>
      <w:r w:rsidR="000D27CA">
        <w:rPr>
          <w:rFonts w:cs="Arial"/>
          <w:bCs/>
        </w:rPr>
        <w:t xml:space="preserve">ejecutados vigencias anteriores $331,03 millones, </w:t>
      </w:r>
      <w:r w:rsidR="000D27CA" w:rsidRPr="000D27CA">
        <w:rPr>
          <w:rFonts w:cs="Arial"/>
          <w:bCs/>
        </w:rPr>
        <w:t xml:space="preserve">130 SGP Alimentación Escolar once doceavas vigencia actual más ultima doceava vigencia anterior </w:t>
      </w:r>
      <w:r w:rsidR="000D27CA">
        <w:rPr>
          <w:rFonts w:cs="Arial"/>
          <w:bCs/>
        </w:rPr>
        <w:t xml:space="preserve">$951,72 millones, </w:t>
      </w:r>
      <w:r w:rsidR="000D27CA" w:rsidRPr="000D27CA">
        <w:rPr>
          <w:rFonts w:cs="Arial"/>
          <w:bCs/>
        </w:rPr>
        <w:t xml:space="preserve">140 SGP Alimentación Escolar rendimientos financieros </w:t>
      </w:r>
      <w:r w:rsidR="000D27CA">
        <w:rPr>
          <w:rFonts w:cs="Arial"/>
          <w:bCs/>
        </w:rPr>
        <w:t>$41,</w:t>
      </w:r>
      <w:r w:rsidR="000D27CA" w:rsidRPr="000D27CA">
        <w:rPr>
          <w:rFonts w:cs="Arial"/>
          <w:bCs/>
        </w:rPr>
        <w:t>2</w:t>
      </w:r>
      <w:r w:rsidR="000D27CA">
        <w:rPr>
          <w:rFonts w:cs="Arial"/>
          <w:bCs/>
        </w:rPr>
        <w:t xml:space="preserve">2 millones, </w:t>
      </w:r>
      <w:r w:rsidR="000D27CA" w:rsidRPr="000D27CA">
        <w:rPr>
          <w:rFonts w:cs="Arial"/>
          <w:bCs/>
        </w:rPr>
        <w:t>540 Transfe</w:t>
      </w:r>
      <w:r w:rsidR="000D27CA">
        <w:rPr>
          <w:rFonts w:cs="Arial"/>
          <w:bCs/>
        </w:rPr>
        <w:t>rencias p</w:t>
      </w:r>
      <w:r w:rsidR="000D27CA" w:rsidRPr="000D27CA">
        <w:rPr>
          <w:rFonts w:cs="Arial"/>
          <w:bCs/>
        </w:rPr>
        <w:t>ara Alimentación</w:t>
      </w:r>
      <w:r w:rsidR="000D27CA">
        <w:rPr>
          <w:rFonts w:cs="Arial"/>
          <w:bCs/>
        </w:rPr>
        <w:t xml:space="preserve"> Escolar Ley 1450 d</w:t>
      </w:r>
      <w:r w:rsidR="000D27CA" w:rsidRPr="000D27CA">
        <w:rPr>
          <w:rFonts w:cs="Arial"/>
          <w:bCs/>
        </w:rPr>
        <w:t xml:space="preserve">e 2011 </w:t>
      </w:r>
      <w:r w:rsidR="000D27CA">
        <w:rPr>
          <w:rFonts w:cs="Arial"/>
          <w:bCs/>
        </w:rPr>
        <w:t>$6.565,</w:t>
      </w:r>
      <w:r w:rsidR="000D27CA" w:rsidRPr="000D27CA">
        <w:rPr>
          <w:rFonts w:cs="Arial"/>
          <w:bCs/>
        </w:rPr>
        <w:t>6</w:t>
      </w:r>
      <w:r w:rsidR="000D27CA">
        <w:rPr>
          <w:rFonts w:cs="Arial"/>
          <w:bCs/>
        </w:rPr>
        <w:t>2 millones, 541 Transferencias p</w:t>
      </w:r>
      <w:r w:rsidR="000D27CA" w:rsidRPr="000D27CA">
        <w:rPr>
          <w:rFonts w:cs="Arial"/>
          <w:bCs/>
        </w:rPr>
        <w:t>ara Alimentación</w:t>
      </w:r>
      <w:r w:rsidR="000D27CA">
        <w:rPr>
          <w:rFonts w:cs="Arial"/>
          <w:bCs/>
        </w:rPr>
        <w:t xml:space="preserve"> Escolar Ley 1450 d</w:t>
      </w:r>
      <w:r w:rsidR="000D27CA" w:rsidRPr="000D27CA">
        <w:rPr>
          <w:rFonts w:cs="Arial"/>
          <w:bCs/>
        </w:rPr>
        <w:t>e 20</w:t>
      </w:r>
      <w:r w:rsidR="000D27CA">
        <w:rPr>
          <w:rFonts w:cs="Arial"/>
          <w:bCs/>
        </w:rPr>
        <w:t>11</w:t>
      </w:r>
      <w:r w:rsidR="000D27CA" w:rsidRPr="000D27CA">
        <w:rPr>
          <w:rFonts w:cs="Arial"/>
          <w:bCs/>
        </w:rPr>
        <w:t xml:space="preserve"> </w:t>
      </w:r>
      <w:r w:rsidR="000D27CA">
        <w:rPr>
          <w:rFonts w:cs="Arial"/>
          <w:bCs/>
        </w:rPr>
        <w:t>vigencias anteriores $2.458,</w:t>
      </w:r>
      <w:r w:rsidR="000D27CA" w:rsidRPr="000D27CA">
        <w:rPr>
          <w:rFonts w:cs="Arial"/>
          <w:bCs/>
        </w:rPr>
        <w:t>07</w:t>
      </w:r>
      <w:r w:rsidR="000D27CA">
        <w:rPr>
          <w:rFonts w:cs="Arial"/>
          <w:bCs/>
        </w:rPr>
        <w:t xml:space="preserve"> millones y </w:t>
      </w:r>
      <w:r w:rsidR="000D27CA" w:rsidRPr="000D27CA">
        <w:rPr>
          <w:rFonts w:cs="Arial"/>
          <w:bCs/>
        </w:rPr>
        <w:t>550 Cofinanciación</w:t>
      </w:r>
      <w:r w:rsidR="000D27CA">
        <w:rPr>
          <w:rFonts w:cs="Arial"/>
          <w:bCs/>
        </w:rPr>
        <w:t xml:space="preserve"> Alimentación Escolar a</w:t>
      </w:r>
      <w:r w:rsidR="000D27CA" w:rsidRPr="000D27CA">
        <w:rPr>
          <w:rFonts w:cs="Arial"/>
          <w:bCs/>
        </w:rPr>
        <w:t xml:space="preserve">rticulo 145 Ley 1530 </w:t>
      </w:r>
      <w:r w:rsidR="000D27CA">
        <w:rPr>
          <w:rFonts w:cs="Arial"/>
          <w:bCs/>
        </w:rPr>
        <w:t>d</w:t>
      </w:r>
      <w:r w:rsidR="000D27CA" w:rsidRPr="000D27CA">
        <w:rPr>
          <w:rFonts w:cs="Arial"/>
          <w:bCs/>
        </w:rPr>
        <w:t>e 2012 - CONPES</w:t>
      </w:r>
      <w:r w:rsidR="000D27CA">
        <w:rPr>
          <w:rFonts w:cs="Arial"/>
          <w:bCs/>
        </w:rPr>
        <w:t xml:space="preserve"> 151 de 2012 $1.373,</w:t>
      </w:r>
      <w:r w:rsidR="000D27CA" w:rsidRPr="000D27CA">
        <w:rPr>
          <w:rFonts w:cs="Arial"/>
          <w:bCs/>
        </w:rPr>
        <w:t>6</w:t>
      </w:r>
      <w:r w:rsidR="000D27CA">
        <w:rPr>
          <w:rFonts w:cs="Arial"/>
          <w:bCs/>
        </w:rPr>
        <w:t>8 millones.</w:t>
      </w:r>
    </w:p>
    <w:p w14:paraId="6D727755" w14:textId="77777777" w:rsidR="00A20990" w:rsidRPr="001A38D5" w:rsidRDefault="00A20990" w:rsidP="005140E1">
      <w:pPr>
        <w:contextualSpacing/>
        <w:jc w:val="both"/>
        <w:rPr>
          <w:rFonts w:cs="Arial"/>
          <w:bCs/>
        </w:rPr>
      </w:pPr>
    </w:p>
    <w:p w14:paraId="5B58F648" w14:textId="77777777" w:rsidR="000D27CA" w:rsidRDefault="00A20990" w:rsidP="005140E1">
      <w:pPr>
        <w:contextualSpacing/>
        <w:jc w:val="both"/>
        <w:rPr>
          <w:rFonts w:cs="Arial"/>
          <w:bCs/>
        </w:rPr>
      </w:pPr>
      <w:r w:rsidRPr="001A38D5">
        <w:rPr>
          <w:rFonts w:cs="Arial"/>
          <w:bCs/>
        </w:rPr>
        <w:t xml:space="preserve">En lo corrido de la vigencia 2020 no se reportó el Contrato No. 594 del 14 de mayo de 2020 suscrito con el Resguardo Indígena Maguare en el Formulario A_MEN_PAE_DATOS_CONTRATO. </w:t>
      </w:r>
    </w:p>
    <w:p w14:paraId="7EED127A" w14:textId="77777777" w:rsidR="000D27CA" w:rsidRDefault="000D27CA" w:rsidP="005140E1">
      <w:pPr>
        <w:contextualSpacing/>
        <w:jc w:val="both"/>
        <w:rPr>
          <w:rFonts w:cs="Arial"/>
          <w:bCs/>
        </w:rPr>
      </w:pPr>
    </w:p>
    <w:p w14:paraId="67EAC8DB" w14:textId="77777777" w:rsidR="00A20990" w:rsidRPr="001A38D5" w:rsidRDefault="00A20990" w:rsidP="005140E1">
      <w:pPr>
        <w:contextualSpacing/>
        <w:jc w:val="both"/>
        <w:rPr>
          <w:rFonts w:cs="Arial"/>
          <w:bCs/>
        </w:rPr>
      </w:pPr>
      <w:r w:rsidRPr="001A38D5">
        <w:rPr>
          <w:rFonts w:cs="Arial"/>
          <w:bCs/>
        </w:rPr>
        <w:t>Para el segundo trimestre de la vigencia no se reportó la información de los Contratos 672, 673, 674 y 680 del 29 de mayo de 2020</w:t>
      </w:r>
      <w:r w:rsidR="000D27CA">
        <w:rPr>
          <w:rFonts w:cs="Arial"/>
          <w:bCs/>
        </w:rPr>
        <w:t xml:space="preserve">, suscritos con </w:t>
      </w:r>
      <w:r w:rsidR="000D27CA" w:rsidRPr="000D27CA">
        <w:rPr>
          <w:rFonts w:cs="Arial"/>
          <w:bCs/>
        </w:rPr>
        <w:t>María Belén Parra Beltrán</w:t>
      </w:r>
      <w:r w:rsidR="000D27CA">
        <w:rPr>
          <w:rFonts w:cs="Arial"/>
          <w:bCs/>
        </w:rPr>
        <w:t xml:space="preserve">, Jaison Enrique Buitrago Cortés, </w:t>
      </w:r>
      <w:r w:rsidR="000D27CA" w:rsidRPr="000D27CA">
        <w:rPr>
          <w:rFonts w:cs="Arial"/>
          <w:bCs/>
        </w:rPr>
        <w:t>Laura Camila Parrado Velásquez</w:t>
      </w:r>
      <w:r w:rsidR="000D27CA">
        <w:rPr>
          <w:rFonts w:cs="Arial"/>
          <w:bCs/>
        </w:rPr>
        <w:t xml:space="preserve"> y </w:t>
      </w:r>
      <w:r w:rsidR="000D27CA" w:rsidRPr="000D27CA">
        <w:rPr>
          <w:rFonts w:cs="Arial"/>
          <w:bCs/>
        </w:rPr>
        <w:t>Andrés Mauricio Pérez Alonso</w:t>
      </w:r>
      <w:r w:rsidR="000D27CA">
        <w:rPr>
          <w:rFonts w:cs="Arial"/>
          <w:bCs/>
        </w:rPr>
        <w:t>, respectivamente, para la p</w:t>
      </w:r>
      <w:r w:rsidR="000D27CA" w:rsidRPr="000D27CA">
        <w:rPr>
          <w:rFonts w:cs="Arial"/>
          <w:bCs/>
        </w:rPr>
        <w:t xml:space="preserve">restación de servicios de </w:t>
      </w:r>
      <w:r w:rsidR="000D27CA">
        <w:rPr>
          <w:rFonts w:cs="Arial"/>
          <w:bCs/>
        </w:rPr>
        <w:t>apoyo a la supervisión técnica</w:t>
      </w:r>
      <w:r w:rsidR="000D27CA" w:rsidRPr="000D27CA">
        <w:rPr>
          <w:rFonts w:cs="Arial"/>
          <w:bCs/>
        </w:rPr>
        <w:t xml:space="preserve"> a la operación del </w:t>
      </w:r>
      <w:r w:rsidR="000D27CA">
        <w:rPr>
          <w:rFonts w:cs="Arial"/>
          <w:bCs/>
        </w:rPr>
        <w:t>PAE en el Municipio</w:t>
      </w:r>
      <w:r w:rsidRPr="000D27CA">
        <w:rPr>
          <w:rFonts w:cs="Arial"/>
          <w:bCs/>
        </w:rPr>
        <w:t>.</w:t>
      </w:r>
      <w:r w:rsidRPr="001A38D5">
        <w:rPr>
          <w:rFonts w:cs="Arial"/>
          <w:bCs/>
        </w:rPr>
        <w:t xml:space="preserve"> </w:t>
      </w:r>
    </w:p>
    <w:p w14:paraId="3528612F" w14:textId="77777777" w:rsidR="00A20990" w:rsidRPr="001A38D5" w:rsidRDefault="00A20990" w:rsidP="005140E1">
      <w:pPr>
        <w:contextualSpacing/>
        <w:jc w:val="both"/>
        <w:rPr>
          <w:rFonts w:cs="Arial"/>
          <w:bCs/>
        </w:rPr>
      </w:pPr>
    </w:p>
    <w:p w14:paraId="692529EE" w14:textId="77777777" w:rsidR="00A20990" w:rsidRPr="001A38D5" w:rsidRDefault="00A20990" w:rsidP="005140E1">
      <w:pPr>
        <w:contextualSpacing/>
        <w:jc w:val="both"/>
        <w:rPr>
          <w:rFonts w:cs="Arial"/>
          <w:bCs/>
        </w:rPr>
      </w:pPr>
      <w:r w:rsidRPr="001A38D5">
        <w:rPr>
          <w:rFonts w:cs="Arial"/>
          <w:bCs/>
        </w:rPr>
        <w:t xml:space="preserve">Sobre el Contrato de </w:t>
      </w:r>
      <w:r w:rsidR="002C198C">
        <w:rPr>
          <w:rFonts w:cs="Arial"/>
          <w:bCs/>
        </w:rPr>
        <w:t>P</w:t>
      </w:r>
      <w:r w:rsidRPr="001A38D5">
        <w:rPr>
          <w:rFonts w:cs="Arial"/>
          <w:bCs/>
        </w:rPr>
        <w:t xml:space="preserve">restación de </w:t>
      </w:r>
      <w:r w:rsidR="002C198C">
        <w:rPr>
          <w:rFonts w:cs="Arial"/>
          <w:bCs/>
        </w:rPr>
        <w:t>S</w:t>
      </w:r>
      <w:r w:rsidRPr="001A38D5">
        <w:rPr>
          <w:rFonts w:cs="Arial"/>
          <w:bCs/>
        </w:rPr>
        <w:t xml:space="preserve">ervicios No. 049 del 7 de febrero de 2020, en el registro de la Adición No. 1 no se hace diferenciación de Transferencias para </w:t>
      </w:r>
      <w:r w:rsidRPr="001A38D5">
        <w:rPr>
          <w:rFonts w:cs="Arial"/>
          <w:bCs/>
        </w:rPr>
        <w:lastRenderedPageBreak/>
        <w:t>Alimentación Escolar Ley 1450 de 2011 MEN entre recursos corrientes y recursos de capital de rendimientos financieros ($155,86 millones y $30 millones, respectivamente). En cuanto a la Adición No. 2 del Contrato No. 049, los $33,13</w:t>
      </w:r>
      <w:r w:rsidR="000D27CA">
        <w:rPr>
          <w:rFonts w:cs="Arial"/>
          <w:bCs/>
        </w:rPr>
        <w:t xml:space="preserve"> millones</w:t>
      </w:r>
      <w:r w:rsidRPr="001A38D5">
        <w:rPr>
          <w:rFonts w:cs="Arial"/>
          <w:bCs/>
        </w:rPr>
        <w:t xml:space="preserve"> señalados como Transferencias para Alimentación Escolar Ley 1450 de 2011 MEN, corresponde</w:t>
      </w:r>
      <w:r w:rsidR="002C198C">
        <w:rPr>
          <w:rFonts w:cs="Arial"/>
          <w:bCs/>
        </w:rPr>
        <w:t>n</w:t>
      </w:r>
      <w:r w:rsidRPr="001A38D5">
        <w:rPr>
          <w:rFonts w:cs="Arial"/>
          <w:bCs/>
        </w:rPr>
        <w:t xml:space="preserve"> a recursos no ejecutados de vigencias anteriores. </w:t>
      </w:r>
    </w:p>
    <w:p w14:paraId="51C671D7" w14:textId="77777777" w:rsidR="00A20990" w:rsidRPr="001A38D5" w:rsidRDefault="00A20990" w:rsidP="005140E1">
      <w:pPr>
        <w:contextualSpacing/>
        <w:jc w:val="both"/>
        <w:rPr>
          <w:rFonts w:cs="Arial"/>
          <w:bCs/>
        </w:rPr>
      </w:pPr>
    </w:p>
    <w:p w14:paraId="450A31E7" w14:textId="77777777" w:rsidR="00A20990" w:rsidRPr="001A38D5" w:rsidRDefault="00A20990" w:rsidP="005140E1">
      <w:pPr>
        <w:contextualSpacing/>
        <w:jc w:val="both"/>
        <w:rPr>
          <w:rFonts w:cs="Arial"/>
          <w:bCs/>
        </w:rPr>
      </w:pPr>
      <w:r w:rsidRPr="001A38D5">
        <w:rPr>
          <w:rFonts w:cs="Arial"/>
          <w:bCs/>
        </w:rPr>
        <w:t xml:space="preserve">En la vigencia 2021 para el Contrato de </w:t>
      </w:r>
      <w:r w:rsidR="002C198C">
        <w:rPr>
          <w:rFonts w:cs="Arial"/>
          <w:bCs/>
        </w:rPr>
        <w:t>S</w:t>
      </w:r>
      <w:r w:rsidRPr="001A38D5">
        <w:rPr>
          <w:rFonts w:cs="Arial"/>
          <w:bCs/>
        </w:rPr>
        <w:t>uministro No. 939 del 8 de abril 2021 las fechas de suscripción y de finalización de la operación registradas en el Formulario</w:t>
      </w:r>
      <w:r w:rsidR="00D50D50">
        <w:rPr>
          <w:rFonts w:cs="Arial"/>
          <w:bCs/>
        </w:rPr>
        <w:t xml:space="preserve"> (</w:t>
      </w:r>
      <w:r w:rsidR="00D50D50" w:rsidRPr="001A38D5">
        <w:rPr>
          <w:rFonts w:cs="Arial"/>
          <w:bCs/>
        </w:rPr>
        <w:t>13 de abril</w:t>
      </w:r>
      <w:r w:rsidR="00D50D50">
        <w:rPr>
          <w:rFonts w:cs="Arial"/>
          <w:bCs/>
        </w:rPr>
        <w:t xml:space="preserve"> de 2021 en ambos casos)</w:t>
      </w:r>
      <w:r w:rsidRPr="001A38D5">
        <w:rPr>
          <w:rFonts w:cs="Arial"/>
          <w:bCs/>
        </w:rPr>
        <w:t xml:space="preserve"> no corresponden con las fechas establecidas en los documentos de ejecución del </w:t>
      </w:r>
      <w:r w:rsidR="002C198C">
        <w:rPr>
          <w:rFonts w:cs="Arial"/>
          <w:bCs/>
        </w:rPr>
        <w:t>C</w:t>
      </w:r>
      <w:r w:rsidRPr="001A38D5">
        <w:rPr>
          <w:rFonts w:cs="Arial"/>
          <w:bCs/>
        </w:rPr>
        <w:t xml:space="preserve">ontrato (fecha de la orden 8 de abril y fecha de vencimiento 25 de junio de 2021). </w:t>
      </w:r>
    </w:p>
    <w:p w14:paraId="33293ADE" w14:textId="77777777" w:rsidR="00A20990" w:rsidRPr="001A38D5" w:rsidRDefault="00A20990" w:rsidP="005140E1">
      <w:pPr>
        <w:contextualSpacing/>
        <w:jc w:val="both"/>
        <w:rPr>
          <w:rFonts w:cs="Arial"/>
          <w:bCs/>
        </w:rPr>
      </w:pPr>
    </w:p>
    <w:p w14:paraId="4FC42938" w14:textId="77777777" w:rsidR="00A20990" w:rsidRPr="001A38D5" w:rsidRDefault="00A20990" w:rsidP="005140E1">
      <w:pPr>
        <w:contextualSpacing/>
        <w:jc w:val="both"/>
        <w:rPr>
          <w:rFonts w:cs="Arial"/>
          <w:bCs/>
        </w:rPr>
      </w:pPr>
      <w:r w:rsidRPr="001A38D5">
        <w:rPr>
          <w:rFonts w:cs="Arial"/>
          <w:bCs/>
        </w:rPr>
        <w:t>Sobre la operación del PAE, resulta importante señalar que la entrega de Bonos se realizó desde el día 13 de abril de 2021</w:t>
      </w:r>
      <w:r w:rsidR="002C198C">
        <w:rPr>
          <w:rFonts w:cs="Arial"/>
          <w:bCs/>
        </w:rPr>
        <w:t>;</w:t>
      </w:r>
      <w:r w:rsidRPr="001A38D5">
        <w:rPr>
          <w:rFonts w:cs="Arial"/>
          <w:bCs/>
        </w:rPr>
        <w:t xml:space="preserve"> es decir, 45 días después del inicio del calendario escolar (1 de febrero de 2021), según indica la Resolución 1500-67.10/1616 del 27 de octubre de 2020 del Municipio de Villavicencio. Asimismo, el Convenio Interadministrativo No. 1104 de 2021 inició el 19 de mayo de 2021, dejando de cubrir 70 días del calendario escolar a la población que se pretendía atender a través de este Convenio con el Resguardo Indígena Maguare. Lo anterior evidencia la falta de planeación por parte de la Entidad, que no garantizó la prestación del </w:t>
      </w:r>
      <w:r w:rsidR="008F7844">
        <w:rPr>
          <w:rFonts w:cs="Arial"/>
          <w:bCs/>
        </w:rPr>
        <w:t>S</w:t>
      </w:r>
      <w:r w:rsidRPr="001A38D5">
        <w:rPr>
          <w:rFonts w:cs="Arial"/>
          <w:bCs/>
        </w:rPr>
        <w:t>ervicio de Alimentación Escolar durante las 40 semanas lectivas del trabajo académico.</w:t>
      </w:r>
    </w:p>
    <w:p w14:paraId="336E29A1" w14:textId="77777777" w:rsidR="00A20990" w:rsidRPr="001A38D5" w:rsidRDefault="00A20990" w:rsidP="005140E1">
      <w:pPr>
        <w:contextualSpacing/>
        <w:jc w:val="both"/>
        <w:rPr>
          <w:rFonts w:cs="Arial"/>
          <w:bCs/>
        </w:rPr>
      </w:pPr>
    </w:p>
    <w:p w14:paraId="243FC8A0" w14:textId="77777777" w:rsidR="00A20990" w:rsidRPr="001A38D5" w:rsidRDefault="00A20990" w:rsidP="005140E1">
      <w:pPr>
        <w:contextualSpacing/>
        <w:jc w:val="both"/>
        <w:rPr>
          <w:rFonts w:cs="Arial"/>
          <w:bCs/>
        </w:rPr>
      </w:pPr>
      <w:r w:rsidRPr="001A38D5">
        <w:rPr>
          <w:rFonts w:cs="Arial"/>
          <w:bCs/>
        </w:rPr>
        <w:t xml:space="preserve">De los Contratos de </w:t>
      </w:r>
      <w:r w:rsidR="008F7844">
        <w:rPr>
          <w:rFonts w:cs="Arial"/>
          <w:bCs/>
        </w:rPr>
        <w:t>S</w:t>
      </w:r>
      <w:r w:rsidRPr="001A38D5">
        <w:rPr>
          <w:rFonts w:cs="Arial"/>
          <w:bCs/>
        </w:rPr>
        <w:t xml:space="preserve">uministro No. 1346 y 2014 de 2021 las Órdenes de Compra 72682 y 77691 fueron prorrogadas hasta el 20 de octubre y el 3 de diciembre de 2021, respectivamente, mostrando inconsistencias con la fecha de terminación señaladas en el Formulario para estos Contratos (13 de abril y 31 de agosto de 2021). </w:t>
      </w:r>
    </w:p>
    <w:p w14:paraId="3E007260" w14:textId="77777777" w:rsidR="00A20990" w:rsidRPr="001A38D5" w:rsidRDefault="00A20990" w:rsidP="005140E1">
      <w:pPr>
        <w:contextualSpacing/>
        <w:jc w:val="both"/>
        <w:rPr>
          <w:rFonts w:cs="Arial"/>
          <w:bCs/>
        </w:rPr>
      </w:pPr>
    </w:p>
    <w:p w14:paraId="323094F5" w14:textId="77777777" w:rsidR="00A20990" w:rsidRPr="001A38D5" w:rsidRDefault="00A20990" w:rsidP="005140E1">
      <w:pPr>
        <w:contextualSpacing/>
        <w:jc w:val="both"/>
        <w:rPr>
          <w:rFonts w:cs="Arial"/>
          <w:bCs/>
        </w:rPr>
      </w:pPr>
      <w:r w:rsidRPr="001A38D5">
        <w:rPr>
          <w:rFonts w:cs="Arial"/>
          <w:bCs/>
        </w:rPr>
        <w:t xml:space="preserve">Ahora bien, para el Contrato de </w:t>
      </w:r>
      <w:r w:rsidR="008F7844">
        <w:rPr>
          <w:rFonts w:cs="Arial"/>
          <w:bCs/>
        </w:rPr>
        <w:t>P</w:t>
      </w:r>
      <w:r w:rsidRPr="001A38D5">
        <w:rPr>
          <w:rFonts w:cs="Arial"/>
          <w:bCs/>
        </w:rPr>
        <w:t xml:space="preserve">restación de </w:t>
      </w:r>
      <w:r w:rsidR="008F7844">
        <w:rPr>
          <w:rFonts w:cs="Arial"/>
          <w:bCs/>
        </w:rPr>
        <w:t>S</w:t>
      </w:r>
      <w:r w:rsidRPr="001A38D5">
        <w:rPr>
          <w:rFonts w:cs="Arial"/>
          <w:bCs/>
        </w:rPr>
        <w:t xml:space="preserve">ervicios y de </w:t>
      </w:r>
      <w:r w:rsidR="008F7844">
        <w:rPr>
          <w:rFonts w:cs="Arial"/>
          <w:bCs/>
        </w:rPr>
        <w:t>A</w:t>
      </w:r>
      <w:r w:rsidRPr="001A38D5">
        <w:rPr>
          <w:rFonts w:cs="Arial"/>
          <w:bCs/>
        </w:rPr>
        <w:t xml:space="preserve">poyo </w:t>
      </w:r>
      <w:r w:rsidR="008F7844">
        <w:rPr>
          <w:rFonts w:cs="Arial"/>
          <w:bCs/>
        </w:rPr>
        <w:t>L</w:t>
      </w:r>
      <w:r w:rsidRPr="001A38D5">
        <w:rPr>
          <w:rFonts w:cs="Arial"/>
          <w:bCs/>
        </w:rPr>
        <w:t>ogístico No. 1739 de 2022, según CDP 2706 y RDP 2748 del 10 de mayo de 2022, se evidencia inadecuado reporte de las siguientes fuentes de financiación: i) “</w:t>
      </w:r>
      <w:r w:rsidRPr="001A38D5">
        <w:rPr>
          <w:rFonts w:cs="Arial"/>
          <w:bCs/>
          <w:i/>
        </w:rPr>
        <w:t>RECURSOS DE INVERSION DEL PGN ASIGNADOS POR UAPA - VIGENCIA ACTUAL</w:t>
      </w:r>
      <w:r w:rsidRPr="001A38D5">
        <w:rPr>
          <w:rFonts w:cs="Arial"/>
          <w:bCs/>
        </w:rPr>
        <w:t>” por $416,42 millones, corresponden a transferencias para Alimentación Escolar Ley 1450 de 2011 de vigencias anteriores (rubro 0402-2-3.22.01.0700.02.12-864); ii) “</w:t>
      </w:r>
      <w:r w:rsidRPr="007A412F">
        <w:rPr>
          <w:rFonts w:cs="Arial"/>
          <w:bCs/>
          <w:i/>
          <w:iCs/>
        </w:rPr>
        <w:t>SGP ALIMENTACION ESCOLAR ONCE DOCEAVAS VIGENCIA ACTUAL MAS ULTIMA DOCEAVA VIGENCIA ANTERIOR</w:t>
      </w:r>
      <w:r w:rsidRPr="001A38D5">
        <w:rPr>
          <w:rFonts w:cs="Arial"/>
          <w:bCs/>
        </w:rPr>
        <w:t>” por $961,72 millones, corresponden a SGP EDUCACION CALIDAD SALDOS NO EJECUTADOS VIGENCIAS ANTERIORES Y REINTEGROS (rubro 0402-2-3.22.01.0700.02.12-831).</w:t>
      </w:r>
    </w:p>
    <w:p w14:paraId="0CCF4ACE" w14:textId="77777777" w:rsidR="00A20990" w:rsidRPr="001A38D5" w:rsidRDefault="00A20990" w:rsidP="005140E1">
      <w:pPr>
        <w:contextualSpacing/>
        <w:jc w:val="both"/>
        <w:rPr>
          <w:rFonts w:cs="Arial"/>
          <w:bCs/>
        </w:rPr>
      </w:pPr>
    </w:p>
    <w:p w14:paraId="07758579" w14:textId="77777777" w:rsidR="00A20990" w:rsidRPr="001A38D5" w:rsidRDefault="00A20990" w:rsidP="005140E1">
      <w:pPr>
        <w:contextualSpacing/>
        <w:jc w:val="both"/>
        <w:rPr>
          <w:rFonts w:cs="Arial"/>
          <w:bCs/>
        </w:rPr>
      </w:pPr>
      <w:r w:rsidRPr="001A38D5">
        <w:rPr>
          <w:rFonts w:cs="Arial"/>
          <w:bCs/>
        </w:rPr>
        <w:t xml:space="preserve">Para la adición del Contrato de </w:t>
      </w:r>
      <w:r w:rsidR="008F7844">
        <w:rPr>
          <w:rFonts w:cs="Arial"/>
          <w:bCs/>
        </w:rPr>
        <w:t>P</w:t>
      </w:r>
      <w:r w:rsidRPr="001A38D5">
        <w:rPr>
          <w:rFonts w:cs="Arial"/>
          <w:bCs/>
        </w:rPr>
        <w:t xml:space="preserve">restación de </w:t>
      </w:r>
      <w:r w:rsidR="008F7844">
        <w:rPr>
          <w:rFonts w:cs="Arial"/>
          <w:bCs/>
        </w:rPr>
        <w:t>S</w:t>
      </w:r>
      <w:r w:rsidRPr="001A38D5">
        <w:rPr>
          <w:rFonts w:cs="Arial"/>
          <w:bCs/>
        </w:rPr>
        <w:t xml:space="preserve">ervicios y de </w:t>
      </w:r>
      <w:r w:rsidR="008F7844">
        <w:rPr>
          <w:rFonts w:cs="Arial"/>
          <w:bCs/>
        </w:rPr>
        <w:t>A</w:t>
      </w:r>
      <w:r w:rsidRPr="001A38D5">
        <w:rPr>
          <w:rFonts w:cs="Arial"/>
          <w:bCs/>
        </w:rPr>
        <w:t xml:space="preserve">poyo </w:t>
      </w:r>
      <w:r w:rsidR="008F7844">
        <w:rPr>
          <w:rFonts w:cs="Arial"/>
          <w:bCs/>
        </w:rPr>
        <w:t>L</w:t>
      </w:r>
      <w:r w:rsidRPr="001A38D5">
        <w:rPr>
          <w:rFonts w:cs="Arial"/>
          <w:bCs/>
        </w:rPr>
        <w:t>ogístico No. 1739 de 20222 se evidencia inadecuado reporte de la fuente “</w:t>
      </w:r>
      <w:r w:rsidRPr="007A412F">
        <w:rPr>
          <w:rFonts w:cs="Arial"/>
          <w:bCs/>
          <w:i/>
          <w:iCs/>
        </w:rPr>
        <w:t>SGP ALIMENTACION ESCOLAR ONCE DOCEAVAS VIGENCIA ACTUAL MAS ULTIMA DOCEAVA VIGENCIA ANTERIOR</w:t>
      </w:r>
      <w:r w:rsidRPr="001A38D5">
        <w:rPr>
          <w:rFonts w:cs="Arial"/>
          <w:bCs/>
        </w:rPr>
        <w:t>” por $79,87 millones, ya que según CDP 3952 y RDP 4284 del 13 de julio de 2022 corresponden a recursos de SGP Calidad Matricula (rubro 0402-2-3.22.01.0700.02.12-83).</w:t>
      </w:r>
    </w:p>
    <w:p w14:paraId="428E351E" w14:textId="77777777" w:rsidR="00A20990" w:rsidRPr="001A38D5" w:rsidRDefault="00A20990" w:rsidP="005140E1">
      <w:pPr>
        <w:contextualSpacing/>
        <w:jc w:val="both"/>
        <w:rPr>
          <w:rFonts w:cs="Arial"/>
          <w:bCs/>
        </w:rPr>
      </w:pPr>
    </w:p>
    <w:p w14:paraId="6498A8A5" w14:textId="77777777" w:rsidR="00A20990" w:rsidRPr="001A38D5" w:rsidRDefault="00A20990" w:rsidP="005140E1">
      <w:pPr>
        <w:contextualSpacing/>
        <w:jc w:val="both"/>
        <w:rPr>
          <w:rFonts w:cs="Arial"/>
          <w:bCs/>
        </w:rPr>
      </w:pPr>
      <w:r w:rsidRPr="001A38D5">
        <w:rPr>
          <w:rFonts w:cs="Arial"/>
          <w:bCs/>
        </w:rPr>
        <w:t xml:space="preserve">Para el Contrato de </w:t>
      </w:r>
      <w:r w:rsidR="008F7844">
        <w:rPr>
          <w:rFonts w:cs="Arial"/>
          <w:bCs/>
        </w:rPr>
        <w:t>P</w:t>
      </w:r>
      <w:r w:rsidRPr="001A38D5">
        <w:rPr>
          <w:rFonts w:cs="Arial"/>
          <w:bCs/>
        </w:rPr>
        <w:t xml:space="preserve">restación de </w:t>
      </w:r>
      <w:r w:rsidR="008F7844">
        <w:rPr>
          <w:rFonts w:cs="Arial"/>
          <w:bCs/>
        </w:rPr>
        <w:t>S</w:t>
      </w:r>
      <w:r w:rsidRPr="001A38D5">
        <w:rPr>
          <w:rFonts w:cs="Arial"/>
          <w:bCs/>
        </w:rPr>
        <w:t xml:space="preserve">ervicios No. 1825 de 2022 la fecha de finalización </w:t>
      </w:r>
      <w:r w:rsidRPr="001A38D5">
        <w:rPr>
          <w:rFonts w:cs="Arial"/>
          <w:bCs/>
        </w:rPr>
        <w:lastRenderedPageBreak/>
        <w:t>no corresponde, ya que el Acta de Adición No. 1 y Prorroga No. 2 del 29 de agosto de 2022 establece en la cláusula segunda el término del Contrato hasta el 15 de septiembre de 2022.</w:t>
      </w:r>
    </w:p>
    <w:p w14:paraId="4F8ABF98" w14:textId="77777777" w:rsidR="00A20990" w:rsidRPr="001A38D5" w:rsidRDefault="00A20990" w:rsidP="005140E1">
      <w:pPr>
        <w:contextualSpacing/>
        <w:jc w:val="both"/>
        <w:rPr>
          <w:rFonts w:cs="Arial"/>
          <w:bCs/>
        </w:rPr>
      </w:pPr>
    </w:p>
    <w:p w14:paraId="18E51B83" w14:textId="77777777" w:rsidR="00A20990" w:rsidRPr="001A38D5" w:rsidRDefault="00A20990" w:rsidP="005140E1">
      <w:pPr>
        <w:contextualSpacing/>
        <w:jc w:val="both"/>
        <w:rPr>
          <w:rFonts w:cs="Arial"/>
          <w:bCs/>
        </w:rPr>
      </w:pPr>
      <w:r w:rsidRPr="001A38D5">
        <w:rPr>
          <w:rFonts w:cs="Arial"/>
          <w:bCs/>
        </w:rPr>
        <w:t xml:space="preserve">Del Contrato de </w:t>
      </w:r>
      <w:r w:rsidR="008F7844">
        <w:rPr>
          <w:rFonts w:cs="Arial"/>
          <w:bCs/>
        </w:rPr>
        <w:t>P</w:t>
      </w:r>
      <w:r w:rsidRPr="001A38D5">
        <w:rPr>
          <w:rFonts w:cs="Arial"/>
          <w:bCs/>
        </w:rPr>
        <w:t xml:space="preserve">restación de </w:t>
      </w:r>
      <w:r w:rsidR="008F7844">
        <w:rPr>
          <w:rFonts w:cs="Arial"/>
          <w:bCs/>
        </w:rPr>
        <w:t>S</w:t>
      </w:r>
      <w:r w:rsidRPr="001A38D5">
        <w:rPr>
          <w:rFonts w:cs="Arial"/>
          <w:bCs/>
        </w:rPr>
        <w:t xml:space="preserve">ervicios No.3122 de 2022 se evidencia que la fuente relacionada con la adición no corresponde con la establecida en el </w:t>
      </w:r>
      <w:r w:rsidRPr="001A38D5">
        <w:rPr>
          <w:rFonts w:eastAsia="Arial" w:cs="Arial"/>
          <w:lang w:val="es-CO"/>
        </w:rPr>
        <w:t>CDP 7336 y el RDP 8600 del 22 de diciembre</w:t>
      </w:r>
      <w:r w:rsidRPr="001A38D5">
        <w:rPr>
          <w:rFonts w:cs="Arial"/>
          <w:bCs/>
        </w:rPr>
        <w:t xml:space="preserve"> que indican como fuente “</w:t>
      </w:r>
      <w:r w:rsidRPr="007A412F">
        <w:rPr>
          <w:rFonts w:cs="Arial"/>
          <w:bCs/>
          <w:i/>
          <w:iCs/>
        </w:rPr>
        <w:t>EXCEDENTES DEL SGP EDUCACIÓN PRESTACIÓN DE SERVICIOS</w:t>
      </w:r>
      <w:r w:rsidRPr="001A38D5">
        <w:rPr>
          <w:rFonts w:cs="Arial"/>
          <w:bCs/>
        </w:rPr>
        <w:t>” y no “</w:t>
      </w:r>
      <w:r w:rsidRPr="007A412F">
        <w:rPr>
          <w:rFonts w:cs="Arial"/>
          <w:bCs/>
          <w:i/>
          <w:iCs/>
        </w:rPr>
        <w:t>RECURSOS DE INVERSION DEL PGN ASIGNADOS POR UAPA - VIGENCIA ACTUAL</w:t>
      </w:r>
      <w:r w:rsidRPr="001A38D5">
        <w:rPr>
          <w:rFonts w:cs="Arial"/>
          <w:bCs/>
        </w:rPr>
        <w:t>”.</w:t>
      </w:r>
    </w:p>
    <w:p w14:paraId="285D3CA5" w14:textId="77777777" w:rsidR="00A20990" w:rsidRPr="001A38D5" w:rsidRDefault="00A20990" w:rsidP="005140E1">
      <w:pPr>
        <w:contextualSpacing/>
        <w:jc w:val="both"/>
        <w:rPr>
          <w:rFonts w:cs="Arial"/>
          <w:bCs/>
          <w:highlight w:val="yellow"/>
        </w:rPr>
      </w:pPr>
    </w:p>
    <w:p w14:paraId="1BEC476E" w14:textId="77777777" w:rsidR="00A20990" w:rsidRPr="001A38D5" w:rsidRDefault="00A20990" w:rsidP="005140E1">
      <w:pPr>
        <w:contextualSpacing/>
        <w:jc w:val="both"/>
        <w:rPr>
          <w:rFonts w:cs="Arial"/>
          <w:bCs/>
        </w:rPr>
      </w:pPr>
      <w:r w:rsidRPr="001A38D5">
        <w:rPr>
          <w:rFonts w:cs="Arial"/>
          <w:bCs/>
        </w:rPr>
        <w:t xml:space="preserve">Sobre el inicio de la operación del Programa en esta vigencia, se observa que la prestación del servicio a población mayoritaria inició el 10 de marzo de 2022 y a la población en el Resguardo </w:t>
      </w:r>
      <w:r w:rsidR="008F7844">
        <w:rPr>
          <w:rFonts w:cs="Arial"/>
          <w:bCs/>
        </w:rPr>
        <w:t>I</w:t>
      </w:r>
      <w:r w:rsidRPr="001A38D5">
        <w:rPr>
          <w:rFonts w:cs="Arial"/>
          <w:bCs/>
        </w:rPr>
        <w:t>ndígena el 17 de agosto de 2022, pese a que la Resolución No 1500-67.10/1141 de 2021 del Municipio estableció el inicio del calendario académico el 31 de enero de 2022, lo que significa periodos descubiertos de la prestación del Servicio.</w:t>
      </w:r>
    </w:p>
    <w:p w14:paraId="527D175C" w14:textId="77777777" w:rsidR="00A20990" w:rsidRPr="001A38D5" w:rsidRDefault="00A20990" w:rsidP="005140E1">
      <w:pPr>
        <w:contextualSpacing/>
        <w:jc w:val="both"/>
        <w:rPr>
          <w:rFonts w:cs="Arial"/>
          <w:bCs/>
        </w:rPr>
      </w:pPr>
    </w:p>
    <w:p w14:paraId="23F5FA71" w14:textId="77777777" w:rsidR="00A20990" w:rsidRPr="001A38D5" w:rsidRDefault="00A20990" w:rsidP="005140E1">
      <w:pPr>
        <w:contextualSpacing/>
        <w:jc w:val="both"/>
        <w:rPr>
          <w:rFonts w:cs="Arial"/>
          <w:bCs/>
        </w:rPr>
      </w:pPr>
      <w:r w:rsidRPr="001A38D5">
        <w:rPr>
          <w:rFonts w:cs="Arial"/>
          <w:bCs/>
        </w:rPr>
        <w:t xml:space="preserve">Además, se evidencia inoportunidad y falta de continuidad en los procesos de planeación y contratación del PAE. En esta vigencia se presentaron múltiples contratos y de diversas modalidades para cubrir el </w:t>
      </w:r>
      <w:r w:rsidR="008F7844">
        <w:rPr>
          <w:rFonts w:cs="Arial"/>
          <w:bCs/>
        </w:rPr>
        <w:t>S</w:t>
      </w:r>
      <w:r w:rsidRPr="001A38D5">
        <w:rPr>
          <w:rFonts w:cs="Arial"/>
          <w:bCs/>
        </w:rPr>
        <w:t>ervicio de la vigencia por fracciones del calendario escolar y adicionados varias veces, con el desgaste administrativo que esto representa y con tiempos descubiertos en la prestación del servicio entre la finalización de un contrato y la iniciación de la prestación del servicio con el siguiente contrato.</w:t>
      </w:r>
    </w:p>
    <w:p w14:paraId="2E95889C" w14:textId="77777777" w:rsidR="00A20990" w:rsidRPr="001A38D5" w:rsidRDefault="00A20990" w:rsidP="005140E1">
      <w:pPr>
        <w:contextualSpacing/>
        <w:jc w:val="both"/>
        <w:rPr>
          <w:rFonts w:cs="Arial"/>
          <w:bCs/>
        </w:rPr>
      </w:pPr>
    </w:p>
    <w:p w14:paraId="39A68E0E" w14:textId="77777777" w:rsidR="00A20990" w:rsidRPr="001A38D5" w:rsidRDefault="00A20990" w:rsidP="005140E1">
      <w:pPr>
        <w:contextualSpacing/>
        <w:jc w:val="both"/>
        <w:rPr>
          <w:rFonts w:cs="Arial"/>
          <w:bCs/>
          <w:highlight w:val="yellow"/>
        </w:rPr>
      </w:pPr>
    </w:p>
    <w:p w14:paraId="45A49091" w14:textId="77777777" w:rsidR="00A20990" w:rsidRPr="001A38D5" w:rsidRDefault="00A20990" w:rsidP="005140E1">
      <w:pPr>
        <w:contextualSpacing/>
        <w:jc w:val="both"/>
        <w:rPr>
          <w:rFonts w:cs="Arial"/>
          <w:bCs/>
          <w:highlight w:val="yellow"/>
        </w:rPr>
        <w:sectPr w:rsidR="00A20990" w:rsidRPr="001A38D5" w:rsidSect="007A412F">
          <w:headerReference w:type="default" r:id="rId33"/>
          <w:footerReference w:type="default" r:id="rId34"/>
          <w:headerReference w:type="first" r:id="rId35"/>
          <w:footerReference w:type="first" r:id="rId36"/>
          <w:pgSz w:w="12240" w:h="15840" w:code="1"/>
          <w:pgMar w:top="1701" w:right="1418" w:bottom="1701" w:left="1418" w:header="284" w:footer="284" w:gutter="0"/>
          <w:cols w:space="708"/>
          <w:titlePg/>
          <w:docGrid w:linePitch="360"/>
        </w:sectPr>
      </w:pPr>
    </w:p>
    <w:p w14:paraId="554AF094"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lastRenderedPageBreak/>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14</w:t>
      </w:r>
      <w:r w:rsidRPr="007A412F">
        <w:rPr>
          <w:rFonts w:ascii="Verdana" w:hAnsi="Verdana"/>
          <w:color w:val="auto"/>
          <w:sz w:val="20"/>
          <w:szCs w:val="20"/>
        </w:rPr>
        <w:fldChar w:fldCharType="end"/>
      </w:r>
      <w:r w:rsidRPr="007A412F">
        <w:rPr>
          <w:rFonts w:ascii="Verdana" w:hAnsi="Verdana"/>
          <w:color w:val="auto"/>
          <w:sz w:val="20"/>
          <w:szCs w:val="20"/>
        </w:rPr>
        <w:t xml:space="preserve"> Información contractual para la ejecución del PAE, vigencias 2019-2022 (valores en millones de pesos de colombianos).</w:t>
      </w:r>
    </w:p>
    <w:tbl>
      <w:tblPr>
        <w:tblW w:w="5237" w:type="pct"/>
        <w:jc w:val="center"/>
        <w:tblCellMar>
          <w:left w:w="70" w:type="dxa"/>
          <w:right w:w="70" w:type="dxa"/>
        </w:tblCellMar>
        <w:tblLook w:val="04A0" w:firstRow="1" w:lastRow="0" w:firstColumn="1" w:lastColumn="0" w:noHBand="0" w:noVBand="1"/>
      </w:tblPr>
      <w:tblGrid>
        <w:gridCol w:w="938"/>
        <w:gridCol w:w="1847"/>
        <w:gridCol w:w="1268"/>
        <w:gridCol w:w="3090"/>
        <w:gridCol w:w="1009"/>
        <w:gridCol w:w="1258"/>
        <w:gridCol w:w="1091"/>
        <w:gridCol w:w="1293"/>
        <w:gridCol w:w="1007"/>
        <w:gridCol w:w="809"/>
      </w:tblGrid>
      <w:tr w:rsidR="001A38D5" w:rsidRPr="001A38D5" w14:paraId="171BE197" w14:textId="77777777" w:rsidTr="00B23E6E">
        <w:trPr>
          <w:trHeight w:val="720"/>
          <w:tblHeader/>
          <w:jc w:val="center"/>
        </w:trPr>
        <w:tc>
          <w:tcPr>
            <w:tcW w:w="32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6FC38CE"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VIGENCIA</w:t>
            </w:r>
          </w:p>
        </w:tc>
        <w:tc>
          <w:tcPr>
            <w:tcW w:w="688" w:type="pct"/>
            <w:tcBorders>
              <w:top w:val="single" w:sz="4" w:space="0" w:color="auto"/>
              <w:left w:val="nil"/>
              <w:bottom w:val="single" w:sz="4" w:space="0" w:color="auto"/>
              <w:right w:val="single" w:sz="4" w:space="0" w:color="auto"/>
            </w:tcBorders>
            <w:shd w:val="clear" w:color="000000" w:fill="FFC000"/>
            <w:vAlign w:val="center"/>
            <w:hideMark/>
          </w:tcPr>
          <w:p w14:paraId="051C04EA"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MODALIDAD, TIPO Y NUMERO DE CONTRATO O CONVENIO</w:t>
            </w:r>
          </w:p>
        </w:tc>
        <w:tc>
          <w:tcPr>
            <w:tcW w:w="471" w:type="pct"/>
            <w:tcBorders>
              <w:top w:val="single" w:sz="4" w:space="0" w:color="auto"/>
              <w:left w:val="nil"/>
              <w:bottom w:val="single" w:sz="4" w:space="0" w:color="auto"/>
              <w:right w:val="single" w:sz="4" w:space="0" w:color="auto"/>
            </w:tcBorders>
            <w:shd w:val="clear" w:color="000000" w:fill="FFC000"/>
            <w:vAlign w:val="center"/>
            <w:hideMark/>
          </w:tcPr>
          <w:p w14:paraId="1EF542D3"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NOMBRE Y NIT CONTRATISTA</w:t>
            </w:r>
          </w:p>
        </w:tc>
        <w:tc>
          <w:tcPr>
            <w:tcW w:w="1191" w:type="pct"/>
            <w:tcBorders>
              <w:top w:val="single" w:sz="4" w:space="0" w:color="auto"/>
              <w:left w:val="nil"/>
              <w:bottom w:val="single" w:sz="4" w:space="0" w:color="auto"/>
              <w:right w:val="single" w:sz="4" w:space="0" w:color="auto"/>
            </w:tcBorders>
            <w:shd w:val="clear" w:color="000000" w:fill="FFC000"/>
            <w:vAlign w:val="center"/>
            <w:hideMark/>
          </w:tcPr>
          <w:p w14:paraId="42116CDF"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FUENTE DE RECURSOS</w:t>
            </w:r>
          </w:p>
        </w:tc>
        <w:tc>
          <w:tcPr>
            <w:tcW w:w="394" w:type="pct"/>
            <w:tcBorders>
              <w:top w:val="single" w:sz="4" w:space="0" w:color="auto"/>
              <w:left w:val="nil"/>
              <w:bottom w:val="single" w:sz="4" w:space="0" w:color="auto"/>
              <w:right w:val="single" w:sz="4" w:space="0" w:color="auto"/>
            </w:tcBorders>
            <w:shd w:val="clear" w:color="000000" w:fill="FFC000"/>
            <w:vAlign w:val="center"/>
            <w:hideMark/>
          </w:tcPr>
          <w:p w14:paraId="318A8725"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CONTRATO</w:t>
            </w:r>
          </w:p>
        </w:tc>
        <w:tc>
          <w:tcPr>
            <w:tcW w:w="438" w:type="pct"/>
            <w:tcBorders>
              <w:top w:val="single" w:sz="4" w:space="0" w:color="auto"/>
              <w:left w:val="nil"/>
              <w:bottom w:val="single" w:sz="4" w:space="0" w:color="auto"/>
              <w:right w:val="single" w:sz="4" w:space="0" w:color="auto"/>
            </w:tcBorders>
            <w:shd w:val="clear" w:color="000000" w:fill="FFC000"/>
            <w:vAlign w:val="center"/>
            <w:hideMark/>
          </w:tcPr>
          <w:p w14:paraId="2A6F7201"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FECHA SUSCRIPCIÓN CONTRATO</w:t>
            </w:r>
          </w:p>
        </w:tc>
        <w:tc>
          <w:tcPr>
            <w:tcW w:w="389" w:type="pct"/>
            <w:tcBorders>
              <w:top w:val="single" w:sz="4" w:space="0" w:color="auto"/>
              <w:left w:val="nil"/>
              <w:bottom w:val="single" w:sz="4" w:space="0" w:color="auto"/>
              <w:right w:val="single" w:sz="4" w:space="0" w:color="auto"/>
            </w:tcBorders>
            <w:shd w:val="clear" w:color="000000" w:fill="FFC000"/>
            <w:vAlign w:val="center"/>
            <w:hideMark/>
          </w:tcPr>
          <w:p w14:paraId="107568DB"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FECHA INICIO DE OPERACION</w:t>
            </w:r>
          </w:p>
        </w:tc>
        <w:tc>
          <w:tcPr>
            <w:tcW w:w="444" w:type="pct"/>
            <w:tcBorders>
              <w:top w:val="single" w:sz="4" w:space="0" w:color="auto"/>
              <w:left w:val="nil"/>
              <w:bottom w:val="single" w:sz="4" w:space="0" w:color="auto"/>
              <w:right w:val="single" w:sz="4" w:space="0" w:color="auto"/>
            </w:tcBorders>
            <w:shd w:val="clear" w:color="000000" w:fill="FFC000"/>
            <w:vAlign w:val="center"/>
            <w:hideMark/>
          </w:tcPr>
          <w:p w14:paraId="034460E5"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FECHA TERMINACION DE OPERACION</w:t>
            </w:r>
          </w:p>
        </w:tc>
        <w:tc>
          <w:tcPr>
            <w:tcW w:w="368" w:type="pct"/>
            <w:tcBorders>
              <w:top w:val="single" w:sz="4" w:space="0" w:color="auto"/>
              <w:left w:val="nil"/>
              <w:bottom w:val="single" w:sz="4" w:space="0" w:color="auto"/>
              <w:right w:val="single" w:sz="4" w:space="0" w:color="auto"/>
            </w:tcBorders>
            <w:shd w:val="clear" w:color="000000" w:fill="FFC000"/>
            <w:vAlign w:val="center"/>
            <w:hideMark/>
          </w:tcPr>
          <w:p w14:paraId="7145E1AB"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DIAS CONTRATO</w:t>
            </w:r>
          </w:p>
        </w:tc>
        <w:tc>
          <w:tcPr>
            <w:tcW w:w="297" w:type="pct"/>
            <w:tcBorders>
              <w:top w:val="single" w:sz="4" w:space="0" w:color="auto"/>
              <w:left w:val="nil"/>
              <w:bottom w:val="single" w:sz="4" w:space="0" w:color="auto"/>
              <w:right w:val="single" w:sz="4" w:space="0" w:color="auto"/>
            </w:tcBorders>
            <w:shd w:val="clear" w:color="000000" w:fill="FFC000"/>
            <w:vAlign w:val="center"/>
            <w:hideMark/>
          </w:tcPr>
          <w:p w14:paraId="20EF4AF8"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PAGADO</w:t>
            </w:r>
          </w:p>
        </w:tc>
      </w:tr>
      <w:tr w:rsidR="001A38D5" w:rsidRPr="001A38D5" w14:paraId="3A2FEF91" w14:textId="77777777" w:rsidTr="00B23E6E">
        <w:trPr>
          <w:trHeight w:val="675"/>
          <w:jc w:val="center"/>
        </w:trPr>
        <w:tc>
          <w:tcPr>
            <w:tcW w:w="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AA1B0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2019</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DA8AD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LICITACIÓN PÚBLICA, PRESTACION DE SERVICIOS No. 077 DE 2019</w:t>
            </w:r>
          </w:p>
        </w:tc>
        <w:tc>
          <w:tcPr>
            <w:tcW w:w="4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0E458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UNION TEMPORAL PAE VILLAVICENCIO 2019 - NIT. 901.248.776</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14:paraId="548D646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TRANSFENCIAS PARA ALIMENTACION ESCOLAR LEY 1450 DE 2011 MEN</w:t>
            </w:r>
          </w:p>
        </w:tc>
        <w:tc>
          <w:tcPr>
            <w:tcW w:w="394" w:type="pct"/>
            <w:tcBorders>
              <w:top w:val="single" w:sz="4" w:space="0" w:color="auto"/>
              <w:left w:val="nil"/>
              <w:bottom w:val="single" w:sz="4" w:space="0" w:color="auto"/>
              <w:right w:val="single" w:sz="4" w:space="0" w:color="auto"/>
            </w:tcBorders>
            <w:shd w:val="clear" w:color="auto" w:fill="auto"/>
            <w:vAlign w:val="center"/>
            <w:hideMark/>
          </w:tcPr>
          <w:p w14:paraId="4F522EB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$3.840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14:paraId="1ED623A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30/01/2019</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18219D7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4/02/2019</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5CA2F77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24/05/2019</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72FC2EC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66</w:t>
            </w:r>
          </w:p>
        </w:tc>
        <w:tc>
          <w:tcPr>
            <w:tcW w:w="297" w:type="pct"/>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4F9C4C82"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24ABAB09" w14:textId="77777777" w:rsidTr="00A20990">
        <w:trPr>
          <w:trHeight w:val="675"/>
          <w:jc w:val="center"/>
        </w:trPr>
        <w:tc>
          <w:tcPr>
            <w:tcW w:w="321" w:type="pct"/>
            <w:vMerge/>
            <w:tcBorders>
              <w:top w:val="single" w:sz="4" w:space="0" w:color="auto"/>
              <w:left w:val="single" w:sz="4" w:space="0" w:color="auto"/>
              <w:bottom w:val="single" w:sz="4" w:space="0" w:color="000000"/>
              <w:right w:val="single" w:sz="4" w:space="0" w:color="auto"/>
            </w:tcBorders>
            <w:vAlign w:val="center"/>
            <w:hideMark/>
          </w:tcPr>
          <w:p w14:paraId="5C066D6F"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7DA11A68"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000000"/>
              <w:right w:val="single" w:sz="4" w:space="0" w:color="auto"/>
            </w:tcBorders>
            <w:vAlign w:val="center"/>
            <w:hideMark/>
          </w:tcPr>
          <w:p w14:paraId="287EF4E1"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2985213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ONCE DOCEAVAS VIGENCIA ACTUAL MAS ULTIMA DOCEAVA VIGENCIA ANTERIOR</w:t>
            </w:r>
          </w:p>
        </w:tc>
        <w:tc>
          <w:tcPr>
            <w:tcW w:w="394" w:type="pct"/>
            <w:tcBorders>
              <w:top w:val="nil"/>
              <w:left w:val="nil"/>
              <w:bottom w:val="single" w:sz="4" w:space="0" w:color="auto"/>
              <w:right w:val="single" w:sz="4" w:space="0" w:color="auto"/>
            </w:tcBorders>
            <w:shd w:val="clear" w:color="auto" w:fill="auto"/>
            <w:vAlign w:val="center"/>
            <w:hideMark/>
          </w:tcPr>
          <w:p w14:paraId="7357639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$952</w:t>
            </w:r>
          </w:p>
        </w:tc>
        <w:tc>
          <w:tcPr>
            <w:tcW w:w="438" w:type="pct"/>
            <w:tcBorders>
              <w:top w:val="nil"/>
              <w:left w:val="nil"/>
              <w:bottom w:val="single" w:sz="4" w:space="0" w:color="auto"/>
              <w:right w:val="single" w:sz="4" w:space="0" w:color="auto"/>
            </w:tcBorders>
            <w:shd w:val="clear" w:color="auto" w:fill="auto"/>
            <w:vAlign w:val="center"/>
            <w:hideMark/>
          </w:tcPr>
          <w:p w14:paraId="7A955FD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30/01/2019</w:t>
            </w:r>
          </w:p>
        </w:tc>
        <w:tc>
          <w:tcPr>
            <w:tcW w:w="389" w:type="pct"/>
            <w:tcBorders>
              <w:top w:val="nil"/>
              <w:left w:val="nil"/>
              <w:bottom w:val="single" w:sz="4" w:space="0" w:color="auto"/>
              <w:right w:val="single" w:sz="4" w:space="0" w:color="auto"/>
            </w:tcBorders>
            <w:shd w:val="clear" w:color="auto" w:fill="auto"/>
            <w:vAlign w:val="center"/>
            <w:hideMark/>
          </w:tcPr>
          <w:p w14:paraId="4F89B06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4/02/2019</w:t>
            </w:r>
          </w:p>
        </w:tc>
        <w:tc>
          <w:tcPr>
            <w:tcW w:w="444" w:type="pct"/>
            <w:tcBorders>
              <w:top w:val="nil"/>
              <w:left w:val="nil"/>
              <w:bottom w:val="single" w:sz="4" w:space="0" w:color="auto"/>
              <w:right w:val="single" w:sz="4" w:space="0" w:color="auto"/>
            </w:tcBorders>
            <w:shd w:val="clear" w:color="auto" w:fill="auto"/>
            <w:vAlign w:val="center"/>
            <w:hideMark/>
          </w:tcPr>
          <w:p w14:paraId="7041A41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24/05/2019</w:t>
            </w:r>
          </w:p>
        </w:tc>
        <w:tc>
          <w:tcPr>
            <w:tcW w:w="368" w:type="pct"/>
            <w:tcBorders>
              <w:top w:val="nil"/>
              <w:left w:val="nil"/>
              <w:bottom w:val="single" w:sz="4" w:space="0" w:color="auto"/>
              <w:right w:val="single" w:sz="4" w:space="0" w:color="auto"/>
            </w:tcBorders>
            <w:shd w:val="clear" w:color="auto" w:fill="auto"/>
            <w:vAlign w:val="center"/>
            <w:hideMark/>
          </w:tcPr>
          <w:p w14:paraId="2141723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66</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14:paraId="66C813C7"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595E1852" w14:textId="77777777" w:rsidTr="00A20990">
        <w:trPr>
          <w:trHeight w:val="900"/>
          <w:jc w:val="center"/>
        </w:trPr>
        <w:tc>
          <w:tcPr>
            <w:tcW w:w="321" w:type="pct"/>
            <w:vMerge/>
            <w:tcBorders>
              <w:top w:val="single" w:sz="4" w:space="0" w:color="auto"/>
              <w:left w:val="single" w:sz="4" w:space="0" w:color="auto"/>
              <w:bottom w:val="single" w:sz="4" w:space="0" w:color="000000"/>
              <w:right w:val="single" w:sz="4" w:space="0" w:color="auto"/>
            </w:tcBorders>
            <w:vAlign w:val="center"/>
            <w:hideMark/>
          </w:tcPr>
          <w:p w14:paraId="68CD47C4"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14:paraId="26471FB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LICITACIÓN PÚBLICA, PRESTACION DE SERVICIOS No. 1198 DE 2019</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14:paraId="11979BF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UNION TEMPORAL PAE VILLAVICENCIO 2019-II - NIT. 901.288.823</w:t>
            </w:r>
          </w:p>
        </w:tc>
        <w:tc>
          <w:tcPr>
            <w:tcW w:w="1191" w:type="pct"/>
            <w:tcBorders>
              <w:top w:val="nil"/>
              <w:left w:val="nil"/>
              <w:bottom w:val="single" w:sz="4" w:space="0" w:color="auto"/>
              <w:right w:val="single" w:sz="4" w:space="0" w:color="auto"/>
            </w:tcBorders>
            <w:shd w:val="clear" w:color="auto" w:fill="auto"/>
            <w:vAlign w:val="center"/>
            <w:hideMark/>
          </w:tcPr>
          <w:p w14:paraId="00467A2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SALDOS NO EJECUTADOS VIGENCIAS ANTERIORES</w:t>
            </w:r>
          </w:p>
        </w:tc>
        <w:tc>
          <w:tcPr>
            <w:tcW w:w="394" w:type="pct"/>
            <w:tcBorders>
              <w:top w:val="nil"/>
              <w:left w:val="nil"/>
              <w:bottom w:val="single" w:sz="4" w:space="0" w:color="auto"/>
              <w:right w:val="single" w:sz="4" w:space="0" w:color="auto"/>
            </w:tcBorders>
            <w:shd w:val="clear" w:color="auto" w:fill="auto"/>
            <w:vAlign w:val="center"/>
            <w:hideMark/>
          </w:tcPr>
          <w:p w14:paraId="2AC982A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$331</w:t>
            </w:r>
          </w:p>
        </w:tc>
        <w:tc>
          <w:tcPr>
            <w:tcW w:w="438" w:type="pct"/>
            <w:tcBorders>
              <w:top w:val="nil"/>
              <w:left w:val="nil"/>
              <w:bottom w:val="single" w:sz="4" w:space="0" w:color="auto"/>
              <w:right w:val="single" w:sz="4" w:space="0" w:color="auto"/>
            </w:tcBorders>
            <w:shd w:val="clear" w:color="auto" w:fill="auto"/>
            <w:vAlign w:val="center"/>
            <w:hideMark/>
          </w:tcPr>
          <w:p w14:paraId="0FA577D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30/05/2019</w:t>
            </w:r>
          </w:p>
        </w:tc>
        <w:tc>
          <w:tcPr>
            <w:tcW w:w="389" w:type="pct"/>
            <w:tcBorders>
              <w:top w:val="nil"/>
              <w:left w:val="nil"/>
              <w:bottom w:val="single" w:sz="4" w:space="0" w:color="auto"/>
              <w:right w:val="single" w:sz="4" w:space="0" w:color="auto"/>
            </w:tcBorders>
            <w:shd w:val="clear" w:color="auto" w:fill="auto"/>
            <w:vAlign w:val="center"/>
            <w:hideMark/>
          </w:tcPr>
          <w:p w14:paraId="59F3460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4/06/2019</w:t>
            </w:r>
          </w:p>
        </w:tc>
        <w:tc>
          <w:tcPr>
            <w:tcW w:w="444" w:type="pct"/>
            <w:tcBorders>
              <w:top w:val="nil"/>
              <w:left w:val="nil"/>
              <w:bottom w:val="single" w:sz="4" w:space="0" w:color="auto"/>
              <w:right w:val="single" w:sz="4" w:space="0" w:color="auto"/>
            </w:tcBorders>
            <w:shd w:val="clear" w:color="auto" w:fill="auto"/>
            <w:vAlign w:val="center"/>
            <w:hideMark/>
          </w:tcPr>
          <w:p w14:paraId="64D33D7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28/11/2019</w:t>
            </w:r>
          </w:p>
        </w:tc>
        <w:tc>
          <w:tcPr>
            <w:tcW w:w="368" w:type="pct"/>
            <w:tcBorders>
              <w:top w:val="nil"/>
              <w:left w:val="nil"/>
              <w:bottom w:val="single" w:sz="4" w:space="0" w:color="auto"/>
              <w:right w:val="single" w:sz="4" w:space="0" w:color="auto"/>
            </w:tcBorders>
            <w:shd w:val="clear" w:color="auto" w:fill="auto"/>
            <w:vAlign w:val="center"/>
            <w:hideMark/>
          </w:tcPr>
          <w:p w14:paraId="16EA92F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97</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14:paraId="4013F9AC"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6CA89609" w14:textId="77777777" w:rsidTr="00A20990">
        <w:trPr>
          <w:trHeight w:val="225"/>
          <w:jc w:val="center"/>
        </w:trPr>
        <w:tc>
          <w:tcPr>
            <w:tcW w:w="321" w:type="pct"/>
            <w:vMerge/>
            <w:tcBorders>
              <w:top w:val="single" w:sz="4" w:space="0" w:color="auto"/>
              <w:left w:val="single" w:sz="4" w:space="0" w:color="auto"/>
              <w:bottom w:val="single" w:sz="4" w:space="0" w:color="000000"/>
              <w:right w:val="single" w:sz="4" w:space="0" w:color="auto"/>
            </w:tcBorders>
            <w:vAlign w:val="center"/>
            <w:hideMark/>
          </w:tcPr>
          <w:p w14:paraId="09D7DDA8"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395F1DAB"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000000"/>
              <w:right w:val="single" w:sz="4" w:space="0" w:color="auto"/>
            </w:tcBorders>
            <w:vAlign w:val="center"/>
            <w:hideMark/>
          </w:tcPr>
          <w:p w14:paraId="11020656"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15B9C33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RENDIMIENTOS FINANCIEROS</w:t>
            </w:r>
          </w:p>
        </w:tc>
        <w:tc>
          <w:tcPr>
            <w:tcW w:w="394" w:type="pct"/>
            <w:tcBorders>
              <w:top w:val="nil"/>
              <w:left w:val="nil"/>
              <w:bottom w:val="single" w:sz="4" w:space="0" w:color="auto"/>
              <w:right w:val="single" w:sz="4" w:space="0" w:color="auto"/>
            </w:tcBorders>
            <w:shd w:val="clear" w:color="auto" w:fill="auto"/>
            <w:vAlign w:val="center"/>
            <w:hideMark/>
          </w:tcPr>
          <w:p w14:paraId="12831B1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$41</w:t>
            </w:r>
          </w:p>
        </w:tc>
        <w:tc>
          <w:tcPr>
            <w:tcW w:w="438" w:type="pct"/>
            <w:tcBorders>
              <w:top w:val="nil"/>
              <w:left w:val="nil"/>
              <w:bottom w:val="single" w:sz="4" w:space="0" w:color="auto"/>
              <w:right w:val="single" w:sz="4" w:space="0" w:color="auto"/>
            </w:tcBorders>
            <w:shd w:val="clear" w:color="auto" w:fill="auto"/>
            <w:vAlign w:val="center"/>
            <w:hideMark/>
          </w:tcPr>
          <w:p w14:paraId="4AB3938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30/05/2019</w:t>
            </w:r>
          </w:p>
        </w:tc>
        <w:tc>
          <w:tcPr>
            <w:tcW w:w="389" w:type="pct"/>
            <w:tcBorders>
              <w:top w:val="nil"/>
              <w:left w:val="nil"/>
              <w:bottom w:val="single" w:sz="4" w:space="0" w:color="auto"/>
              <w:right w:val="single" w:sz="4" w:space="0" w:color="auto"/>
            </w:tcBorders>
            <w:shd w:val="clear" w:color="auto" w:fill="auto"/>
            <w:vAlign w:val="center"/>
            <w:hideMark/>
          </w:tcPr>
          <w:p w14:paraId="662F8F2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4/06/2019</w:t>
            </w:r>
          </w:p>
        </w:tc>
        <w:tc>
          <w:tcPr>
            <w:tcW w:w="444" w:type="pct"/>
            <w:tcBorders>
              <w:top w:val="nil"/>
              <w:left w:val="nil"/>
              <w:bottom w:val="single" w:sz="4" w:space="0" w:color="auto"/>
              <w:right w:val="single" w:sz="4" w:space="0" w:color="auto"/>
            </w:tcBorders>
            <w:shd w:val="clear" w:color="auto" w:fill="auto"/>
            <w:vAlign w:val="center"/>
            <w:hideMark/>
          </w:tcPr>
          <w:p w14:paraId="49931D8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28/11/2019</w:t>
            </w:r>
          </w:p>
        </w:tc>
        <w:tc>
          <w:tcPr>
            <w:tcW w:w="368" w:type="pct"/>
            <w:tcBorders>
              <w:top w:val="nil"/>
              <w:left w:val="nil"/>
              <w:bottom w:val="single" w:sz="4" w:space="0" w:color="auto"/>
              <w:right w:val="single" w:sz="4" w:space="0" w:color="auto"/>
            </w:tcBorders>
            <w:shd w:val="clear" w:color="auto" w:fill="auto"/>
            <w:vAlign w:val="center"/>
            <w:hideMark/>
          </w:tcPr>
          <w:p w14:paraId="2BE0F93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97</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14:paraId="70C5BB1F"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145C7CB2" w14:textId="77777777" w:rsidTr="00A20990">
        <w:trPr>
          <w:trHeight w:val="450"/>
          <w:jc w:val="center"/>
        </w:trPr>
        <w:tc>
          <w:tcPr>
            <w:tcW w:w="321" w:type="pct"/>
            <w:vMerge/>
            <w:tcBorders>
              <w:top w:val="single" w:sz="4" w:space="0" w:color="auto"/>
              <w:left w:val="single" w:sz="4" w:space="0" w:color="auto"/>
              <w:bottom w:val="single" w:sz="4" w:space="0" w:color="000000"/>
              <w:right w:val="single" w:sz="4" w:space="0" w:color="auto"/>
            </w:tcBorders>
            <w:vAlign w:val="center"/>
            <w:hideMark/>
          </w:tcPr>
          <w:p w14:paraId="1A90C830"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3F5CA916"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000000"/>
              <w:right w:val="single" w:sz="4" w:space="0" w:color="auto"/>
            </w:tcBorders>
            <w:vAlign w:val="center"/>
            <w:hideMark/>
          </w:tcPr>
          <w:p w14:paraId="60CF8E0D"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1589797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CONFINANCIACION ALIMENTACIÓN ESCOLAR ARTICULO 145 LEY 1530 DE 2012 - CONPES 151 DE 2012</w:t>
            </w:r>
          </w:p>
        </w:tc>
        <w:tc>
          <w:tcPr>
            <w:tcW w:w="394" w:type="pct"/>
            <w:tcBorders>
              <w:top w:val="nil"/>
              <w:left w:val="nil"/>
              <w:bottom w:val="single" w:sz="4" w:space="0" w:color="auto"/>
              <w:right w:val="single" w:sz="4" w:space="0" w:color="auto"/>
            </w:tcBorders>
            <w:shd w:val="clear" w:color="auto" w:fill="auto"/>
            <w:vAlign w:val="center"/>
            <w:hideMark/>
          </w:tcPr>
          <w:p w14:paraId="5606986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$1.374</w:t>
            </w:r>
          </w:p>
        </w:tc>
        <w:tc>
          <w:tcPr>
            <w:tcW w:w="438" w:type="pct"/>
            <w:tcBorders>
              <w:top w:val="nil"/>
              <w:left w:val="nil"/>
              <w:bottom w:val="single" w:sz="4" w:space="0" w:color="auto"/>
              <w:right w:val="single" w:sz="4" w:space="0" w:color="auto"/>
            </w:tcBorders>
            <w:shd w:val="clear" w:color="auto" w:fill="auto"/>
            <w:vAlign w:val="center"/>
            <w:hideMark/>
          </w:tcPr>
          <w:p w14:paraId="5611D27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30/05/2019</w:t>
            </w:r>
          </w:p>
        </w:tc>
        <w:tc>
          <w:tcPr>
            <w:tcW w:w="389" w:type="pct"/>
            <w:tcBorders>
              <w:top w:val="nil"/>
              <w:left w:val="nil"/>
              <w:bottom w:val="single" w:sz="4" w:space="0" w:color="auto"/>
              <w:right w:val="single" w:sz="4" w:space="0" w:color="auto"/>
            </w:tcBorders>
            <w:shd w:val="clear" w:color="auto" w:fill="auto"/>
            <w:vAlign w:val="center"/>
            <w:hideMark/>
          </w:tcPr>
          <w:p w14:paraId="04C4867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4/06/2019</w:t>
            </w:r>
          </w:p>
        </w:tc>
        <w:tc>
          <w:tcPr>
            <w:tcW w:w="444" w:type="pct"/>
            <w:tcBorders>
              <w:top w:val="nil"/>
              <w:left w:val="nil"/>
              <w:bottom w:val="single" w:sz="4" w:space="0" w:color="auto"/>
              <w:right w:val="single" w:sz="4" w:space="0" w:color="auto"/>
            </w:tcBorders>
            <w:shd w:val="clear" w:color="auto" w:fill="auto"/>
            <w:vAlign w:val="center"/>
            <w:hideMark/>
          </w:tcPr>
          <w:p w14:paraId="0267252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28/11/2019</w:t>
            </w:r>
          </w:p>
        </w:tc>
        <w:tc>
          <w:tcPr>
            <w:tcW w:w="368" w:type="pct"/>
            <w:tcBorders>
              <w:top w:val="nil"/>
              <w:left w:val="nil"/>
              <w:bottom w:val="single" w:sz="4" w:space="0" w:color="auto"/>
              <w:right w:val="single" w:sz="4" w:space="0" w:color="auto"/>
            </w:tcBorders>
            <w:shd w:val="clear" w:color="auto" w:fill="auto"/>
            <w:vAlign w:val="center"/>
            <w:hideMark/>
          </w:tcPr>
          <w:p w14:paraId="4A09EDB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97</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14:paraId="79F05792"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751A936C" w14:textId="77777777" w:rsidTr="00A20990">
        <w:trPr>
          <w:trHeight w:val="450"/>
          <w:jc w:val="center"/>
        </w:trPr>
        <w:tc>
          <w:tcPr>
            <w:tcW w:w="321" w:type="pct"/>
            <w:vMerge/>
            <w:tcBorders>
              <w:top w:val="single" w:sz="4" w:space="0" w:color="auto"/>
              <w:left w:val="single" w:sz="4" w:space="0" w:color="auto"/>
              <w:bottom w:val="single" w:sz="4" w:space="0" w:color="000000"/>
              <w:right w:val="single" w:sz="4" w:space="0" w:color="auto"/>
            </w:tcBorders>
            <w:vAlign w:val="center"/>
            <w:hideMark/>
          </w:tcPr>
          <w:p w14:paraId="3B28677F"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18173AC5"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000000"/>
              <w:right w:val="single" w:sz="4" w:space="0" w:color="auto"/>
            </w:tcBorders>
            <w:vAlign w:val="center"/>
            <w:hideMark/>
          </w:tcPr>
          <w:p w14:paraId="4E3663EB"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17A40BB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TRANSFENCIAS PARA ALIMENTACION ESCOLAR LEY 1450 DE 2011 MEN</w:t>
            </w:r>
          </w:p>
        </w:tc>
        <w:tc>
          <w:tcPr>
            <w:tcW w:w="394" w:type="pct"/>
            <w:tcBorders>
              <w:top w:val="nil"/>
              <w:left w:val="nil"/>
              <w:bottom w:val="single" w:sz="4" w:space="0" w:color="auto"/>
              <w:right w:val="single" w:sz="4" w:space="0" w:color="auto"/>
            </w:tcBorders>
            <w:shd w:val="clear" w:color="auto" w:fill="auto"/>
            <w:vAlign w:val="center"/>
            <w:hideMark/>
          </w:tcPr>
          <w:p w14:paraId="0B62EB3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$2.597</w:t>
            </w:r>
          </w:p>
        </w:tc>
        <w:tc>
          <w:tcPr>
            <w:tcW w:w="438" w:type="pct"/>
            <w:tcBorders>
              <w:top w:val="nil"/>
              <w:left w:val="nil"/>
              <w:bottom w:val="single" w:sz="4" w:space="0" w:color="auto"/>
              <w:right w:val="single" w:sz="4" w:space="0" w:color="auto"/>
            </w:tcBorders>
            <w:shd w:val="clear" w:color="auto" w:fill="auto"/>
            <w:vAlign w:val="center"/>
            <w:hideMark/>
          </w:tcPr>
          <w:p w14:paraId="6CE64E2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30/05/2019</w:t>
            </w:r>
          </w:p>
        </w:tc>
        <w:tc>
          <w:tcPr>
            <w:tcW w:w="389" w:type="pct"/>
            <w:tcBorders>
              <w:top w:val="nil"/>
              <w:left w:val="nil"/>
              <w:bottom w:val="single" w:sz="4" w:space="0" w:color="auto"/>
              <w:right w:val="single" w:sz="4" w:space="0" w:color="auto"/>
            </w:tcBorders>
            <w:shd w:val="clear" w:color="auto" w:fill="auto"/>
            <w:vAlign w:val="center"/>
            <w:hideMark/>
          </w:tcPr>
          <w:p w14:paraId="5A504E2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4/06/2019</w:t>
            </w:r>
          </w:p>
        </w:tc>
        <w:tc>
          <w:tcPr>
            <w:tcW w:w="444" w:type="pct"/>
            <w:tcBorders>
              <w:top w:val="nil"/>
              <w:left w:val="nil"/>
              <w:bottom w:val="single" w:sz="4" w:space="0" w:color="auto"/>
              <w:right w:val="single" w:sz="4" w:space="0" w:color="auto"/>
            </w:tcBorders>
            <w:shd w:val="clear" w:color="auto" w:fill="auto"/>
            <w:vAlign w:val="center"/>
            <w:hideMark/>
          </w:tcPr>
          <w:p w14:paraId="55D4473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28/11/2019</w:t>
            </w:r>
          </w:p>
        </w:tc>
        <w:tc>
          <w:tcPr>
            <w:tcW w:w="368" w:type="pct"/>
            <w:tcBorders>
              <w:top w:val="nil"/>
              <w:left w:val="nil"/>
              <w:bottom w:val="single" w:sz="4" w:space="0" w:color="auto"/>
              <w:right w:val="single" w:sz="4" w:space="0" w:color="auto"/>
            </w:tcBorders>
            <w:shd w:val="clear" w:color="auto" w:fill="auto"/>
            <w:vAlign w:val="center"/>
            <w:hideMark/>
          </w:tcPr>
          <w:p w14:paraId="4BBC5F7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97</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14:paraId="14A766AC"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6D3C01FF" w14:textId="77777777" w:rsidTr="00A20990">
        <w:trPr>
          <w:trHeight w:val="450"/>
          <w:jc w:val="center"/>
        </w:trPr>
        <w:tc>
          <w:tcPr>
            <w:tcW w:w="321" w:type="pct"/>
            <w:vMerge/>
            <w:tcBorders>
              <w:top w:val="single" w:sz="4" w:space="0" w:color="auto"/>
              <w:left w:val="single" w:sz="4" w:space="0" w:color="auto"/>
              <w:bottom w:val="single" w:sz="4" w:space="0" w:color="000000"/>
              <w:right w:val="single" w:sz="4" w:space="0" w:color="auto"/>
            </w:tcBorders>
            <w:vAlign w:val="center"/>
            <w:hideMark/>
          </w:tcPr>
          <w:p w14:paraId="17968641"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04A9345F"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000000"/>
              <w:right w:val="single" w:sz="4" w:space="0" w:color="auto"/>
            </w:tcBorders>
            <w:vAlign w:val="center"/>
            <w:hideMark/>
          </w:tcPr>
          <w:p w14:paraId="6A4AE24C"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55D869E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TRANSFERENCIAS PARA ALIMENTACION ESCOLAR LEY 1450 DE 2011. MEN VIGENCIAS ANTERIORES</w:t>
            </w:r>
          </w:p>
        </w:tc>
        <w:tc>
          <w:tcPr>
            <w:tcW w:w="394" w:type="pct"/>
            <w:tcBorders>
              <w:top w:val="nil"/>
              <w:left w:val="nil"/>
              <w:bottom w:val="single" w:sz="4" w:space="0" w:color="auto"/>
              <w:right w:val="single" w:sz="4" w:space="0" w:color="auto"/>
            </w:tcBorders>
            <w:shd w:val="clear" w:color="auto" w:fill="auto"/>
            <w:vAlign w:val="center"/>
            <w:hideMark/>
          </w:tcPr>
          <w:p w14:paraId="6A62C8A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$2.458</w:t>
            </w:r>
          </w:p>
        </w:tc>
        <w:tc>
          <w:tcPr>
            <w:tcW w:w="438" w:type="pct"/>
            <w:tcBorders>
              <w:top w:val="nil"/>
              <w:left w:val="nil"/>
              <w:bottom w:val="single" w:sz="4" w:space="0" w:color="auto"/>
              <w:right w:val="single" w:sz="4" w:space="0" w:color="auto"/>
            </w:tcBorders>
            <w:shd w:val="clear" w:color="auto" w:fill="auto"/>
            <w:vAlign w:val="center"/>
            <w:hideMark/>
          </w:tcPr>
          <w:p w14:paraId="6AB7DE4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30/05/2019</w:t>
            </w:r>
          </w:p>
        </w:tc>
        <w:tc>
          <w:tcPr>
            <w:tcW w:w="389" w:type="pct"/>
            <w:tcBorders>
              <w:top w:val="nil"/>
              <w:left w:val="nil"/>
              <w:bottom w:val="single" w:sz="4" w:space="0" w:color="auto"/>
              <w:right w:val="single" w:sz="4" w:space="0" w:color="auto"/>
            </w:tcBorders>
            <w:shd w:val="clear" w:color="auto" w:fill="auto"/>
            <w:vAlign w:val="center"/>
            <w:hideMark/>
          </w:tcPr>
          <w:p w14:paraId="2AD6DAB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4/06/2019</w:t>
            </w:r>
          </w:p>
        </w:tc>
        <w:tc>
          <w:tcPr>
            <w:tcW w:w="444" w:type="pct"/>
            <w:tcBorders>
              <w:top w:val="nil"/>
              <w:left w:val="nil"/>
              <w:bottom w:val="single" w:sz="4" w:space="0" w:color="auto"/>
              <w:right w:val="single" w:sz="4" w:space="0" w:color="auto"/>
            </w:tcBorders>
            <w:shd w:val="clear" w:color="auto" w:fill="auto"/>
            <w:vAlign w:val="center"/>
            <w:hideMark/>
          </w:tcPr>
          <w:p w14:paraId="0F91ED5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28/11/2019</w:t>
            </w:r>
          </w:p>
        </w:tc>
        <w:tc>
          <w:tcPr>
            <w:tcW w:w="368" w:type="pct"/>
            <w:tcBorders>
              <w:top w:val="nil"/>
              <w:left w:val="nil"/>
              <w:bottom w:val="single" w:sz="4" w:space="0" w:color="auto"/>
              <w:right w:val="single" w:sz="4" w:space="0" w:color="auto"/>
            </w:tcBorders>
            <w:shd w:val="clear" w:color="auto" w:fill="auto"/>
            <w:vAlign w:val="center"/>
            <w:hideMark/>
          </w:tcPr>
          <w:p w14:paraId="6C4BA97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97</w:t>
            </w:r>
          </w:p>
        </w:tc>
        <w:tc>
          <w:tcPr>
            <w:tcW w:w="297" w:type="pct"/>
            <w:vMerge/>
            <w:tcBorders>
              <w:top w:val="single" w:sz="4" w:space="0" w:color="auto"/>
              <w:left w:val="single" w:sz="4" w:space="0" w:color="auto"/>
              <w:bottom w:val="single" w:sz="4" w:space="0" w:color="000000"/>
              <w:right w:val="single" w:sz="4" w:space="0" w:color="auto"/>
            </w:tcBorders>
            <w:vAlign w:val="center"/>
            <w:hideMark/>
          </w:tcPr>
          <w:p w14:paraId="2DB0A879"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6A4606EE" w14:textId="77777777" w:rsidTr="00A20990">
        <w:trPr>
          <w:trHeight w:val="450"/>
          <w:jc w:val="center"/>
        </w:trPr>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14:paraId="32257DE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2020</w:t>
            </w: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14:paraId="635B36D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LICITACIÓN PÚBLICA, PRESTACION DE SERVICIOS No. 049 DE 2020</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3D52E97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UNIÓN TEMPORAL PAE PARA VILLAVICENCIO 2020 NIT. 901.364.060</w:t>
            </w:r>
          </w:p>
        </w:tc>
        <w:tc>
          <w:tcPr>
            <w:tcW w:w="1191" w:type="pct"/>
            <w:tcBorders>
              <w:top w:val="nil"/>
              <w:left w:val="nil"/>
              <w:bottom w:val="single" w:sz="4" w:space="0" w:color="auto"/>
              <w:right w:val="single" w:sz="4" w:space="0" w:color="auto"/>
            </w:tcBorders>
            <w:shd w:val="clear" w:color="auto" w:fill="auto"/>
            <w:vAlign w:val="center"/>
            <w:hideMark/>
          </w:tcPr>
          <w:p w14:paraId="30D31F2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TRANSFENCIAS PARA ALIMENTACION ESCOLAR LEY 1450 DE 2011 MEN</w:t>
            </w:r>
          </w:p>
        </w:tc>
        <w:tc>
          <w:tcPr>
            <w:tcW w:w="394" w:type="pct"/>
            <w:tcBorders>
              <w:top w:val="nil"/>
              <w:left w:val="nil"/>
              <w:bottom w:val="single" w:sz="4" w:space="0" w:color="auto"/>
              <w:right w:val="single" w:sz="4" w:space="0" w:color="auto"/>
            </w:tcBorders>
            <w:shd w:val="clear" w:color="auto" w:fill="auto"/>
            <w:vAlign w:val="center"/>
            <w:hideMark/>
          </w:tcPr>
          <w:p w14:paraId="2E5FA38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$5.391</w:t>
            </w:r>
          </w:p>
        </w:tc>
        <w:tc>
          <w:tcPr>
            <w:tcW w:w="438" w:type="pct"/>
            <w:tcBorders>
              <w:top w:val="nil"/>
              <w:left w:val="nil"/>
              <w:bottom w:val="single" w:sz="4" w:space="0" w:color="auto"/>
              <w:right w:val="single" w:sz="4" w:space="0" w:color="auto"/>
            </w:tcBorders>
            <w:shd w:val="clear" w:color="auto" w:fill="auto"/>
            <w:vAlign w:val="center"/>
            <w:hideMark/>
          </w:tcPr>
          <w:p w14:paraId="2610D23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7/02/2020</w:t>
            </w:r>
          </w:p>
        </w:tc>
        <w:tc>
          <w:tcPr>
            <w:tcW w:w="389" w:type="pct"/>
            <w:tcBorders>
              <w:top w:val="nil"/>
              <w:left w:val="nil"/>
              <w:bottom w:val="single" w:sz="4" w:space="0" w:color="auto"/>
              <w:right w:val="single" w:sz="4" w:space="0" w:color="auto"/>
            </w:tcBorders>
            <w:shd w:val="clear" w:color="auto" w:fill="auto"/>
            <w:vAlign w:val="center"/>
            <w:hideMark/>
          </w:tcPr>
          <w:p w14:paraId="6E5CC0C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17/02/2020</w:t>
            </w:r>
          </w:p>
        </w:tc>
        <w:tc>
          <w:tcPr>
            <w:tcW w:w="444" w:type="pct"/>
            <w:tcBorders>
              <w:top w:val="nil"/>
              <w:left w:val="nil"/>
              <w:bottom w:val="single" w:sz="4" w:space="0" w:color="auto"/>
              <w:right w:val="single" w:sz="4" w:space="0" w:color="auto"/>
            </w:tcBorders>
            <w:shd w:val="clear" w:color="auto" w:fill="auto"/>
            <w:vAlign w:val="center"/>
            <w:hideMark/>
          </w:tcPr>
          <w:p w14:paraId="775D3CE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22/07/2020</w:t>
            </w:r>
          </w:p>
        </w:tc>
        <w:tc>
          <w:tcPr>
            <w:tcW w:w="368" w:type="pct"/>
            <w:tcBorders>
              <w:top w:val="nil"/>
              <w:left w:val="nil"/>
              <w:bottom w:val="single" w:sz="4" w:space="0" w:color="auto"/>
              <w:right w:val="single" w:sz="4" w:space="0" w:color="auto"/>
            </w:tcBorders>
            <w:shd w:val="clear" w:color="auto" w:fill="auto"/>
            <w:vAlign w:val="center"/>
            <w:hideMark/>
          </w:tcPr>
          <w:p w14:paraId="4EF57DC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18</w:t>
            </w:r>
          </w:p>
        </w:tc>
        <w:tc>
          <w:tcPr>
            <w:tcW w:w="297" w:type="pct"/>
            <w:vMerge w:val="restart"/>
            <w:tcBorders>
              <w:top w:val="nil"/>
              <w:left w:val="single" w:sz="4" w:space="0" w:color="auto"/>
              <w:bottom w:val="single" w:sz="4" w:space="0" w:color="auto"/>
              <w:right w:val="single" w:sz="4" w:space="0" w:color="auto"/>
            </w:tcBorders>
            <w:shd w:val="clear" w:color="000000" w:fill="E7E6E6"/>
            <w:vAlign w:val="center"/>
            <w:hideMark/>
          </w:tcPr>
          <w:p w14:paraId="3AE7D0E7"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6112D9D8"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1B84D093"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51425165"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78398028"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50F6710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ONCE DOCEAVAS VIGENCIA ACTUAL MAS ULTIMA DOCEAVA VIGENCIA ANTERIOR</w:t>
            </w:r>
          </w:p>
        </w:tc>
        <w:tc>
          <w:tcPr>
            <w:tcW w:w="394" w:type="pct"/>
            <w:tcBorders>
              <w:top w:val="nil"/>
              <w:left w:val="nil"/>
              <w:bottom w:val="single" w:sz="4" w:space="0" w:color="auto"/>
              <w:right w:val="single" w:sz="4" w:space="0" w:color="auto"/>
            </w:tcBorders>
            <w:shd w:val="clear" w:color="auto" w:fill="auto"/>
            <w:vAlign w:val="center"/>
            <w:hideMark/>
          </w:tcPr>
          <w:p w14:paraId="195ABBA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$1.019</w:t>
            </w:r>
          </w:p>
        </w:tc>
        <w:tc>
          <w:tcPr>
            <w:tcW w:w="438" w:type="pct"/>
            <w:tcBorders>
              <w:top w:val="nil"/>
              <w:left w:val="nil"/>
              <w:bottom w:val="single" w:sz="4" w:space="0" w:color="auto"/>
              <w:right w:val="single" w:sz="4" w:space="0" w:color="auto"/>
            </w:tcBorders>
            <w:shd w:val="clear" w:color="auto" w:fill="auto"/>
            <w:vAlign w:val="center"/>
            <w:hideMark/>
          </w:tcPr>
          <w:p w14:paraId="48DD287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7/02/2020</w:t>
            </w:r>
          </w:p>
        </w:tc>
        <w:tc>
          <w:tcPr>
            <w:tcW w:w="389" w:type="pct"/>
            <w:tcBorders>
              <w:top w:val="nil"/>
              <w:left w:val="nil"/>
              <w:bottom w:val="single" w:sz="4" w:space="0" w:color="auto"/>
              <w:right w:val="single" w:sz="4" w:space="0" w:color="auto"/>
            </w:tcBorders>
            <w:shd w:val="clear" w:color="auto" w:fill="auto"/>
            <w:vAlign w:val="center"/>
            <w:hideMark/>
          </w:tcPr>
          <w:p w14:paraId="6767402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17/02/2020</w:t>
            </w:r>
          </w:p>
        </w:tc>
        <w:tc>
          <w:tcPr>
            <w:tcW w:w="444" w:type="pct"/>
            <w:tcBorders>
              <w:top w:val="nil"/>
              <w:left w:val="nil"/>
              <w:bottom w:val="single" w:sz="4" w:space="0" w:color="auto"/>
              <w:right w:val="single" w:sz="4" w:space="0" w:color="auto"/>
            </w:tcBorders>
            <w:shd w:val="clear" w:color="auto" w:fill="auto"/>
            <w:vAlign w:val="center"/>
            <w:hideMark/>
          </w:tcPr>
          <w:p w14:paraId="7F1575A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22/07/2020</w:t>
            </w:r>
          </w:p>
        </w:tc>
        <w:tc>
          <w:tcPr>
            <w:tcW w:w="368" w:type="pct"/>
            <w:tcBorders>
              <w:top w:val="nil"/>
              <w:left w:val="nil"/>
              <w:bottom w:val="single" w:sz="4" w:space="0" w:color="auto"/>
              <w:right w:val="single" w:sz="4" w:space="0" w:color="auto"/>
            </w:tcBorders>
            <w:shd w:val="clear" w:color="auto" w:fill="auto"/>
            <w:vAlign w:val="center"/>
            <w:hideMark/>
          </w:tcPr>
          <w:p w14:paraId="754F852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18</w:t>
            </w:r>
          </w:p>
        </w:tc>
        <w:tc>
          <w:tcPr>
            <w:tcW w:w="297" w:type="pct"/>
            <w:vMerge/>
            <w:tcBorders>
              <w:top w:val="nil"/>
              <w:left w:val="single" w:sz="4" w:space="0" w:color="auto"/>
              <w:bottom w:val="single" w:sz="4" w:space="0" w:color="auto"/>
              <w:right w:val="single" w:sz="4" w:space="0" w:color="auto"/>
            </w:tcBorders>
            <w:vAlign w:val="center"/>
            <w:hideMark/>
          </w:tcPr>
          <w:p w14:paraId="06B4CC6B"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5334E799"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2B3C1D6B"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3C416591"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33E24165"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09F391B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CONFINANCIACION ALIMENTACIÓN ESCOLAR ARTICULO 145 LEY 1530 DE 2012 - CONPES 151 DE 2012</w:t>
            </w:r>
          </w:p>
        </w:tc>
        <w:tc>
          <w:tcPr>
            <w:tcW w:w="394" w:type="pct"/>
            <w:tcBorders>
              <w:top w:val="nil"/>
              <w:left w:val="nil"/>
              <w:bottom w:val="single" w:sz="4" w:space="0" w:color="auto"/>
              <w:right w:val="single" w:sz="4" w:space="0" w:color="auto"/>
            </w:tcBorders>
            <w:shd w:val="clear" w:color="auto" w:fill="auto"/>
            <w:vAlign w:val="center"/>
            <w:hideMark/>
          </w:tcPr>
          <w:p w14:paraId="602AD58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$600</w:t>
            </w:r>
          </w:p>
        </w:tc>
        <w:tc>
          <w:tcPr>
            <w:tcW w:w="438" w:type="pct"/>
            <w:tcBorders>
              <w:top w:val="nil"/>
              <w:left w:val="nil"/>
              <w:bottom w:val="single" w:sz="4" w:space="0" w:color="auto"/>
              <w:right w:val="single" w:sz="4" w:space="0" w:color="auto"/>
            </w:tcBorders>
            <w:shd w:val="clear" w:color="auto" w:fill="auto"/>
            <w:vAlign w:val="center"/>
            <w:hideMark/>
          </w:tcPr>
          <w:p w14:paraId="664E7C0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7/02/2020</w:t>
            </w:r>
          </w:p>
        </w:tc>
        <w:tc>
          <w:tcPr>
            <w:tcW w:w="389" w:type="pct"/>
            <w:tcBorders>
              <w:top w:val="nil"/>
              <w:left w:val="nil"/>
              <w:bottom w:val="single" w:sz="4" w:space="0" w:color="auto"/>
              <w:right w:val="single" w:sz="4" w:space="0" w:color="auto"/>
            </w:tcBorders>
            <w:shd w:val="clear" w:color="auto" w:fill="auto"/>
            <w:vAlign w:val="center"/>
            <w:hideMark/>
          </w:tcPr>
          <w:p w14:paraId="6BF8E62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17/02/2020</w:t>
            </w:r>
          </w:p>
        </w:tc>
        <w:tc>
          <w:tcPr>
            <w:tcW w:w="444" w:type="pct"/>
            <w:tcBorders>
              <w:top w:val="nil"/>
              <w:left w:val="nil"/>
              <w:bottom w:val="single" w:sz="4" w:space="0" w:color="auto"/>
              <w:right w:val="single" w:sz="4" w:space="0" w:color="auto"/>
            </w:tcBorders>
            <w:shd w:val="clear" w:color="auto" w:fill="auto"/>
            <w:vAlign w:val="center"/>
            <w:hideMark/>
          </w:tcPr>
          <w:p w14:paraId="46A2E05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22/07/2020</w:t>
            </w:r>
          </w:p>
        </w:tc>
        <w:tc>
          <w:tcPr>
            <w:tcW w:w="368" w:type="pct"/>
            <w:tcBorders>
              <w:top w:val="nil"/>
              <w:left w:val="nil"/>
              <w:bottom w:val="single" w:sz="4" w:space="0" w:color="auto"/>
              <w:right w:val="single" w:sz="4" w:space="0" w:color="auto"/>
            </w:tcBorders>
            <w:shd w:val="clear" w:color="auto" w:fill="auto"/>
            <w:vAlign w:val="center"/>
            <w:hideMark/>
          </w:tcPr>
          <w:p w14:paraId="7185C9B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18</w:t>
            </w:r>
          </w:p>
        </w:tc>
        <w:tc>
          <w:tcPr>
            <w:tcW w:w="297" w:type="pct"/>
            <w:vMerge/>
            <w:tcBorders>
              <w:top w:val="nil"/>
              <w:left w:val="single" w:sz="4" w:space="0" w:color="auto"/>
              <w:bottom w:val="single" w:sz="4" w:space="0" w:color="auto"/>
              <w:right w:val="single" w:sz="4" w:space="0" w:color="auto"/>
            </w:tcBorders>
            <w:vAlign w:val="center"/>
            <w:hideMark/>
          </w:tcPr>
          <w:p w14:paraId="34985656"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41BB860D"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2FA5C7ED"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14:paraId="05F3A5C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LICITACIÓN PÚBLICA, PRESTACION DE SERVICIOS No. AD1 049 DE 2020</w:t>
            </w:r>
          </w:p>
        </w:tc>
        <w:tc>
          <w:tcPr>
            <w:tcW w:w="471" w:type="pct"/>
            <w:vMerge/>
            <w:tcBorders>
              <w:top w:val="nil"/>
              <w:left w:val="single" w:sz="4" w:space="0" w:color="auto"/>
              <w:bottom w:val="single" w:sz="4" w:space="0" w:color="auto"/>
              <w:right w:val="single" w:sz="4" w:space="0" w:color="auto"/>
            </w:tcBorders>
            <w:vAlign w:val="center"/>
            <w:hideMark/>
          </w:tcPr>
          <w:p w14:paraId="6F2C164A"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096001E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CONFINANCIACION ALIMENTACIÓN ESCOLAR ARTICULO 145 LEY 1530 DE 2012 - CONPES 151 DE 2012</w:t>
            </w:r>
          </w:p>
        </w:tc>
        <w:tc>
          <w:tcPr>
            <w:tcW w:w="394" w:type="pct"/>
            <w:tcBorders>
              <w:top w:val="nil"/>
              <w:left w:val="nil"/>
              <w:bottom w:val="single" w:sz="4" w:space="0" w:color="auto"/>
              <w:right w:val="single" w:sz="4" w:space="0" w:color="auto"/>
            </w:tcBorders>
            <w:shd w:val="clear" w:color="auto" w:fill="auto"/>
            <w:vAlign w:val="center"/>
            <w:hideMark/>
          </w:tcPr>
          <w:p w14:paraId="4335DFD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$93</w:t>
            </w:r>
          </w:p>
        </w:tc>
        <w:tc>
          <w:tcPr>
            <w:tcW w:w="438" w:type="pct"/>
            <w:tcBorders>
              <w:top w:val="nil"/>
              <w:left w:val="nil"/>
              <w:bottom w:val="single" w:sz="4" w:space="0" w:color="auto"/>
              <w:right w:val="single" w:sz="4" w:space="0" w:color="auto"/>
            </w:tcBorders>
            <w:shd w:val="clear" w:color="auto" w:fill="auto"/>
            <w:vAlign w:val="center"/>
            <w:hideMark/>
          </w:tcPr>
          <w:p w14:paraId="04D9550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9/06/2020</w:t>
            </w:r>
          </w:p>
        </w:tc>
        <w:tc>
          <w:tcPr>
            <w:tcW w:w="389" w:type="pct"/>
            <w:tcBorders>
              <w:top w:val="nil"/>
              <w:left w:val="nil"/>
              <w:bottom w:val="single" w:sz="4" w:space="0" w:color="auto"/>
              <w:right w:val="single" w:sz="4" w:space="0" w:color="auto"/>
            </w:tcBorders>
            <w:shd w:val="clear" w:color="auto" w:fill="auto"/>
            <w:vAlign w:val="center"/>
            <w:hideMark/>
          </w:tcPr>
          <w:p w14:paraId="209F0B0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30/07/2020</w:t>
            </w:r>
          </w:p>
        </w:tc>
        <w:tc>
          <w:tcPr>
            <w:tcW w:w="444" w:type="pct"/>
            <w:tcBorders>
              <w:top w:val="nil"/>
              <w:left w:val="nil"/>
              <w:bottom w:val="single" w:sz="4" w:space="0" w:color="auto"/>
              <w:right w:val="single" w:sz="4" w:space="0" w:color="auto"/>
            </w:tcBorders>
            <w:shd w:val="clear" w:color="auto" w:fill="auto"/>
            <w:vAlign w:val="center"/>
            <w:hideMark/>
          </w:tcPr>
          <w:p w14:paraId="1076516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28/08/2020</w:t>
            </w:r>
          </w:p>
        </w:tc>
        <w:tc>
          <w:tcPr>
            <w:tcW w:w="368" w:type="pct"/>
            <w:tcBorders>
              <w:top w:val="nil"/>
              <w:left w:val="nil"/>
              <w:bottom w:val="single" w:sz="4" w:space="0" w:color="auto"/>
              <w:right w:val="single" w:sz="4" w:space="0" w:color="auto"/>
            </w:tcBorders>
            <w:shd w:val="clear" w:color="auto" w:fill="auto"/>
            <w:vAlign w:val="center"/>
            <w:hideMark/>
          </w:tcPr>
          <w:p w14:paraId="261D91B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w:t>
            </w:r>
          </w:p>
        </w:tc>
        <w:tc>
          <w:tcPr>
            <w:tcW w:w="297" w:type="pct"/>
            <w:vMerge/>
            <w:tcBorders>
              <w:top w:val="nil"/>
              <w:left w:val="single" w:sz="4" w:space="0" w:color="auto"/>
              <w:bottom w:val="single" w:sz="4" w:space="0" w:color="auto"/>
              <w:right w:val="single" w:sz="4" w:space="0" w:color="auto"/>
            </w:tcBorders>
            <w:vAlign w:val="center"/>
            <w:hideMark/>
          </w:tcPr>
          <w:p w14:paraId="576B12C2"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6A0914AF" w14:textId="77777777" w:rsidTr="00A20990">
        <w:trPr>
          <w:trHeight w:val="225"/>
          <w:jc w:val="center"/>
        </w:trPr>
        <w:tc>
          <w:tcPr>
            <w:tcW w:w="321" w:type="pct"/>
            <w:vMerge/>
            <w:tcBorders>
              <w:top w:val="nil"/>
              <w:left w:val="single" w:sz="4" w:space="0" w:color="auto"/>
              <w:bottom w:val="single" w:sz="4" w:space="0" w:color="auto"/>
              <w:right w:val="single" w:sz="4" w:space="0" w:color="auto"/>
            </w:tcBorders>
            <w:vAlign w:val="center"/>
            <w:hideMark/>
          </w:tcPr>
          <w:p w14:paraId="521277F0"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29901C83"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18A29DC4"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318B2951"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EDUCACION CALIDAD DOCE DOCEAVAS VIGENCIA ACTUAL</w:t>
            </w:r>
          </w:p>
        </w:tc>
        <w:tc>
          <w:tcPr>
            <w:tcW w:w="394" w:type="pct"/>
            <w:tcBorders>
              <w:top w:val="nil"/>
              <w:left w:val="nil"/>
              <w:bottom w:val="single" w:sz="4" w:space="0" w:color="auto"/>
              <w:right w:val="single" w:sz="4" w:space="0" w:color="auto"/>
            </w:tcBorders>
            <w:shd w:val="clear" w:color="auto" w:fill="auto"/>
            <w:vAlign w:val="center"/>
            <w:hideMark/>
          </w:tcPr>
          <w:p w14:paraId="42BCDC5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$708</w:t>
            </w:r>
          </w:p>
        </w:tc>
        <w:tc>
          <w:tcPr>
            <w:tcW w:w="438" w:type="pct"/>
            <w:tcBorders>
              <w:top w:val="nil"/>
              <w:left w:val="nil"/>
              <w:bottom w:val="single" w:sz="4" w:space="0" w:color="auto"/>
              <w:right w:val="single" w:sz="4" w:space="0" w:color="auto"/>
            </w:tcBorders>
            <w:shd w:val="clear" w:color="auto" w:fill="auto"/>
            <w:vAlign w:val="center"/>
            <w:hideMark/>
          </w:tcPr>
          <w:p w14:paraId="625E069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9/06/2020</w:t>
            </w:r>
          </w:p>
        </w:tc>
        <w:tc>
          <w:tcPr>
            <w:tcW w:w="389" w:type="pct"/>
            <w:tcBorders>
              <w:top w:val="nil"/>
              <w:left w:val="nil"/>
              <w:bottom w:val="single" w:sz="4" w:space="0" w:color="auto"/>
              <w:right w:val="single" w:sz="4" w:space="0" w:color="auto"/>
            </w:tcBorders>
            <w:shd w:val="clear" w:color="auto" w:fill="auto"/>
            <w:vAlign w:val="center"/>
            <w:hideMark/>
          </w:tcPr>
          <w:p w14:paraId="4C2FBAE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30/07/2020</w:t>
            </w:r>
          </w:p>
        </w:tc>
        <w:tc>
          <w:tcPr>
            <w:tcW w:w="444" w:type="pct"/>
            <w:tcBorders>
              <w:top w:val="nil"/>
              <w:left w:val="nil"/>
              <w:bottom w:val="single" w:sz="4" w:space="0" w:color="auto"/>
              <w:right w:val="single" w:sz="4" w:space="0" w:color="auto"/>
            </w:tcBorders>
            <w:shd w:val="clear" w:color="auto" w:fill="auto"/>
            <w:vAlign w:val="center"/>
            <w:hideMark/>
          </w:tcPr>
          <w:p w14:paraId="5E2206E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28/08/2020</w:t>
            </w:r>
          </w:p>
        </w:tc>
        <w:tc>
          <w:tcPr>
            <w:tcW w:w="368" w:type="pct"/>
            <w:tcBorders>
              <w:top w:val="nil"/>
              <w:left w:val="nil"/>
              <w:bottom w:val="single" w:sz="4" w:space="0" w:color="auto"/>
              <w:right w:val="single" w:sz="4" w:space="0" w:color="auto"/>
            </w:tcBorders>
            <w:shd w:val="clear" w:color="auto" w:fill="auto"/>
            <w:vAlign w:val="center"/>
            <w:hideMark/>
          </w:tcPr>
          <w:p w14:paraId="5A6FEE1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w:t>
            </w:r>
          </w:p>
        </w:tc>
        <w:tc>
          <w:tcPr>
            <w:tcW w:w="297" w:type="pct"/>
            <w:vMerge/>
            <w:tcBorders>
              <w:top w:val="nil"/>
              <w:left w:val="single" w:sz="4" w:space="0" w:color="auto"/>
              <w:bottom w:val="single" w:sz="4" w:space="0" w:color="auto"/>
              <w:right w:val="single" w:sz="4" w:space="0" w:color="auto"/>
            </w:tcBorders>
            <w:vAlign w:val="center"/>
            <w:hideMark/>
          </w:tcPr>
          <w:p w14:paraId="130CB85A"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2A960BF0"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796B5C0E"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26B7872A"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69C91652"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626A2D3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ONCE DOCEAVAS VIGENCIA ACTUAL MAS ULTIMA DOCEAVA VIGENCIA ANTERIOR</w:t>
            </w:r>
          </w:p>
        </w:tc>
        <w:tc>
          <w:tcPr>
            <w:tcW w:w="394" w:type="pct"/>
            <w:tcBorders>
              <w:top w:val="nil"/>
              <w:left w:val="nil"/>
              <w:bottom w:val="single" w:sz="4" w:space="0" w:color="auto"/>
              <w:right w:val="single" w:sz="4" w:space="0" w:color="auto"/>
            </w:tcBorders>
            <w:shd w:val="clear" w:color="auto" w:fill="auto"/>
            <w:vAlign w:val="center"/>
            <w:hideMark/>
          </w:tcPr>
          <w:p w14:paraId="1E567B1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$8</w:t>
            </w:r>
          </w:p>
        </w:tc>
        <w:tc>
          <w:tcPr>
            <w:tcW w:w="438" w:type="pct"/>
            <w:tcBorders>
              <w:top w:val="nil"/>
              <w:left w:val="nil"/>
              <w:bottom w:val="single" w:sz="4" w:space="0" w:color="auto"/>
              <w:right w:val="single" w:sz="4" w:space="0" w:color="auto"/>
            </w:tcBorders>
            <w:shd w:val="clear" w:color="auto" w:fill="auto"/>
            <w:vAlign w:val="center"/>
            <w:hideMark/>
          </w:tcPr>
          <w:p w14:paraId="76BDEE5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9/06/2020</w:t>
            </w:r>
          </w:p>
        </w:tc>
        <w:tc>
          <w:tcPr>
            <w:tcW w:w="389" w:type="pct"/>
            <w:tcBorders>
              <w:top w:val="nil"/>
              <w:left w:val="nil"/>
              <w:bottom w:val="single" w:sz="4" w:space="0" w:color="auto"/>
              <w:right w:val="single" w:sz="4" w:space="0" w:color="auto"/>
            </w:tcBorders>
            <w:shd w:val="clear" w:color="auto" w:fill="auto"/>
            <w:vAlign w:val="center"/>
            <w:hideMark/>
          </w:tcPr>
          <w:p w14:paraId="6F6D3B2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30/07/2020</w:t>
            </w:r>
          </w:p>
        </w:tc>
        <w:tc>
          <w:tcPr>
            <w:tcW w:w="444" w:type="pct"/>
            <w:tcBorders>
              <w:top w:val="nil"/>
              <w:left w:val="nil"/>
              <w:bottom w:val="single" w:sz="4" w:space="0" w:color="auto"/>
              <w:right w:val="single" w:sz="4" w:space="0" w:color="auto"/>
            </w:tcBorders>
            <w:shd w:val="clear" w:color="auto" w:fill="auto"/>
            <w:vAlign w:val="center"/>
            <w:hideMark/>
          </w:tcPr>
          <w:p w14:paraId="4C83F06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28/08/2020</w:t>
            </w:r>
          </w:p>
        </w:tc>
        <w:tc>
          <w:tcPr>
            <w:tcW w:w="368" w:type="pct"/>
            <w:tcBorders>
              <w:top w:val="nil"/>
              <w:left w:val="nil"/>
              <w:bottom w:val="single" w:sz="4" w:space="0" w:color="auto"/>
              <w:right w:val="single" w:sz="4" w:space="0" w:color="auto"/>
            </w:tcBorders>
            <w:shd w:val="clear" w:color="auto" w:fill="auto"/>
            <w:vAlign w:val="center"/>
            <w:hideMark/>
          </w:tcPr>
          <w:p w14:paraId="7CAAB57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w:t>
            </w:r>
          </w:p>
        </w:tc>
        <w:tc>
          <w:tcPr>
            <w:tcW w:w="297" w:type="pct"/>
            <w:vMerge/>
            <w:tcBorders>
              <w:top w:val="nil"/>
              <w:left w:val="single" w:sz="4" w:space="0" w:color="auto"/>
              <w:bottom w:val="single" w:sz="4" w:space="0" w:color="auto"/>
              <w:right w:val="single" w:sz="4" w:space="0" w:color="auto"/>
            </w:tcBorders>
            <w:vAlign w:val="center"/>
            <w:hideMark/>
          </w:tcPr>
          <w:p w14:paraId="3C01C2AC"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23049D6F"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5954CCA7"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253C1409"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0CD9704B"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0CB5AA9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TRANSFENCIAS PARA ALIMENTACION ESCOLAR LEY 1450 DE 2011 MEN</w:t>
            </w:r>
          </w:p>
        </w:tc>
        <w:tc>
          <w:tcPr>
            <w:tcW w:w="394" w:type="pct"/>
            <w:tcBorders>
              <w:top w:val="nil"/>
              <w:left w:val="nil"/>
              <w:bottom w:val="single" w:sz="4" w:space="0" w:color="auto"/>
              <w:right w:val="single" w:sz="4" w:space="0" w:color="auto"/>
            </w:tcBorders>
            <w:shd w:val="clear" w:color="auto" w:fill="auto"/>
            <w:vAlign w:val="center"/>
            <w:hideMark/>
          </w:tcPr>
          <w:p w14:paraId="305F19C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$186</w:t>
            </w:r>
          </w:p>
        </w:tc>
        <w:tc>
          <w:tcPr>
            <w:tcW w:w="438" w:type="pct"/>
            <w:tcBorders>
              <w:top w:val="nil"/>
              <w:left w:val="nil"/>
              <w:bottom w:val="single" w:sz="4" w:space="0" w:color="auto"/>
              <w:right w:val="single" w:sz="4" w:space="0" w:color="auto"/>
            </w:tcBorders>
            <w:shd w:val="clear" w:color="auto" w:fill="auto"/>
            <w:vAlign w:val="center"/>
            <w:hideMark/>
          </w:tcPr>
          <w:p w14:paraId="4B6DECB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9/06/2020</w:t>
            </w:r>
          </w:p>
        </w:tc>
        <w:tc>
          <w:tcPr>
            <w:tcW w:w="389" w:type="pct"/>
            <w:tcBorders>
              <w:top w:val="nil"/>
              <w:left w:val="nil"/>
              <w:bottom w:val="single" w:sz="4" w:space="0" w:color="auto"/>
              <w:right w:val="single" w:sz="4" w:space="0" w:color="auto"/>
            </w:tcBorders>
            <w:shd w:val="clear" w:color="auto" w:fill="auto"/>
            <w:vAlign w:val="center"/>
            <w:hideMark/>
          </w:tcPr>
          <w:p w14:paraId="531E41F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30/07/2020</w:t>
            </w:r>
          </w:p>
        </w:tc>
        <w:tc>
          <w:tcPr>
            <w:tcW w:w="444" w:type="pct"/>
            <w:tcBorders>
              <w:top w:val="nil"/>
              <w:left w:val="nil"/>
              <w:bottom w:val="single" w:sz="4" w:space="0" w:color="auto"/>
              <w:right w:val="single" w:sz="4" w:space="0" w:color="auto"/>
            </w:tcBorders>
            <w:shd w:val="clear" w:color="auto" w:fill="auto"/>
            <w:vAlign w:val="center"/>
            <w:hideMark/>
          </w:tcPr>
          <w:p w14:paraId="4AD6017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28/08/2020</w:t>
            </w:r>
          </w:p>
        </w:tc>
        <w:tc>
          <w:tcPr>
            <w:tcW w:w="368" w:type="pct"/>
            <w:tcBorders>
              <w:top w:val="nil"/>
              <w:left w:val="nil"/>
              <w:bottom w:val="single" w:sz="4" w:space="0" w:color="auto"/>
              <w:right w:val="single" w:sz="4" w:space="0" w:color="auto"/>
            </w:tcBorders>
            <w:shd w:val="clear" w:color="auto" w:fill="auto"/>
            <w:vAlign w:val="center"/>
            <w:hideMark/>
          </w:tcPr>
          <w:p w14:paraId="0F021BE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w:t>
            </w:r>
          </w:p>
        </w:tc>
        <w:tc>
          <w:tcPr>
            <w:tcW w:w="297" w:type="pct"/>
            <w:vMerge/>
            <w:tcBorders>
              <w:top w:val="nil"/>
              <w:left w:val="single" w:sz="4" w:space="0" w:color="auto"/>
              <w:bottom w:val="single" w:sz="4" w:space="0" w:color="auto"/>
              <w:right w:val="single" w:sz="4" w:space="0" w:color="auto"/>
            </w:tcBorders>
            <w:vAlign w:val="center"/>
            <w:hideMark/>
          </w:tcPr>
          <w:p w14:paraId="5EF61EB3"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47547A9B" w14:textId="77777777" w:rsidTr="00A20990">
        <w:trPr>
          <w:trHeight w:val="225"/>
          <w:jc w:val="center"/>
        </w:trPr>
        <w:tc>
          <w:tcPr>
            <w:tcW w:w="321" w:type="pct"/>
            <w:vMerge/>
            <w:tcBorders>
              <w:top w:val="nil"/>
              <w:left w:val="single" w:sz="4" w:space="0" w:color="auto"/>
              <w:bottom w:val="single" w:sz="4" w:space="0" w:color="auto"/>
              <w:right w:val="single" w:sz="4" w:space="0" w:color="auto"/>
            </w:tcBorders>
            <w:vAlign w:val="center"/>
            <w:hideMark/>
          </w:tcPr>
          <w:p w14:paraId="03186E17"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5B4415C3"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5E03B687"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4F7E3DF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RENDIMIENTOS FINANCIEROS</w:t>
            </w:r>
          </w:p>
        </w:tc>
        <w:tc>
          <w:tcPr>
            <w:tcW w:w="394" w:type="pct"/>
            <w:tcBorders>
              <w:top w:val="nil"/>
              <w:left w:val="nil"/>
              <w:bottom w:val="single" w:sz="4" w:space="0" w:color="auto"/>
              <w:right w:val="single" w:sz="4" w:space="0" w:color="auto"/>
            </w:tcBorders>
            <w:shd w:val="clear" w:color="auto" w:fill="auto"/>
            <w:vAlign w:val="center"/>
            <w:hideMark/>
          </w:tcPr>
          <w:p w14:paraId="391C46A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w:t>
            </w:r>
          </w:p>
        </w:tc>
        <w:tc>
          <w:tcPr>
            <w:tcW w:w="438" w:type="pct"/>
            <w:tcBorders>
              <w:top w:val="nil"/>
              <w:left w:val="nil"/>
              <w:bottom w:val="single" w:sz="4" w:space="0" w:color="auto"/>
              <w:right w:val="single" w:sz="4" w:space="0" w:color="auto"/>
            </w:tcBorders>
            <w:shd w:val="clear" w:color="auto" w:fill="auto"/>
            <w:vAlign w:val="center"/>
            <w:hideMark/>
          </w:tcPr>
          <w:p w14:paraId="0CCE922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9/06/2020</w:t>
            </w:r>
          </w:p>
        </w:tc>
        <w:tc>
          <w:tcPr>
            <w:tcW w:w="389" w:type="pct"/>
            <w:tcBorders>
              <w:top w:val="nil"/>
              <w:left w:val="nil"/>
              <w:bottom w:val="single" w:sz="4" w:space="0" w:color="auto"/>
              <w:right w:val="single" w:sz="4" w:space="0" w:color="auto"/>
            </w:tcBorders>
            <w:shd w:val="clear" w:color="auto" w:fill="auto"/>
            <w:vAlign w:val="center"/>
            <w:hideMark/>
          </w:tcPr>
          <w:p w14:paraId="6BC9280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30/07/2020</w:t>
            </w:r>
          </w:p>
        </w:tc>
        <w:tc>
          <w:tcPr>
            <w:tcW w:w="444" w:type="pct"/>
            <w:tcBorders>
              <w:top w:val="nil"/>
              <w:left w:val="nil"/>
              <w:bottom w:val="single" w:sz="4" w:space="0" w:color="auto"/>
              <w:right w:val="single" w:sz="4" w:space="0" w:color="auto"/>
            </w:tcBorders>
            <w:shd w:val="clear" w:color="auto" w:fill="auto"/>
            <w:vAlign w:val="center"/>
            <w:hideMark/>
          </w:tcPr>
          <w:p w14:paraId="1F1149D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28/08/2020</w:t>
            </w:r>
          </w:p>
        </w:tc>
        <w:tc>
          <w:tcPr>
            <w:tcW w:w="368" w:type="pct"/>
            <w:tcBorders>
              <w:top w:val="nil"/>
              <w:left w:val="nil"/>
              <w:bottom w:val="single" w:sz="4" w:space="0" w:color="auto"/>
              <w:right w:val="single" w:sz="4" w:space="0" w:color="auto"/>
            </w:tcBorders>
            <w:shd w:val="clear" w:color="auto" w:fill="auto"/>
            <w:vAlign w:val="center"/>
            <w:hideMark/>
          </w:tcPr>
          <w:p w14:paraId="7549B67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w:t>
            </w:r>
          </w:p>
        </w:tc>
        <w:tc>
          <w:tcPr>
            <w:tcW w:w="297" w:type="pct"/>
            <w:vMerge/>
            <w:tcBorders>
              <w:top w:val="nil"/>
              <w:left w:val="single" w:sz="4" w:space="0" w:color="auto"/>
              <w:bottom w:val="single" w:sz="4" w:space="0" w:color="auto"/>
              <w:right w:val="single" w:sz="4" w:space="0" w:color="auto"/>
            </w:tcBorders>
            <w:vAlign w:val="center"/>
            <w:hideMark/>
          </w:tcPr>
          <w:p w14:paraId="27E9970C"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0295E4F6"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0EF05E95"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14:paraId="36693E8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LICITACIÓN PÚBLICA, PRESTACION DE SERVICIOS No. AD2 049 DE 2020</w:t>
            </w:r>
          </w:p>
        </w:tc>
        <w:tc>
          <w:tcPr>
            <w:tcW w:w="471" w:type="pct"/>
            <w:vMerge/>
            <w:tcBorders>
              <w:top w:val="nil"/>
              <w:left w:val="single" w:sz="4" w:space="0" w:color="auto"/>
              <w:bottom w:val="single" w:sz="4" w:space="0" w:color="auto"/>
              <w:right w:val="single" w:sz="4" w:space="0" w:color="auto"/>
            </w:tcBorders>
            <w:vAlign w:val="center"/>
            <w:hideMark/>
          </w:tcPr>
          <w:p w14:paraId="7E9107C0"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1CE345D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INGRESOS CORRIENTES CON DESTINACION ESPECIFICA - RECURSOS PROPIOS</w:t>
            </w:r>
          </w:p>
        </w:tc>
        <w:tc>
          <w:tcPr>
            <w:tcW w:w="394" w:type="pct"/>
            <w:tcBorders>
              <w:top w:val="nil"/>
              <w:left w:val="nil"/>
              <w:bottom w:val="single" w:sz="4" w:space="0" w:color="auto"/>
              <w:right w:val="single" w:sz="4" w:space="0" w:color="auto"/>
            </w:tcBorders>
            <w:shd w:val="clear" w:color="auto" w:fill="auto"/>
            <w:vAlign w:val="center"/>
            <w:hideMark/>
          </w:tcPr>
          <w:p w14:paraId="55FC058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$1.016</w:t>
            </w:r>
          </w:p>
        </w:tc>
        <w:tc>
          <w:tcPr>
            <w:tcW w:w="438" w:type="pct"/>
            <w:tcBorders>
              <w:top w:val="nil"/>
              <w:left w:val="nil"/>
              <w:bottom w:val="single" w:sz="4" w:space="0" w:color="auto"/>
              <w:right w:val="single" w:sz="4" w:space="0" w:color="auto"/>
            </w:tcBorders>
            <w:shd w:val="clear" w:color="auto" w:fill="auto"/>
            <w:vAlign w:val="center"/>
            <w:hideMark/>
          </w:tcPr>
          <w:p w14:paraId="406CE88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27/08/2020</w:t>
            </w:r>
          </w:p>
        </w:tc>
        <w:tc>
          <w:tcPr>
            <w:tcW w:w="389" w:type="pct"/>
            <w:tcBorders>
              <w:top w:val="nil"/>
              <w:left w:val="nil"/>
              <w:bottom w:val="single" w:sz="4" w:space="0" w:color="auto"/>
              <w:right w:val="single" w:sz="4" w:space="0" w:color="auto"/>
            </w:tcBorders>
            <w:shd w:val="clear" w:color="auto" w:fill="auto"/>
            <w:vAlign w:val="center"/>
            <w:hideMark/>
          </w:tcPr>
          <w:p w14:paraId="2D207C4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28/08/2020</w:t>
            </w:r>
          </w:p>
        </w:tc>
        <w:tc>
          <w:tcPr>
            <w:tcW w:w="444" w:type="pct"/>
            <w:tcBorders>
              <w:top w:val="nil"/>
              <w:left w:val="nil"/>
              <w:bottom w:val="single" w:sz="4" w:space="0" w:color="auto"/>
              <w:right w:val="single" w:sz="4" w:space="0" w:color="auto"/>
            </w:tcBorders>
            <w:shd w:val="clear" w:color="auto" w:fill="auto"/>
            <w:vAlign w:val="center"/>
            <w:hideMark/>
          </w:tcPr>
          <w:p w14:paraId="524B5F7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23/10/2020</w:t>
            </w:r>
          </w:p>
        </w:tc>
        <w:tc>
          <w:tcPr>
            <w:tcW w:w="368" w:type="pct"/>
            <w:tcBorders>
              <w:top w:val="nil"/>
              <w:left w:val="nil"/>
              <w:bottom w:val="single" w:sz="4" w:space="0" w:color="auto"/>
              <w:right w:val="single" w:sz="4" w:space="0" w:color="auto"/>
            </w:tcBorders>
            <w:shd w:val="clear" w:color="auto" w:fill="auto"/>
            <w:vAlign w:val="center"/>
            <w:hideMark/>
          </w:tcPr>
          <w:p w14:paraId="309B401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w:t>
            </w:r>
          </w:p>
        </w:tc>
        <w:tc>
          <w:tcPr>
            <w:tcW w:w="297" w:type="pct"/>
            <w:vMerge/>
            <w:tcBorders>
              <w:top w:val="nil"/>
              <w:left w:val="single" w:sz="4" w:space="0" w:color="auto"/>
              <w:bottom w:val="single" w:sz="4" w:space="0" w:color="auto"/>
              <w:right w:val="single" w:sz="4" w:space="0" w:color="auto"/>
            </w:tcBorders>
            <w:vAlign w:val="center"/>
            <w:hideMark/>
          </w:tcPr>
          <w:p w14:paraId="4EF75C1F"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6D6D03E5" w14:textId="77777777" w:rsidTr="00A20990">
        <w:trPr>
          <w:trHeight w:val="225"/>
          <w:jc w:val="center"/>
        </w:trPr>
        <w:tc>
          <w:tcPr>
            <w:tcW w:w="321" w:type="pct"/>
            <w:vMerge/>
            <w:tcBorders>
              <w:top w:val="nil"/>
              <w:left w:val="single" w:sz="4" w:space="0" w:color="auto"/>
              <w:bottom w:val="single" w:sz="4" w:space="0" w:color="auto"/>
              <w:right w:val="single" w:sz="4" w:space="0" w:color="auto"/>
            </w:tcBorders>
            <w:vAlign w:val="center"/>
            <w:hideMark/>
          </w:tcPr>
          <w:p w14:paraId="4B7D60B9"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23F46B42"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72C3897B"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527E30F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EDUCACION CALIDAD DOCE DOCEAVAS VIGENCIA ACTUAL</w:t>
            </w:r>
          </w:p>
        </w:tc>
        <w:tc>
          <w:tcPr>
            <w:tcW w:w="394" w:type="pct"/>
            <w:tcBorders>
              <w:top w:val="nil"/>
              <w:left w:val="nil"/>
              <w:bottom w:val="single" w:sz="4" w:space="0" w:color="auto"/>
              <w:right w:val="single" w:sz="4" w:space="0" w:color="auto"/>
            </w:tcBorders>
            <w:shd w:val="clear" w:color="auto" w:fill="auto"/>
            <w:vAlign w:val="center"/>
            <w:hideMark/>
          </w:tcPr>
          <w:p w14:paraId="4E29422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$239</w:t>
            </w:r>
          </w:p>
        </w:tc>
        <w:tc>
          <w:tcPr>
            <w:tcW w:w="438" w:type="pct"/>
            <w:tcBorders>
              <w:top w:val="nil"/>
              <w:left w:val="nil"/>
              <w:bottom w:val="single" w:sz="4" w:space="0" w:color="auto"/>
              <w:right w:val="single" w:sz="4" w:space="0" w:color="auto"/>
            </w:tcBorders>
            <w:shd w:val="clear" w:color="auto" w:fill="auto"/>
            <w:vAlign w:val="center"/>
            <w:hideMark/>
          </w:tcPr>
          <w:p w14:paraId="1FDCBF5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27/08/2020</w:t>
            </w:r>
          </w:p>
        </w:tc>
        <w:tc>
          <w:tcPr>
            <w:tcW w:w="389" w:type="pct"/>
            <w:tcBorders>
              <w:top w:val="nil"/>
              <w:left w:val="nil"/>
              <w:bottom w:val="single" w:sz="4" w:space="0" w:color="auto"/>
              <w:right w:val="single" w:sz="4" w:space="0" w:color="auto"/>
            </w:tcBorders>
            <w:shd w:val="clear" w:color="auto" w:fill="auto"/>
            <w:vAlign w:val="center"/>
            <w:hideMark/>
          </w:tcPr>
          <w:p w14:paraId="72A65F2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28/08/2020</w:t>
            </w:r>
          </w:p>
        </w:tc>
        <w:tc>
          <w:tcPr>
            <w:tcW w:w="444" w:type="pct"/>
            <w:tcBorders>
              <w:top w:val="nil"/>
              <w:left w:val="nil"/>
              <w:bottom w:val="single" w:sz="4" w:space="0" w:color="auto"/>
              <w:right w:val="single" w:sz="4" w:space="0" w:color="auto"/>
            </w:tcBorders>
            <w:shd w:val="clear" w:color="auto" w:fill="auto"/>
            <w:vAlign w:val="center"/>
            <w:hideMark/>
          </w:tcPr>
          <w:p w14:paraId="739C30A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23/10/2020</w:t>
            </w:r>
          </w:p>
        </w:tc>
        <w:tc>
          <w:tcPr>
            <w:tcW w:w="368" w:type="pct"/>
            <w:tcBorders>
              <w:top w:val="nil"/>
              <w:left w:val="nil"/>
              <w:bottom w:val="single" w:sz="4" w:space="0" w:color="auto"/>
              <w:right w:val="single" w:sz="4" w:space="0" w:color="auto"/>
            </w:tcBorders>
            <w:shd w:val="clear" w:color="auto" w:fill="auto"/>
            <w:vAlign w:val="center"/>
            <w:hideMark/>
          </w:tcPr>
          <w:p w14:paraId="4A0280C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w:t>
            </w:r>
          </w:p>
        </w:tc>
        <w:tc>
          <w:tcPr>
            <w:tcW w:w="297" w:type="pct"/>
            <w:vMerge/>
            <w:tcBorders>
              <w:top w:val="nil"/>
              <w:left w:val="single" w:sz="4" w:space="0" w:color="auto"/>
              <w:bottom w:val="single" w:sz="4" w:space="0" w:color="auto"/>
              <w:right w:val="single" w:sz="4" w:space="0" w:color="auto"/>
            </w:tcBorders>
            <w:vAlign w:val="center"/>
            <w:hideMark/>
          </w:tcPr>
          <w:p w14:paraId="5D144377"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2B61C61E"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0A3B55F7"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215D9C41"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1F4033F2"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7D15859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EDUCACION CALIDAD - SALDOS NO EJECUTADOS VIGENCIAS ANTERIORES</w:t>
            </w:r>
          </w:p>
        </w:tc>
        <w:tc>
          <w:tcPr>
            <w:tcW w:w="394" w:type="pct"/>
            <w:tcBorders>
              <w:top w:val="nil"/>
              <w:left w:val="nil"/>
              <w:bottom w:val="single" w:sz="4" w:space="0" w:color="auto"/>
              <w:right w:val="single" w:sz="4" w:space="0" w:color="auto"/>
            </w:tcBorders>
            <w:shd w:val="clear" w:color="auto" w:fill="auto"/>
            <w:vAlign w:val="center"/>
            <w:hideMark/>
          </w:tcPr>
          <w:p w14:paraId="3DB2879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$966</w:t>
            </w:r>
          </w:p>
        </w:tc>
        <w:tc>
          <w:tcPr>
            <w:tcW w:w="438" w:type="pct"/>
            <w:tcBorders>
              <w:top w:val="nil"/>
              <w:left w:val="nil"/>
              <w:bottom w:val="single" w:sz="4" w:space="0" w:color="auto"/>
              <w:right w:val="single" w:sz="4" w:space="0" w:color="auto"/>
            </w:tcBorders>
            <w:shd w:val="clear" w:color="auto" w:fill="auto"/>
            <w:vAlign w:val="center"/>
            <w:hideMark/>
          </w:tcPr>
          <w:p w14:paraId="0508530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27/08/2020</w:t>
            </w:r>
          </w:p>
        </w:tc>
        <w:tc>
          <w:tcPr>
            <w:tcW w:w="389" w:type="pct"/>
            <w:tcBorders>
              <w:top w:val="nil"/>
              <w:left w:val="nil"/>
              <w:bottom w:val="single" w:sz="4" w:space="0" w:color="auto"/>
              <w:right w:val="single" w:sz="4" w:space="0" w:color="auto"/>
            </w:tcBorders>
            <w:shd w:val="clear" w:color="auto" w:fill="auto"/>
            <w:vAlign w:val="center"/>
            <w:hideMark/>
          </w:tcPr>
          <w:p w14:paraId="2B66A6C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28/08/2020</w:t>
            </w:r>
          </w:p>
        </w:tc>
        <w:tc>
          <w:tcPr>
            <w:tcW w:w="444" w:type="pct"/>
            <w:tcBorders>
              <w:top w:val="nil"/>
              <w:left w:val="nil"/>
              <w:bottom w:val="single" w:sz="4" w:space="0" w:color="auto"/>
              <w:right w:val="single" w:sz="4" w:space="0" w:color="auto"/>
            </w:tcBorders>
            <w:shd w:val="clear" w:color="auto" w:fill="auto"/>
            <w:vAlign w:val="center"/>
            <w:hideMark/>
          </w:tcPr>
          <w:p w14:paraId="1C18518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23/10/2020</w:t>
            </w:r>
          </w:p>
        </w:tc>
        <w:tc>
          <w:tcPr>
            <w:tcW w:w="368" w:type="pct"/>
            <w:tcBorders>
              <w:top w:val="nil"/>
              <w:left w:val="nil"/>
              <w:bottom w:val="single" w:sz="4" w:space="0" w:color="auto"/>
              <w:right w:val="single" w:sz="4" w:space="0" w:color="auto"/>
            </w:tcBorders>
            <w:shd w:val="clear" w:color="auto" w:fill="auto"/>
            <w:vAlign w:val="center"/>
            <w:hideMark/>
          </w:tcPr>
          <w:p w14:paraId="6BFD1F0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w:t>
            </w:r>
          </w:p>
        </w:tc>
        <w:tc>
          <w:tcPr>
            <w:tcW w:w="297" w:type="pct"/>
            <w:vMerge/>
            <w:tcBorders>
              <w:top w:val="nil"/>
              <w:left w:val="single" w:sz="4" w:space="0" w:color="auto"/>
              <w:bottom w:val="single" w:sz="4" w:space="0" w:color="auto"/>
              <w:right w:val="single" w:sz="4" w:space="0" w:color="auto"/>
            </w:tcBorders>
            <w:vAlign w:val="center"/>
            <w:hideMark/>
          </w:tcPr>
          <w:p w14:paraId="689B5D93"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6DF683B6"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60FA2E16"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78C6DCE1"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00148A3F"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2F08329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TRANSFENCIAS PARA ALIMENTACION ESCOLAR LEY 1450 DE 2011 MEN</w:t>
            </w:r>
          </w:p>
        </w:tc>
        <w:tc>
          <w:tcPr>
            <w:tcW w:w="394" w:type="pct"/>
            <w:tcBorders>
              <w:top w:val="nil"/>
              <w:left w:val="nil"/>
              <w:bottom w:val="single" w:sz="4" w:space="0" w:color="auto"/>
              <w:right w:val="single" w:sz="4" w:space="0" w:color="auto"/>
            </w:tcBorders>
            <w:shd w:val="clear" w:color="auto" w:fill="auto"/>
            <w:vAlign w:val="center"/>
            <w:hideMark/>
          </w:tcPr>
          <w:p w14:paraId="6889519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$33</w:t>
            </w:r>
          </w:p>
        </w:tc>
        <w:tc>
          <w:tcPr>
            <w:tcW w:w="438" w:type="pct"/>
            <w:tcBorders>
              <w:top w:val="nil"/>
              <w:left w:val="nil"/>
              <w:bottom w:val="single" w:sz="4" w:space="0" w:color="auto"/>
              <w:right w:val="single" w:sz="4" w:space="0" w:color="auto"/>
            </w:tcBorders>
            <w:shd w:val="clear" w:color="auto" w:fill="auto"/>
            <w:vAlign w:val="center"/>
            <w:hideMark/>
          </w:tcPr>
          <w:p w14:paraId="770C4F6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27/08/2020</w:t>
            </w:r>
          </w:p>
        </w:tc>
        <w:tc>
          <w:tcPr>
            <w:tcW w:w="389" w:type="pct"/>
            <w:tcBorders>
              <w:top w:val="nil"/>
              <w:left w:val="nil"/>
              <w:bottom w:val="single" w:sz="4" w:space="0" w:color="auto"/>
              <w:right w:val="single" w:sz="4" w:space="0" w:color="auto"/>
            </w:tcBorders>
            <w:shd w:val="clear" w:color="auto" w:fill="auto"/>
            <w:vAlign w:val="center"/>
            <w:hideMark/>
          </w:tcPr>
          <w:p w14:paraId="2E4EB65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28/08/2020</w:t>
            </w:r>
          </w:p>
        </w:tc>
        <w:tc>
          <w:tcPr>
            <w:tcW w:w="444" w:type="pct"/>
            <w:tcBorders>
              <w:top w:val="nil"/>
              <w:left w:val="nil"/>
              <w:bottom w:val="single" w:sz="4" w:space="0" w:color="auto"/>
              <w:right w:val="single" w:sz="4" w:space="0" w:color="auto"/>
            </w:tcBorders>
            <w:shd w:val="clear" w:color="auto" w:fill="auto"/>
            <w:vAlign w:val="center"/>
            <w:hideMark/>
          </w:tcPr>
          <w:p w14:paraId="1CB65A7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23/10/2020</w:t>
            </w:r>
          </w:p>
        </w:tc>
        <w:tc>
          <w:tcPr>
            <w:tcW w:w="368" w:type="pct"/>
            <w:tcBorders>
              <w:top w:val="nil"/>
              <w:left w:val="nil"/>
              <w:bottom w:val="single" w:sz="4" w:space="0" w:color="auto"/>
              <w:right w:val="single" w:sz="4" w:space="0" w:color="auto"/>
            </w:tcBorders>
            <w:shd w:val="clear" w:color="auto" w:fill="auto"/>
            <w:vAlign w:val="center"/>
            <w:hideMark/>
          </w:tcPr>
          <w:p w14:paraId="1AB92A7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w:t>
            </w:r>
          </w:p>
        </w:tc>
        <w:tc>
          <w:tcPr>
            <w:tcW w:w="297" w:type="pct"/>
            <w:vMerge/>
            <w:tcBorders>
              <w:top w:val="nil"/>
              <w:left w:val="single" w:sz="4" w:space="0" w:color="auto"/>
              <w:bottom w:val="single" w:sz="4" w:space="0" w:color="auto"/>
              <w:right w:val="single" w:sz="4" w:space="0" w:color="auto"/>
            </w:tcBorders>
            <w:vAlign w:val="center"/>
            <w:hideMark/>
          </w:tcPr>
          <w:p w14:paraId="4C9E3F7D"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2F6EB8C7"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2527CD23"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14:paraId="02F5807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LICITACIÓN PÚBLICA, PRESTACION DE SERVICIOS No. 1961 DE 2020</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1F4E63B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UNIÓN TEMPORAL COMPROMISO POR VILLAVICENCIO NIT. 901.438.327</w:t>
            </w:r>
          </w:p>
        </w:tc>
        <w:tc>
          <w:tcPr>
            <w:tcW w:w="1191" w:type="pct"/>
            <w:tcBorders>
              <w:top w:val="nil"/>
              <w:left w:val="nil"/>
              <w:bottom w:val="single" w:sz="4" w:space="0" w:color="auto"/>
              <w:right w:val="single" w:sz="4" w:space="0" w:color="auto"/>
            </w:tcBorders>
            <w:shd w:val="clear" w:color="auto" w:fill="auto"/>
            <w:vAlign w:val="center"/>
            <w:hideMark/>
          </w:tcPr>
          <w:p w14:paraId="1D555C4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INGRESOS CORRIENTES CON DESTINACION ESPECIFICA - RECURSOS PROPIOS</w:t>
            </w:r>
          </w:p>
        </w:tc>
        <w:tc>
          <w:tcPr>
            <w:tcW w:w="394" w:type="pct"/>
            <w:tcBorders>
              <w:top w:val="nil"/>
              <w:left w:val="nil"/>
              <w:bottom w:val="single" w:sz="4" w:space="0" w:color="auto"/>
              <w:right w:val="single" w:sz="4" w:space="0" w:color="auto"/>
            </w:tcBorders>
            <w:shd w:val="clear" w:color="auto" w:fill="auto"/>
            <w:vAlign w:val="center"/>
            <w:hideMark/>
          </w:tcPr>
          <w:p w14:paraId="6EC2AC2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$360</w:t>
            </w:r>
          </w:p>
        </w:tc>
        <w:tc>
          <w:tcPr>
            <w:tcW w:w="438" w:type="pct"/>
            <w:tcBorders>
              <w:top w:val="nil"/>
              <w:left w:val="nil"/>
              <w:bottom w:val="single" w:sz="4" w:space="0" w:color="auto"/>
              <w:right w:val="single" w:sz="4" w:space="0" w:color="auto"/>
            </w:tcBorders>
            <w:shd w:val="clear" w:color="auto" w:fill="auto"/>
            <w:vAlign w:val="center"/>
            <w:hideMark/>
          </w:tcPr>
          <w:p w14:paraId="3D52EDC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389" w:type="pct"/>
            <w:tcBorders>
              <w:top w:val="nil"/>
              <w:left w:val="nil"/>
              <w:bottom w:val="single" w:sz="4" w:space="0" w:color="auto"/>
              <w:right w:val="single" w:sz="4" w:space="0" w:color="auto"/>
            </w:tcBorders>
            <w:shd w:val="clear" w:color="auto" w:fill="auto"/>
            <w:vAlign w:val="center"/>
            <w:hideMark/>
          </w:tcPr>
          <w:p w14:paraId="3179636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444" w:type="pct"/>
            <w:tcBorders>
              <w:top w:val="nil"/>
              <w:left w:val="nil"/>
              <w:bottom w:val="single" w:sz="4" w:space="0" w:color="auto"/>
              <w:right w:val="single" w:sz="4" w:space="0" w:color="auto"/>
            </w:tcBorders>
            <w:shd w:val="clear" w:color="auto" w:fill="auto"/>
            <w:vAlign w:val="center"/>
            <w:hideMark/>
          </w:tcPr>
          <w:p w14:paraId="18E669E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31/12/2020</w:t>
            </w:r>
          </w:p>
        </w:tc>
        <w:tc>
          <w:tcPr>
            <w:tcW w:w="368" w:type="pct"/>
            <w:tcBorders>
              <w:top w:val="nil"/>
              <w:left w:val="nil"/>
              <w:bottom w:val="single" w:sz="4" w:space="0" w:color="auto"/>
              <w:right w:val="single" w:sz="4" w:space="0" w:color="auto"/>
            </w:tcBorders>
            <w:shd w:val="clear" w:color="auto" w:fill="auto"/>
            <w:vAlign w:val="center"/>
            <w:hideMark/>
          </w:tcPr>
          <w:p w14:paraId="5A7907A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w:t>
            </w:r>
          </w:p>
        </w:tc>
        <w:tc>
          <w:tcPr>
            <w:tcW w:w="297" w:type="pct"/>
            <w:vMerge/>
            <w:tcBorders>
              <w:top w:val="nil"/>
              <w:left w:val="single" w:sz="4" w:space="0" w:color="auto"/>
              <w:bottom w:val="single" w:sz="4" w:space="0" w:color="auto"/>
              <w:right w:val="single" w:sz="4" w:space="0" w:color="auto"/>
            </w:tcBorders>
            <w:vAlign w:val="center"/>
            <w:hideMark/>
          </w:tcPr>
          <w:p w14:paraId="70275181"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0876087A"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45B367F5"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0EA80EA7"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6046DEAE"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19D9940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CONFINANCIACION ALIMENTACIÓN ESCOLAR ARTICULO 145 LEY 1530 DE 2012 - CONPES 151 DE 2012</w:t>
            </w:r>
          </w:p>
        </w:tc>
        <w:tc>
          <w:tcPr>
            <w:tcW w:w="394" w:type="pct"/>
            <w:tcBorders>
              <w:top w:val="nil"/>
              <w:left w:val="nil"/>
              <w:bottom w:val="single" w:sz="4" w:space="0" w:color="auto"/>
              <w:right w:val="single" w:sz="4" w:space="0" w:color="auto"/>
            </w:tcBorders>
            <w:shd w:val="clear" w:color="auto" w:fill="auto"/>
            <w:vAlign w:val="center"/>
            <w:hideMark/>
          </w:tcPr>
          <w:p w14:paraId="4B1089B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$18</w:t>
            </w:r>
          </w:p>
        </w:tc>
        <w:tc>
          <w:tcPr>
            <w:tcW w:w="438" w:type="pct"/>
            <w:tcBorders>
              <w:top w:val="nil"/>
              <w:left w:val="nil"/>
              <w:bottom w:val="single" w:sz="4" w:space="0" w:color="auto"/>
              <w:right w:val="single" w:sz="4" w:space="0" w:color="auto"/>
            </w:tcBorders>
            <w:shd w:val="clear" w:color="auto" w:fill="auto"/>
            <w:vAlign w:val="center"/>
            <w:hideMark/>
          </w:tcPr>
          <w:p w14:paraId="547FFBA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389" w:type="pct"/>
            <w:tcBorders>
              <w:top w:val="nil"/>
              <w:left w:val="nil"/>
              <w:bottom w:val="single" w:sz="4" w:space="0" w:color="auto"/>
              <w:right w:val="single" w:sz="4" w:space="0" w:color="auto"/>
            </w:tcBorders>
            <w:shd w:val="clear" w:color="auto" w:fill="auto"/>
            <w:vAlign w:val="center"/>
            <w:hideMark/>
          </w:tcPr>
          <w:p w14:paraId="4CE6557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444" w:type="pct"/>
            <w:tcBorders>
              <w:top w:val="nil"/>
              <w:left w:val="nil"/>
              <w:bottom w:val="single" w:sz="4" w:space="0" w:color="auto"/>
              <w:right w:val="single" w:sz="4" w:space="0" w:color="auto"/>
            </w:tcBorders>
            <w:shd w:val="clear" w:color="auto" w:fill="auto"/>
            <w:vAlign w:val="center"/>
            <w:hideMark/>
          </w:tcPr>
          <w:p w14:paraId="3B6A871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31/12/2020</w:t>
            </w:r>
          </w:p>
        </w:tc>
        <w:tc>
          <w:tcPr>
            <w:tcW w:w="368" w:type="pct"/>
            <w:tcBorders>
              <w:top w:val="nil"/>
              <w:left w:val="nil"/>
              <w:bottom w:val="single" w:sz="4" w:space="0" w:color="auto"/>
              <w:right w:val="single" w:sz="4" w:space="0" w:color="auto"/>
            </w:tcBorders>
            <w:shd w:val="clear" w:color="auto" w:fill="auto"/>
            <w:vAlign w:val="center"/>
            <w:hideMark/>
          </w:tcPr>
          <w:p w14:paraId="00CE09D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w:t>
            </w:r>
          </w:p>
        </w:tc>
        <w:tc>
          <w:tcPr>
            <w:tcW w:w="297" w:type="pct"/>
            <w:vMerge/>
            <w:tcBorders>
              <w:top w:val="nil"/>
              <w:left w:val="single" w:sz="4" w:space="0" w:color="auto"/>
              <w:bottom w:val="single" w:sz="4" w:space="0" w:color="auto"/>
              <w:right w:val="single" w:sz="4" w:space="0" w:color="auto"/>
            </w:tcBorders>
            <w:vAlign w:val="center"/>
            <w:hideMark/>
          </w:tcPr>
          <w:p w14:paraId="7B5BB685"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3AEAB14D" w14:textId="77777777" w:rsidTr="00A20990">
        <w:trPr>
          <w:trHeight w:val="225"/>
          <w:jc w:val="center"/>
        </w:trPr>
        <w:tc>
          <w:tcPr>
            <w:tcW w:w="321" w:type="pct"/>
            <w:vMerge/>
            <w:tcBorders>
              <w:top w:val="nil"/>
              <w:left w:val="single" w:sz="4" w:space="0" w:color="auto"/>
              <w:bottom w:val="single" w:sz="4" w:space="0" w:color="auto"/>
              <w:right w:val="single" w:sz="4" w:space="0" w:color="auto"/>
            </w:tcBorders>
            <w:vAlign w:val="center"/>
            <w:hideMark/>
          </w:tcPr>
          <w:p w14:paraId="332FEE96"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50E0C828"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5A6B944D"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6C252BC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EDUCACION CALIDAD DOCE DOCEAVAS VIGENCIA ACTUAL</w:t>
            </w:r>
          </w:p>
        </w:tc>
        <w:tc>
          <w:tcPr>
            <w:tcW w:w="394" w:type="pct"/>
            <w:tcBorders>
              <w:top w:val="nil"/>
              <w:left w:val="nil"/>
              <w:bottom w:val="single" w:sz="4" w:space="0" w:color="auto"/>
              <w:right w:val="single" w:sz="4" w:space="0" w:color="auto"/>
            </w:tcBorders>
            <w:shd w:val="clear" w:color="auto" w:fill="auto"/>
            <w:vAlign w:val="center"/>
            <w:hideMark/>
          </w:tcPr>
          <w:p w14:paraId="690D816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$168</w:t>
            </w:r>
          </w:p>
        </w:tc>
        <w:tc>
          <w:tcPr>
            <w:tcW w:w="438" w:type="pct"/>
            <w:tcBorders>
              <w:top w:val="nil"/>
              <w:left w:val="nil"/>
              <w:bottom w:val="single" w:sz="4" w:space="0" w:color="auto"/>
              <w:right w:val="single" w:sz="4" w:space="0" w:color="auto"/>
            </w:tcBorders>
            <w:shd w:val="clear" w:color="auto" w:fill="auto"/>
            <w:vAlign w:val="center"/>
            <w:hideMark/>
          </w:tcPr>
          <w:p w14:paraId="46294B7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389" w:type="pct"/>
            <w:tcBorders>
              <w:top w:val="nil"/>
              <w:left w:val="nil"/>
              <w:bottom w:val="single" w:sz="4" w:space="0" w:color="auto"/>
              <w:right w:val="single" w:sz="4" w:space="0" w:color="auto"/>
            </w:tcBorders>
            <w:shd w:val="clear" w:color="auto" w:fill="auto"/>
            <w:vAlign w:val="center"/>
            <w:hideMark/>
          </w:tcPr>
          <w:p w14:paraId="3940FD4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444" w:type="pct"/>
            <w:tcBorders>
              <w:top w:val="nil"/>
              <w:left w:val="nil"/>
              <w:bottom w:val="single" w:sz="4" w:space="0" w:color="auto"/>
              <w:right w:val="single" w:sz="4" w:space="0" w:color="auto"/>
            </w:tcBorders>
            <w:shd w:val="clear" w:color="auto" w:fill="auto"/>
            <w:vAlign w:val="center"/>
            <w:hideMark/>
          </w:tcPr>
          <w:p w14:paraId="0D417FF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31/12/2020</w:t>
            </w:r>
          </w:p>
        </w:tc>
        <w:tc>
          <w:tcPr>
            <w:tcW w:w="368" w:type="pct"/>
            <w:tcBorders>
              <w:top w:val="nil"/>
              <w:left w:val="nil"/>
              <w:bottom w:val="single" w:sz="4" w:space="0" w:color="auto"/>
              <w:right w:val="single" w:sz="4" w:space="0" w:color="auto"/>
            </w:tcBorders>
            <w:shd w:val="clear" w:color="auto" w:fill="auto"/>
            <w:vAlign w:val="center"/>
            <w:hideMark/>
          </w:tcPr>
          <w:p w14:paraId="24D6BAD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w:t>
            </w:r>
          </w:p>
        </w:tc>
        <w:tc>
          <w:tcPr>
            <w:tcW w:w="297" w:type="pct"/>
            <w:vMerge/>
            <w:tcBorders>
              <w:top w:val="nil"/>
              <w:left w:val="single" w:sz="4" w:space="0" w:color="auto"/>
              <w:bottom w:val="single" w:sz="4" w:space="0" w:color="auto"/>
              <w:right w:val="single" w:sz="4" w:space="0" w:color="auto"/>
            </w:tcBorders>
            <w:vAlign w:val="center"/>
            <w:hideMark/>
          </w:tcPr>
          <w:p w14:paraId="5CC98B1D"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43C347D1"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58A0A1AD"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2567475C"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06296247"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7CABE6B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ONCE DOCEAVAS VIGENCIA ACTUAL MAS ULTIMA DOCEAVA VIGENCIA ANTERIOR</w:t>
            </w:r>
          </w:p>
        </w:tc>
        <w:tc>
          <w:tcPr>
            <w:tcW w:w="394" w:type="pct"/>
            <w:tcBorders>
              <w:top w:val="nil"/>
              <w:left w:val="nil"/>
              <w:bottom w:val="single" w:sz="4" w:space="0" w:color="auto"/>
              <w:right w:val="single" w:sz="4" w:space="0" w:color="auto"/>
            </w:tcBorders>
            <w:shd w:val="clear" w:color="auto" w:fill="auto"/>
            <w:vAlign w:val="center"/>
            <w:hideMark/>
          </w:tcPr>
          <w:p w14:paraId="69BE67F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$74</w:t>
            </w:r>
          </w:p>
        </w:tc>
        <w:tc>
          <w:tcPr>
            <w:tcW w:w="438" w:type="pct"/>
            <w:tcBorders>
              <w:top w:val="nil"/>
              <w:left w:val="nil"/>
              <w:bottom w:val="single" w:sz="4" w:space="0" w:color="auto"/>
              <w:right w:val="single" w:sz="4" w:space="0" w:color="auto"/>
            </w:tcBorders>
            <w:shd w:val="clear" w:color="auto" w:fill="auto"/>
            <w:vAlign w:val="center"/>
            <w:hideMark/>
          </w:tcPr>
          <w:p w14:paraId="48A79A8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389" w:type="pct"/>
            <w:tcBorders>
              <w:top w:val="nil"/>
              <w:left w:val="nil"/>
              <w:bottom w:val="single" w:sz="4" w:space="0" w:color="auto"/>
              <w:right w:val="single" w:sz="4" w:space="0" w:color="auto"/>
            </w:tcBorders>
            <w:shd w:val="clear" w:color="auto" w:fill="auto"/>
            <w:vAlign w:val="center"/>
            <w:hideMark/>
          </w:tcPr>
          <w:p w14:paraId="60E08D3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444" w:type="pct"/>
            <w:tcBorders>
              <w:top w:val="nil"/>
              <w:left w:val="nil"/>
              <w:bottom w:val="single" w:sz="4" w:space="0" w:color="auto"/>
              <w:right w:val="single" w:sz="4" w:space="0" w:color="auto"/>
            </w:tcBorders>
            <w:shd w:val="clear" w:color="auto" w:fill="auto"/>
            <w:vAlign w:val="center"/>
            <w:hideMark/>
          </w:tcPr>
          <w:p w14:paraId="2196D5E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31/12/2020</w:t>
            </w:r>
          </w:p>
        </w:tc>
        <w:tc>
          <w:tcPr>
            <w:tcW w:w="368" w:type="pct"/>
            <w:tcBorders>
              <w:top w:val="nil"/>
              <w:left w:val="nil"/>
              <w:bottom w:val="single" w:sz="4" w:space="0" w:color="auto"/>
              <w:right w:val="single" w:sz="4" w:space="0" w:color="auto"/>
            </w:tcBorders>
            <w:shd w:val="clear" w:color="auto" w:fill="auto"/>
            <w:vAlign w:val="center"/>
            <w:hideMark/>
          </w:tcPr>
          <w:p w14:paraId="3298744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w:t>
            </w:r>
          </w:p>
        </w:tc>
        <w:tc>
          <w:tcPr>
            <w:tcW w:w="297" w:type="pct"/>
            <w:vMerge/>
            <w:tcBorders>
              <w:top w:val="nil"/>
              <w:left w:val="single" w:sz="4" w:space="0" w:color="auto"/>
              <w:bottom w:val="single" w:sz="4" w:space="0" w:color="auto"/>
              <w:right w:val="single" w:sz="4" w:space="0" w:color="auto"/>
            </w:tcBorders>
            <w:vAlign w:val="center"/>
            <w:hideMark/>
          </w:tcPr>
          <w:p w14:paraId="1DB1A994"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4E5D9EEA"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35A6E77B"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5F0B2942"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4A3A9F12"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45F54410"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SALDOS NO EJECUTADOS VIGENCIAS ANTERIORES</w:t>
            </w:r>
          </w:p>
        </w:tc>
        <w:tc>
          <w:tcPr>
            <w:tcW w:w="394" w:type="pct"/>
            <w:tcBorders>
              <w:top w:val="nil"/>
              <w:left w:val="nil"/>
              <w:bottom w:val="single" w:sz="4" w:space="0" w:color="auto"/>
              <w:right w:val="single" w:sz="4" w:space="0" w:color="auto"/>
            </w:tcBorders>
            <w:shd w:val="clear" w:color="auto" w:fill="auto"/>
            <w:vAlign w:val="center"/>
            <w:hideMark/>
          </w:tcPr>
          <w:p w14:paraId="6D41017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$405</w:t>
            </w:r>
          </w:p>
        </w:tc>
        <w:tc>
          <w:tcPr>
            <w:tcW w:w="438" w:type="pct"/>
            <w:tcBorders>
              <w:top w:val="nil"/>
              <w:left w:val="nil"/>
              <w:bottom w:val="single" w:sz="4" w:space="0" w:color="auto"/>
              <w:right w:val="single" w:sz="4" w:space="0" w:color="auto"/>
            </w:tcBorders>
            <w:shd w:val="clear" w:color="auto" w:fill="auto"/>
            <w:vAlign w:val="center"/>
            <w:hideMark/>
          </w:tcPr>
          <w:p w14:paraId="71E1078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389" w:type="pct"/>
            <w:tcBorders>
              <w:top w:val="nil"/>
              <w:left w:val="nil"/>
              <w:bottom w:val="single" w:sz="4" w:space="0" w:color="auto"/>
              <w:right w:val="single" w:sz="4" w:space="0" w:color="auto"/>
            </w:tcBorders>
            <w:shd w:val="clear" w:color="auto" w:fill="auto"/>
            <w:vAlign w:val="center"/>
            <w:hideMark/>
          </w:tcPr>
          <w:p w14:paraId="60EB420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444" w:type="pct"/>
            <w:tcBorders>
              <w:top w:val="nil"/>
              <w:left w:val="nil"/>
              <w:bottom w:val="single" w:sz="4" w:space="0" w:color="auto"/>
              <w:right w:val="single" w:sz="4" w:space="0" w:color="auto"/>
            </w:tcBorders>
            <w:shd w:val="clear" w:color="auto" w:fill="auto"/>
            <w:vAlign w:val="center"/>
            <w:hideMark/>
          </w:tcPr>
          <w:p w14:paraId="3C50DAF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31/12/2020</w:t>
            </w:r>
          </w:p>
        </w:tc>
        <w:tc>
          <w:tcPr>
            <w:tcW w:w="368" w:type="pct"/>
            <w:tcBorders>
              <w:top w:val="nil"/>
              <w:left w:val="nil"/>
              <w:bottom w:val="single" w:sz="4" w:space="0" w:color="auto"/>
              <w:right w:val="single" w:sz="4" w:space="0" w:color="auto"/>
            </w:tcBorders>
            <w:shd w:val="clear" w:color="auto" w:fill="auto"/>
            <w:vAlign w:val="center"/>
            <w:hideMark/>
          </w:tcPr>
          <w:p w14:paraId="04EDEA9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w:t>
            </w:r>
          </w:p>
        </w:tc>
        <w:tc>
          <w:tcPr>
            <w:tcW w:w="297" w:type="pct"/>
            <w:vMerge/>
            <w:tcBorders>
              <w:top w:val="nil"/>
              <w:left w:val="single" w:sz="4" w:space="0" w:color="auto"/>
              <w:bottom w:val="single" w:sz="4" w:space="0" w:color="auto"/>
              <w:right w:val="single" w:sz="4" w:space="0" w:color="auto"/>
            </w:tcBorders>
            <w:vAlign w:val="center"/>
            <w:hideMark/>
          </w:tcPr>
          <w:p w14:paraId="364D4BB1"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05095734"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78A65A23"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20DCD678"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531C86D8"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086DF0B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TRANSFENCIAS PARA ALIMENTACION ESCOLAR LEY 1450 DE 2011 MEN</w:t>
            </w:r>
          </w:p>
        </w:tc>
        <w:tc>
          <w:tcPr>
            <w:tcW w:w="394" w:type="pct"/>
            <w:tcBorders>
              <w:top w:val="nil"/>
              <w:left w:val="nil"/>
              <w:bottom w:val="single" w:sz="4" w:space="0" w:color="auto"/>
              <w:right w:val="single" w:sz="4" w:space="0" w:color="auto"/>
            </w:tcBorders>
            <w:shd w:val="clear" w:color="auto" w:fill="auto"/>
            <w:vAlign w:val="center"/>
            <w:hideMark/>
          </w:tcPr>
          <w:p w14:paraId="7CB8C46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$1.117</w:t>
            </w:r>
          </w:p>
        </w:tc>
        <w:tc>
          <w:tcPr>
            <w:tcW w:w="438" w:type="pct"/>
            <w:tcBorders>
              <w:top w:val="nil"/>
              <w:left w:val="nil"/>
              <w:bottom w:val="single" w:sz="4" w:space="0" w:color="auto"/>
              <w:right w:val="single" w:sz="4" w:space="0" w:color="auto"/>
            </w:tcBorders>
            <w:shd w:val="clear" w:color="auto" w:fill="auto"/>
            <w:vAlign w:val="center"/>
            <w:hideMark/>
          </w:tcPr>
          <w:p w14:paraId="575332B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389" w:type="pct"/>
            <w:tcBorders>
              <w:top w:val="nil"/>
              <w:left w:val="nil"/>
              <w:bottom w:val="single" w:sz="4" w:space="0" w:color="auto"/>
              <w:right w:val="single" w:sz="4" w:space="0" w:color="auto"/>
            </w:tcBorders>
            <w:shd w:val="clear" w:color="auto" w:fill="auto"/>
            <w:vAlign w:val="center"/>
            <w:hideMark/>
          </w:tcPr>
          <w:p w14:paraId="2DCCFF5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444" w:type="pct"/>
            <w:tcBorders>
              <w:top w:val="nil"/>
              <w:left w:val="nil"/>
              <w:bottom w:val="single" w:sz="4" w:space="0" w:color="auto"/>
              <w:right w:val="single" w:sz="4" w:space="0" w:color="auto"/>
            </w:tcBorders>
            <w:shd w:val="clear" w:color="auto" w:fill="auto"/>
            <w:vAlign w:val="center"/>
            <w:hideMark/>
          </w:tcPr>
          <w:p w14:paraId="2C6C0E7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31/12/2020</w:t>
            </w:r>
          </w:p>
        </w:tc>
        <w:tc>
          <w:tcPr>
            <w:tcW w:w="368" w:type="pct"/>
            <w:tcBorders>
              <w:top w:val="nil"/>
              <w:left w:val="nil"/>
              <w:bottom w:val="single" w:sz="4" w:space="0" w:color="auto"/>
              <w:right w:val="single" w:sz="4" w:space="0" w:color="auto"/>
            </w:tcBorders>
            <w:shd w:val="clear" w:color="auto" w:fill="auto"/>
            <w:vAlign w:val="center"/>
            <w:hideMark/>
          </w:tcPr>
          <w:p w14:paraId="4874842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w:t>
            </w:r>
          </w:p>
        </w:tc>
        <w:tc>
          <w:tcPr>
            <w:tcW w:w="297" w:type="pct"/>
            <w:vMerge/>
            <w:tcBorders>
              <w:top w:val="nil"/>
              <w:left w:val="single" w:sz="4" w:space="0" w:color="auto"/>
              <w:bottom w:val="single" w:sz="4" w:space="0" w:color="auto"/>
              <w:right w:val="single" w:sz="4" w:space="0" w:color="auto"/>
            </w:tcBorders>
            <w:vAlign w:val="center"/>
            <w:hideMark/>
          </w:tcPr>
          <w:p w14:paraId="38FE0B6E"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160EA623" w14:textId="77777777" w:rsidTr="00A20990">
        <w:trPr>
          <w:trHeight w:val="225"/>
          <w:jc w:val="center"/>
        </w:trPr>
        <w:tc>
          <w:tcPr>
            <w:tcW w:w="321" w:type="pct"/>
            <w:vMerge/>
            <w:tcBorders>
              <w:top w:val="nil"/>
              <w:left w:val="single" w:sz="4" w:space="0" w:color="auto"/>
              <w:bottom w:val="single" w:sz="4" w:space="0" w:color="auto"/>
              <w:right w:val="single" w:sz="4" w:space="0" w:color="auto"/>
            </w:tcBorders>
            <w:vAlign w:val="center"/>
            <w:hideMark/>
          </w:tcPr>
          <w:p w14:paraId="52630A01"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000000"/>
              <w:right w:val="single" w:sz="4" w:space="0" w:color="auto"/>
            </w:tcBorders>
            <w:vAlign w:val="center"/>
            <w:hideMark/>
          </w:tcPr>
          <w:p w14:paraId="3C83B755"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241D1218"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0A4BF0D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RENDIMIENTOS FINANCIEROS</w:t>
            </w:r>
          </w:p>
        </w:tc>
        <w:tc>
          <w:tcPr>
            <w:tcW w:w="394" w:type="pct"/>
            <w:tcBorders>
              <w:top w:val="nil"/>
              <w:left w:val="nil"/>
              <w:bottom w:val="single" w:sz="4" w:space="0" w:color="auto"/>
              <w:right w:val="single" w:sz="4" w:space="0" w:color="auto"/>
            </w:tcBorders>
            <w:shd w:val="clear" w:color="auto" w:fill="auto"/>
            <w:vAlign w:val="center"/>
            <w:hideMark/>
          </w:tcPr>
          <w:p w14:paraId="1E645FC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$34</w:t>
            </w:r>
          </w:p>
        </w:tc>
        <w:tc>
          <w:tcPr>
            <w:tcW w:w="438" w:type="pct"/>
            <w:tcBorders>
              <w:top w:val="nil"/>
              <w:left w:val="nil"/>
              <w:bottom w:val="single" w:sz="4" w:space="0" w:color="auto"/>
              <w:right w:val="single" w:sz="4" w:space="0" w:color="auto"/>
            </w:tcBorders>
            <w:shd w:val="clear" w:color="auto" w:fill="auto"/>
            <w:vAlign w:val="center"/>
            <w:hideMark/>
          </w:tcPr>
          <w:p w14:paraId="0BBBE53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389" w:type="pct"/>
            <w:tcBorders>
              <w:top w:val="nil"/>
              <w:left w:val="nil"/>
              <w:bottom w:val="single" w:sz="4" w:space="0" w:color="auto"/>
              <w:right w:val="single" w:sz="4" w:space="0" w:color="auto"/>
            </w:tcBorders>
            <w:shd w:val="clear" w:color="auto" w:fill="auto"/>
            <w:vAlign w:val="center"/>
            <w:hideMark/>
          </w:tcPr>
          <w:p w14:paraId="425502C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13/12/2020</w:t>
            </w:r>
          </w:p>
        </w:tc>
        <w:tc>
          <w:tcPr>
            <w:tcW w:w="444" w:type="pct"/>
            <w:tcBorders>
              <w:top w:val="nil"/>
              <w:left w:val="nil"/>
              <w:bottom w:val="single" w:sz="4" w:space="0" w:color="auto"/>
              <w:right w:val="single" w:sz="4" w:space="0" w:color="auto"/>
            </w:tcBorders>
            <w:shd w:val="clear" w:color="auto" w:fill="auto"/>
            <w:vAlign w:val="center"/>
            <w:hideMark/>
          </w:tcPr>
          <w:p w14:paraId="5257CAE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31/12/2020</w:t>
            </w:r>
          </w:p>
        </w:tc>
        <w:tc>
          <w:tcPr>
            <w:tcW w:w="368" w:type="pct"/>
            <w:tcBorders>
              <w:top w:val="nil"/>
              <w:left w:val="nil"/>
              <w:bottom w:val="single" w:sz="4" w:space="0" w:color="auto"/>
              <w:right w:val="single" w:sz="4" w:space="0" w:color="auto"/>
            </w:tcBorders>
            <w:shd w:val="clear" w:color="auto" w:fill="auto"/>
            <w:vAlign w:val="center"/>
            <w:hideMark/>
          </w:tcPr>
          <w:p w14:paraId="0D0F03F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w:t>
            </w:r>
          </w:p>
        </w:tc>
        <w:tc>
          <w:tcPr>
            <w:tcW w:w="297" w:type="pct"/>
            <w:vMerge/>
            <w:tcBorders>
              <w:top w:val="nil"/>
              <w:left w:val="single" w:sz="4" w:space="0" w:color="auto"/>
              <w:bottom w:val="single" w:sz="4" w:space="0" w:color="auto"/>
              <w:right w:val="single" w:sz="4" w:space="0" w:color="auto"/>
            </w:tcBorders>
            <w:vAlign w:val="center"/>
            <w:hideMark/>
          </w:tcPr>
          <w:p w14:paraId="1418CA1E"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0450EA1C" w14:textId="77777777" w:rsidTr="00A20990">
        <w:trPr>
          <w:trHeight w:val="900"/>
          <w:jc w:val="center"/>
        </w:trPr>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14:paraId="4B0839E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2021</w:t>
            </w:r>
          </w:p>
        </w:tc>
        <w:tc>
          <w:tcPr>
            <w:tcW w:w="688" w:type="pct"/>
            <w:tcBorders>
              <w:top w:val="nil"/>
              <w:left w:val="single" w:sz="4" w:space="0" w:color="auto"/>
              <w:bottom w:val="single" w:sz="4" w:space="0" w:color="auto"/>
              <w:right w:val="single" w:sz="4" w:space="0" w:color="auto"/>
            </w:tcBorders>
            <w:shd w:val="clear" w:color="auto" w:fill="auto"/>
            <w:vAlign w:val="center"/>
            <w:hideMark/>
          </w:tcPr>
          <w:p w14:paraId="15A1F45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CONTRATACION DIRECTA, CONVENIO INTERADMINISTRATIVO No. 1104 DE 2021</w:t>
            </w:r>
          </w:p>
        </w:tc>
        <w:tc>
          <w:tcPr>
            <w:tcW w:w="471" w:type="pct"/>
            <w:tcBorders>
              <w:top w:val="nil"/>
              <w:left w:val="nil"/>
              <w:bottom w:val="single" w:sz="4" w:space="0" w:color="auto"/>
              <w:right w:val="single" w:sz="4" w:space="0" w:color="auto"/>
            </w:tcBorders>
            <w:shd w:val="clear" w:color="auto" w:fill="auto"/>
            <w:vAlign w:val="center"/>
            <w:hideMark/>
          </w:tcPr>
          <w:p w14:paraId="0127618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RESGUARDO INDIGENA MAGUARE NIT. 901.053.503</w:t>
            </w:r>
          </w:p>
        </w:tc>
        <w:tc>
          <w:tcPr>
            <w:tcW w:w="1191" w:type="pct"/>
            <w:tcBorders>
              <w:top w:val="nil"/>
              <w:left w:val="nil"/>
              <w:bottom w:val="single" w:sz="4" w:space="0" w:color="auto"/>
              <w:right w:val="single" w:sz="4" w:space="0" w:color="auto"/>
            </w:tcBorders>
            <w:shd w:val="clear" w:color="auto" w:fill="auto"/>
            <w:vAlign w:val="center"/>
            <w:hideMark/>
          </w:tcPr>
          <w:p w14:paraId="5ED5738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UAPA - VIGENCIA ACTUAL</w:t>
            </w:r>
          </w:p>
        </w:tc>
        <w:tc>
          <w:tcPr>
            <w:tcW w:w="394" w:type="pct"/>
            <w:tcBorders>
              <w:top w:val="nil"/>
              <w:left w:val="nil"/>
              <w:bottom w:val="single" w:sz="4" w:space="0" w:color="auto"/>
              <w:right w:val="single" w:sz="4" w:space="0" w:color="auto"/>
            </w:tcBorders>
            <w:shd w:val="clear" w:color="auto" w:fill="auto"/>
            <w:vAlign w:val="center"/>
            <w:hideMark/>
          </w:tcPr>
          <w:p w14:paraId="3DBDC2B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$39</w:t>
            </w:r>
          </w:p>
        </w:tc>
        <w:tc>
          <w:tcPr>
            <w:tcW w:w="438" w:type="pct"/>
            <w:tcBorders>
              <w:top w:val="nil"/>
              <w:left w:val="nil"/>
              <w:bottom w:val="single" w:sz="4" w:space="0" w:color="auto"/>
              <w:right w:val="single" w:sz="4" w:space="0" w:color="auto"/>
            </w:tcBorders>
            <w:shd w:val="clear" w:color="auto" w:fill="auto"/>
            <w:vAlign w:val="center"/>
            <w:hideMark/>
          </w:tcPr>
          <w:p w14:paraId="33E375B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18/05/2021</w:t>
            </w:r>
          </w:p>
        </w:tc>
        <w:tc>
          <w:tcPr>
            <w:tcW w:w="389" w:type="pct"/>
            <w:tcBorders>
              <w:top w:val="nil"/>
              <w:left w:val="nil"/>
              <w:bottom w:val="single" w:sz="4" w:space="0" w:color="auto"/>
              <w:right w:val="single" w:sz="4" w:space="0" w:color="auto"/>
            </w:tcBorders>
            <w:shd w:val="clear" w:color="auto" w:fill="auto"/>
            <w:vAlign w:val="center"/>
            <w:hideMark/>
          </w:tcPr>
          <w:p w14:paraId="3826DC4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19/05/2021</w:t>
            </w:r>
          </w:p>
        </w:tc>
        <w:tc>
          <w:tcPr>
            <w:tcW w:w="444" w:type="pct"/>
            <w:tcBorders>
              <w:top w:val="nil"/>
              <w:left w:val="nil"/>
              <w:bottom w:val="single" w:sz="4" w:space="0" w:color="auto"/>
              <w:right w:val="single" w:sz="4" w:space="0" w:color="auto"/>
            </w:tcBorders>
            <w:shd w:val="clear" w:color="auto" w:fill="auto"/>
            <w:vAlign w:val="center"/>
            <w:hideMark/>
          </w:tcPr>
          <w:p w14:paraId="45DD1C2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5/12/2021</w:t>
            </w:r>
          </w:p>
        </w:tc>
        <w:tc>
          <w:tcPr>
            <w:tcW w:w="368" w:type="pct"/>
            <w:tcBorders>
              <w:top w:val="nil"/>
              <w:left w:val="nil"/>
              <w:bottom w:val="single" w:sz="4" w:space="0" w:color="auto"/>
              <w:right w:val="single" w:sz="4" w:space="0" w:color="auto"/>
            </w:tcBorders>
            <w:shd w:val="clear" w:color="auto" w:fill="auto"/>
            <w:vAlign w:val="center"/>
            <w:hideMark/>
          </w:tcPr>
          <w:p w14:paraId="4E8E033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123</w:t>
            </w:r>
          </w:p>
        </w:tc>
        <w:tc>
          <w:tcPr>
            <w:tcW w:w="297" w:type="pct"/>
            <w:vMerge w:val="restart"/>
            <w:tcBorders>
              <w:top w:val="nil"/>
              <w:left w:val="single" w:sz="4" w:space="0" w:color="auto"/>
              <w:bottom w:val="single" w:sz="4" w:space="0" w:color="auto"/>
              <w:right w:val="single" w:sz="4" w:space="0" w:color="auto"/>
            </w:tcBorders>
            <w:shd w:val="clear" w:color="000000" w:fill="E7E6E6"/>
            <w:vAlign w:val="center"/>
            <w:hideMark/>
          </w:tcPr>
          <w:p w14:paraId="391F6420"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5BD22B7D" w14:textId="77777777" w:rsidTr="00A20990">
        <w:trPr>
          <w:trHeight w:val="225"/>
          <w:jc w:val="center"/>
        </w:trPr>
        <w:tc>
          <w:tcPr>
            <w:tcW w:w="321" w:type="pct"/>
            <w:vMerge/>
            <w:tcBorders>
              <w:top w:val="nil"/>
              <w:left w:val="single" w:sz="4" w:space="0" w:color="auto"/>
              <w:bottom w:val="single" w:sz="4" w:space="0" w:color="auto"/>
              <w:right w:val="single" w:sz="4" w:space="0" w:color="auto"/>
            </w:tcBorders>
            <w:vAlign w:val="center"/>
            <w:hideMark/>
          </w:tcPr>
          <w:p w14:paraId="2F31D66A"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14:paraId="25FB7AB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SELECCION ABREVIADA - ACUERDOS MARCO DE PRECIOS, CONTRATO DE SUMINISTRO No. 939 DE 2021</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3B9FD95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ALMACENES ÉXITO S.A NIT. 890.900.608</w:t>
            </w:r>
          </w:p>
        </w:tc>
        <w:tc>
          <w:tcPr>
            <w:tcW w:w="1191" w:type="pct"/>
            <w:tcBorders>
              <w:top w:val="nil"/>
              <w:left w:val="nil"/>
              <w:bottom w:val="single" w:sz="4" w:space="0" w:color="auto"/>
              <w:right w:val="single" w:sz="4" w:space="0" w:color="auto"/>
            </w:tcBorders>
            <w:shd w:val="clear" w:color="auto" w:fill="auto"/>
            <w:vAlign w:val="center"/>
            <w:hideMark/>
          </w:tcPr>
          <w:p w14:paraId="7E62633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COFINANCIACION ALIMENTACION ESCOLAR - CONPES LEY 1530 DE 2012 ARTICULO 145 VIGENCIA ACTUAL</w:t>
            </w:r>
          </w:p>
        </w:tc>
        <w:tc>
          <w:tcPr>
            <w:tcW w:w="394" w:type="pct"/>
            <w:tcBorders>
              <w:top w:val="nil"/>
              <w:left w:val="nil"/>
              <w:bottom w:val="single" w:sz="4" w:space="0" w:color="auto"/>
              <w:right w:val="single" w:sz="4" w:space="0" w:color="auto"/>
            </w:tcBorders>
            <w:shd w:val="clear" w:color="auto" w:fill="auto"/>
            <w:vAlign w:val="center"/>
            <w:hideMark/>
          </w:tcPr>
          <w:p w14:paraId="1F84B85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$550</w:t>
            </w:r>
          </w:p>
        </w:tc>
        <w:tc>
          <w:tcPr>
            <w:tcW w:w="438" w:type="pct"/>
            <w:tcBorders>
              <w:top w:val="nil"/>
              <w:left w:val="nil"/>
              <w:bottom w:val="single" w:sz="4" w:space="0" w:color="auto"/>
              <w:right w:val="single" w:sz="4" w:space="0" w:color="auto"/>
            </w:tcBorders>
            <w:shd w:val="clear" w:color="auto" w:fill="auto"/>
            <w:vAlign w:val="center"/>
            <w:hideMark/>
          </w:tcPr>
          <w:p w14:paraId="41A1354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389" w:type="pct"/>
            <w:tcBorders>
              <w:top w:val="nil"/>
              <w:left w:val="nil"/>
              <w:bottom w:val="single" w:sz="4" w:space="0" w:color="auto"/>
              <w:right w:val="single" w:sz="4" w:space="0" w:color="auto"/>
            </w:tcBorders>
            <w:shd w:val="clear" w:color="auto" w:fill="auto"/>
            <w:vAlign w:val="center"/>
            <w:hideMark/>
          </w:tcPr>
          <w:p w14:paraId="6085C3C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444" w:type="pct"/>
            <w:tcBorders>
              <w:top w:val="nil"/>
              <w:left w:val="nil"/>
              <w:bottom w:val="single" w:sz="4" w:space="0" w:color="auto"/>
              <w:right w:val="single" w:sz="4" w:space="0" w:color="auto"/>
            </w:tcBorders>
            <w:shd w:val="clear" w:color="auto" w:fill="auto"/>
            <w:vAlign w:val="center"/>
            <w:hideMark/>
          </w:tcPr>
          <w:p w14:paraId="06B5759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368" w:type="pct"/>
            <w:tcBorders>
              <w:top w:val="nil"/>
              <w:left w:val="nil"/>
              <w:bottom w:val="single" w:sz="4" w:space="0" w:color="auto"/>
              <w:right w:val="single" w:sz="4" w:space="0" w:color="auto"/>
            </w:tcBorders>
            <w:shd w:val="clear" w:color="auto" w:fill="auto"/>
            <w:vAlign w:val="center"/>
            <w:hideMark/>
          </w:tcPr>
          <w:p w14:paraId="7A6D5E8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73</w:t>
            </w:r>
          </w:p>
        </w:tc>
        <w:tc>
          <w:tcPr>
            <w:tcW w:w="297" w:type="pct"/>
            <w:vMerge/>
            <w:tcBorders>
              <w:top w:val="nil"/>
              <w:left w:val="single" w:sz="4" w:space="0" w:color="auto"/>
              <w:bottom w:val="single" w:sz="4" w:space="0" w:color="auto"/>
              <w:right w:val="single" w:sz="4" w:space="0" w:color="auto"/>
            </w:tcBorders>
            <w:vAlign w:val="center"/>
            <w:hideMark/>
          </w:tcPr>
          <w:p w14:paraId="50D022C1"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7FE7B20A"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28DB5166"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00CE7A9E"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0C42BA98"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76FD1FB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ONCE DOCEAVAS VIGENCIA ACTUAL MAS ULTIMA DOCEAVA VIGENCIA ANTERIOR</w:t>
            </w:r>
          </w:p>
        </w:tc>
        <w:tc>
          <w:tcPr>
            <w:tcW w:w="394" w:type="pct"/>
            <w:tcBorders>
              <w:top w:val="nil"/>
              <w:left w:val="nil"/>
              <w:bottom w:val="single" w:sz="4" w:space="0" w:color="auto"/>
              <w:right w:val="single" w:sz="4" w:space="0" w:color="auto"/>
            </w:tcBorders>
            <w:shd w:val="clear" w:color="auto" w:fill="auto"/>
            <w:vAlign w:val="center"/>
            <w:hideMark/>
          </w:tcPr>
          <w:p w14:paraId="67B704F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$350</w:t>
            </w:r>
          </w:p>
        </w:tc>
        <w:tc>
          <w:tcPr>
            <w:tcW w:w="438" w:type="pct"/>
            <w:tcBorders>
              <w:top w:val="nil"/>
              <w:left w:val="nil"/>
              <w:bottom w:val="single" w:sz="4" w:space="0" w:color="auto"/>
              <w:right w:val="single" w:sz="4" w:space="0" w:color="auto"/>
            </w:tcBorders>
            <w:shd w:val="clear" w:color="auto" w:fill="auto"/>
            <w:vAlign w:val="center"/>
            <w:hideMark/>
          </w:tcPr>
          <w:p w14:paraId="73473B0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389" w:type="pct"/>
            <w:tcBorders>
              <w:top w:val="nil"/>
              <w:left w:val="nil"/>
              <w:bottom w:val="single" w:sz="4" w:space="0" w:color="auto"/>
              <w:right w:val="single" w:sz="4" w:space="0" w:color="auto"/>
            </w:tcBorders>
            <w:shd w:val="clear" w:color="auto" w:fill="auto"/>
            <w:vAlign w:val="center"/>
            <w:hideMark/>
          </w:tcPr>
          <w:p w14:paraId="0EB10CB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444" w:type="pct"/>
            <w:tcBorders>
              <w:top w:val="nil"/>
              <w:left w:val="nil"/>
              <w:bottom w:val="single" w:sz="4" w:space="0" w:color="auto"/>
              <w:right w:val="single" w:sz="4" w:space="0" w:color="auto"/>
            </w:tcBorders>
            <w:shd w:val="clear" w:color="auto" w:fill="auto"/>
            <w:vAlign w:val="center"/>
            <w:hideMark/>
          </w:tcPr>
          <w:p w14:paraId="394245F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368" w:type="pct"/>
            <w:tcBorders>
              <w:top w:val="nil"/>
              <w:left w:val="nil"/>
              <w:bottom w:val="single" w:sz="4" w:space="0" w:color="auto"/>
              <w:right w:val="single" w:sz="4" w:space="0" w:color="auto"/>
            </w:tcBorders>
            <w:shd w:val="clear" w:color="auto" w:fill="auto"/>
            <w:vAlign w:val="center"/>
            <w:hideMark/>
          </w:tcPr>
          <w:p w14:paraId="3E82DB0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73</w:t>
            </w:r>
          </w:p>
        </w:tc>
        <w:tc>
          <w:tcPr>
            <w:tcW w:w="297" w:type="pct"/>
            <w:vMerge/>
            <w:tcBorders>
              <w:top w:val="nil"/>
              <w:left w:val="single" w:sz="4" w:space="0" w:color="auto"/>
              <w:bottom w:val="single" w:sz="4" w:space="0" w:color="auto"/>
              <w:right w:val="single" w:sz="4" w:space="0" w:color="auto"/>
            </w:tcBorders>
            <w:vAlign w:val="center"/>
            <w:hideMark/>
          </w:tcPr>
          <w:p w14:paraId="3D18EA77"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7107B459"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76A62F87"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607A3EA9"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4CC2B388"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646E55F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UAPA - VIGENCIA ACTUAL</w:t>
            </w:r>
          </w:p>
        </w:tc>
        <w:tc>
          <w:tcPr>
            <w:tcW w:w="394" w:type="pct"/>
            <w:tcBorders>
              <w:top w:val="nil"/>
              <w:left w:val="nil"/>
              <w:bottom w:val="single" w:sz="4" w:space="0" w:color="auto"/>
              <w:right w:val="single" w:sz="4" w:space="0" w:color="auto"/>
            </w:tcBorders>
            <w:shd w:val="clear" w:color="auto" w:fill="auto"/>
            <w:vAlign w:val="center"/>
            <w:hideMark/>
          </w:tcPr>
          <w:p w14:paraId="77E43A8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$3.483</w:t>
            </w:r>
          </w:p>
        </w:tc>
        <w:tc>
          <w:tcPr>
            <w:tcW w:w="438" w:type="pct"/>
            <w:tcBorders>
              <w:top w:val="nil"/>
              <w:left w:val="nil"/>
              <w:bottom w:val="single" w:sz="4" w:space="0" w:color="auto"/>
              <w:right w:val="single" w:sz="4" w:space="0" w:color="auto"/>
            </w:tcBorders>
            <w:shd w:val="clear" w:color="auto" w:fill="auto"/>
            <w:vAlign w:val="center"/>
            <w:hideMark/>
          </w:tcPr>
          <w:p w14:paraId="09A6DC9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389" w:type="pct"/>
            <w:tcBorders>
              <w:top w:val="nil"/>
              <w:left w:val="nil"/>
              <w:bottom w:val="single" w:sz="4" w:space="0" w:color="auto"/>
              <w:right w:val="single" w:sz="4" w:space="0" w:color="auto"/>
            </w:tcBorders>
            <w:shd w:val="clear" w:color="auto" w:fill="auto"/>
            <w:vAlign w:val="center"/>
            <w:hideMark/>
          </w:tcPr>
          <w:p w14:paraId="6169242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444" w:type="pct"/>
            <w:tcBorders>
              <w:top w:val="nil"/>
              <w:left w:val="nil"/>
              <w:bottom w:val="single" w:sz="4" w:space="0" w:color="auto"/>
              <w:right w:val="single" w:sz="4" w:space="0" w:color="auto"/>
            </w:tcBorders>
            <w:shd w:val="clear" w:color="auto" w:fill="auto"/>
            <w:vAlign w:val="center"/>
            <w:hideMark/>
          </w:tcPr>
          <w:p w14:paraId="199CFF2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368" w:type="pct"/>
            <w:tcBorders>
              <w:top w:val="nil"/>
              <w:left w:val="nil"/>
              <w:bottom w:val="single" w:sz="4" w:space="0" w:color="auto"/>
              <w:right w:val="single" w:sz="4" w:space="0" w:color="auto"/>
            </w:tcBorders>
            <w:shd w:val="clear" w:color="auto" w:fill="auto"/>
            <w:vAlign w:val="center"/>
            <w:hideMark/>
          </w:tcPr>
          <w:p w14:paraId="36F649B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73</w:t>
            </w:r>
          </w:p>
        </w:tc>
        <w:tc>
          <w:tcPr>
            <w:tcW w:w="297" w:type="pct"/>
            <w:vMerge/>
            <w:tcBorders>
              <w:top w:val="nil"/>
              <w:left w:val="single" w:sz="4" w:space="0" w:color="auto"/>
              <w:bottom w:val="single" w:sz="4" w:space="0" w:color="auto"/>
              <w:right w:val="single" w:sz="4" w:space="0" w:color="auto"/>
            </w:tcBorders>
            <w:vAlign w:val="center"/>
            <w:hideMark/>
          </w:tcPr>
          <w:p w14:paraId="21771906"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26F1C6B2" w14:textId="77777777" w:rsidTr="00A20990">
        <w:trPr>
          <w:trHeight w:val="900"/>
          <w:jc w:val="center"/>
        </w:trPr>
        <w:tc>
          <w:tcPr>
            <w:tcW w:w="321" w:type="pct"/>
            <w:vMerge/>
            <w:tcBorders>
              <w:top w:val="nil"/>
              <w:left w:val="single" w:sz="4" w:space="0" w:color="auto"/>
              <w:bottom w:val="single" w:sz="4" w:space="0" w:color="auto"/>
              <w:right w:val="single" w:sz="4" w:space="0" w:color="auto"/>
            </w:tcBorders>
            <w:vAlign w:val="center"/>
            <w:hideMark/>
          </w:tcPr>
          <w:p w14:paraId="4F9EAAE0" w14:textId="77777777" w:rsidR="00A20990" w:rsidRPr="001A38D5" w:rsidRDefault="00A20990" w:rsidP="005140E1">
            <w:pPr>
              <w:contextualSpacing/>
              <w:jc w:val="center"/>
              <w:rPr>
                <w:rFonts w:eastAsia="Times New Roman" w:cs="Arial"/>
                <w:sz w:val="14"/>
                <w:szCs w:val="14"/>
                <w:lang w:val="es-CO" w:eastAsia="es-CO"/>
              </w:rPr>
            </w:pPr>
          </w:p>
        </w:tc>
        <w:tc>
          <w:tcPr>
            <w:tcW w:w="688" w:type="pct"/>
            <w:tcBorders>
              <w:top w:val="nil"/>
              <w:left w:val="single" w:sz="4" w:space="0" w:color="auto"/>
              <w:bottom w:val="single" w:sz="4" w:space="0" w:color="auto"/>
              <w:right w:val="single" w:sz="4" w:space="0" w:color="auto"/>
            </w:tcBorders>
            <w:shd w:val="clear" w:color="auto" w:fill="auto"/>
            <w:vAlign w:val="center"/>
            <w:hideMark/>
          </w:tcPr>
          <w:p w14:paraId="150E26A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PRORROGA Y ADICIÓN CONTRATO DE SUMINISTRO No. 939 DE 2021</w:t>
            </w:r>
          </w:p>
        </w:tc>
        <w:tc>
          <w:tcPr>
            <w:tcW w:w="471" w:type="pct"/>
            <w:vMerge/>
            <w:tcBorders>
              <w:top w:val="nil"/>
              <w:left w:val="single" w:sz="4" w:space="0" w:color="auto"/>
              <w:bottom w:val="single" w:sz="4" w:space="0" w:color="auto"/>
              <w:right w:val="single" w:sz="4" w:space="0" w:color="auto"/>
            </w:tcBorders>
            <w:vAlign w:val="center"/>
            <w:hideMark/>
          </w:tcPr>
          <w:p w14:paraId="5AEC7408"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3C2C41A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UAPA - VIGENCIA ACTUAL</w:t>
            </w:r>
          </w:p>
        </w:tc>
        <w:tc>
          <w:tcPr>
            <w:tcW w:w="394" w:type="pct"/>
            <w:tcBorders>
              <w:top w:val="nil"/>
              <w:left w:val="nil"/>
              <w:bottom w:val="single" w:sz="4" w:space="0" w:color="auto"/>
              <w:right w:val="single" w:sz="4" w:space="0" w:color="auto"/>
            </w:tcBorders>
            <w:shd w:val="clear" w:color="auto" w:fill="auto"/>
            <w:vAlign w:val="center"/>
            <w:hideMark/>
          </w:tcPr>
          <w:p w14:paraId="08E083D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$532</w:t>
            </w:r>
          </w:p>
        </w:tc>
        <w:tc>
          <w:tcPr>
            <w:tcW w:w="438" w:type="pct"/>
            <w:tcBorders>
              <w:top w:val="nil"/>
              <w:left w:val="nil"/>
              <w:bottom w:val="single" w:sz="4" w:space="0" w:color="auto"/>
              <w:right w:val="single" w:sz="4" w:space="0" w:color="auto"/>
            </w:tcBorders>
            <w:shd w:val="clear" w:color="auto" w:fill="auto"/>
            <w:vAlign w:val="center"/>
            <w:hideMark/>
          </w:tcPr>
          <w:p w14:paraId="282E512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389" w:type="pct"/>
            <w:tcBorders>
              <w:top w:val="nil"/>
              <w:left w:val="nil"/>
              <w:bottom w:val="single" w:sz="4" w:space="0" w:color="auto"/>
              <w:right w:val="single" w:sz="4" w:space="0" w:color="auto"/>
            </w:tcBorders>
            <w:shd w:val="clear" w:color="auto" w:fill="auto"/>
            <w:vAlign w:val="center"/>
            <w:hideMark/>
          </w:tcPr>
          <w:p w14:paraId="13EB352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444" w:type="pct"/>
            <w:tcBorders>
              <w:top w:val="nil"/>
              <w:left w:val="nil"/>
              <w:bottom w:val="single" w:sz="4" w:space="0" w:color="auto"/>
              <w:right w:val="single" w:sz="4" w:space="0" w:color="auto"/>
            </w:tcBorders>
            <w:shd w:val="clear" w:color="auto" w:fill="auto"/>
            <w:vAlign w:val="center"/>
            <w:hideMark/>
          </w:tcPr>
          <w:p w14:paraId="4163150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13/04/2021</w:t>
            </w:r>
          </w:p>
        </w:tc>
        <w:tc>
          <w:tcPr>
            <w:tcW w:w="368" w:type="pct"/>
            <w:tcBorders>
              <w:top w:val="nil"/>
              <w:left w:val="nil"/>
              <w:bottom w:val="single" w:sz="4" w:space="0" w:color="auto"/>
              <w:right w:val="single" w:sz="4" w:space="0" w:color="auto"/>
            </w:tcBorders>
            <w:shd w:val="clear" w:color="auto" w:fill="auto"/>
            <w:vAlign w:val="center"/>
            <w:hideMark/>
          </w:tcPr>
          <w:p w14:paraId="112A6AB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w:t>
            </w:r>
          </w:p>
        </w:tc>
        <w:tc>
          <w:tcPr>
            <w:tcW w:w="297" w:type="pct"/>
            <w:vMerge/>
            <w:tcBorders>
              <w:top w:val="nil"/>
              <w:left w:val="single" w:sz="4" w:space="0" w:color="auto"/>
              <w:bottom w:val="single" w:sz="4" w:space="0" w:color="auto"/>
              <w:right w:val="single" w:sz="4" w:space="0" w:color="auto"/>
            </w:tcBorders>
            <w:vAlign w:val="center"/>
            <w:hideMark/>
          </w:tcPr>
          <w:p w14:paraId="234B9DCF"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5BF7E09C"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246072DB"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14:paraId="23230D6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SELECCION ABREVIADA - ACUERDOS MARCO DE PRECIOS, CONTRATO DE SUMINISTRO No. 1346 DE 2021</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12C5299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ALMACENES ÉXITO S.A NIT. 890.900.608</w:t>
            </w:r>
          </w:p>
        </w:tc>
        <w:tc>
          <w:tcPr>
            <w:tcW w:w="1191" w:type="pct"/>
            <w:tcBorders>
              <w:top w:val="nil"/>
              <w:left w:val="nil"/>
              <w:bottom w:val="single" w:sz="4" w:space="0" w:color="auto"/>
              <w:right w:val="single" w:sz="4" w:space="0" w:color="auto"/>
            </w:tcBorders>
            <w:shd w:val="clear" w:color="auto" w:fill="auto"/>
            <w:vAlign w:val="center"/>
            <w:hideMark/>
          </w:tcPr>
          <w:p w14:paraId="30D865A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COFINANCIACION ALIMENTACION ESCOLAR - CONPES LEY 1530 DE 2012 ARTICULO 145 VIGENCIA ACTUAL</w:t>
            </w:r>
          </w:p>
        </w:tc>
        <w:tc>
          <w:tcPr>
            <w:tcW w:w="394" w:type="pct"/>
            <w:tcBorders>
              <w:top w:val="nil"/>
              <w:left w:val="nil"/>
              <w:bottom w:val="single" w:sz="4" w:space="0" w:color="auto"/>
              <w:right w:val="single" w:sz="4" w:space="0" w:color="auto"/>
            </w:tcBorders>
            <w:shd w:val="clear" w:color="auto" w:fill="auto"/>
            <w:vAlign w:val="center"/>
            <w:hideMark/>
          </w:tcPr>
          <w:p w14:paraId="78C0D0E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$164</w:t>
            </w:r>
          </w:p>
        </w:tc>
        <w:tc>
          <w:tcPr>
            <w:tcW w:w="438" w:type="pct"/>
            <w:tcBorders>
              <w:top w:val="nil"/>
              <w:left w:val="nil"/>
              <w:bottom w:val="single" w:sz="4" w:space="0" w:color="auto"/>
              <w:right w:val="single" w:sz="4" w:space="0" w:color="auto"/>
            </w:tcBorders>
            <w:shd w:val="clear" w:color="auto" w:fill="auto"/>
            <w:vAlign w:val="center"/>
            <w:hideMark/>
          </w:tcPr>
          <w:p w14:paraId="181ACC7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16/07/2021</w:t>
            </w:r>
          </w:p>
        </w:tc>
        <w:tc>
          <w:tcPr>
            <w:tcW w:w="389" w:type="pct"/>
            <w:tcBorders>
              <w:top w:val="nil"/>
              <w:left w:val="nil"/>
              <w:bottom w:val="single" w:sz="4" w:space="0" w:color="auto"/>
              <w:right w:val="single" w:sz="4" w:space="0" w:color="auto"/>
            </w:tcBorders>
            <w:shd w:val="clear" w:color="auto" w:fill="auto"/>
            <w:vAlign w:val="center"/>
            <w:hideMark/>
          </w:tcPr>
          <w:p w14:paraId="5723B57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21/07/2021</w:t>
            </w:r>
          </w:p>
        </w:tc>
        <w:tc>
          <w:tcPr>
            <w:tcW w:w="444" w:type="pct"/>
            <w:tcBorders>
              <w:top w:val="nil"/>
              <w:left w:val="nil"/>
              <w:bottom w:val="single" w:sz="4" w:space="0" w:color="auto"/>
              <w:right w:val="single" w:sz="4" w:space="0" w:color="auto"/>
            </w:tcBorders>
            <w:shd w:val="clear" w:color="auto" w:fill="auto"/>
            <w:vAlign w:val="center"/>
            <w:hideMark/>
          </w:tcPr>
          <w:p w14:paraId="0FF4AEA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31/08/2021</w:t>
            </w:r>
          </w:p>
        </w:tc>
        <w:tc>
          <w:tcPr>
            <w:tcW w:w="368" w:type="pct"/>
            <w:tcBorders>
              <w:top w:val="nil"/>
              <w:left w:val="nil"/>
              <w:bottom w:val="single" w:sz="4" w:space="0" w:color="auto"/>
              <w:right w:val="single" w:sz="4" w:space="0" w:color="auto"/>
            </w:tcBorders>
            <w:shd w:val="clear" w:color="auto" w:fill="auto"/>
            <w:vAlign w:val="center"/>
            <w:hideMark/>
          </w:tcPr>
          <w:p w14:paraId="38DE220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w:t>
            </w:r>
          </w:p>
        </w:tc>
        <w:tc>
          <w:tcPr>
            <w:tcW w:w="297" w:type="pct"/>
            <w:vMerge/>
            <w:tcBorders>
              <w:top w:val="nil"/>
              <w:left w:val="single" w:sz="4" w:space="0" w:color="auto"/>
              <w:bottom w:val="single" w:sz="4" w:space="0" w:color="auto"/>
              <w:right w:val="single" w:sz="4" w:space="0" w:color="auto"/>
            </w:tcBorders>
            <w:vAlign w:val="center"/>
            <w:hideMark/>
          </w:tcPr>
          <w:p w14:paraId="3CCB3D35"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29D5D7CC" w14:textId="77777777" w:rsidTr="00A20990">
        <w:trPr>
          <w:trHeight w:val="225"/>
          <w:jc w:val="center"/>
        </w:trPr>
        <w:tc>
          <w:tcPr>
            <w:tcW w:w="321" w:type="pct"/>
            <w:vMerge/>
            <w:tcBorders>
              <w:top w:val="nil"/>
              <w:left w:val="single" w:sz="4" w:space="0" w:color="auto"/>
              <w:bottom w:val="single" w:sz="4" w:space="0" w:color="auto"/>
              <w:right w:val="single" w:sz="4" w:space="0" w:color="auto"/>
            </w:tcBorders>
            <w:vAlign w:val="center"/>
            <w:hideMark/>
          </w:tcPr>
          <w:p w14:paraId="4F70B004"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311D6025"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4EFE4B59"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0C9D825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RENDIMIENTOS FINANCIEROS</w:t>
            </w:r>
          </w:p>
        </w:tc>
        <w:tc>
          <w:tcPr>
            <w:tcW w:w="394" w:type="pct"/>
            <w:tcBorders>
              <w:top w:val="nil"/>
              <w:left w:val="nil"/>
              <w:bottom w:val="single" w:sz="4" w:space="0" w:color="auto"/>
              <w:right w:val="single" w:sz="4" w:space="0" w:color="auto"/>
            </w:tcBorders>
            <w:shd w:val="clear" w:color="auto" w:fill="auto"/>
            <w:vAlign w:val="center"/>
            <w:hideMark/>
          </w:tcPr>
          <w:p w14:paraId="119E9B8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$11</w:t>
            </w:r>
          </w:p>
        </w:tc>
        <w:tc>
          <w:tcPr>
            <w:tcW w:w="438" w:type="pct"/>
            <w:tcBorders>
              <w:top w:val="nil"/>
              <w:left w:val="nil"/>
              <w:bottom w:val="single" w:sz="4" w:space="0" w:color="auto"/>
              <w:right w:val="single" w:sz="4" w:space="0" w:color="auto"/>
            </w:tcBorders>
            <w:shd w:val="clear" w:color="auto" w:fill="auto"/>
            <w:vAlign w:val="center"/>
            <w:hideMark/>
          </w:tcPr>
          <w:p w14:paraId="0CC2366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16/07/2021</w:t>
            </w:r>
          </w:p>
        </w:tc>
        <w:tc>
          <w:tcPr>
            <w:tcW w:w="389" w:type="pct"/>
            <w:tcBorders>
              <w:top w:val="nil"/>
              <w:left w:val="nil"/>
              <w:bottom w:val="single" w:sz="4" w:space="0" w:color="auto"/>
              <w:right w:val="single" w:sz="4" w:space="0" w:color="auto"/>
            </w:tcBorders>
            <w:shd w:val="clear" w:color="auto" w:fill="auto"/>
            <w:vAlign w:val="center"/>
            <w:hideMark/>
          </w:tcPr>
          <w:p w14:paraId="11AEFB5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21/07/2021</w:t>
            </w:r>
          </w:p>
        </w:tc>
        <w:tc>
          <w:tcPr>
            <w:tcW w:w="444" w:type="pct"/>
            <w:tcBorders>
              <w:top w:val="nil"/>
              <w:left w:val="nil"/>
              <w:bottom w:val="single" w:sz="4" w:space="0" w:color="auto"/>
              <w:right w:val="single" w:sz="4" w:space="0" w:color="auto"/>
            </w:tcBorders>
            <w:shd w:val="clear" w:color="auto" w:fill="auto"/>
            <w:vAlign w:val="center"/>
            <w:hideMark/>
          </w:tcPr>
          <w:p w14:paraId="00EE241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31/08/2021</w:t>
            </w:r>
          </w:p>
        </w:tc>
        <w:tc>
          <w:tcPr>
            <w:tcW w:w="368" w:type="pct"/>
            <w:tcBorders>
              <w:top w:val="nil"/>
              <w:left w:val="nil"/>
              <w:bottom w:val="single" w:sz="4" w:space="0" w:color="auto"/>
              <w:right w:val="single" w:sz="4" w:space="0" w:color="auto"/>
            </w:tcBorders>
            <w:shd w:val="clear" w:color="auto" w:fill="auto"/>
            <w:vAlign w:val="center"/>
            <w:hideMark/>
          </w:tcPr>
          <w:p w14:paraId="4AEB18C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w:t>
            </w:r>
          </w:p>
        </w:tc>
        <w:tc>
          <w:tcPr>
            <w:tcW w:w="297" w:type="pct"/>
            <w:vMerge/>
            <w:tcBorders>
              <w:top w:val="nil"/>
              <w:left w:val="single" w:sz="4" w:space="0" w:color="auto"/>
              <w:bottom w:val="single" w:sz="4" w:space="0" w:color="auto"/>
              <w:right w:val="single" w:sz="4" w:space="0" w:color="auto"/>
            </w:tcBorders>
            <w:vAlign w:val="center"/>
            <w:hideMark/>
          </w:tcPr>
          <w:p w14:paraId="3822CB16"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2705A7DE"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0BC4678F"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08C58024"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1BD1987B"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52D3716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ONCE DOCEAVAS VIGENCIA ACTUAL MAS ULTIMA DOCEAVA VIGENCIA ANTERIOR</w:t>
            </w:r>
          </w:p>
        </w:tc>
        <w:tc>
          <w:tcPr>
            <w:tcW w:w="394" w:type="pct"/>
            <w:tcBorders>
              <w:top w:val="nil"/>
              <w:left w:val="nil"/>
              <w:bottom w:val="single" w:sz="4" w:space="0" w:color="auto"/>
              <w:right w:val="single" w:sz="4" w:space="0" w:color="auto"/>
            </w:tcBorders>
            <w:shd w:val="clear" w:color="auto" w:fill="auto"/>
            <w:vAlign w:val="center"/>
            <w:hideMark/>
          </w:tcPr>
          <w:p w14:paraId="14B1C07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$852</w:t>
            </w:r>
          </w:p>
        </w:tc>
        <w:tc>
          <w:tcPr>
            <w:tcW w:w="438" w:type="pct"/>
            <w:tcBorders>
              <w:top w:val="nil"/>
              <w:left w:val="nil"/>
              <w:bottom w:val="single" w:sz="4" w:space="0" w:color="auto"/>
              <w:right w:val="single" w:sz="4" w:space="0" w:color="auto"/>
            </w:tcBorders>
            <w:shd w:val="clear" w:color="auto" w:fill="auto"/>
            <w:vAlign w:val="center"/>
            <w:hideMark/>
          </w:tcPr>
          <w:p w14:paraId="0231D62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16/07/2021</w:t>
            </w:r>
          </w:p>
        </w:tc>
        <w:tc>
          <w:tcPr>
            <w:tcW w:w="389" w:type="pct"/>
            <w:tcBorders>
              <w:top w:val="nil"/>
              <w:left w:val="nil"/>
              <w:bottom w:val="single" w:sz="4" w:space="0" w:color="auto"/>
              <w:right w:val="single" w:sz="4" w:space="0" w:color="auto"/>
            </w:tcBorders>
            <w:shd w:val="clear" w:color="auto" w:fill="auto"/>
            <w:vAlign w:val="center"/>
            <w:hideMark/>
          </w:tcPr>
          <w:p w14:paraId="4CF2254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21/07/2021</w:t>
            </w:r>
          </w:p>
        </w:tc>
        <w:tc>
          <w:tcPr>
            <w:tcW w:w="444" w:type="pct"/>
            <w:tcBorders>
              <w:top w:val="nil"/>
              <w:left w:val="nil"/>
              <w:bottom w:val="single" w:sz="4" w:space="0" w:color="auto"/>
              <w:right w:val="single" w:sz="4" w:space="0" w:color="auto"/>
            </w:tcBorders>
            <w:shd w:val="clear" w:color="auto" w:fill="auto"/>
            <w:vAlign w:val="center"/>
            <w:hideMark/>
          </w:tcPr>
          <w:p w14:paraId="008C359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31/08/2021</w:t>
            </w:r>
          </w:p>
        </w:tc>
        <w:tc>
          <w:tcPr>
            <w:tcW w:w="368" w:type="pct"/>
            <w:tcBorders>
              <w:top w:val="nil"/>
              <w:left w:val="nil"/>
              <w:bottom w:val="single" w:sz="4" w:space="0" w:color="auto"/>
              <w:right w:val="single" w:sz="4" w:space="0" w:color="auto"/>
            </w:tcBorders>
            <w:shd w:val="clear" w:color="auto" w:fill="auto"/>
            <w:vAlign w:val="center"/>
            <w:hideMark/>
          </w:tcPr>
          <w:p w14:paraId="1DEFA4F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w:t>
            </w:r>
          </w:p>
        </w:tc>
        <w:tc>
          <w:tcPr>
            <w:tcW w:w="297" w:type="pct"/>
            <w:vMerge/>
            <w:tcBorders>
              <w:top w:val="nil"/>
              <w:left w:val="single" w:sz="4" w:space="0" w:color="auto"/>
              <w:bottom w:val="single" w:sz="4" w:space="0" w:color="auto"/>
              <w:right w:val="single" w:sz="4" w:space="0" w:color="auto"/>
            </w:tcBorders>
            <w:vAlign w:val="center"/>
            <w:hideMark/>
          </w:tcPr>
          <w:p w14:paraId="0D984E6F"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1E837236"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1F05BFF0"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3AA11292"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50524BF5"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0038E12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SALDOS NO EJECUTADOS VIGENCIAS ANTERIORES</w:t>
            </w:r>
          </w:p>
        </w:tc>
        <w:tc>
          <w:tcPr>
            <w:tcW w:w="394" w:type="pct"/>
            <w:tcBorders>
              <w:top w:val="nil"/>
              <w:left w:val="nil"/>
              <w:bottom w:val="single" w:sz="4" w:space="0" w:color="auto"/>
              <w:right w:val="single" w:sz="4" w:space="0" w:color="auto"/>
            </w:tcBorders>
            <w:shd w:val="clear" w:color="auto" w:fill="auto"/>
            <w:vAlign w:val="center"/>
            <w:hideMark/>
          </w:tcPr>
          <w:p w14:paraId="2122654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$86</w:t>
            </w:r>
          </w:p>
        </w:tc>
        <w:tc>
          <w:tcPr>
            <w:tcW w:w="438" w:type="pct"/>
            <w:tcBorders>
              <w:top w:val="nil"/>
              <w:left w:val="nil"/>
              <w:bottom w:val="single" w:sz="4" w:space="0" w:color="auto"/>
              <w:right w:val="single" w:sz="4" w:space="0" w:color="auto"/>
            </w:tcBorders>
            <w:shd w:val="clear" w:color="auto" w:fill="auto"/>
            <w:vAlign w:val="center"/>
            <w:hideMark/>
          </w:tcPr>
          <w:p w14:paraId="3F93C23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16/07/2021</w:t>
            </w:r>
          </w:p>
        </w:tc>
        <w:tc>
          <w:tcPr>
            <w:tcW w:w="389" w:type="pct"/>
            <w:tcBorders>
              <w:top w:val="nil"/>
              <w:left w:val="nil"/>
              <w:bottom w:val="single" w:sz="4" w:space="0" w:color="auto"/>
              <w:right w:val="single" w:sz="4" w:space="0" w:color="auto"/>
            </w:tcBorders>
            <w:shd w:val="clear" w:color="auto" w:fill="auto"/>
            <w:vAlign w:val="center"/>
            <w:hideMark/>
          </w:tcPr>
          <w:p w14:paraId="228E780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21/07/2021</w:t>
            </w:r>
          </w:p>
        </w:tc>
        <w:tc>
          <w:tcPr>
            <w:tcW w:w="444" w:type="pct"/>
            <w:tcBorders>
              <w:top w:val="nil"/>
              <w:left w:val="nil"/>
              <w:bottom w:val="single" w:sz="4" w:space="0" w:color="auto"/>
              <w:right w:val="single" w:sz="4" w:space="0" w:color="auto"/>
            </w:tcBorders>
            <w:shd w:val="clear" w:color="auto" w:fill="auto"/>
            <w:vAlign w:val="center"/>
            <w:hideMark/>
          </w:tcPr>
          <w:p w14:paraId="4EA0237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31/08/2021</w:t>
            </w:r>
          </w:p>
        </w:tc>
        <w:tc>
          <w:tcPr>
            <w:tcW w:w="368" w:type="pct"/>
            <w:tcBorders>
              <w:top w:val="nil"/>
              <w:left w:val="nil"/>
              <w:bottom w:val="single" w:sz="4" w:space="0" w:color="auto"/>
              <w:right w:val="single" w:sz="4" w:space="0" w:color="auto"/>
            </w:tcBorders>
            <w:shd w:val="clear" w:color="auto" w:fill="auto"/>
            <w:vAlign w:val="center"/>
            <w:hideMark/>
          </w:tcPr>
          <w:p w14:paraId="707CCA5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w:t>
            </w:r>
          </w:p>
        </w:tc>
        <w:tc>
          <w:tcPr>
            <w:tcW w:w="297" w:type="pct"/>
            <w:vMerge/>
            <w:tcBorders>
              <w:top w:val="nil"/>
              <w:left w:val="single" w:sz="4" w:space="0" w:color="auto"/>
              <w:bottom w:val="single" w:sz="4" w:space="0" w:color="auto"/>
              <w:right w:val="single" w:sz="4" w:space="0" w:color="auto"/>
            </w:tcBorders>
            <w:vAlign w:val="center"/>
            <w:hideMark/>
          </w:tcPr>
          <w:p w14:paraId="7E6C5EF2"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6E0EAD79"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33C144AE"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1874907E"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4AD7FDFA"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5B372F3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UAPA - VIGENCIA ACTUAL</w:t>
            </w:r>
          </w:p>
        </w:tc>
        <w:tc>
          <w:tcPr>
            <w:tcW w:w="394" w:type="pct"/>
            <w:tcBorders>
              <w:top w:val="nil"/>
              <w:left w:val="nil"/>
              <w:bottom w:val="single" w:sz="4" w:space="0" w:color="auto"/>
              <w:right w:val="single" w:sz="4" w:space="0" w:color="auto"/>
            </w:tcBorders>
            <w:shd w:val="clear" w:color="auto" w:fill="auto"/>
            <w:vAlign w:val="center"/>
            <w:hideMark/>
          </w:tcPr>
          <w:p w14:paraId="6F1C4C0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$1.380</w:t>
            </w:r>
          </w:p>
        </w:tc>
        <w:tc>
          <w:tcPr>
            <w:tcW w:w="438" w:type="pct"/>
            <w:tcBorders>
              <w:top w:val="nil"/>
              <w:left w:val="nil"/>
              <w:bottom w:val="single" w:sz="4" w:space="0" w:color="auto"/>
              <w:right w:val="single" w:sz="4" w:space="0" w:color="auto"/>
            </w:tcBorders>
            <w:shd w:val="clear" w:color="auto" w:fill="auto"/>
            <w:vAlign w:val="center"/>
            <w:hideMark/>
          </w:tcPr>
          <w:p w14:paraId="2B9E18C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16/07/2021</w:t>
            </w:r>
          </w:p>
        </w:tc>
        <w:tc>
          <w:tcPr>
            <w:tcW w:w="389" w:type="pct"/>
            <w:tcBorders>
              <w:top w:val="nil"/>
              <w:left w:val="nil"/>
              <w:bottom w:val="single" w:sz="4" w:space="0" w:color="auto"/>
              <w:right w:val="single" w:sz="4" w:space="0" w:color="auto"/>
            </w:tcBorders>
            <w:shd w:val="clear" w:color="auto" w:fill="auto"/>
            <w:vAlign w:val="center"/>
            <w:hideMark/>
          </w:tcPr>
          <w:p w14:paraId="6B28D7D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21/07/2021</w:t>
            </w:r>
          </w:p>
        </w:tc>
        <w:tc>
          <w:tcPr>
            <w:tcW w:w="444" w:type="pct"/>
            <w:tcBorders>
              <w:top w:val="nil"/>
              <w:left w:val="nil"/>
              <w:bottom w:val="single" w:sz="4" w:space="0" w:color="auto"/>
              <w:right w:val="single" w:sz="4" w:space="0" w:color="auto"/>
            </w:tcBorders>
            <w:shd w:val="clear" w:color="auto" w:fill="auto"/>
            <w:vAlign w:val="center"/>
            <w:hideMark/>
          </w:tcPr>
          <w:p w14:paraId="18EE302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31/08/2021</w:t>
            </w:r>
          </w:p>
        </w:tc>
        <w:tc>
          <w:tcPr>
            <w:tcW w:w="368" w:type="pct"/>
            <w:tcBorders>
              <w:top w:val="nil"/>
              <w:left w:val="nil"/>
              <w:bottom w:val="single" w:sz="4" w:space="0" w:color="auto"/>
              <w:right w:val="single" w:sz="4" w:space="0" w:color="auto"/>
            </w:tcBorders>
            <w:shd w:val="clear" w:color="auto" w:fill="auto"/>
            <w:vAlign w:val="center"/>
            <w:hideMark/>
          </w:tcPr>
          <w:p w14:paraId="04B8F26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w:t>
            </w:r>
          </w:p>
        </w:tc>
        <w:tc>
          <w:tcPr>
            <w:tcW w:w="297" w:type="pct"/>
            <w:vMerge/>
            <w:tcBorders>
              <w:top w:val="nil"/>
              <w:left w:val="single" w:sz="4" w:space="0" w:color="auto"/>
              <w:bottom w:val="single" w:sz="4" w:space="0" w:color="auto"/>
              <w:right w:val="single" w:sz="4" w:space="0" w:color="auto"/>
            </w:tcBorders>
            <w:vAlign w:val="center"/>
            <w:hideMark/>
          </w:tcPr>
          <w:p w14:paraId="4638046D"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79FDAA6B" w14:textId="77777777" w:rsidTr="00A20990">
        <w:trPr>
          <w:trHeight w:val="225"/>
          <w:jc w:val="center"/>
        </w:trPr>
        <w:tc>
          <w:tcPr>
            <w:tcW w:w="321" w:type="pct"/>
            <w:vMerge/>
            <w:tcBorders>
              <w:top w:val="nil"/>
              <w:left w:val="single" w:sz="4" w:space="0" w:color="auto"/>
              <w:bottom w:val="single" w:sz="4" w:space="0" w:color="auto"/>
              <w:right w:val="single" w:sz="4" w:space="0" w:color="auto"/>
            </w:tcBorders>
            <w:vAlign w:val="center"/>
            <w:hideMark/>
          </w:tcPr>
          <w:p w14:paraId="44220008"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6767FD28"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1B67E7F6"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7C3A889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RENDIMIENTOS FINANCIEROS</w:t>
            </w:r>
          </w:p>
        </w:tc>
        <w:tc>
          <w:tcPr>
            <w:tcW w:w="394" w:type="pct"/>
            <w:tcBorders>
              <w:top w:val="nil"/>
              <w:left w:val="nil"/>
              <w:bottom w:val="single" w:sz="4" w:space="0" w:color="auto"/>
              <w:right w:val="single" w:sz="4" w:space="0" w:color="auto"/>
            </w:tcBorders>
            <w:shd w:val="clear" w:color="auto" w:fill="auto"/>
            <w:vAlign w:val="center"/>
            <w:hideMark/>
          </w:tcPr>
          <w:p w14:paraId="6C96892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$87</w:t>
            </w:r>
          </w:p>
        </w:tc>
        <w:tc>
          <w:tcPr>
            <w:tcW w:w="438" w:type="pct"/>
            <w:tcBorders>
              <w:top w:val="nil"/>
              <w:left w:val="nil"/>
              <w:bottom w:val="single" w:sz="4" w:space="0" w:color="auto"/>
              <w:right w:val="single" w:sz="4" w:space="0" w:color="auto"/>
            </w:tcBorders>
            <w:shd w:val="clear" w:color="auto" w:fill="auto"/>
            <w:vAlign w:val="center"/>
            <w:hideMark/>
          </w:tcPr>
          <w:p w14:paraId="661892E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16/07/2021</w:t>
            </w:r>
          </w:p>
        </w:tc>
        <w:tc>
          <w:tcPr>
            <w:tcW w:w="389" w:type="pct"/>
            <w:tcBorders>
              <w:top w:val="nil"/>
              <w:left w:val="nil"/>
              <w:bottom w:val="single" w:sz="4" w:space="0" w:color="auto"/>
              <w:right w:val="single" w:sz="4" w:space="0" w:color="auto"/>
            </w:tcBorders>
            <w:shd w:val="clear" w:color="auto" w:fill="auto"/>
            <w:vAlign w:val="center"/>
            <w:hideMark/>
          </w:tcPr>
          <w:p w14:paraId="57C7A95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21/07/2021</w:t>
            </w:r>
          </w:p>
        </w:tc>
        <w:tc>
          <w:tcPr>
            <w:tcW w:w="444" w:type="pct"/>
            <w:tcBorders>
              <w:top w:val="nil"/>
              <w:left w:val="nil"/>
              <w:bottom w:val="single" w:sz="4" w:space="0" w:color="auto"/>
              <w:right w:val="single" w:sz="4" w:space="0" w:color="auto"/>
            </w:tcBorders>
            <w:shd w:val="clear" w:color="auto" w:fill="auto"/>
            <w:vAlign w:val="center"/>
            <w:hideMark/>
          </w:tcPr>
          <w:p w14:paraId="21B936A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31/08/2021</w:t>
            </w:r>
          </w:p>
        </w:tc>
        <w:tc>
          <w:tcPr>
            <w:tcW w:w="368" w:type="pct"/>
            <w:tcBorders>
              <w:top w:val="nil"/>
              <w:left w:val="nil"/>
              <w:bottom w:val="single" w:sz="4" w:space="0" w:color="auto"/>
              <w:right w:val="single" w:sz="4" w:space="0" w:color="auto"/>
            </w:tcBorders>
            <w:shd w:val="clear" w:color="auto" w:fill="auto"/>
            <w:vAlign w:val="center"/>
            <w:hideMark/>
          </w:tcPr>
          <w:p w14:paraId="597213F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w:t>
            </w:r>
          </w:p>
        </w:tc>
        <w:tc>
          <w:tcPr>
            <w:tcW w:w="297" w:type="pct"/>
            <w:vMerge/>
            <w:tcBorders>
              <w:top w:val="nil"/>
              <w:left w:val="single" w:sz="4" w:space="0" w:color="auto"/>
              <w:bottom w:val="single" w:sz="4" w:space="0" w:color="auto"/>
              <w:right w:val="single" w:sz="4" w:space="0" w:color="auto"/>
            </w:tcBorders>
            <w:vAlign w:val="center"/>
            <w:hideMark/>
          </w:tcPr>
          <w:p w14:paraId="08748ACE"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2DA4C7BF"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137FC3CF"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27879645"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179CA624"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6F9E7B1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MEN / UAPA - VIGENCIAS ANTERIORES</w:t>
            </w:r>
          </w:p>
        </w:tc>
        <w:tc>
          <w:tcPr>
            <w:tcW w:w="394" w:type="pct"/>
            <w:tcBorders>
              <w:top w:val="nil"/>
              <w:left w:val="nil"/>
              <w:bottom w:val="single" w:sz="4" w:space="0" w:color="auto"/>
              <w:right w:val="single" w:sz="4" w:space="0" w:color="auto"/>
            </w:tcBorders>
            <w:shd w:val="clear" w:color="auto" w:fill="auto"/>
            <w:vAlign w:val="center"/>
            <w:hideMark/>
          </w:tcPr>
          <w:p w14:paraId="2DE4C3D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$1.337</w:t>
            </w:r>
          </w:p>
        </w:tc>
        <w:tc>
          <w:tcPr>
            <w:tcW w:w="438" w:type="pct"/>
            <w:tcBorders>
              <w:top w:val="nil"/>
              <w:left w:val="nil"/>
              <w:bottom w:val="single" w:sz="4" w:space="0" w:color="auto"/>
              <w:right w:val="single" w:sz="4" w:space="0" w:color="auto"/>
            </w:tcBorders>
            <w:shd w:val="clear" w:color="auto" w:fill="auto"/>
            <w:vAlign w:val="center"/>
            <w:hideMark/>
          </w:tcPr>
          <w:p w14:paraId="3C393E6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16/07/2021</w:t>
            </w:r>
          </w:p>
        </w:tc>
        <w:tc>
          <w:tcPr>
            <w:tcW w:w="389" w:type="pct"/>
            <w:tcBorders>
              <w:top w:val="nil"/>
              <w:left w:val="nil"/>
              <w:bottom w:val="single" w:sz="4" w:space="0" w:color="auto"/>
              <w:right w:val="single" w:sz="4" w:space="0" w:color="auto"/>
            </w:tcBorders>
            <w:shd w:val="clear" w:color="auto" w:fill="auto"/>
            <w:vAlign w:val="center"/>
            <w:hideMark/>
          </w:tcPr>
          <w:p w14:paraId="7B1C03E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21/07/2021</w:t>
            </w:r>
          </w:p>
        </w:tc>
        <w:tc>
          <w:tcPr>
            <w:tcW w:w="444" w:type="pct"/>
            <w:tcBorders>
              <w:top w:val="nil"/>
              <w:left w:val="nil"/>
              <w:bottom w:val="single" w:sz="4" w:space="0" w:color="auto"/>
              <w:right w:val="single" w:sz="4" w:space="0" w:color="auto"/>
            </w:tcBorders>
            <w:shd w:val="clear" w:color="auto" w:fill="auto"/>
            <w:vAlign w:val="center"/>
            <w:hideMark/>
          </w:tcPr>
          <w:p w14:paraId="7CCFADB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31/08/2021</w:t>
            </w:r>
          </w:p>
        </w:tc>
        <w:tc>
          <w:tcPr>
            <w:tcW w:w="368" w:type="pct"/>
            <w:tcBorders>
              <w:top w:val="nil"/>
              <w:left w:val="nil"/>
              <w:bottom w:val="single" w:sz="4" w:space="0" w:color="auto"/>
              <w:right w:val="single" w:sz="4" w:space="0" w:color="auto"/>
            </w:tcBorders>
            <w:shd w:val="clear" w:color="auto" w:fill="auto"/>
            <w:vAlign w:val="center"/>
            <w:hideMark/>
          </w:tcPr>
          <w:p w14:paraId="4648CAE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w:t>
            </w:r>
          </w:p>
        </w:tc>
        <w:tc>
          <w:tcPr>
            <w:tcW w:w="297" w:type="pct"/>
            <w:vMerge/>
            <w:tcBorders>
              <w:top w:val="nil"/>
              <w:left w:val="single" w:sz="4" w:space="0" w:color="auto"/>
              <w:bottom w:val="single" w:sz="4" w:space="0" w:color="auto"/>
              <w:right w:val="single" w:sz="4" w:space="0" w:color="auto"/>
            </w:tcBorders>
            <w:vAlign w:val="center"/>
            <w:hideMark/>
          </w:tcPr>
          <w:p w14:paraId="719CF660"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077D7C7B" w14:textId="77777777" w:rsidTr="00A20990">
        <w:trPr>
          <w:trHeight w:val="225"/>
          <w:jc w:val="center"/>
        </w:trPr>
        <w:tc>
          <w:tcPr>
            <w:tcW w:w="321" w:type="pct"/>
            <w:vMerge/>
            <w:tcBorders>
              <w:top w:val="nil"/>
              <w:left w:val="single" w:sz="4" w:space="0" w:color="auto"/>
              <w:bottom w:val="single" w:sz="4" w:space="0" w:color="auto"/>
              <w:right w:val="single" w:sz="4" w:space="0" w:color="auto"/>
            </w:tcBorders>
            <w:vAlign w:val="center"/>
            <w:hideMark/>
          </w:tcPr>
          <w:p w14:paraId="258FC26E"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1722B9D9"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2A40830A"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07EFDBD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RENDIMIENTOS FINANCIEROS</w:t>
            </w:r>
          </w:p>
        </w:tc>
        <w:tc>
          <w:tcPr>
            <w:tcW w:w="394" w:type="pct"/>
            <w:tcBorders>
              <w:top w:val="nil"/>
              <w:left w:val="nil"/>
              <w:bottom w:val="single" w:sz="4" w:space="0" w:color="auto"/>
              <w:right w:val="single" w:sz="4" w:space="0" w:color="auto"/>
            </w:tcBorders>
            <w:shd w:val="clear" w:color="auto" w:fill="auto"/>
            <w:vAlign w:val="center"/>
            <w:hideMark/>
          </w:tcPr>
          <w:p w14:paraId="17D2A73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w:t>
            </w:r>
          </w:p>
        </w:tc>
        <w:tc>
          <w:tcPr>
            <w:tcW w:w="438" w:type="pct"/>
            <w:tcBorders>
              <w:top w:val="nil"/>
              <w:left w:val="nil"/>
              <w:bottom w:val="single" w:sz="4" w:space="0" w:color="auto"/>
              <w:right w:val="single" w:sz="4" w:space="0" w:color="auto"/>
            </w:tcBorders>
            <w:shd w:val="clear" w:color="auto" w:fill="auto"/>
            <w:vAlign w:val="center"/>
            <w:hideMark/>
          </w:tcPr>
          <w:p w14:paraId="0764F0F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16/07/2021</w:t>
            </w:r>
          </w:p>
        </w:tc>
        <w:tc>
          <w:tcPr>
            <w:tcW w:w="389" w:type="pct"/>
            <w:tcBorders>
              <w:top w:val="nil"/>
              <w:left w:val="nil"/>
              <w:bottom w:val="single" w:sz="4" w:space="0" w:color="auto"/>
              <w:right w:val="single" w:sz="4" w:space="0" w:color="auto"/>
            </w:tcBorders>
            <w:shd w:val="clear" w:color="auto" w:fill="auto"/>
            <w:vAlign w:val="center"/>
            <w:hideMark/>
          </w:tcPr>
          <w:p w14:paraId="467C4E3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21/07/2021</w:t>
            </w:r>
          </w:p>
        </w:tc>
        <w:tc>
          <w:tcPr>
            <w:tcW w:w="444" w:type="pct"/>
            <w:tcBorders>
              <w:top w:val="nil"/>
              <w:left w:val="nil"/>
              <w:bottom w:val="single" w:sz="4" w:space="0" w:color="auto"/>
              <w:right w:val="single" w:sz="4" w:space="0" w:color="auto"/>
            </w:tcBorders>
            <w:shd w:val="clear" w:color="auto" w:fill="auto"/>
            <w:vAlign w:val="center"/>
            <w:hideMark/>
          </w:tcPr>
          <w:p w14:paraId="29D0F60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31/08/2021</w:t>
            </w:r>
          </w:p>
        </w:tc>
        <w:tc>
          <w:tcPr>
            <w:tcW w:w="368" w:type="pct"/>
            <w:tcBorders>
              <w:top w:val="nil"/>
              <w:left w:val="nil"/>
              <w:bottom w:val="single" w:sz="4" w:space="0" w:color="auto"/>
              <w:right w:val="single" w:sz="4" w:space="0" w:color="auto"/>
            </w:tcBorders>
            <w:shd w:val="clear" w:color="auto" w:fill="auto"/>
            <w:vAlign w:val="center"/>
            <w:hideMark/>
          </w:tcPr>
          <w:p w14:paraId="507A91C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w:t>
            </w:r>
          </w:p>
        </w:tc>
        <w:tc>
          <w:tcPr>
            <w:tcW w:w="297" w:type="pct"/>
            <w:vMerge/>
            <w:tcBorders>
              <w:top w:val="nil"/>
              <w:left w:val="single" w:sz="4" w:space="0" w:color="auto"/>
              <w:bottom w:val="single" w:sz="4" w:space="0" w:color="auto"/>
              <w:right w:val="single" w:sz="4" w:space="0" w:color="auto"/>
            </w:tcBorders>
            <w:vAlign w:val="center"/>
            <w:hideMark/>
          </w:tcPr>
          <w:p w14:paraId="09366997"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1CDA18C3" w14:textId="77777777" w:rsidTr="00A20990">
        <w:trPr>
          <w:trHeight w:val="540"/>
          <w:jc w:val="center"/>
        </w:trPr>
        <w:tc>
          <w:tcPr>
            <w:tcW w:w="321" w:type="pct"/>
            <w:vMerge/>
            <w:tcBorders>
              <w:top w:val="nil"/>
              <w:left w:val="single" w:sz="4" w:space="0" w:color="auto"/>
              <w:bottom w:val="single" w:sz="4" w:space="0" w:color="auto"/>
              <w:right w:val="single" w:sz="4" w:space="0" w:color="auto"/>
            </w:tcBorders>
            <w:vAlign w:val="center"/>
            <w:hideMark/>
          </w:tcPr>
          <w:p w14:paraId="741D3E1E" w14:textId="77777777" w:rsidR="00A20990" w:rsidRPr="001A38D5" w:rsidRDefault="00A20990" w:rsidP="005140E1">
            <w:pPr>
              <w:contextualSpacing/>
              <w:jc w:val="center"/>
              <w:rPr>
                <w:rFonts w:eastAsia="Times New Roman" w:cs="Arial"/>
                <w:sz w:val="14"/>
                <w:szCs w:val="14"/>
                <w:lang w:val="es-CO" w:eastAsia="es-CO"/>
              </w:rPr>
            </w:pPr>
          </w:p>
        </w:tc>
        <w:tc>
          <w:tcPr>
            <w:tcW w:w="688" w:type="pct"/>
            <w:tcBorders>
              <w:top w:val="nil"/>
              <w:left w:val="single" w:sz="4" w:space="0" w:color="auto"/>
              <w:bottom w:val="single" w:sz="4" w:space="0" w:color="auto"/>
              <w:right w:val="single" w:sz="4" w:space="0" w:color="auto"/>
            </w:tcBorders>
            <w:shd w:val="clear" w:color="auto" w:fill="auto"/>
            <w:vAlign w:val="center"/>
            <w:hideMark/>
          </w:tcPr>
          <w:p w14:paraId="20E4F10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PRORROGA Y ADICIÓN 1 CONTRATO DE SUMINISTRO No. 1346 DE 2021</w:t>
            </w:r>
          </w:p>
        </w:tc>
        <w:tc>
          <w:tcPr>
            <w:tcW w:w="471" w:type="pct"/>
            <w:vMerge/>
            <w:tcBorders>
              <w:top w:val="nil"/>
              <w:left w:val="single" w:sz="4" w:space="0" w:color="auto"/>
              <w:bottom w:val="single" w:sz="4" w:space="0" w:color="auto"/>
              <w:right w:val="single" w:sz="4" w:space="0" w:color="auto"/>
            </w:tcBorders>
            <w:vAlign w:val="center"/>
            <w:hideMark/>
          </w:tcPr>
          <w:p w14:paraId="09FF2ADB"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1D1BC57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PROPIOS DE LA ENTIDAD TERRITORIAL</w:t>
            </w:r>
          </w:p>
        </w:tc>
        <w:tc>
          <w:tcPr>
            <w:tcW w:w="394" w:type="pct"/>
            <w:tcBorders>
              <w:top w:val="nil"/>
              <w:left w:val="nil"/>
              <w:bottom w:val="single" w:sz="4" w:space="0" w:color="auto"/>
              <w:right w:val="single" w:sz="4" w:space="0" w:color="auto"/>
            </w:tcBorders>
            <w:shd w:val="clear" w:color="auto" w:fill="auto"/>
            <w:vAlign w:val="center"/>
            <w:hideMark/>
          </w:tcPr>
          <w:p w14:paraId="4D7318A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$1.280</w:t>
            </w:r>
          </w:p>
        </w:tc>
        <w:tc>
          <w:tcPr>
            <w:tcW w:w="438" w:type="pct"/>
            <w:tcBorders>
              <w:top w:val="nil"/>
              <w:left w:val="nil"/>
              <w:bottom w:val="single" w:sz="4" w:space="0" w:color="auto"/>
              <w:right w:val="single" w:sz="4" w:space="0" w:color="auto"/>
            </w:tcBorders>
            <w:shd w:val="clear" w:color="auto" w:fill="auto"/>
            <w:vAlign w:val="center"/>
            <w:hideMark/>
          </w:tcPr>
          <w:p w14:paraId="5385C83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16/07/2021</w:t>
            </w:r>
          </w:p>
        </w:tc>
        <w:tc>
          <w:tcPr>
            <w:tcW w:w="389" w:type="pct"/>
            <w:tcBorders>
              <w:top w:val="nil"/>
              <w:left w:val="nil"/>
              <w:bottom w:val="single" w:sz="4" w:space="0" w:color="auto"/>
              <w:right w:val="single" w:sz="4" w:space="0" w:color="auto"/>
            </w:tcBorders>
            <w:shd w:val="clear" w:color="auto" w:fill="auto"/>
            <w:vAlign w:val="center"/>
            <w:hideMark/>
          </w:tcPr>
          <w:p w14:paraId="4E5F928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21/07/2021</w:t>
            </w:r>
          </w:p>
        </w:tc>
        <w:tc>
          <w:tcPr>
            <w:tcW w:w="444" w:type="pct"/>
            <w:tcBorders>
              <w:top w:val="nil"/>
              <w:left w:val="nil"/>
              <w:bottom w:val="single" w:sz="4" w:space="0" w:color="auto"/>
              <w:right w:val="single" w:sz="4" w:space="0" w:color="auto"/>
            </w:tcBorders>
            <w:shd w:val="clear" w:color="auto" w:fill="auto"/>
            <w:vAlign w:val="center"/>
            <w:hideMark/>
          </w:tcPr>
          <w:p w14:paraId="4384C14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31/08/2021</w:t>
            </w:r>
          </w:p>
        </w:tc>
        <w:tc>
          <w:tcPr>
            <w:tcW w:w="368" w:type="pct"/>
            <w:tcBorders>
              <w:top w:val="nil"/>
              <w:left w:val="nil"/>
              <w:bottom w:val="single" w:sz="4" w:space="0" w:color="auto"/>
              <w:right w:val="single" w:sz="4" w:space="0" w:color="auto"/>
            </w:tcBorders>
            <w:shd w:val="clear" w:color="auto" w:fill="auto"/>
            <w:vAlign w:val="center"/>
            <w:hideMark/>
          </w:tcPr>
          <w:p w14:paraId="56F8574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w:t>
            </w:r>
          </w:p>
        </w:tc>
        <w:tc>
          <w:tcPr>
            <w:tcW w:w="297" w:type="pct"/>
            <w:vMerge/>
            <w:tcBorders>
              <w:top w:val="nil"/>
              <w:left w:val="single" w:sz="4" w:space="0" w:color="auto"/>
              <w:bottom w:val="single" w:sz="4" w:space="0" w:color="auto"/>
              <w:right w:val="single" w:sz="4" w:space="0" w:color="auto"/>
            </w:tcBorders>
            <w:vAlign w:val="center"/>
            <w:hideMark/>
          </w:tcPr>
          <w:p w14:paraId="103A04E2"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07E494EA" w14:textId="77777777" w:rsidTr="00A20990">
        <w:trPr>
          <w:trHeight w:val="540"/>
          <w:jc w:val="center"/>
        </w:trPr>
        <w:tc>
          <w:tcPr>
            <w:tcW w:w="321" w:type="pct"/>
            <w:vMerge/>
            <w:tcBorders>
              <w:top w:val="nil"/>
              <w:left w:val="single" w:sz="4" w:space="0" w:color="auto"/>
              <w:bottom w:val="single" w:sz="4" w:space="0" w:color="auto"/>
              <w:right w:val="single" w:sz="4" w:space="0" w:color="auto"/>
            </w:tcBorders>
            <w:vAlign w:val="center"/>
            <w:hideMark/>
          </w:tcPr>
          <w:p w14:paraId="75F4AF54" w14:textId="77777777" w:rsidR="00A20990" w:rsidRPr="001A38D5" w:rsidRDefault="00A20990" w:rsidP="005140E1">
            <w:pPr>
              <w:contextualSpacing/>
              <w:jc w:val="center"/>
              <w:rPr>
                <w:rFonts w:eastAsia="Times New Roman" w:cs="Arial"/>
                <w:sz w:val="14"/>
                <w:szCs w:val="14"/>
                <w:lang w:val="es-CO" w:eastAsia="es-CO"/>
              </w:rPr>
            </w:pPr>
          </w:p>
        </w:tc>
        <w:tc>
          <w:tcPr>
            <w:tcW w:w="688" w:type="pct"/>
            <w:tcBorders>
              <w:top w:val="nil"/>
              <w:left w:val="single" w:sz="4" w:space="0" w:color="auto"/>
              <w:bottom w:val="single" w:sz="4" w:space="0" w:color="auto"/>
              <w:right w:val="single" w:sz="4" w:space="0" w:color="auto"/>
            </w:tcBorders>
            <w:shd w:val="clear" w:color="auto" w:fill="auto"/>
            <w:vAlign w:val="center"/>
            <w:hideMark/>
          </w:tcPr>
          <w:p w14:paraId="46F7161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PRORROGA Y ADICIÓN 2 CONTRATO DE SUMINISTRO No. 1346 DE 2021</w:t>
            </w:r>
          </w:p>
        </w:tc>
        <w:tc>
          <w:tcPr>
            <w:tcW w:w="471" w:type="pct"/>
            <w:vMerge/>
            <w:tcBorders>
              <w:top w:val="nil"/>
              <w:left w:val="single" w:sz="4" w:space="0" w:color="auto"/>
              <w:bottom w:val="single" w:sz="4" w:space="0" w:color="auto"/>
              <w:right w:val="single" w:sz="4" w:space="0" w:color="auto"/>
            </w:tcBorders>
            <w:vAlign w:val="center"/>
            <w:hideMark/>
          </w:tcPr>
          <w:p w14:paraId="10172B7A"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63EBA6D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PROPIOS DE LA ENTIDAD TERRITORIAL</w:t>
            </w:r>
          </w:p>
        </w:tc>
        <w:tc>
          <w:tcPr>
            <w:tcW w:w="394" w:type="pct"/>
            <w:tcBorders>
              <w:top w:val="nil"/>
              <w:left w:val="nil"/>
              <w:bottom w:val="single" w:sz="4" w:space="0" w:color="auto"/>
              <w:right w:val="single" w:sz="4" w:space="0" w:color="auto"/>
            </w:tcBorders>
            <w:shd w:val="clear" w:color="auto" w:fill="auto"/>
            <w:vAlign w:val="center"/>
            <w:hideMark/>
          </w:tcPr>
          <w:p w14:paraId="626D20F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$686</w:t>
            </w:r>
          </w:p>
        </w:tc>
        <w:tc>
          <w:tcPr>
            <w:tcW w:w="438" w:type="pct"/>
            <w:tcBorders>
              <w:top w:val="nil"/>
              <w:left w:val="nil"/>
              <w:bottom w:val="single" w:sz="4" w:space="0" w:color="auto"/>
              <w:right w:val="single" w:sz="4" w:space="0" w:color="auto"/>
            </w:tcBorders>
            <w:shd w:val="clear" w:color="auto" w:fill="auto"/>
            <w:vAlign w:val="center"/>
            <w:hideMark/>
          </w:tcPr>
          <w:p w14:paraId="0F964B7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16/07/2021</w:t>
            </w:r>
          </w:p>
        </w:tc>
        <w:tc>
          <w:tcPr>
            <w:tcW w:w="389" w:type="pct"/>
            <w:tcBorders>
              <w:top w:val="nil"/>
              <w:left w:val="nil"/>
              <w:bottom w:val="single" w:sz="4" w:space="0" w:color="auto"/>
              <w:right w:val="single" w:sz="4" w:space="0" w:color="auto"/>
            </w:tcBorders>
            <w:shd w:val="clear" w:color="auto" w:fill="auto"/>
            <w:vAlign w:val="center"/>
            <w:hideMark/>
          </w:tcPr>
          <w:p w14:paraId="13D9123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21/07/2021</w:t>
            </w:r>
          </w:p>
        </w:tc>
        <w:tc>
          <w:tcPr>
            <w:tcW w:w="444" w:type="pct"/>
            <w:tcBorders>
              <w:top w:val="nil"/>
              <w:left w:val="nil"/>
              <w:bottom w:val="single" w:sz="4" w:space="0" w:color="auto"/>
              <w:right w:val="single" w:sz="4" w:space="0" w:color="auto"/>
            </w:tcBorders>
            <w:shd w:val="clear" w:color="auto" w:fill="auto"/>
            <w:vAlign w:val="center"/>
            <w:hideMark/>
          </w:tcPr>
          <w:p w14:paraId="099D35A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31/08/2021</w:t>
            </w:r>
          </w:p>
        </w:tc>
        <w:tc>
          <w:tcPr>
            <w:tcW w:w="368" w:type="pct"/>
            <w:tcBorders>
              <w:top w:val="nil"/>
              <w:left w:val="nil"/>
              <w:bottom w:val="single" w:sz="4" w:space="0" w:color="auto"/>
              <w:right w:val="single" w:sz="4" w:space="0" w:color="auto"/>
            </w:tcBorders>
            <w:shd w:val="clear" w:color="auto" w:fill="auto"/>
            <w:vAlign w:val="center"/>
            <w:hideMark/>
          </w:tcPr>
          <w:p w14:paraId="6F2027C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w:t>
            </w:r>
          </w:p>
        </w:tc>
        <w:tc>
          <w:tcPr>
            <w:tcW w:w="297" w:type="pct"/>
            <w:vMerge/>
            <w:tcBorders>
              <w:top w:val="nil"/>
              <w:left w:val="single" w:sz="4" w:space="0" w:color="auto"/>
              <w:bottom w:val="single" w:sz="4" w:space="0" w:color="auto"/>
              <w:right w:val="single" w:sz="4" w:space="0" w:color="auto"/>
            </w:tcBorders>
            <w:vAlign w:val="center"/>
            <w:hideMark/>
          </w:tcPr>
          <w:p w14:paraId="3FA3BF09"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0AE5C453" w14:textId="77777777" w:rsidTr="00A20990">
        <w:trPr>
          <w:trHeight w:val="225"/>
          <w:jc w:val="center"/>
        </w:trPr>
        <w:tc>
          <w:tcPr>
            <w:tcW w:w="321" w:type="pct"/>
            <w:vMerge/>
            <w:tcBorders>
              <w:top w:val="nil"/>
              <w:left w:val="single" w:sz="4" w:space="0" w:color="auto"/>
              <w:bottom w:val="single" w:sz="4" w:space="0" w:color="auto"/>
              <w:right w:val="single" w:sz="4" w:space="0" w:color="auto"/>
            </w:tcBorders>
            <w:vAlign w:val="center"/>
            <w:hideMark/>
          </w:tcPr>
          <w:p w14:paraId="673183E9"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14:paraId="719E769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SELECCION ABREVIADA - ACUERDOS MARCO DE PRECIOS, CONTRATO DE SUMINISTRO No. 2014 DE 2021</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673906E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ALMACENES ÉXITO S.A NIT. 890.900.608</w:t>
            </w:r>
          </w:p>
        </w:tc>
        <w:tc>
          <w:tcPr>
            <w:tcW w:w="1191" w:type="pct"/>
            <w:tcBorders>
              <w:top w:val="nil"/>
              <w:left w:val="nil"/>
              <w:bottom w:val="single" w:sz="4" w:space="0" w:color="auto"/>
              <w:right w:val="single" w:sz="4" w:space="0" w:color="auto"/>
            </w:tcBorders>
            <w:shd w:val="clear" w:color="auto" w:fill="auto"/>
            <w:vAlign w:val="center"/>
            <w:hideMark/>
          </w:tcPr>
          <w:p w14:paraId="11CAA9A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PROPIOS DE LA ENTIDAD TERRITORIAL</w:t>
            </w:r>
          </w:p>
        </w:tc>
        <w:tc>
          <w:tcPr>
            <w:tcW w:w="394" w:type="pct"/>
            <w:tcBorders>
              <w:top w:val="nil"/>
              <w:left w:val="nil"/>
              <w:bottom w:val="single" w:sz="4" w:space="0" w:color="auto"/>
              <w:right w:val="single" w:sz="4" w:space="0" w:color="auto"/>
            </w:tcBorders>
            <w:shd w:val="clear" w:color="auto" w:fill="auto"/>
            <w:vAlign w:val="center"/>
            <w:hideMark/>
          </w:tcPr>
          <w:p w14:paraId="26DB4E6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$134</w:t>
            </w:r>
          </w:p>
        </w:tc>
        <w:tc>
          <w:tcPr>
            <w:tcW w:w="438" w:type="pct"/>
            <w:tcBorders>
              <w:top w:val="nil"/>
              <w:left w:val="nil"/>
              <w:bottom w:val="single" w:sz="4" w:space="0" w:color="auto"/>
              <w:right w:val="single" w:sz="4" w:space="0" w:color="auto"/>
            </w:tcBorders>
            <w:shd w:val="clear" w:color="auto" w:fill="auto"/>
            <w:vAlign w:val="center"/>
            <w:hideMark/>
          </w:tcPr>
          <w:p w14:paraId="465C6E8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13/10/2021</w:t>
            </w:r>
          </w:p>
        </w:tc>
        <w:tc>
          <w:tcPr>
            <w:tcW w:w="389" w:type="pct"/>
            <w:tcBorders>
              <w:top w:val="nil"/>
              <w:left w:val="nil"/>
              <w:bottom w:val="single" w:sz="4" w:space="0" w:color="auto"/>
              <w:right w:val="single" w:sz="4" w:space="0" w:color="auto"/>
            </w:tcBorders>
            <w:shd w:val="clear" w:color="auto" w:fill="auto"/>
            <w:vAlign w:val="center"/>
            <w:hideMark/>
          </w:tcPr>
          <w:p w14:paraId="630852E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19/10/2021</w:t>
            </w:r>
          </w:p>
        </w:tc>
        <w:tc>
          <w:tcPr>
            <w:tcW w:w="444" w:type="pct"/>
            <w:tcBorders>
              <w:top w:val="nil"/>
              <w:left w:val="nil"/>
              <w:bottom w:val="single" w:sz="4" w:space="0" w:color="auto"/>
              <w:right w:val="single" w:sz="4" w:space="0" w:color="auto"/>
            </w:tcBorders>
            <w:shd w:val="clear" w:color="auto" w:fill="auto"/>
            <w:vAlign w:val="center"/>
            <w:hideMark/>
          </w:tcPr>
          <w:p w14:paraId="51626F4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30/11/2021</w:t>
            </w:r>
          </w:p>
        </w:tc>
        <w:tc>
          <w:tcPr>
            <w:tcW w:w="368" w:type="pct"/>
            <w:tcBorders>
              <w:top w:val="nil"/>
              <w:left w:val="nil"/>
              <w:bottom w:val="single" w:sz="4" w:space="0" w:color="auto"/>
              <w:right w:val="single" w:sz="4" w:space="0" w:color="auto"/>
            </w:tcBorders>
            <w:shd w:val="clear" w:color="auto" w:fill="auto"/>
            <w:vAlign w:val="center"/>
            <w:hideMark/>
          </w:tcPr>
          <w:p w14:paraId="485378B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42</w:t>
            </w:r>
          </w:p>
        </w:tc>
        <w:tc>
          <w:tcPr>
            <w:tcW w:w="297" w:type="pct"/>
            <w:vMerge/>
            <w:tcBorders>
              <w:top w:val="nil"/>
              <w:left w:val="single" w:sz="4" w:space="0" w:color="auto"/>
              <w:bottom w:val="single" w:sz="4" w:space="0" w:color="auto"/>
              <w:right w:val="single" w:sz="4" w:space="0" w:color="auto"/>
            </w:tcBorders>
            <w:vAlign w:val="center"/>
            <w:hideMark/>
          </w:tcPr>
          <w:p w14:paraId="454BE039"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088BAE28"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2BA960EC"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1BF7FD20"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13B681BB"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5B9B92E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OTROS SGP RECURSOS ASIGNADOS POR SGP DIFERENTES A SGP - ALIMENTACION ESCOLAR</w:t>
            </w:r>
          </w:p>
        </w:tc>
        <w:tc>
          <w:tcPr>
            <w:tcW w:w="394" w:type="pct"/>
            <w:tcBorders>
              <w:top w:val="nil"/>
              <w:left w:val="nil"/>
              <w:bottom w:val="single" w:sz="4" w:space="0" w:color="auto"/>
              <w:right w:val="single" w:sz="4" w:space="0" w:color="auto"/>
            </w:tcBorders>
            <w:shd w:val="clear" w:color="auto" w:fill="auto"/>
            <w:vAlign w:val="center"/>
            <w:hideMark/>
          </w:tcPr>
          <w:p w14:paraId="7A5EF1E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$405</w:t>
            </w:r>
          </w:p>
        </w:tc>
        <w:tc>
          <w:tcPr>
            <w:tcW w:w="438" w:type="pct"/>
            <w:tcBorders>
              <w:top w:val="nil"/>
              <w:left w:val="nil"/>
              <w:bottom w:val="single" w:sz="4" w:space="0" w:color="auto"/>
              <w:right w:val="single" w:sz="4" w:space="0" w:color="auto"/>
            </w:tcBorders>
            <w:shd w:val="clear" w:color="auto" w:fill="auto"/>
            <w:vAlign w:val="center"/>
            <w:hideMark/>
          </w:tcPr>
          <w:p w14:paraId="2772B97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13/10/2021</w:t>
            </w:r>
          </w:p>
        </w:tc>
        <w:tc>
          <w:tcPr>
            <w:tcW w:w="389" w:type="pct"/>
            <w:tcBorders>
              <w:top w:val="nil"/>
              <w:left w:val="nil"/>
              <w:bottom w:val="single" w:sz="4" w:space="0" w:color="auto"/>
              <w:right w:val="single" w:sz="4" w:space="0" w:color="auto"/>
            </w:tcBorders>
            <w:shd w:val="clear" w:color="auto" w:fill="auto"/>
            <w:vAlign w:val="center"/>
            <w:hideMark/>
          </w:tcPr>
          <w:p w14:paraId="77417A4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19/10/2021</w:t>
            </w:r>
          </w:p>
        </w:tc>
        <w:tc>
          <w:tcPr>
            <w:tcW w:w="444" w:type="pct"/>
            <w:tcBorders>
              <w:top w:val="nil"/>
              <w:left w:val="nil"/>
              <w:bottom w:val="single" w:sz="4" w:space="0" w:color="auto"/>
              <w:right w:val="single" w:sz="4" w:space="0" w:color="auto"/>
            </w:tcBorders>
            <w:shd w:val="clear" w:color="auto" w:fill="auto"/>
            <w:vAlign w:val="center"/>
            <w:hideMark/>
          </w:tcPr>
          <w:p w14:paraId="25FC8ED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30/11/2021</w:t>
            </w:r>
          </w:p>
        </w:tc>
        <w:tc>
          <w:tcPr>
            <w:tcW w:w="368" w:type="pct"/>
            <w:tcBorders>
              <w:top w:val="nil"/>
              <w:left w:val="nil"/>
              <w:bottom w:val="single" w:sz="4" w:space="0" w:color="auto"/>
              <w:right w:val="single" w:sz="4" w:space="0" w:color="auto"/>
            </w:tcBorders>
            <w:shd w:val="clear" w:color="auto" w:fill="auto"/>
            <w:vAlign w:val="center"/>
            <w:hideMark/>
          </w:tcPr>
          <w:p w14:paraId="64FFDB8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42</w:t>
            </w:r>
          </w:p>
        </w:tc>
        <w:tc>
          <w:tcPr>
            <w:tcW w:w="297" w:type="pct"/>
            <w:vMerge/>
            <w:tcBorders>
              <w:top w:val="nil"/>
              <w:left w:val="single" w:sz="4" w:space="0" w:color="auto"/>
              <w:bottom w:val="single" w:sz="4" w:space="0" w:color="auto"/>
              <w:right w:val="single" w:sz="4" w:space="0" w:color="auto"/>
            </w:tcBorders>
            <w:vAlign w:val="center"/>
            <w:hideMark/>
          </w:tcPr>
          <w:p w14:paraId="46962163"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3007D4F1"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71A4EA2D"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5EB8C2A5"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71102F58"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14F5496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UAPA - VIGENCIA ACTUAL</w:t>
            </w:r>
          </w:p>
        </w:tc>
        <w:tc>
          <w:tcPr>
            <w:tcW w:w="394" w:type="pct"/>
            <w:tcBorders>
              <w:top w:val="nil"/>
              <w:left w:val="nil"/>
              <w:bottom w:val="single" w:sz="4" w:space="0" w:color="auto"/>
              <w:right w:val="single" w:sz="4" w:space="0" w:color="auto"/>
            </w:tcBorders>
            <w:shd w:val="clear" w:color="auto" w:fill="auto"/>
            <w:vAlign w:val="center"/>
            <w:hideMark/>
          </w:tcPr>
          <w:p w14:paraId="210D561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$3.704</w:t>
            </w:r>
          </w:p>
        </w:tc>
        <w:tc>
          <w:tcPr>
            <w:tcW w:w="438" w:type="pct"/>
            <w:tcBorders>
              <w:top w:val="nil"/>
              <w:left w:val="nil"/>
              <w:bottom w:val="single" w:sz="4" w:space="0" w:color="auto"/>
              <w:right w:val="single" w:sz="4" w:space="0" w:color="auto"/>
            </w:tcBorders>
            <w:shd w:val="clear" w:color="auto" w:fill="auto"/>
            <w:vAlign w:val="center"/>
            <w:hideMark/>
          </w:tcPr>
          <w:p w14:paraId="17ABDB1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13/10/2021</w:t>
            </w:r>
          </w:p>
        </w:tc>
        <w:tc>
          <w:tcPr>
            <w:tcW w:w="389" w:type="pct"/>
            <w:tcBorders>
              <w:top w:val="nil"/>
              <w:left w:val="nil"/>
              <w:bottom w:val="single" w:sz="4" w:space="0" w:color="auto"/>
              <w:right w:val="single" w:sz="4" w:space="0" w:color="auto"/>
            </w:tcBorders>
            <w:shd w:val="clear" w:color="auto" w:fill="auto"/>
            <w:vAlign w:val="center"/>
            <w:hideMark/>
          </w:tcPr>
          <w:p w14:paraId="3700C01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19/10/2021</w:t>
            </w:r>
          </w:p>
        </w:tc>
        <w:tc>
          <w:tcPr>
            <w:tcW w:w="444" w:type="pct"/>
            <w:tcBorders>
              <w:top w:val="nil"/>
              <w:left w:val="nil"/>
              <w:bottom w:val="single" w:sz="4" w:space="0" w:color="auto"/>
              <w:right w:val="single" w:sz="4" w:space="0" w:color="auto"/>
            </w:tcBorders>
            <w:shd w:val="clear" w:color="auto" w:fill="auto"/>
            <w:vAlign w:val="center"/>
            <w:hideMark/>
          </w:tcPr>
          <w:p w14:paraId="32D54DA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30/11/2021</w:t>
            </w:r>
          </w:p>
        </w:tc>
        <w:tc>
          <w:tcPr>
            <w:tcW w:w="368" w:type="pct"/>
            <w:tcBorders>
              <w:top w:val="nil"/>
              <w:left w:val="nil"/>
              <w:bottom w:val="single" w:sz="4" w:space="0" w:color="auto"/>
              <w:right w:val="single" w:sz="4" w:space="0" w:color="auto"/>
            </w:tcBorders>
            <w:shd w:val="clear" w:color="auto" w:fill="auto"/>
            <w:vAlign w:val="center"/>
            <w:hideMark/>
          </w:tcPr>
          <w:p w14:paraId="3C10D4B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42</w:t>
            </w:r>
          </w:p>
        </w:tc>
        <w:tc>
          <w:tcPr>
            <w:tcW w:w="297" w:type="pct"/>
            <w:vMerge/>
            <w:tcBorders>
              <w:top w:val="nil"/>
              <w:left w:val="single" w:sz="4" w:space="0" w:color="auto"/>
              <w:bottom w:val="single" w:sz="4" w:space="0" w:color="auto"/>
              <w:right w:val="single" w:sz="4" w:space="0" w:color="auto"/>
            </w:tcBorders>
            <w:vAlign w:val="center"/>
            <w:hideMark/>
          </w:tcPr>
          <w:p w14:paraId="6CBD2A2C"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11BC432F" w14:textId="77777777" w:rsidTr="00A20990">
        <w:trPr>
          <w:trHeight w:val="540"/>
          <w:jc w:val="center"/>
        </w:trPr>
        <w:tc>
          <w:tcPr>
            <w:tcW w:w="321" w:type="pct"/>
            <w:vMerge/>
            <w:tcBorders>
              <w:top w:val="nil"/>
              <w:left w:val="single" w:sz="4" w:space="0" w:color="auto"/>
              <w:bottom w:val="single" w:sz="4" w:space="0" w:color="auto"/>
              <w:right w:val="single" w:sz="4" w:space="0" w:color="auto"/>
            </w:tcBorders>
            <w:vAlign w:val="center"/>
            <w:hideMark/>
          </w:tcPr>
          <w:p w14:paraId="3780FE3D" w14:textId="77777777" w:rsidR="00A20990" w:rsidRPr="001A38D5" w:rsidRDefault="00A20990" w:rsidP="005140E1">
            <w:pPr>
              <w:contextualSpacing/>
              <w:jc w:val="center"/>
              <w:rPr>
                <w:rFonts w:eastAsia="Times New Roman" w:cs="Arial"/>
                <w:sz w:val="14"/>
                <w:szCs w:val="14"/>
                <w:lang w:val="es-CO" w:eastAsia="es-CO"/>
              </w:rPr>
            </w:pPr>
          </w:p>
        </w:tc>
        <w:tc>
          <w:tcPr>
            <w:tcW w:w="688" w:type="pct"/>
            <w:tcBorders>
              <w:top w:val="nil"/>
              <w:left w:val="single" w:sz="4" w:space="0" w:color="auto"/>
              <w:bottom w:val="single" w:sz="4" w:space="0" w:color="auto"/>
              <w:right w:val="single" w:sz="4" w:space="0" w:color="auto"/>
            </w:tcBorders>
            <w:shd w:val="clear" w:color="auto" w:fill="auto"/>
            <w:vAlign w:val="center"/>
            <w:hideMark/>
          </w:tcPr>
          <w:p w14:paraId="6AA6381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PRORROGA Y ADICIÓN CONTRATO DE SUMINISTRO No. 2014 DE 2021</w:t>
            </w:r>
          </w:p>
        </w:tc>
        <w:tc>
          <w:tcPr>
            <w:tcW w:w="471" w:type="pct"/>
            <w:vMerge/>
            <w:tcBorders>
              <w:top w:val="nil"/>
              <w:left w:val="single" w:sz="4" w:space="0" w:color="auto"/>
              <w:bottom w:val="single" w:sz="4" w:space="0" w:color="auto"/>
              <w:right w:val="single" w:sz="4" w:space="0" w:color="auto"/>
            </w:tcBorders>
            <w:vAlign w:val="center"/>
            <w:hideMark/>
          </w:tcPr>
          <w:p w14:paraId="05C27A3D"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10D82C43"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UAPA - VIGENCIA ACTUAL</w:t>
            </w:r>
          </w:p>
        </w:tc>
        <w:tc>
          <w:tcPr>
            <w:tcW w:w="394" w:type="pct"/>
            <w:tcBorders>
              <w:top w:val="nil"/>
              <w:left w:val="nil"/>
              <w:bottom w:val="single" w:sz="4" w:space="0" w:color="auto"/>
              <w:right w:val="single" w:sz="4" w:space="0" w:color="auto"/>
            </w:tcBorders>
            <w:shd w:val="clear" w:color="auto" w:fill="auto"/>
            <w:vAlign w:val="center"/>
            <w:hideMark/>
          </w:tcPr>
          <w:p w14:paraId="5026BF5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$1.252</w:t>
            </w:r>
          </w:p>
        </w:tc>
        <w:tc>
          <w:tcPr>
            <w:tcW w:w="438" w:type="pct"/>
            <w:tcBorders>
              <w:top w:val="nil"/>
              <w:left w:val="nil"/>
              <w:bottom w:val="single" w:sz="4" w:space="0" w:color="auto"/>
              <w:right w:val="single" w:sz="4" w:space="0" w:color="auto"/>
            </w:tcBorders>
            <w:shd w:val="clear" w:color="auto" w:fill="auto"/>
            <w:vAlign w:val="center"/>
            <w:hideMark/>
          </w:tcPr>
          <w:p w14:paraId="79880F0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13/10/2021</w:t>
            </w:r>
          </w:p>
        </w:tc>
        <w:tc>
          <w:tcPr>
            <w:tcW w:w="389" w:type="pct"/>
            <w:tcBorders>
              <w:top w:val="nil"/>
              <w:left w:val="nil"/>
              <w:bottom w:val="single" w:sz="4" w:space="0" w:color="auto"/>
              <w:right w:val="single" w:sz="4" w:space="0" w:color="auto"/>
            </w:tcBorders>
            <w:shd w:val="clear" w:color="auto" w:fill="auto"/>
            <w:vAlign w:val="center"/>
            <w:hideMark/>
          </w:tcPr>
          <w:p w14:paraId="73B55AE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19/10/2021</w:t>
            </w:r>
          </w:p>
        </w:tc>
        <w:tc>
          <w:tcPr>
            <w:tcW w:w="444" w:type="pct"/>
            <w:tcBorders>
              <w:top w:val="nil"/>
              <w:left w:val="nil"/>
              <w:bottom w:val="single" w:sz="4" w:space="0" w:color="auto"/>
              <w:right w:val="single" w:sz="4" w:space="0" w:color="auto"/>
            </w:tcBorders>
            <w:shd w:val="clear" w:color="auto" w:fill="auto"/>
            <w:vAlign w:val="center"/>
            <w:hideMark/>
          </w:tcPr>
          <w:p w14:paraId="0F6C53C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30/11/2021</w:t>
            </w:r>
          </w:p>
        </w:tc>
        <w:tc>
          <w:tcPr>
            <w:tcW w:w="368" w:type="pct"/>
            <w:tcBorders>
              <w:top w:val="nil"/>
              <w:left w:val="nil"/>
              <w:bottom w:val="single" w:sz="4" w:space="0" w:color="auto"/>
              <w:right w:val="single" w:sz="4" w:space="0" w:color="auto"/>
            </w:tcBorders>
            <w:shd w:val="clear" w:color="auto" w:fill="auto"/>
            <w:vAlign w:val="center"/>
            <w:hideMark/>
          </w:tcPr>
          <w:p w14:paraId="49D63A9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w:t>
            </w:r>
          </w:p>
        </w:tc>
        <w:tc>
          <w:tcPr>
            <w:tcW w:w="297" w:type="pct"/>
            <w:vMerge/>
            <w:tcBorders>
              <w:top w:val="nil"/>
              <w:left w:val="single" w:sz="4" w:space="0" w:color="auto"/>
              <w:bottom w:val="single" w:sz="4" w:space="0" w:color="auto"/>
              <w:right w:val="single" w:sz="4" w:space="0" w:color="auto"/>
            </w:tcBorders>
            <w:vAlign w:val="center"/>
            <w:hideMark/>
          </w:tcPr>
          <w:p w14:paraId="3A921855" w14:textId="77777777" w:rsidR="00A20990" w:rsidRPr="001A38D5" w:rsidRDefault="00A20990" w:rsidP="005140E1">
            <w:pPr>
              <w:contextualSpacing/>
              <w:jc w:val="center"/>
              <w:rPr>
                <w:rFonts w:eastAsia="Times New Roman" w:cs="Arial"/>
                <w:sz w:val="14"/>
                <w:szCs w:val="14"/>
                <w:lang w:val="es-CO" w:eastAsia="es-CO"/>
              </w:rPr>
            </w:pPr>
          </w:p>
        </w:tc>
      </w:tr>
      <w:tr w:rsidR="001A38D5" w:rsidRPr="001A38D5" w14:paraId="0BA1D6E3" w14:textId="77777777" w:rsidTr="00A20990">
        <w:trPr>
          <w:trHeight w:val="240"/>
          <w:jc w:val="center"/>
        </w:trPr>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14:paraId="7E6A0E6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2022</w:t>
            </w: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14:paraId="45B8802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 xml:space="preserve">CONTRATACION DIRECTA CONVENIO </w:t>
            </w:r>
            <w:r w:rsidRPr="001A38D5">
              <w:rPr>
                <w:rFonts w:eastAsia="Times New Roman" w:cs="Arial"/>
                <w:sz w:val="14"/>
                <w:szCs w:val="14"/>
                <w:lang w:val="es-CO" w:eastAsia="es-CO"/>
              </w:rPr>
              <w:lastRenderedPageBreak/>
              <w:t>INTERADMINISTRATIVO No.1932 DE 2022</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521A460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lastRenderedPageBreak/>
              <w:t xml:space="preserve">RESGUARDO INDIGENA </w:t>
            </w:r>
            <w:r w:rsidRPr="001A38D5">
              <w:rPr>
                <w:rFonts w:eastAsia="Times New Roman" w:cs="Arial"/>
                <w:sz w:val="14"/>
                <w:szCs w:val="14"/>
                <w:lang w:val="es-CO" w:eastAsia="es-CO"/>
              </w:rPr>
              <w:lastRenderedPageBreak/>
              <w:t>MAGUARE - NIT. 901.053.503</w:t>
            </w:r>
          </w:p>
        </w:tc>
        <w:tc>
          <w:tcPr>
            <w:tcW w:w="1191" w:type="pct"/>
            <w:tcBorders>
              <w:top w:val="nil"/>
              <w:left w:val="nil"/>
              <w:bottom w:val="single" w:sz="4" w:space="0" w:color="auto"/>
              <w:right w:val="single" w:sz="4" w:space="0" w:color="auto"/>
            </w:tcBorders>
            <w:shd w:val="clear" w:color="auto" w:fill="auto"/>
            <w:vAlign w:val="center"/>
            <w:hideMark/>
          </w:tcPr>
          <w:p w14:paraId="54FDEBF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lastRenderedPageBreak/>
              <w:t>OTROS RECURSOS POR SGP DIFERENTES A ALIMENTACION ESCOLAR</w:t>
            </w:r>
          </w:p>
        </w:tc>
        <w:tc>
          <w:tcPr>
            <w:tcW w:w="394" w:type="pct"/>
            <w:tcBorders>
              <w:top w:val="nil"/>
              <w:left w:val="nil"/>
              <w:bottom w:val="single" w:sz="4" w:space="0" w:color="auto"/>
              <w:right w:val="single" w:sz="4" w:space="0" w:color="auto"/>
            </w:tcBorders>
            <w:shd w:val="clear" w:color="auto" w:fill="auto"/>
            <w:vAlign w:val="center"/>
            <w:hideMark/>
          </w:tcPr>
          <w:p w14:paraId="2C521FA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$34</w:t>
            </w:r>
          </w:p>
        </w:tc>
        <w:tc>
          <w:tcPr>
            <w:tcW w:w="438" w:type="pct"/>
            <w:tcBorders>
              <w:top w:val="nil"/>
              <w:left w:val="nil"/>
              <w:bottom w:val="single" w:sz="4" w:space="0" w:color="auto"/>
              <w:right w:val="single" w:sz="4" w:space="0" w:color="auto"/>
            </w:tcBorders>
            <w:shd w:val="clear" w:color="auto" w:fill="auto"/>
            <w:vAlign w:val="center"/>
            <w:hideMark/>
          </w:tcPr>
          <w:p w14:paraId="6594F0A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17/08/2022</w:t>
            </w:r>
          </w:p>
        </w:tc>
        <w:tc>
          <w:tcPr>
            <w:tcW w:w="389" w:type="pct"/>
            <w:tcBorders>
              <w:top w:val="nil"/>
              <w:left w:val="nil"/>
              <w:bottom w:val="single" w:sz="4" w:space="0" w:color="auto"/>
              <w:right w:val="single" w:sz="4" w:space="0" w:color="auto"/>
            </w:tcBorders>
            <w:shd w:val="clear" w:color="auto" w:fill="auto"/>
            <w:vAlign w:val="center"/>
            <w:hideMark/>
          </w:tcPr>
          <w:p w14:paraId="1DE03BB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17/08/2022</w:t>
            </w:r>
          </w:p>
        </w:tc>
        <w:tc>
          <w:tcPr>
            <w:tcW w:w="444" w:type="pct"/>
            <w:tcBorders>
              <w:top w:val="nil"/>
              <w:left w:val="nil"/>
              <w:bottom w:val="single" w:sz="4" w:space="0" w:color="auto"/>
              <w:right w:val="single" w:sz="4" w:space="0" w:color="auto"/>
            </w:tcBorders>
            <w:shd w:val="clear" w:color="auto" w:fill="auto"/>
            <w:vAlign w:val="center"/>
            <w:hideMark/>
          </w:tcPr>
          <w:p w14:paraId="3E5F8C2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2/12/2022</w:t>
            </w:r>
          </w:p>
        </w:tc>
        <w:tc>
          <w:tcPr>
            <w:tcW w:w="368" w:type="pct"/>
            <w:tcBorders>
              <w:top w:val="nil"/>
              <w:left w:val="nil"/>
              <w:bottom w:val="single" w:sz="4" w:space="0" w:color="auto"/>
              <w:right w:val="single" w:sz="4" w:space="0" w:color="auto"/>
            </w:tcBorders>
            <w:shd w:val="clear" w:color="auto" w:fill="auto"/>
            <w:vAlign w:val="center"/>
            <w:hideMark/>
          </w:tcPr>
          <w:p w14:paraId="7291C37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75</w:t>
            </w:r>
          </w:p>
        </w:tc>
        <w:tc>
          <w:tcPr>
            <w:tcW w:w="297" w:type="pct"/>
            <w:tcBorders>
              <w:top w:val="nil"/>
              <w:left w:val="nil"/>
              <w:bottom w:val="single" w:sz="4" w:space="0" w:color="auto"/>
              <w:right w:val="single" w:sz="4" w:space="0" w:color="auto"/>
            </w:tcBorders>
            <w:shd w:val="clear" w:color="auto" w:fill="auto"/>
            <w:vAlign w:val="center"/>
            <w:hideMark/>
          </w:tcPr>
          <w:p w14:paraId="5D045E4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w:t>
            </w:r>
          </w:p>
        </w:tc>
      </w:tr>
      <w:tr w:rsidR="001A38D5" w:rsidRPr="001A38D5" w14:paraId="071E7125"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5ABD7710"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318D8E49"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1E984875"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5320845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RENDIMIENTOS FINANCIEROS</w:t>
            </w:r>
          </w:p>
        </w:tc>
        <w:tc>
          <w:tcPr>
            <w:tcW w:w="394" w:type="pct"/>
            <w:tcBorders>
              <w:top w:val="nil"/>
              <w:left w:val="nil"/>
              <w:bottom w:val="single" w:sz="4" w:space="0" w:color="auto"/>
              <w:right w:val="single" w:sz="4" w:space="0" w:color="auto"/>
            </w:tcBorders>
            <w:shd w:val="clear" w:color="auto" w:fill="auto"/>
            <w:vAlign w:val="center"/>
            <w:hideMark/>
          </w:tcPr>
          <w:p w14:paraId="21822DF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$6</w:t>
            </w:r>
          </w:p>
        </w:tc>
        <w:tc>
          <w:tcPr>
            <w:tcW w:w="438" w:type="pct"/>
            <w:tcBorders>
              <w:top w:val="nil"/>
              <w:left w:val="nil"/>
              <w:bottom w:val="single" w:sz="4" w:space="0" w:color="auto"/>
              <w:right w:val="single" w:sz="4" w:space="0" w:color="auto"/>
            </w:tcBorders>
            <w:shd w:val="clear" w:color="auto" w:fill="auto"/>
            <w:vAlign w:val="center"/>
            <w:hideMark/>
          </w:tcPr>
          <w:p w14:paraId="1A2B0CB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17/08/2022</w:t>
            </w:r>
          </w:p>
        </w:tc>
        <w:tc>
          <w:tcPr>
            <w:tcW w:w="389" w:type="pct"/>
            <w:tcBorders>
              <w:top w:val="nil"/>
              <w:left w:val="nil"/>
              <w:bottom w:val="single" w:sz="4" w:space="0" w:color="auto"/>
              <w:right w:val="single" w:sz="4" w:space="0" w:color="auto"/>
            </w:tcBorders>
            <w:shd w:val="clear" w:color="auto" w:fill="auto"/>
            <w:vAlign w:val="center"/>
            <w:hideMark/>
          </w:tcPr>
          <w:p w14:paraId="00939F1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17/08/2022</w:t>
            </w:r>
          </w:p>
        </w:tc>
        <w:tc>
          <w:tcPr>
            <w:tcW w:w="444" w:type="pct"/>
            <w:tcBorders>
              <w:top w:val="nil"/>
              <w:left w:val="nil"/>
              <w:bottom w:val="single" w:sz="4" w:space="0" w:color="auto"/>
              <w:right w:val="single" w:sz="4" w:space="0" w:color="auto"/>
            </w:tcBorders>
            <w:shd w:val="clear" w:color="auto" w:fill="auto"/>
            <w:vAlign w:val="center"/>
            <w:hideMark/>
          </w:tcPr>
          <w:p w14:paraId="3A4B5B0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2/12/2022</w:t>
            </w:r>
          </w:p>
        </w:tc>
        <w:tc>
          <w:tcPr>
            <w:tcW w:w="368" w:type="pct"/>
            <w:tcBorders>
              <w:top w:val="nil"/>
              <w:left w:val="nil"/>
              <w:bottom w:val="single" w:sz="4" w:space="0" w:color="auto"/>
              <w:right w:val="single" w:sz="4" w:space="0" w:color="auto"/>
            </w:tcBorders>
            <w:shd w:val="clear" w:color="auto" w:fill="auto"/>
            <w:vAlign w:val="center"/>
            <w:hideMark/>
          </w:tcPr>
          <w:p w14:paraId="77EFBFF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75</w:t>
            </w:r>
          </w:p>
        </w:tc>
        <w:tc>
          <w:tcPr>
            <w:tcW w:w="297" w:type="pct"/>
            <w:tcBorders>
              <w:top w:val="nil"/>
              <w:left w:val="nil"/>
              <w:bottom w:val="single" w:sz="4" w:space="0" w:color="auto"/>
              <w:right w:val="single" w:sz="4" w:space="0" w:color="auto"/>
            </w:tcBorders>
            <w:shd w:val="clear" w:color="auto" w:fill="auto"/>
            <w:vAlign w:val="center"/>
            <w:hideMark/>
          </w:tcPr>
          <w:p w14:paraId="43A409F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$0</w:t>
            </w:r>
          </w:p>
        </w:tc>
      </w:tr>
      <w:tr w:rsidR="001A38D5" w:rsidRPr="001A38D5" w14:paraId="2FCB7F61"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35E73EF5"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14:paraId="0366FE6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LICITACION PUBLICA CONTRATO DE PRESTACION DE SERVICIOS No.1719 DE 2022</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213B184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UNION TEMPORAL PAE 2022 - NIT. 901.568.822</w:t>
            </w:r>
          </w:p>
        </w:tc>
        <w:tc>
          <w:tcPr>
            <w:tcW w:w="1191" w:type="pct"/>
            <w:tcBorders>
              <w:top w:val="nil"/>
              <w:left w:val="nil"/>
              <w:bottom w:val="single" w:sz="4" w:space="0" w:color="auto"/>
              <w:right w:val="single" w:sz="4" w:space="0" w:color="auto"/>
            </w:tcBorders>
            <w:shd w:val="clear" w:color="auto" w:fill="auto"/>
            <w:vAlign w:val="center"/>
            <w:hideMark/>
          </w:tcPr>
          <w:p w14:paraId="73201C1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ONCE DOCEAVAS VIGENCIA ACTUAL MAS ULTIMA DOCEAVA VIGENCIA ANTERIOR</w:t>
            </w:r>
          </w:p>
        </w:tc>
        <w:tc>
          <w:tcPr>
            <w:tcW w:w="394" w:type="pct"/>
            <w:tcBorders>
              <w:top w:val="nil"/>
              <w:left w:val="nil"/>
              <w:bottom w:val="single" w:sz="4" w:space="0" w:color="auto"/>
              <w:right w:val="single" w:sz="4" w:space="0" w:color="auto"/>
            </w:tcBorders>
            <w:shd w:val="clear" w:color="auto" w:fill="auto"/>
            <w:vAlign w:val="center"/>
            <w:hideMark/>
          </w:tcPr>
          <w:p w14:paraId="31E34BB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$732</w:t>
            </w:r>
          </w:p>
        </w:tc>
        <w:tc>
          <w:tcPr>
            <w:tcW w:w="438" w:type="pct"/>
            <w:tcBorders>
              <w:top w:val="nil"/>
              <w:left w:val="nil"/>
              <w:bottom w:val="single" w:sz="4" w:space="0" w:color="auto"/>
              <w:right w:val="single" w:sz="4" w:space="0" w:color="auto"/>
            </w:tcBorders>
            <w:shd w:val="clear" w:color="auto" w:fill="auto"/>
            <w:vAlign w:val="center"/>
            <w:hideMark/>
          </w:tcPr>
          <w:p w14:paraId="77DC9AE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25/02/2022</w:t>
            </w:r>
          </w:p>
        </w:tc>
        <w:tc>
          <w:tcPr>
            <w:tcW w:w="389" w:type="pct"/>
            <w:tcBorders>
              <w:top w:val="nil"/>
              <w:left w:val="nil"/>
              <w:bottom w:val="single" w:sz="4" w:space="0" w:color="auto"/>
              <w:right w:val="single" w:sz="4" w:space="0" w:color="auto"/>
            </w:tcBorders>
            <w:shd w:val="clear" w:color="auto" w:fill="auto"/>
            <w:vAlign w:val="center"/>
            <w:hideMark/>
          </w:tcPr>
          <w:p w14:paraId="652F473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10/03/2022</w:t>
            </w:r>
          </w:p>
        </w:tc>
        <w:tc>
          <w:tcPr>
            <w:tcW w:w="444" w:type="pct"/>
            <w:tcBorders>
              <w:top w:val="nil"/>
              <w:left w:val="nil"/>
              <w:bottom w:val="single" w:sz="4" w:space="0" w:color="auto"/>
              <w:right w:val="single" w:sz="4" w:space="0" w:color="auto"/>
            </w:tcBorders>
            <w:shd w:val="clear" w:color="auto" w:fill="auto"/>
            <w:vAlign w:val="center"/>
            <w:hideMark/>
          </w:tcPr>
          <w:p w14:paraId="61CBE4E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2/05/2022</w:t>
            </w:r>
          </w:p>
        </w:tc>
        <w:tc>
          <w:tcPr>
            <w:tcW w:w="368" w:type="pct"/>
            <w:tcBorders>
              <w:top w:val="nil"/>
              <w:left w:val="nil"/>
              <w:bottom w:val="single" w:sz="4" w:space="0" w:color="auto"/>
              <w:right w:val="single" w:sz="4" w:space="0" w:color="auto"/>
            </w:tcBorders>
            <w:shd w:val="clear" w:color="auto" w:fill="auto"/>
            <w:vAlign w:val="center"/>
            <w:hideMark/>
          </w:tcPr>
          <w:p w14:paraId="6619E05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35</w:t>
            </w:r>
          </w:p>
        </w:tc>
        <w:tc>
          <w:tcPr>
            <w:tcW w:w="297" w:type="pct"/>
            <w:tcBorders>
              <w:top w:val="nil"/>
              <w:left w:val="nil"/>
              <w:bottom w:val="single" w:sz="4" w:space="0" w:color="auto"/>
              <w:right w:val="single" w:sz="4" w:space="0" w:color="auto"/>
            </w:tcBorders>
            <w:shd w:val="clear" w:color="auto" w:fill="auto"/>
            <w:vAlign w:val="center"/>
            <w:hideMark/>
          </w:tcPr>
          <w:p w14:paraId="09C042B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$732</w:t>
            </w:r>
          </w:p>
        </w:tc>
      </w:tr>
      <w:tr w:rsidR="001A38D5" w:rsidRPr="001A38D5" w14:paraId="191C653D"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2CE2887A"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099A7ACD"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0665D315"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0B5F807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UAPA - VIGENCIA ACTUAL</w:t>
            </w:r>
          </w:p>
        </w:tc>
        <w:tc>
          <w:tcPr>
            <w:tcW w:w="394" w:type="pct"/>
            <w:tcBorders>
              <w:top w:val="nil"/>
              <w:left w:val="nil"/>
              <w:bottom w:val="single" w:sz="4" w:space="0" w:color="auto"/>
              <w:right w:val="single" w:sz="4" w:space="0" w:color="auto"/>
            </w:tcBorders>
            <w:shd w:val="clear" w:color="auto" w:fill="auto"/>
            <w:vAlign w:val="center"/>
            <w:hideMark/>
          </w:tcPr>
          <w:p w14:paraId="69D0BCD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$4.650</w:t>
            </w:r>
          </w:p>
        </w:tc>
        <w:tc>
          <w:tcPr>
            <w:tcW w:w="438" w:type="pct"/>
            <w:tcBorders>
              <w:top w:val="nil"/>
              <w:left w:val="nil"/>
              <w:bottom w:val="single" w:sz="4" w:space="0" w:color="auto"/>
              <w:right w:val="single" w:sz="4" w:space="0" w:color="auto"/>
            </w:tcBorders>
            <w:shd w:val="clear" w:color="auto" w:fill="auto"/>
            <w:vAlign w:val="center"/>
            <w:hideMark/>
          </w:tcPr>
          <w:p w14:paraId="07E9228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25/02/2022</w:t>
            </w:r>
          </w:p>
        </w:tc>
        <w:tc>
          <w:tcPr>
            <w:tcW w:w="389" w:type="pct"/>
            <w:tcBorders>
              <w:top w:val="nil"/>
              <w:left w:val="nil"/>
              <w:bottom w:val="single" w:sz="4" w:space="0" w:color="auto"/>
              <w:right w:val="single" w:sz="4" w:space="0" w:color="auto"/>
            </w:tcBorders>
            <w:shd w:val="clear" w:color="auto" w:fill="auto"/>
            <w:vAlign w:val="center"/>
            <w:hideMark/>
          </w:tcPr>
          <w:p w14:paraId="15DE652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10/03/2022</w:t>
            </w:r>
          </w:p>
        </w:tc>
        <w:tc>
          <w:tcPr>
            <w:tcW w:w="444" w:type="pct"/>
            <w:tcBorders>
              <w:top w:val="nil"/>
              <w:left w:val="nil"/>
              <w:bottom w:val="single" w:sz="4" w:space="0" w:color="auto"/>
              <w:right w:val="single" w:sz="4" w:space="0" w:color="auto"/>
            </w:tcBorders>
            <w:shd w:val="clear" w:color="auto" w:fill="auto"/>
            <w:vAlign w:val="center"/>
            <w:hideMark/>
          </w:tcPr>
          <w:p w14:paraId="0FDAF69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2/05/2022</w:t>
            </w:r>
          </w:p>
        </w:tc>
        <w:tc>
          <w:tcPr>
            <w:tcW w:w="368" w:type="pct"/>
            <w:tcBorders>
              <w:top w:val="nil"/>
              <w:left w:val="nil"/>
              <w:bottom w:val="single" w:sz="4" w:space="0" w:color="auto"/>
              <w:right w:val="single" w:sz="4" w:space="0" w:color="auto"/>
            </w:tcBorders>
            <w:shd w:val="clear" w:color="auto" w:fill="auto"/>
            <w:vAlign w:val="center"/>
            <w:hideMark/>
          </w:tcPr>
          <w:p w14:paraId="5E32B08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35</w:t>
            </w:r>
          </w:p>
        </w:tc>
        <w:tc>
          <w:tcPr>
            <w:tcW w:w="297" w:type="pct"/>
            <w:tcBorders>
              <w:top w:val="nil"/>
              <w:left w:val="nil"/>
              <w:bottom w:val="single" w:sz="4" w:space="0" w:color="auto"/>
              <w:right w:val="single" w:sz="4" w:space="0" w:color="auto"/>
            </w:tcBorders>
            <w:shd w:val="clear" w:color="auto" w:fill="auto"/>
            <w:vAlign w:val="center"/>
            <w:hideMark/>
          </w:tcPr>
          <w:p w14:paraId="59AB3BA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$2.970</w:t>
            </w:r>
          </w:p>
        </w:tc>
      </w:tr>
      <w:tr w:rsidR="001A38D5" w:rsidRPr="001A38D5" w14:paraId="588CAB26"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71649A64"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14:paraId="3B83E83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CONTRATACION DIRECTA CONTRATO DE PRESTACION DE SERVICIOS No.1739 DE 2022</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4E71340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LOGISTICA Y SUMINISTROS PENTAGONO SAS - NIT. 900.653.740</w:t>
            </w:r>
          </w:p>
        </w:tc>
        <w:tc>
          <w:tcPr>
            <w:tcW w:w="1191" w:type="pct"/>
            <w:tcBorders>
              <w:top w:val="nil"/>
              <w:left w:val="nil"/>
              <w:bottom w:val="single" w:sz="4" w:space="0" w:color="auto"/>
              <w:right w:val="single" w:sz="4" w:space="0" w:color="auto"/>
            </w:tcBorders>
            <w:shd w:val="clear" w:color="auto" w:fill="auto"/>
            <w:vAlign w:val="center"/>
            <w:hideMark/>
          </w:tcPr>
          <w:p w14:paraId="67E55EB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PROPIOS DE LA ENTIDAD TERRITORIAL</w:t>
            </w:r>
          </w:p>
        </w:tc>
        <w:tc>
          <w:tcPr>
            <w:tcW w:w="394" w:type="pct"/>
            <w:tcBorders>
              <w:top w:val="nil"/>
              <w:left w:val="nil"/>
              <w:bottom w:val="single" w:sz="4" w:space="0" w:color="auto"/>
              <w:right w:val="single" w:sz="4" w:space="0" w:color="auto"/>
            </w:tcBorders>
            <w:shd w:val="clear" w:color="auto" w:fill="auto"/>
            <w:vAlign w:val="center"/>
            <w:hideMark/>
          </w:tcPr>
          <w:p w14:paraId="656F3D1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$1.500</w:t>
            </w:r>
          </w:p>
        </w:tc>
        <w:tc>
          <w:tcPr>
            <w:tcW w:w="438" w:type="pct"/>
            <w:tcBorders>
              <w:top w:val="nil"/>
              <w:left w:val="nil"/>
              <w:bottom w:val="single" w:sz="4" w:space="0" w:color="auto"/>
              <w:right w:val="single" w:sz="4" w:space="0" w:color="auto"/>
            </w:tcBorders>
            <w:shd w:val="clear" w:color="auto" w:fill="auto"/>
            <w:vAlign w:val="center"/>
            <w:hideMark/>
          </w:tcPr>
          <w:p w14:paraId="778868E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389" w:type="pct"/>
            <w:tcBorders>
              <w:top w:val="nil"/>
              <w:left w:val="nil"/>
              <w:bottom w:val="single" w:sz="4" w:space="0" w:color="auto"/>
              <w:right w:val="single" w:sz="4" w:space="0" w:color="auto"/>
            </w:tcBorders>
            <w:shd w:val="clear" w:color="auto" w:fill="auto"/>
            <w:vAlign w:val="center"/>
            <w:hideMark/>
          </w:tcPr>
          <w:p w14:paraId="472E8C2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444" w:type="pct"/>
            <w:tcBorders>
              <w:top w:val="nil"/>
              <w:left w:val="nil"/>
              <w:bottom w:val="single" w:sz="4" w:space="0" w:color="auto"/>
              <w:right w:val="single" w:sz="4" w:space="0" w:color="auto"/>
            </w:tcBorders>
            <w:shd w:val="clear" w:color="auto" w:fill="auto"/>
            <w:vAlign w:val="center"/>
            <w:hideMark/>
          </w:tcPr>
          <w:p w14:paraId="5FC3098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24/06/2022</w:t>
            </w:r>
          </w:p>
        </w:tc>
        <w:tc>
          <w:tcPr>
            <w:tcW w:w="368" w:type="pct"/>
            <w:tcBorders>
              <w:top w:val="nil"/>
              <w:left w:val="nil"/>
              <w:bottom w:val="single" w:sz="4" w:space="0" w:color="auto"/>
              <w:right w:val="single" w:sz="4" w:space="0" w:color="auto"/>
            </w:tcBorders>
            <w:shd w:val="clear" w:color="auto" w:fill="auto"/>
            <w:vAlign w:val="center"/>
            <w:hideMark/>
          </w:tcPr>
          <w:p w14:paraId="5851990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w:t>
            </w:r>
          </w:p>
        </w:tc>
        <w:tc>
          <w:tcPr>
            <w:tcW w:w="297" w:type="pct"/>
            <w:tcBorders>
              <w:top w:val="nil"/>
              <w:left w:val="nil"/>
              <w:bottom w:val="single" w:sz="4" w:space="0" w:color="auto"/>
              <w:right w:val="single" w:sz="4" w:space="0" w:color="auto"/>
            </w:tcBorders>
            <w:shd w:val="clear" w:color="auto" w:fill="auto"/>
            <w:vAlign w:val="center"/>
            <w:hideMark/>
          </w:tcPr>
          <w:p w14:paraId="4D6937C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$1.500</w:t>
            </w:r>
          </w:p>
        </w:tc>
      </w:tr>
      <w:tr w:rsidR="001A38D5" w:rsidRPr="001A38D5" w14:paraId="041824A7"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278EA7F3"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26CDD245"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4108755C"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7C8B318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ONCE DOCEAVAS VIGENCIA ACTUAL MAS ULTIMA DOCEAVA VIGENCIA ANTERIOR</w:t>
            </w:r>
          </w:p>
        </w:tc>
        <w:tc>
          <w:tcPr>
            <w:tcW w:w="394" w:type="pct"/>
            <w:tcBorders>
              <w:top w:val="nil"/>
              <w:left w:val="nil"/>
              <w:bottom w:val="single" w:sz="4" w:space="0" w:color="auto"/>
              <w:right w:val="single" w:sz="4" w:space="0" w:color="auto"/>
            </w:tcBorders>
            <w:shd w:val="clear" w:color="auto" w:fill="auto"/>
            <w:vAlign w:val="center"/>
            <w:hideMark/>
          </w:tcPr>
          <w:p w14:paraId="02F7B92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$962</w:t>
            </w:r>
          </w:p>
        </w:tc>
        <w:tc>
          <w:tcPr>
            <w:tcW w:w="438" w:type="pct"/>
            <w:tcBorders>
              <w:top w:val="nil"/>
              <w:left w:val="nil"/>
              <w:bottom w:val="single" w:sz="4" w:space="0" w:color="auto"/>
              <w:right w:val="single" w:sz="4" w:space="0" w:color="auto"/>
            </w:tcBorders>
            <w:shd w:val="clear" w:color="auto" w:fill="auto"/>
            <w:vAlign w:val="center"/>
            <w:hideMark/>
          </w:tcPr>
          <w:p w14:paraId="7485B33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389" w:type="pct"/>
            <w:tcBorders>
              <w:top w:val="nil"/>
              <w:left w:val="nil"/>
              <w:bottom w:val="single" w:sz="4" w:space="0" w:color="auto"/>
              <w:right w:val="single" w:sz="4" w:space="0" w:color="auto"/>
            </w:tcBorders>
            <w:shd w:val="clear" w:color="auto" w:fill="auto"/>
            <w:vAlign w:val="center"/>
            <w:hideMark/>
          </w:tcPr>
          <w:p w14:paraId="48389CA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444" w:type="pct"/>
            <w:tcBorders>
              <w:top w:val="nil"/>
              <w:left w:val="nil"/>
              <w:bottom w:val="single" w:sz="4" w:space="0" w:color="auto"/>
              <w:right w:val="single" w:sz="4" w:space="0" w:color="auto"/>
            </w:tcBorders>
            <w:shd w:val="clear" w:color="auto" w:fill="auto"/>
            <w:vAlign w:val="center"/>
            <w:hideMark/>
          </w:tcPr>
          <w:p w14:paraId="3EDF47A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24/06/2022</w:t>
            </w:r>
          </w:p>
        </w:tc>
        <w:tc>
          <w:tcPr>
            <w:tcW w:w="368" w:type="pct"/>
            <w:tcBorders>
              <w:top w:val="nil"/>
              <w:left w:val="nil"/>
              <w:bottom w:val="single" w:sz="4" w:space="0" w:color="auto"/>
              <w:right w:val="single" w:sz="4" w:space="0" w:color="auto"/>
            </w:tcBorders>
            <w:shd w:val="clear" w:color="auto" w:fill="auto"/>
            <w:vAlign w:val="center"/>
            <w:hideMark/>
          </w:tcPr>
          <w:p w14:paraId="16CDA5D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w:t>
            </w:r>
          </w:p>
        </w:tc>
        <w:tc>
          <w:tcPr>
            <w:tcW w:w="297" w:type="pct"/>
            <w:tcBorders>
              <w:top w:val="nil"/>
              <w:left w:val="nil"/>
              <w:bottom w:val="single" w:sz="4" w:space="0" w:color="auto"/>
              <w:right w:val="single" w:sz="4" w:space="0" w:color="auto"/>
            </w:tcBorders>
            <w:shd w:val="clear" w:color="auto" w:fill="auto"/>
            <w:vAlign w:val="center"/>
            <w:hideMark/>
          </w:tcPr>
          <w:p w14:paraId="6A601BD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$962</w:t>
            </w:r>
          </w:p>
        </w:tc>
      </w:tr>
      <w:tr w:rsidR="001A38D5" w:rsidRPr="001A38D5" w14:paraId="660A5B07"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2D42DA95"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78C85DA4"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39BD62C7"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31832C0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UAPA - VIGENCIA ACTUAL</w:t>
            </w:r>
          </w:p>
        </w:tc>
        <w:tc>
          <w:tcPr>
            <w:tcW w:w="394" w:type="pct"/>
            <w:tcBorders>
              <w:top w:val="nil"/>
              <w:left w:val="nil"/>
              <w:bottom w:val="single" w:sz="4" w:space="0" w:color="auto"/>
              <w:right w:val="single" w:sz="4" w:space="0" w:color="auto"/>
            </w:tcBorders>
            <w:shd w:val="clear" w:color="auto" w:fill="auto"/>
            <w:vAlign w:val="center"/>
            <w:hideMark/>
          </w:tcPr>
          <w:p w14:paraId="103E050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$1.845</w:t>
            </w:r>
          </w:p>
        </w:tc>
        <w:tc>
          <w:tcPr>
            <w:tcW w:w="438" w:type="pct"/>
            <w:tcBorders>
              <w:top w:val="nil"/>
              <w:left w:val="nil"/>
              <w:bottom w:val="single" w:sz="4" w:space="0" w:color="auto"/>
              <w:right w:val="single" w:sz="4" w:space="0" w:color="auto"/>
            </w:tcBorders>
            <w:shd w:val="clear" w:color="auto" w:fill="auto"/>
            <w:vAlign w:val="center"/>
            <w:hideMark/>
          </w:tcPr>
          <w:p w14:paraId="3653C59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389" w:type="pct"/>
            <w:tcBorders>
              <w:top w:val="nil"/>
              <w:left w:val="nil"/>
              <w:bottom w:val="single" w:sz="4" w:space="0" w:color="auto"/>
              <w:right w:val="single" w:sz="4" w:space="0" w:color="auto"/>
            </w:tcBorders>
            <w:shd w:val="clear" w:color="auto" w:fill="auto"/>
            <w:vAlign w:val="center"/>
            <w:hideMark/>
          </w:tcPr>
          <w:p w14:paraId="46D123B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444" w:type="pct"/>
            <w:tcBorders>
              <w:top w:val="nil"/>
              <w:left w:val="nil"/>
              <w:bottom w:val="single" w:sz="4" w:space="0" w:color="auto"/>
              <w:right w:val="single" w:sz="4" w:space="0" w:color="auto"/>
            </w:tcBorders>
            <w:shd w:val="clear" w:color="auto" w:fill="auto"/>
            <w:vAlign w:val="center"/>
            <w:hideMark/>
          </w:tcPr>
          <w:p w14:paraId="60537A0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24/06/2022</w:t>
            </w:r>
          </w:p>
        </w:tc>
        <w:tc>
          <w:tcPr>
            <w:tcW w:w="368" w:type="pct"/>
            <w:tcBorders>
              <w:top w:val="nil"/>
              <w:left w:val="nil"/>
              <w:bottom w:val="single" w:sz="4" w:space="0" w:color="auto"/>
              <w:right w:val="single" w:sz="4" w:space="0" w:color="auto"/>
            </w:tcBorders>
            <w:shd w:val="clear" w:color="auto" w:fill="auto"/>
            <w:vAlign w:val="center"/>
            <w:hideMark/>
          </w:tcPr>
          <w:p w14:paraId="7D7DE70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w:t>
            </w:r>
          </w:p>
        </w:tc>
        <w:tc>
          <w:tcPr>
            <w:tcW w:w="297" w:type="pct"/>
            <w:tcBorders>
              <w:top w:val="nil"/>
              <w:left w:val="nil"/>
              <w:bottom w:val="single" w:sz="4" w:space="0" w:color="auto"/>
              <w:right w:val="single" w:sz="4" w:space="0" w:color="auto"/>
            </w:tcBorders>
            <w:shd w:val="clear" w:color="auto" w:fill="auto"/>
            <w:vAlign w:val="center"/>
            <w:hideMark/>
          </w:tcPr>
          <w:p w14:paraId="62154BD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$1.078</w:t>
            </w:r>
          </w:p>
        </w:tc>
      </w:tr>
      <w:tr w:rsidR="001A38D5" w:rsidRPr="001A38D5" w14:paraId="7FD81934"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36530E09"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2B4E37BA"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72BCA6D8"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4A59A93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UAPA - VIGENCIA ACTUAL</w:t>
            </w:r>
          </w:p>
        </w:tc>
        <w:tc>
          <w:tcPr>
            <w:tcW w:w="394" w:type="pct"/>
            <w:tcBorders>
              <w:top w:val="nil"/>
              <w:left w:val="nil"/>
              <w:bottom w:val="single" w:sz="4" w:space="0" w:color="auto"/>
              <w:right w:val="single" w:sz="4" w:space="0" w:color="auto"/>
            </w:tcBorders>
            <w:shd w:val="clear" w:color="auto" w:fill="auto"/>
            <w:vAlign w:val="center"/>
            <w:hideMark/>
          </w:tcPr>
          <w:p w14:paraId="6CBDDA2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$416</w:t>
            </w:r>
          </w:p>
        </w:tc>
        <w:tc>
          <w:tcPr>
            <w:tcW w:w="438" w:type="pct"/>
            <w:tcBorders>
              <w:top w:val="nil"/>
              <w:left w:val="nil"/>
              <w:bottom w:val="single" w:sz="4" w:space="0" w:color="auto"/>
              <w:right w:val="single" w:sz="4" w:space="0" w:color="auto"/>
            </w:tcBorders>
            <w:shd w:val="clear" w:color="auto" w:fill="auto"/>
            <w:vAlign w:val="center"/>
            <w:hideMark/>
          </w:tcPr>
          <w:p w14:paraId="4A67F4D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389" w:type="pct"/>
            <w:tcBorders>
              <w:top w:val="nil"/>
              <w:left w:val="nil"/>
              <w:bottom w:val="single" w:sz="4" w:space="0" w:color="auto"/>
              <w:right w:val="single" w:sz="4" w:space="0" w:color="auto"/>
            </w:tcBorders>
            <w:shd w:val="clear" w:color="auto" w:fill="auto"/>
            <w:vAlign w:val="center"/>
            <w:hideMark/>
          </w:tcPr>
          <w:p w14:paraId="1127FB8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444" w:type="pct"/>
            <w:tcBorders>
              <w:top w:val="nil"/>
              <w:left w:val="nil"/>
              <w:bottom w:val="single" w:sz="4" w:space="0" w:color="auto"/>
              <w:right w:val="single" w:sz="4" w:space="0" w:color="auto"/>
            </w:tcBorders>
            <w:shd w:val="clear" w:color="auto" w:fill="auto"/>
            <w:vAlign w:val="center"/>
            <w:hideMark/>
          </w:tcPr>
          <w:p w14:paraId="45E9185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24/06/2022</w:t>
            </w:r>
          </w:p>
        </w:tc>
        <w:tc>
          <w:tcPr>
            <w:tcW w:w="368" w:type="pct"/>
            <w:tcBorders>
              <w:top w:val="nil"/>
              <w:left w:val="nil"/>
              <w:bottom w:val="single" w:sz="4" w:space="0" w:color="auto"/>
              <w:right w:val="single" w:sz="4" w:space="0" w:color="auto"/>
            </w:tcBorders>
            <w:shd w:val="clear" w:color="auto" w:fill="auto"/>
            <w:vAlign w:val="center"/>
            <w:hideMark/>
          </w:tcPr>
          <w:p w14:paraId="1A57F1E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w:t>
            </w:r>
          </w:p>
        </w:tc>
        <w:tc>
          <w:tcPr>
            <w:tcW w:w="297" w:type="pct"/>
            <w:tcBorders>
              <w:top w:val="nil"/>
              <w:left w:val="nil"/>
              <w:bottom w:val="single" w:sz="4" w:space="0" w:color="auto"/>
              <w:right w:val="single" w:sz="4" w:space="0" w:color="auto"/>
            </w:tcBorders>
            <w:shd w:val="clear" w:color="auto" w:fill="auto"/>
            <w:vAlign w:val="center"/>
            <w:hideMark/>
          </w:tcPr>
          <w:p w14:paraId="3AE860D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$404</w:t>
            </w:r>
          </w:p>
        </w:tc>
      </w:tr>
      <w:tr w:rsidR="001A38D5" w:rsidRPr="001A38D5" w14:paraId="0507AC88"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204BDED2"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14:paraId="19AFECB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ADICION Y PRORROGA AL CONTRATO No. 1739 DE 2022</w:t>
            </w:r>
          </w:p>
        </w:tc>
        <w:tc>
          <w:tcPr>
            <w:tcW w:w="471" w:type="pct"/>
            <w:vMerge/>
            <w:tcBorders>
              <w:top w:val="nil"/>
              <w:left w:val="single" w:sz="4" w:space="0" w:color="auto"/>
              <w:bottom w:val="single" w:sz="4" w:space="0" w:color="auto"/>
              <w:right w:val="single" w:sz="4" w:space="0" w:color="auto"/>
            </w:tcBorders>
            <w:vAlign w:val="center"/>
            <w:hideMark/>
          </w:tcPr>
          <w:p w14:paraId="0D19EF52"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36FEDC6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RENDIMIENTOS FINANCIEROS</w:t>
            </w:r>
          </w:p>
        </w:tc>
        <w:tc>
          <w:tcPr>
            <w:tcW w:w="394" w:type="pct"/>
            <w:tcBorders>
              <w:top w:val="nil"/>
              <w:left w:val="nil"/>
              <w:bottom w:val="single" w:sz="4" w:space="0" w:color="auto"/>
              <w:right w:val="single" w:sz="4" w:space="0" w:color="auto"/>
            </w:tcBorders>
            <w:shd w:val="clear" w:color="auto" w:fill="auto"/>
            <w:vAlign w:val="center"/>
            <w:hideMark/>
          </w:tcPr>
          <w:p w14:paraId="6A5A3D6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$433</w:t>
            </w:r>
          </w:p>
        </w:tc>
        <w:tc>
          <w:tcPr>
            <w:tcW w:w="438" w:type="pct"/>
            <w:tcBorders>
              <w:top w:val="nil"/>
              <w:left w:val="nil"/>
              <w:bottom w:val="single" w:sz="4" w:space="0" w:color="auto"/>
              <w:right w:val="single" w:sz="4" w:space="0" w:color="auto"/>
            </w:tcBorders>
            <w:shd w:val="clear" w:color="auto" w:fill="auto"/>
            <w:vAlign w:val="center"/>
            <w:hideMark/>
          </w:tcPr>
          <w:p w14:paraId="22F3488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389" w:type="pct"/>
            <w:tcBorders>
              <w:top w:val="nil"/>
              <w:left w:val="nil"/>
              <w:bottom w:val="single" w:sz="4" w:space="0" w:color="auto"/>
              <w:right w:val="single" w:sz="4" w:space="0" w:color="auto"/>
            </w:tcBorders>
            <w:shd w:val="clear" w:color="auto" w:fill="auto"/>
            <w:vAlign w:val="center"/>
            <w:hideMark/>
          </w:tcPr>
          <w:p w14:paraId="6A332DC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444" w:type="pct"/>
            <w:tcBorders>
              <w:top w:val="nil"/>
              <w:left w:val="nil"/>
              <w:bottom w:val="single" w:sz="4" w:space="0" w:color="auto"/>
              <w:right w:val="single" w:sz="4" w:space="0" w:color="auto"/>
            </w:tcBorders>
            <w:shd w:val="clear" w:color="auto" w:fill="auto"/>
            <w:vAlign w:val="center"/>
            <w:hideMark/>
          </w:tcPr>
          <w:p w14:paraId="486FFBF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18/07/2022</w:t>
            </w:r>
          </w:p>
        </w:tc>
        <w:tc>
          <w:tcPr>
            <w:tcW w:w="368" w:type="pct"/>
            <w:tcBorders>
              <w:top w:val="nil"/>
              <w:left w:val="nil"/>
              <w:bottom w:val="single" w:sz="4" w:space="0" w:color="auto"/>
              <w:right w:val="single" w:sz="4" w:space="0" w:color="auto"/>
            </w:tcBorders>
            <w:shd w:val="clear" w:color="auto" w:fill="auto"/>
            <w:vAlign w:val="center"/>
            <w:hideMark/>
          </w:tcPr>
          <w:p w14:paraId="0B230AC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w:t>
            </w:r>
          </w:p>
        </w:tc>
        <w:tc>
          <w:tcPr>
            <w:tcW w:w="297" w:type="pct"/>
            <w:tcBorders>
              <w:top w:val="nil"/>
              <w:left w:val="nil"/>
              <w:bottom w:val="single" w:sz="4" w:space="0" w:color="auto"/>
              <w:right w:val="single" w:sz="4" w:space="0" w:color="auto"/>
            </w:tcBorders>
            <w:shd w:val="clear" w:color="auto" w:fill="auto"/>
            <w:vAlign w:val="center"/>
            <w:hideMark/>
          </w:tcPr>
          <w:p w14:paraId="5A6237E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$0</w:t>
            </w:r>
          </w:p>
        </w:tc>
      </w:tr>
      <w:tr w:rsidR="001A38D5" w:rsidRPr="001A38D5" w14:paraId="16175702"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12728A71"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4F35CAE5"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5DB595B8"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1A3DAE9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ONCE DOCEAVAS VIGENCIA ACTUAL MAS ULTIMA DOCEAVA VIGENCIA ANTERIOR</w:t>
            </w:r>
          </w:p>
        </w:tc>
        <w:tc>
          <w:tcPr>
            <w:tcW w:w="394" w:type="pct"/>
            <w:tcBorders>
              <w:top w:val="nil"/>
              <w:left w:val="nil"/>
              <w:bottom w:val="single" w:sz="4" w:space="0" w:color="auto"/>
              <w:right w:val="single" w:sz="4" w:space="0" w:color="auto"/>
            </w:tcBorders>
            <w:shd w:val="clear" w:color="auto" w:fill="auto"/>
            <w:vAlign w:val="center"/>
            <w:hideMark/>
          </w:tcPr>
          <w:p w14:paraId="4B5F2B7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$80</w:t>
            </w:r>
          </w:p>
        </w:tc>
        <w:tc>
          <w:tcPr>
            <w:tcW w:w="438" w:type="pct"/>
            <w:tcBorders>
              <w:top w:val="nil"/>
              <w:left w:val="nil"/>
              <w:bottom w:val="single" w:sz="4" w:space="0" w:color="auto"/>
              <w:right w:val="single" w:sz="4" w:space="0" w:color="auto"/>
            </w:tcBorders>
            <w:shd w:val="clear" w:color="auto" w:fill="auto"/>
            <w:vAlign w:val="center"/>
            <w:hideMark/>
          </w:tcPr>
          <w:p w14:paraId="1D13944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389" w:type="pct"/>
            <w:tcBorders>
              <w:top w:val="nil"/>
              <w:left w:val="nil"/>
              <w:bottom w:val="single" w:sz="4" w:space="0" w:color="auto"/>
              <w:right w:val="single" w:sz="4" w:space="0" w:color="auto"/>
            </w:tcBorders>
            <w:shd w:val="clear" w:color="auto" w:fill="auto"/>
            <w:vAlign w:val="center"/>
            <w:hideMark/>
          </w:tcPr>
          <w:p w14:paraId="132C410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444" w:type="pct"/>
            <w:tcBorders>
              <w:top w:val="nil"/>
              <w:left w:val="nil"/>
              <w:bottom w:val="single" w:sz="4" w:space="0" w:color="auto"/>
              <w:right w:val="single" w:sz="4" w:space="0" w:color="auto"/>
            </w:tcBorders>
            <w:shd w:val="clear" w:color="auto" w:fill="auto"/>
            <w:vAlign w:val="center"/>
            <w:hideMark/>
          </w:tcPr>
          <w:p w14:paraId="23C7B68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18/07/2022</w:t>
            </w:r>
          </w:p>
        </w:tc>
        <w:tc>
          <w:tcPr>
            <w:tcW w:w="368" w:type="pct"/>
            <w:tcBorders>
              <w:top w:val="nil"/>
              <w:left w:val="nil"/>
              <w:bottom w:val="single" w:sz="4" w:space="0" w:color="auto"/>
              <w:right w:val="single" w:sz="4" w:space="0" w:color="auto"/>
            </w:tcBorders>
            <w:shd w:val="clear" w:color="auto" w:fill="auto"/>
            <w:vAlign w:val="center"/>
            <w:hideMark/>
          </w:tcPr>
          <w:p w14:paraId="3FB35FF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w:t>
            </w:r>
          </w:p>
        </w:tc>
        <w:tc>
          <w:tcPr>
            <w:tcW w:w="297" w:type="pct"/>
            <w:tcBorders>
              <w:top w:val="nil"/>
              <w:left w:val="nil"/>
              <w:bottom w:val="single" w:sz="4" w:space="0" w:color="auto"/>
              <w:right w:val="single" w:sz="4" w:space="0" w:color="auto"/>
            </w:tcBorders>
            <w:shd w:val="clear" w:color="auto" w:fill="auto"/>
            <w:vAlign w:val="center"/>
            <w:hideMark/>
          </w:tcPr>
          <w:p w14:paraId="5F74922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$0</w:t>
            </w:r>
          </w:p>
        </w:tc>
      </w:tr>
      <w:tr w:rsidR="001A38D5" w:rsidRPr="001A38D5" w14:paraId="5E4BB776"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187198BB"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58FD0FD4"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7F55264E"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00AB8CE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OTROS RECURSOS POR SGP DIFERENTES A ALIMENTACION ESCOLAR</w:t>
            </w:r>
          </w:p>
        </w:tc>
        <w:tc>
          <w:tcPr>
            <w:tcW w:w="394" w:type="pct"/>
            <w:tcBorders>
              <w:top w:val="nil"/>
              <w:left w:val="nil"/>
              <w:bottom w:val="single" w:sz="4" w:space="0" w:color="auto"/>
              <w:right w:val="single" w:sz="4" w:space="0" w:color="auto"/>
            </w:tcBorders>
            <w:shd w:val="clear" w:color="auto" w:fill="auto"/>
            <w:vAlign w:val="center"/>
            <w:hideMark/>
          </w:tcPr>
          <w:p w14:paraId="504A2D0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$54</w:t>
            </w:r>
          </w:p>
        </w:tc>
        <w:tc>
          <w:tcPr>
            <w:tcW w:w="438" w:type="pct"/>
            <w:tcBorders>
              <w:top w:val="nil"/>
              <w:left w:val="nil"/>
              <w:bottom w:val="single" w:sz="4" w:space="0" w:color="auto"/>
              <w:right w:val="single" w:sz="4" w:space="0" w:color="auto"/>
            </w:tcBorders>
            <w:shd w:val="clear" w:color="auto" w:fill="auto"/>
            <w:vAlign w:val="center"/>
            <w:hideMark/>
          </w:tcPr>
          <w:p w14:paraId="48AF141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389" w:type="pct"/>
            <w:tcBorders>
              <w:top w:val="nil"/>
              <w:left w:val="nil"/>
              <w:bottom w:val="single" w:sz="4" w:space="0" w:color="auto"/>
              <w:right w:val="single" w:sz="4" w:space="0" w:color="auto"/>
            </w:tcBorders>
            <w:shd w:val="clear" w:color="auto" w:fill="auto"/>
            <w:vAlign w:val="center"/>
            <w:hideMark/>
          </w:tcPr>
          <w:p w14:paraId="7FA3209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10/05/2022</w:t>
            </w:r>
          </w:p>
        </w:tc>
        <w:tc>
          <w:tcPr>
            <w:tcW w:w="444" w:type="pct"/>
            <w:tcBorders>
              <w:top w:val="nil"/>
              <w:left w:val="nil"/>
              <w:bottom w:val="single" w:sz="4" w:space="0" w:color="auto"/>
              <w:right w:val="single" w:sz="4" w:space="0" w:color="auto"/>
            </w:tcBorders>
            <w:shd w:val="clear" w:color="auto" w:fill="auto"/>
            <w:vAlign w:val="center"/>
            <w:hideMark/>
          </w:tcPr>
          <w:p w14:paraId="3025C6A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18/07/2022</w:t>
            </w:r>
          </w:p>
        </w:tc>
        <w:tc>
          <w:tcPr>
            <w:tcW w:w="368" w:type="pct"/>
            <w:tcBorders>
              <w:top w:val="nil"/>
              <w:left w:val="nil"/>
              <w:bottom w:val="single" w:sz="4" w:space="0" w:color="auto"/>
              <w:right w:val="single" w:sz="4" w:space="0" w:color="auto"/>
            </w:tcBorders>
            <w:shd w:val="clear" w:color="auto" w:fill="auto"/>
            <w:vAlign w:val="center"/>
            <w:hideMark/>
          </w:tcPr>
          <w:p w14:paraId="3441C18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w:t>
            </w:r>
          </w:p>
        </w:tc>
        <w:tc>
          <w:tcPr>
            <w:tcW w:w="297" w:type="pct"/>
            <w:tcBorders>
              <w:top w:val="nil"/>
              <w:left w:val="nil"/>
              <w:bottom w:val="single" w:sz="4" w:space="0" w:color="auto"/>
              <w:right w:val="single" w:sz="4" w:space="0" w:color="auto"/>
            </w:tcBorders>
            <w:shd w:val="clear" w:color="auto" w:fill="auto"/>
            <w:vAlign w:val="center"/>
            <w:hideMark/>
          </w:tcPr>
          <w:p w14:paraId="59A9B32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$0</w:t>
            </w:r>
          </w:p>
        </w:tc>
      </w:tr>
      <w:tr w:rsidR="001A38D5" w:rsidRPr="001A38D5" w14:paraId="5B125028"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19CA1C36"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14:paraId="79A8FE2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LICITACION PUBLICA CONTRATO DE PRESTACION DE SERVICIOS No.1825 DE 2022</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632A593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UNION TEMPORAL VILLAVICENCIO SOLIDARIO 2022 - NIT. 901.614.837</w:t>
            </w:r>
          </w:p>
        </w:tc>
        <w:tc>
          <w:tcPr>
            <w:tcW w:w="1191" w:type="pct"/>
            <w:tcBorders>
              <w:top w:val="nil"/>
              <w:left w:val="nil"/>
              <w:bottom w:val="single" w:sz="4" w:space="0" w:color="auto"/>
              <w:right w:val="single" w:sz="4" w:space="0" w:color="auto"/>
            </w:tcBorders>
            <w:shd w:val="clear" w:color="auto" w:fill="auto"/>
            <w:vAlign w:val="center"/>
            <w:hideMark/>
          </w:tcPr>
          <w:p w14:paraId="6AAE2870"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PROPIOS DE LA ENTIDAD TERRITORIAL</w:t>
            </w:r>
          </w:p>
        </w:tc>
        <w:tc>
          <w:tcPr>
            <w:tcW w:w="394" w:type="pct"/>
            <w:tcBorders>
              <w:top w:val="nil"/>
              <w:left w:val="nil"/>
              <w:bottom w:val="single" w:sz="4" w:space="0" w:color="auto"/>
              <w:right w:val="single" w:sz="4" w:space="0" w:color="auto"/>
            </w:tcBorders>
            <w:shd w:val="clear" w:color="auto" w:fill="auto"/>
            <w:vAlign w:val="center"/>
            <w:hideMark/>
          </w:tcPr>
          <w:p w14:paraId="3652422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w:t>
            </w:r>
          </w:p>
        </w:tc>
        <w:tc>
          <w:tcPr>
            <w:tcW w:w="438" w:type="pct"/>
            <w:tcBorders>
              <w:top w:val="nil"/>
              <w:left w:val="nil"/>
              <w:bottom w:val="single" w:sz="4" w:space="0" w:color="auto"/>
              <w:right w:val="single" w:sz="4" w:space="0" w:color="auto"/>
            </w:tcBorders>
            <w:shd w:val="clear" w:color="auto" w:fill="auto"/>
            <w:vAlign w:val="center"/>
            <w:hideMark/>
          </w:tcPr>
          <w:p w14:paraId="0CBFC5F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389" w:type="pct"/>
            <w:tcBorders>
              <w:top w:val="nil"/>
              <w:left w:val="nil"/>
              <w:bottom w:val="single" w:sz="4" w:space="0" w:color="auto"/>
              <w:right w:val="single" w:sz="4" w:space="0" w:color="auto"/>
            </w:tcBorders>
            <w:shd w:val="clear" w:color="auto" w:fill="auto"/>
            <w:vAlign w:val="center"/>
            <w:hideMark/>
          </w:tcPr>
          <w:p w14:paraId="341AE76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444" w:type="pct"/>
            <w:tcBorders>
              <w:top w:val="nil"/>
              <w:left w:val="nil"/>
              <w:bottom w:val="single" w:sz="4" w:space="0" w:color="auto"/>
              <w:right w:val="single" w:sz="4" w:space="0" w:color="auto"/>
            </w:tcBorders>
            <w:shd w:val="clear" w:color="auto" w:fill="auto"/>
            <w:vAlign w:val="center"/>
            <w:hideMark/>
          </w:tcPr>
          <w:p w14:paraId="072D381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15/09/2022</w:t>
            </w:r>
          </w:p>
        </w:tc>
        <w:tc>
          <w:tcPr>
            <w:tcW w:w="368" w:type="pct"/>
            <w:tcBorders>
              <w:top w:val="nil"/>
              <w:left w:val="nil"/>
              <w:bottom w:val="single" w:sz="4" w:space="0" w:color="auto"/>
              <w:right w:val="single" w:sz="4" w:space="0" w:color="auto"/>
            </w:tcBorders>
            <w:shd w:val="clear" w:color="auto" w:fill="auto"/>
            <w:vAlign w:val="center"/>
            <w:hideMark/>
          </w:tcPr>
          <w:p w14:paraId="6CCE592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26</w:t>
            </w:r>
          </w:p>
        </w:tc>
        <w:tc>
          <w:tcPr>
            <w:tcW w:w="297" w:type="pct"/>
            <w:tcBorders>
              <w:top w:val="nil"/>
              <w:left w:val="nil"/>
              <w:bottom w:val="single" w:sz="4" w:space="0" w:color="auto"/>
              <w:right w:val="single" w:sz="4" w:space="0" w:color="auto"/>
            </w:tcBorders>
            <w:shd w:val="clear" w:color="auto" w:fill="auto"/>
            <w:vAlign w:val="center"/>
            <w:hideMark/>
          </w:tcPr>
          <w:p w14:paraId="433ECB8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w:t>
            </w:r>
          </w:p>
        </w:tc>
      </w:tr>
      <w:tr w:rsidR="001A38D5" w:rsidRPr="001A38D5" w14:paraId="1D66872E"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6899FA20"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761D9788"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684B2A8C"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26AC3DA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COFINANCIACION ALIMENTACION ESCOLAR - CONPES LEY 1530 DE 2012 ARTICULO 145 SALDOS NO EJECUTADOS VIGENCIAS ANTERIORES</w:t>
            </w:r>
          </w:p>
        </w:tc>
        <w:tc>
          <w:tcPr>
            <w:tcW w:w="394" w:type="pct"/>
            <w:tcBorders>
              <w:top w:val="nil"/>
              <w:left w:val="nil"/>
              <w:bottom w:val="single" w:sz="4" w:space="0" w:color="auto"/>
              <w:right w:val="single" w:sz="4" w:space="0" w:color="auto"/>
            </w:tcBorders>
            <w:shd w:val="clear" w:color="auto" w:fill="auto"/>
            <w:vAlign w:val="center"/>
            <w:hideMark/>
          </w:tcPr>
          <w:p w14:paraId="38C65F7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w:t>
            </w:r>
          </w:p>
        </w:tc>
        <w:tc>
          <w:tcPr>
            <w:tcW w:w="438" w:type="pct"/>
            <w:tcBorders>
              <w:top w:val="nil"/>
              <w:left w:val="nil"/>
              <w:bottom w:val="single" w:sz="4" w:space="0" w:color="auto"/>
              <w:right w:val="single" w:sz="4" w:space="0" w:color="auto"/>
            </w:tcBorders>
            <w:shd w:val="clear" w:color="auto" w:fill="auto"/>
            <w:vAlign w:val="center"/>
            <w:hideMark/>
          </w:tcPr>
          <w:p w14:paraId="2D489D9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389" w:type="pct"/>
            <w:tcBorders>
              <w:top w:val="nil"/>
              <w:left w:val="nil"/>
              <w:bottom w:val="single" w:sz="4" w:space="0" w:color="auto"/>
              <w:right w:val="single" w:sz="4" w:space="0" w:color="auto"/>
            </w:tcBorders>
            <w:shd w:val="clear" w:color="auto" w:fill="auto"/>
            <w:vAlign w:val="center"/>
            <w:hideMark/>
          </w:tcPr>
          <w:p w14:paraId="55D16E8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444" w:type="pct"/>
            <w:tcBorders>
              <w:top w:val="nil"/>
              <w:left w:val="nil"/>
              <w:bottom w:val="single" w:sz="4" w:space="0" w:color="auto"/>
              <w:right w:val="single" w:sz="4" w:space="0" w:color="auto"/>
            </w:tcBorders>
            <w:shd w:val="clear" w:color="auto" w:fill="auto"/>
            <w:vAlign w:val="center"/>
            <w:hideMark/>
          </w:tcPr>
          <w:p w14:paraId="5E8A53B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15/09/2022</w:t>
            </w:r>
          </w:p>
        </w:tc>
        <w:tc>
          <w:tcPr>
            <w:tcW w:w="368" w:type="pct"/>
            <w:tcBorders>
              <w:top w:val="nil"/>
              <w:left w:val="nil"/>
              <w:bottom w:val="single" w:sz="4" w:space="0" w:color="auto"/>
              <w:right w:val="single" w:sz="4" w:space="0" w:color="auto"/>
            </w:tcBorders>
            <w:shd w:val="clear" w:color="auto" w:fill="auto"/>
            <w:vAlign w:val="center"/>
            <w:hideMark/>
          </w:tcPr>
          <w:p w14:paraId="7BBA541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26</w:t>
            </w:r>
          </w:p>
        </w:tc>
        <w:tc>
          <w:tcPr>
            <w:tcW w:w="297" w:type="pct"/>
            <w:tcBorders>
              <w:top w:val="nil"/>
              <w:left w:val="nil"/>
              <w:bottom w:val="single" w:sz="4" w:space="0" w:color="auto"/>
              <w:right w:val="single" w:sz="4" w:space="0" w:color="auto"/>
            </w:tcBorders>
            <w:shd w:val="clear" w:color="auto" w:fill="auto"/>
            <w:vAlign w:val="center"/>
            <w:hideMark/>
          </w:tcPr>
          <w:p w14:paraId="3638000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w:t>
            </w:r>
          </w:p>
        </w:tc>
      </w:tr>
      <w:tr w:rsidR="001A38D5" w:rsidRPr="001A38D5" w14:paraId="02C6C99D"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015CB9BF"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5D4E732E"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25A59EA7"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5DC4440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OTROS RECURSOS POR SGP DIFERENTES A ALIMENTACION ESCOLAR</w:t>
            </w:r>
          </w:p>
        </w:tc>
        <w:tc>
          <w:tcPr>
            <w:tcW w:w="394" w:type="pct"/>
            <w:tcBorders>
              <w:top w:val="nil"/>
              <w:left w:val="nil"/>
              <w:bottom w:val="single" w:sz="4" w:space="0" w:color="auto"/>
              <w:right w:val="single" w:sz="4" w:space="0" w:color="auto"/>
            </w:tcBorders>
            <w:shd w:val="clear" w:color="auto" w:fill="auto"/>
            <w:vAlign w:val="center"/>
            <w:hideMark/>
          </w:tcPr>
          <w:p w14:paraId="4D72DF2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$650</w:t>
            </w:r>
          </w:p>
        </w:tc>
        <w:tc>
          <w:tcPr>
            <w:tcW w:w="438" w:type="pct"/>
            <w:tcBorders>
              <w:top w:val="nil"/>
              <w:left w:val="nil"/>
              <w:bottom w:val="single" w:sz="4" w:space="0" w:color="auto"/>
              <w:right w:val="single" w:sz="4" w:space="0" w:color="auto"/>
            </w:tcBorders>
            <w:shd w:val="clear" w:color="auto" w:fill="auto"/>
            <w:vAlign w:val="center"/>
            <w:hideMark/>
          </w:tcPr>
          <w:p w14:paraId="4AE83C8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389" w:type="pct"/>
            <w:tcBorders>
              <w:top w:val="nil"/>
              <w:left w:val="nil"/>
              <w:bottom w:val="single" w:sz="4" w:space="0" w:color="auto"/>
              <w:right w:val="single" w:sz="4" w:space="0" w:color="auto"/>
            </w:tcBorders>
            <w:shd w:val="clear" w:color="auto" w:fill="auto"/>
            <w:vAlign w:val="center"/>
            <w:hideMark/>
          </w:tcPr>
          <w:p w14:paraId="4A67D57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444" w:type="pct"/>
            <w:tcBorders>
              <w:top w:val="nil"/>
              <w:left w:val="nil"/>
              <w:bottom w:val="single" w:sz="4" w:space="0" w:color="auto"/>
              <w:right w:val="single" w:sz="4" w:space="0" w:color="auto"/>
            </w:tcBorders>
            <w:shd w:val="clear" w:color="auto" w:fill="auto"/>
            <w:vAlign w:val="center"/>
            <w:hideMark/>
          </w:tcPr>
          <w:p w14:paraId="0C7469A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25/09/2022</w:t>
            </w:r>
          </w:p>
        </w:tc>
        <w:tc>
          <w:tcPr>
            <w:tcW w:w="368" w:type="pct"/>
            <w:tcBorders>
              <w:top w:val="nil"/>
              <w:left w:val="nil"/>
              <w:bottom w:val="single" w:sz="4" w:space="0" w:color="auto"/>
              <w:right w:val="single" w:sz="4" w:space="0" w:color="auto"/>
            </w:tcBorders>
            <w:shd w:val="clear" w:color="auto" w:fill="auto"/>
            <w:vAlign w:val="center"/>
            <w:hideMark/>
          </w:tcPr>
          <w:p w14:paraId="6906137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26</w:t>
            </w:r>
          </w:p>
        </w:tc>
        <w:tc>
          <w:tcPr>
            <w:tcW w:w="297" w:type="pct"/>
            <w:tcBorders>
              <w:top w:val="nil"/>
              <w:left w:val="nil"/>
              <w:bottom w:val="single" w:sz="4" w:space="0" w:color="auto"/>
              <w:right w:val="single" w:sz="4" w:space="0" w:color="auto"/>
            </w:tcBorders>
            <w:shd w:val="clear" w:color="auto" w:fill="auto"/>
            <w:vAlign w:val="center"/>
            <w:hideMark/>
          </w:tcPr>
          <w:p w14:paraId="2924C5D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$650</w:t>
            </w:r>
          </w:p>
        </w:tc>
      </w:tr>
      <w:tr w:rsidR="001A38D5" w:rsidRPr="001A38D5" w14:paraId="585DB1F8"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1F312CDB"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3C929677"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5EA339F5"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36F346F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OTROS RECURSOS POR SGP DIFERENTES A ALIMENTACION ESCOLAR</w:t>
            </w:r>
          </w:p>
        </w:tc>
        <w:tc>
          <w:tcPr>
            <w:tcW w:w="394" w:type="pct"/>
            <w:tcBorders>
              <w:top w:val="nil"/>
              <w:left w:val="nil"/>
              <w:bottom w:val="single" w:sz="4" w:space="0" w:color="auto"/>
              <w:right w:val="single" w:sz="4" w:space="0" w:color="auto"/>
            </w:tcBorders>
            <w:shd w:val="clear" w:color="auto" w:fill="auto"/>
            <w:vAlign w:val="center"/>
            <w:hideMark/>
          </w:tcPr>
          <w:p w14:paraId="2DF65F3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$500</w:t>
            </w:r>
          </w:p>
        </w:tc>
        <w:tc>
          <w:tcPr>
            <w:tcW w:w="438" w:type="pct"/>
            <w:tcBorders>
              <w:top w:val="nil"/>
              <w:left w:val="nil"/>
              <w:bottom w:val="single" w:sz="4" w:space="0" w:color="auto"/>
              <w:right w:val="single" w:sz="4" w:space="0" w:color="auto"/>
            </w:tcBorders>
            <w:shd w:val="clear" w:color="auto" w:fill="auto"/>
            <w:vAlign w:val="center"/>
            <w:hideMark/>
          </w:tcPr>
          <w:p w14:paraId="5FAF0FD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389" w:type="pct"/>
            <w:tcBorders>
              <w:top w:val="nil"/>
              <w:left w:val="nil"/>
              <w:bottom w:val="single" w:sz="4" w:space="0" w:color="auto"/>
              <w:right w:val="single" w:sz="4" w:space="0" w:color="auto"/>
            </w:tcBorders>
            <w:shd w:val="clear" w:color="auto" w:fill="auto"/>
            <w:vAlign w:val="center"/>
            <w:hideMark/>
          </w:tcPr>
          <w:p w14:paraId="59FF0BD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444" w:type="pct"/>
            <w:tcBorders>
              <w:top w:val="nil"/>
              <w:left w:val="nil"/>
              <w:bottom w:val="single" w:sz="4" w:space="0" w:color="auto"/>
              <w:right w:val="single" w:sz="4" w:space="0" w:color="auto"/>
            </w:tcBorders>
            <w:shd w:val="clear" w:color="auto" w:fill="auto"/>
            <w:vAlign w:val="center"/>
            <w:hideMark/>
          </w:tcPr>
          <w:p w14:paraId="2876DA9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25/09/2022</w:t>
            </w:r>
          </w:p>
        </w:tc>
        <w:tc>
          <w:tcPr>
            <w:tcW w:w="368" w:type="pct"/>
            <w:tcBorders>
              <w:top w:val="nil"/>
              <w:left w:val="nil"/>
              <w:bottom w:val="single" w:sz="4" w:space="0" w:color="auto"/>
              <w:right w:val="single" w:sz="4" w:space="0" w:color="auto"/>
            </w:tcBorders>
            <w:shd w:val="clear" w:color="auto" w:fill="auto"/>
            <w:vAlign w:val="center"/>
            <w:hideMark/>
          </w:tcPr>
          <w:p w14:paraId="72AC299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26</w:t>
            </w:r>
          </w:p>
        </w:tc>
        <w:tc>
          <w:tcPr>
            <w:tcW w:w="297" w:type="pct"/>
            <w:tcBorders>
              <w:top w:val="nil"/>
              <w:left w:val="nil"/>
              <w:bottom w:val="single" w:sz="4" w:space="0" w:color="auto"/>
              <w:right w:val="single" w:sz="4" w:space="0" w:color="auto"/>
            </w:tcBorders>
            <w:shd w:val="clear" w:color="auto" w:fill="auto"/>
            <w:vAlign w:val="center"/>
            <w:hideMark/>
          </w:tcPr>
          <w:p w14:paraId="51C39CA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$500</w:t>
            </w:r>
          </w:p>
        </w:tc>
      </w:tr>
      <w:tr w:rsidR="001A38D5" w:rsidRPr="001A38D5" w14:paraId="37DE3AEE"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1D81683D"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0888AA48"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7DF92F85"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5BA0F75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SGP ALIMENTACION ESCOLAR ONCE DOCEAVAS VIGENCIA ACTUAL MAS ULTIMA DOCEAVA VIGENCIA ANTERIOR</w:t>
            </w:r>
          </w:p>
        </w:tc>
        <w:tc>
          <w:tcPr>
            <w:tcW w:w="394" w:type="pct"/>
            <w:tcBorders>
              <w:top w:val="nil"/>
              <w:left w:val="nil"/>
              <w:bottom w:val="single" w:sz="4" w:space="0" w:color="auto"/>
              <w:right w:val="single" w:sz="4" w:space="0" w:color="auto"/>
            </w:tcBorders>
            <w:shd w:val="clear" w:color="auto" w:fill="auto"/>
            <w:vAlign w:val="center"/>
            <w:hideMark/>
          </w:tcPr>
          <w:p w14:paraId="493D2EA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$359</w:t>
            </w:r>
          </w:p>
        </w:tc>
        <w:tc>
          <w:tcPr>
            <w:tcW w:w="438" w:type="pct"/>
            <w:tcBorders>
              <w:top w:val="nil"/>
              <w:left w:val="nil"/>
              <w:bottom w:val="single" w:sz="4" w:space="0" w:color="auto"/>
              <w:right w:val="single" w:sz="4" w:space="0" w:color="auto"/>
            </w:tcBorders>
            <w:shd w:val="clear" w:color="auto" w:fill="auto"/>
            <w:vAlign w:val="center"/>
            <w:hideMark/>
          </w:tcPr>
          <w:p w14:paraId="4B338E0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389" w:type="pct"/>
            <w:tcBorders>
              <w:top w:val="nil"/>
              <w:left w:val="nil"/>
              <w:bottom w:val="single" w:sz="4" w:space="0" w:color="auto"/>
              <w:right w:val="single" w:sz="4" w:space="0" w:color="auto"/>
            </w:tcBorders>
            <w:shd w:val="clear" w:color="auto" w:fill="auto"/>
            <w:vAlign w:val="center"/>
            <w:hideMark/>
          </w:tcPr>
          <w:p w14:paraId="13DCF98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444" w:type="pct"/>
            <w:tcBorders>
              <w:top w:val="nil"/>
              <w:left w:val="nil"/>
              <w:bottom w:val="single" w:sz="4" w:space="0" w:color="auto"/>
              <w:right w:val="single" w:sz="4" w:space="0" w:color="auto"/>
            </w:tcBorders>
            <w:shd w:val="clear" w:color="auto" w:fill="auto"/>
            <w:vAlign w:val="center"/>
            <w:hideMark/>
          </w:tcPr>
          <w:p w14:paraId="1F5CF54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25/09/2022</w:t>
            </w:r>
          </w:p>
        </w:tc>
        <w:tc>
          <w:tcPr>
            <w:tcW w:w="368" w:type="pct"/>
            <w:tcBorders>
              <w:top w:val="nil"/>
              <w:left w:val="nil"/>
              <w:bottom w:val="single" w:sz="4" w:space="0" w:color="auto"/>
              <w:right w:val="single" w:sz="4" w:space="0" w:color="auto"/>
            </w:tcBorders>
            <w:shd w:val="clear" w:color="auto" w:fill="auto"/>
            <w:vAlign w:val="center"/>
            <w:hideMark/>
          </w:tcPr>
          <w:p w14:paraId="4C3B553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26</w:t>
            </w:r>
          </w:p>
        </w:tc>
        <w:tc>
          <w:tcPr>
            <w:tcW w:w="297" w:type="pct"/>
            <w:tcBorders>
              <w:top w:val="nil"/>
              <w:left w:val="nil"/>
              <w:bottom w:val="single" w:sz="4" w:space="0" w:color="auto"/>
              <w:right w:val="single" w:sz="4" w:space="0" w:color="auto"/>
            </w:tcBorders>
            <w:shd w:val="clear" w:color="auto" w:fill="auto"/>
            <w:vAlign w:val="center"/>
            <w:hideMark/>
          </w:tcPr>
          <w:p w14:paraId="1B416C2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$359</w:t>
            </w:r>
          </w:p>
        </w:tc>
      </w:tr>
      <w:tr w:rsidR="001A38D5" w:rsidRPr="001A38D5" w14:paraId="02EF33C7" w14:textId="77777777" w:rsidTr="00A20990">
        <w:trPr>
          <w:trHeight w:val="255"/>
          <w:jc w:val="center"/>
        </w:trPr>
        <w:tc>
          <w:tcPr>
            <w:tcW w:w="321" w:type="pct"/>
            <w:vMerge/>
            <w:tcBorders>
              <w:top w:val="nil"/>
              <w:left w:val="single" w:sz="4" w:space="0" w:color="auto"/>
              <w:bottom w:val="single" w:sz="4" w:space="0" w:color="auto"/>
              <w:right w:val="single" w:sz="4" w:space="0" w:color="auto"/>
            </w:tcBorders>
            <w:vAlign w:val="center"/>
            <w:hideMark/>
          </w:tcPr>
          <w:p w14:paraId="6387897C"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61B24FC2"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10AAAD08"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7EBCC06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UAPA - VIGENCIA ACTUAL</w:t>
            </w:r>
          </w:p>
        </w:tc>
        <w:tc>
          <w:tcPr>
            <w:tcW w:w="394" w:type="pct"/>
            <w:tcBorders>
              <w:top w:val="nil"/>
              <w:left w:val="nil"/>
              <w:bottom w:val="single" w:sz="4" w:space="0" w:color="auto"/>
              <w:right w:val="single" w:sz="4" w:space="0" w:color="auto"/>
            </w:tcBorders>
            <w:shd w:val="clear" w:color="auto" w:fill="auto"/>
            <w:vAlign w:val="center"/>
            <w:hideMark/>
          </w:tcPr>
          <w:p w14:paraId="2A2F227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$3.047</w:t>
            </w:r>
          </w:p>
        </w:tc>
        <w:tc>
          <w:tcPr>
            <w:tcW w:w="438" w:type="pct"/>
            <w:tcBorders>
              <w:top w:val="nil"/>
              <w:left w:val="nil"/>
              <w:bottom w:val="single" w:sz="4" w:space="0" w:color="auto"/>
              <w:right w:val="single" w:sz="4" w:space="0" w:color="auto"/>
            </w:tcBorders>
            <w:shd w:val="clear" w:color="auto" w:fill="auto"/>
            <w:vAlign w:val="center"/>
            <w:hideMark/>
          </w:tcPr>
          <w:p w14:paraId="6D49F54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389" w:type="pct"/>
            <w:tcBorders>
              <w:top w:val="nil"/>
              <w:left w:val="nil"/>
              <w:bottom w:val="single" w:sz="4" w:space="0" w:color="auto"/>
              <w:right w:val="single" w:sz="4" w:space="0" w:color="auto"/>
            </w:tcBorders>
            <w:shd w:val="clear" w:color="auto" w:fill="auto"/>
            <w:vAlign w:val="center"/>
            <w:hideMark/>
          </w:tcPr>
          <w:p w14:paraId="4953EB5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444" w:type="pct"/>
            <w:tcBorders>
              <w:top w:val="nil"/>
              <w:left w:val="nil"/>
              <w:bottom w:val="single" w:sz="4" w:space="0" w:color="auto"/>
              <w:right w:val="single" w:sz="4" w:space="0" w:color="auto"/>
            </w:tcBorders>
            <w:shd w:val="clear" w:color="auto" w:fill="auto"/>
            <w:vAlign w:val="center"/>
            <w:hideMark/>
          </w:tcPr>
          <w:p w14:paraId="3378C30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25/09/2022</w:t>
            </w:r>
          </w:p>
        </w:tc>
        <w:tc>
          <w:tcPr>
            <w:tcW w:w="368" w:type="pct"/>
            <w:tcBorders>
              <w:top w:val="nil"/>
              <w:left w:val="nil"/>
              <w:bottom w:val="single" w:sz="4" w:space="0" w:color="auto"/>
              <w:right w:val="single" w:sz="4" w:space="0" w:color="auto"/>
            </w:tcBorders>
            <w:shd w:val="clear" w:color="auto" w:fill="auto"/>
            <w:vAlign w:val="center"/>
            <w:hideMark/>
          </w:tcPr>
          <w:p w14:paraId="3ADE832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26</w:t>
            </w:r>
          </w:p>
        </w:tc>
        <w:tc>
          <w:tcPr>
            <w:tcW w:w="297" w:type="pct"/>
            <w:tcBorders>
              <w:top w:val="nil"/>
              <w:left w:val="nil"/>
              <w:bottom w:val="single" w:sz="4" w:space="0" w:color="auto"/>
              <w:right w:val="single" w:sz="4" w:space="0" w:color="auto"/>
            </w:tcBorders>
            <w:shd w:val="clear" w:color="auto" w:fill="auto"/>
            <w:vAlign w:val="center"/>
            <w:hideMark/>
          </w:tcPr>
          <w:p w14:paraId="055AAEC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$2.862</w:t>
            </w:r>
          </w:p>
        </w:tc>
      </w:tr>
      <w:tr w:rsidR="001A38D5" w:rsidRPr="001A38D5" w14:paraId="18D492EB"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2DA210F7"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3D71AC00"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4CE0456E"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52D4671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RENDIMIENTOS FINANCIEROS</w:t>
            </w:r>
          </w:p>
        </w:tc>
        <w:tc>
          <w:tcPr>
            <w:tcW w:w="394" w:type="pct"/>
            <w:tcBorders>
              <w:top w:val="nil"/>
              <w:left w:val="nil"/>
              <w:bottom w:val="single" w:sz="4" w:space="0" w:color="auto"/>
              <w:right w:val="single" w:sz="4" w:space="0" w:color="auto"/>
            </w:tcBorders>
            <w:shd w:val="clear" w:color="auto" w:fill="auto"/>
            <w:vAlign w:val="center"/>
            <w:hideMark/>
          </w:tcPr>
          <w:p w14:paraId="398417A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$83</w:t>
            </w:r>
          </w:p>
        </w:tc>
        <w:tc>
          <w:tcPr>
            <w:tcW w:w="438" w:type="pct"/>
            <w:tcBorders>
              <w:top w:val="nil"/>
              <w:left w:val="nil"/>
              <w:bottom w:val="single" w:sz="4" w:space="0" w:color="auto"/>
              <w:right w:val="single" w:sz="4" w:space="0" w:color="auto"/>
            </w:tcBorders>
            <w:shd w:val="clear" w:color="auto" w:fill="auto"/>
            <w:vAlign w:val="center"/>
            <w:hideMark/>
          </w:tcPr>
          <w:p w14:paraId="1B8B446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389" w:type="pct"/>
            <w:tcBorders>
              <w:top w:val="nil"/>
              <w:left w:val="nil"/>
              <w:bottom w:val="single" w:sz="4" w:space="0" w:color="auto"/>
              <w:right w:val="single" w:sz="4" w:space="0" w:color="auto"/>
            </w:tcBorders>
            <w:shd w:val="clear" w:color="auto" w:fill="auto"/>
            <w:vAlign w:val="center"/>
            <w:hideMark/>
          </w:tcPr>
          <w:p w14:paraId="48CBA66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444" w:type="pct"/>
            <w:tcBorders>
              <w:top w:val="nil"/>
              <w:left w:val="nil"/>
              <w:bottom w:val="single" w:sz="4" w:space="0" w:color="auto"/>
              <w:right w:val="single" w:sz="4" w:space="0" w:color="auto"/>
            </w:tcBorders>
            <w:shd w:val="clear" w:color="auto" w:fill="auto"/>
            <w:vAlign w:val="center"/>
            <w:hideMark/>
          </w:tcPr>
          <w:p w14:paraId="47BC148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25/09/2022</w:t>
            </w:r>
          </w:p>
        </w:tc>
        <w:tc>
          <w:tcPr>
            <w:tcW w:w="368" w:type="pct"/>
            <w:tcBorders>
              <w:top w:val="nil"/>
              <w:left w:val="nil"/>
              <w:bottom w:val="single" w:sz="4" w:space="0" w:color="auto"/>
              <w:right w:val="single" w:sz="4" w:space="0" w:color="auto"/>
            </w:tcBorders>
            <w:shd w:val="clear" w:color="auto" w:fill="auto"/>
            <w:vAlign w:val="center"/>
            <w:hideMark/>
          </w:tcPr>
          <w:p w14:paraId="156CB86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26</w:t>
            </w:r>
          </w:p>
        </w:tc>
        <w:tc>
          <w:tcPr>
            <w:tcW w:w="297" w:type="pct"/>
            <w:tcBorders>
              <w:top w:val="nil"/>
              <w:left w:val="nil"/>
              <w:bottom w:val="single" w:sz="4" w:space="0" w:color="auto"/>
              <w:right w:val="single" w:sz="4" w:space="0" w:color="auto"/>
            </w:tcBorders>
            <w:shd w:val="clear" w:color="auto" w:fill="auto"/>
            <w:vAlign w:val="center"/>
            <w:hideMark/>
          </w:tcPr>
          <w:p w14:paraId="06EBA2E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$83</w:t>
            </w:r>
          </w:p>
        </w:tc>
      </w:tr>
      <w:tr w:rsidR="001A38D5" w:rsidRPr="001A38D5" w14:paraId="15CBCC3C"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2E14FA8B"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75DC70AC"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24DB6FF2"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11625B54"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RENDIMIENTOS FINANCIEROS</w:t>
            </w:r>
          </w:p>
        </w:tc>
        <w:tc>
          <w:tcPr>
            <w:tcW w:w="394" w:type="pct"/>
            <w:tcBorders>
              <w:top w:val="nil"/>
              <w:left w:val="nil"/>
              <w:bottom w:val="single" w:sz="4" w:space="0" w:color="auto"/>
              <w:right w:val="single" w:sz="4" w:space="0" w:color="auto"/>
            </w:tcBorders>
            <w:shd w:val="clear" w:color="auto" w:fill="auto"/>
            <w:vAlign w:val="center"/>
            <w:hideMark/>
          </w:tcPr>
          <w:p w14:paraId="055652C7"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w:t>
            </w:r>
          </w:p>
        </w:tc>
        <w:tc>
          <w:tcPr>
            <w:tcW w:w="438" w:type="pct"/>
            <w:tcBorders>
              <w:top w:val="nil"/>
              <w:left w:val="nil"/>
              <w:bottom w:val="single" w:sz="4" w:space="0" w:color="auto"/>
              <w:right w:val="single" w:sz="4" w:space="0" w:color="auto"/>
            </w:tcBorders>
            <w:shd w:val="clear" w:color="auto" w:fill="auto"/>
            <w:vAlign w:val="center"/>
            <w:hideMark/>
          </w:tcPr>
          <w:p w14:paraId="5BB244A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389" w:type="pct"/>
            <w:tcBorders>
              <w:top w:val="nil"/>
              <w:left w:val="nil"/>
              <w:bottom w:val="single" w:sz="4" w:space="0" w:color="auto"/>
              <w:right w:val="single" w:sz="4" w:space="0" w:color="auto"/>
            </w:tcBorders>
            <w:shd w:val="clear" w:color="auto" w:fill="auto"/>
            <w:vAlign w:val="center"/>
            <w:hideMark/>
          </w:tcPr>
          <w:p w14:paraId="61019D60"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444" w:type="pct"/>
            <w:tcBorders>
              <w:top w:val="nil"/>
              <w:left w:val="nil"/>
              <w:bottom w:val="single" w:sz="4" w:space="0" w:color="auto"/>
              <w:right w:val="single" w:sz="4" w:space="0" w:color="auto"/>
            </w:tcBorders>
            <w:shd w:val="clear" w:color="auto" w:fill="auto"/>
            <w:vAlign w:val="center"/>
            <w:hideMark/>
          </w:tcPr>
          <w:p w14:paraId="15FF67B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25/09/2022</w:t>
            </w:r>
          </w:p>
        </w:tc>
        <w:tc>
          <w:tcPr>
            <w:tcW w:w="368" w:type="pct"/>
            <w:tcBorders>
              <w:top w:val="nil"/>
              <w:left w:val="nil"/>
              <w:bottom w:val="single" w:sz="4" w:space="0" w:color="auto"/>
              <w:right w:val="single" w:sz="4" w:space="0" w:color="auto"/>
            </w:tcBorders>
            <w:shd w:val="clear" w:color="auto" w:fill="auto"/>
            <w:vAlign w:val="center"/>
            <w:hideMark/>
          </w:tcPr>
          <w:p w14:paraId="023B547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26</w:t>
            </w:r>
          </w:p>
        </w:tc>
        <w:tc>
          <w:tcPr>
            <w:tcW w:w="297" w:type="pct"/>
            <w:tcBorders>
              <w:top w:val="nil"/>
              <w:left w:val="nil"/>
              <w:bottom w:val="single" w:sz="4" w:space="0" w:color="auto"/>
              <w:right w:val="single" w:sz="4" w:space="0" w:color="auto"/>
            </w:tcBorders>
            <w:shd w:val="clear" w:color="auto" w:fill="auto"/>
            <w:vAlign w:val="center"/>
            <w:hideMark/>
          </w:tcPr>
          <w:p w14:paraId="39232EE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w:t>
            </w:r>
          </w:p>
        </w:tc>
      </w:tr>
      <w:tr w:rsidR="001A38D5" w:rsidRPr="001A38D5" w14:paraId="77805F37"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4666E2A1"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14:paraId="7411033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ADICION 1 Y PRORROGA 2 AL CONTRATO No. 1825DE 2022</w:t>
            </w:r>
          </w:p>
        </w:tc>
        <w:tc>
          <w:tcPr>
            <w:tcW w:w="471" w:type="pct"/>
            <w:vMerge/>
            <w:tcBorders>
              <w:top w:val="nil"/>
              <w:left w:val="single" w:sz="4" w:space="0" w:color="auto"/>
              <w:bottom w:val="single" w:sz="4" w:space="0" w:color="auto"/>
              <w:right w:val="single" w:sz="4" w:space="0" w:color="auto"/>
            </w:tcBorders>
            <w:vAlign w:val="center"/>
            <w:hideMark/>
          </w:tcPr>
          <w:p w14:paraId="4BB649AC"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2B3537E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PROPIOS DE LA ENTIDAD TERRITORIAL</w:t>
            </w:r>
          </w:p>
        </w:tc>
        <w:tc>
          <w:tcPr>
            <w:tcW w:w="394" w:type="pct"/>
            <w:tcBorders>
              <w:top w:val="nil"/>
              <w:left w:val="nil"/>
              <w:bottom w:val="single" w:sz="4" w:space="0" w:color="auto"/>
              <w:right w:val="single" w:sz="4" w:space="0" w:color="auto"/>
            </w:tcBorders>
            <w:shd w:val="clear" w:color="auto" w:fill="auto"/>
            <w:vAlign w:val="center"/>
            <w:hideMark/>
          </w:tcPr>
          <w:p w14:paraId="33AE92C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$1.957.964</w:t>
            </w:r>
          </w:p>
        </w:tc>
        <w:tc>
          <w:tcPr>
            <w:tcW w:w="438" w:type="pct"/>
            <w:tcBorders>
              <w:top w:val="nil"/>
              <w:left w:val="nil"/>
              <w:bottom w:val="single" w:sz="4" w:space="0" w:color="auto"/>
              <w:right w:val="single" w:sz="4" w:space="0" w:color="auto"/>
            </w:tcBorders>
            <w:shd w:val="clear" w:color="auto" w:fill="auto"/>
            <w:vAlign w:val="center"/>
            <w:hideMark/>
          </w:tcPr>
          <w:p w14:paraId="4B40B6E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389" w:type="pct"/>
            <w:tcBorders>
              <w:top w:val="nil"/>
              <w:left w:val="nil"/>
              <w:bottom w:val="single" w:sz="4" w:space="0" w:color="auto"/>
              <w:right w:val="single" w:sz="4" w:space="0" w:color="auto"/>
            </w:tcBorders>
            <w:shd w:val="clear" w:color="auto" w:fill="auto"/>
            <w:vAlign w:val="center"/>
            <w:hideMark/>
          </w:tcPr>
          <w:p w14:paraId="0CB6808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444" w:type="pct"/>
            <w:tcBorders>
              <w:top w:val="nil"/>
              <w:left w:val="nil"/>
              <w:bottom w:val="single" w:sz="4" w:space="0" w:color="auto"/>
              <w:right w:val="single" w:sz="4" w:space="0" w:color="auto"/>
            </w:tcBorders>
            <w:shd w:val="clear" w:color="auto" w:fill="auto"/>
            <w:vAlign w:val="center"/>
            <w:hideMark/>
          </w:tcPr>
          <w:p w14:paraId="506CCFF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25/09/2022</w:t>
            </w:r>
          </w:p>
        </w:tc>
        <w:tc>
          <w:tcPr>
            <w:tcW w:w="368" w:type="pct"/>
            <w:tcBorders>
              <w:top w:val="nil"/>
              <w:left w:val="nil"/>
              <w:bottom w:val="single" w:sz="4" w:space="0" w:color="auto"/>
              <w:right w:val="single" w:sz="4" w:space="0" w:color="auto"/>
            </w:tcBorders>
            <w:shd w:val="clear" w:color="auto" w:fill="auto"/>
            <w:vAlign w:val="center"/>
            <w:hideMark/>
          </w:tcPr>
          <w:p w14:paraId="797347A3"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w:t>
            </w:r>
          </w:p>
        </w:tc>
        <w:tc>
          <w:tcPr>
            <w:tcW w:w="297" w:type="pct"/>
            <w:tcBorders>
              <w:top w:val="nil"/>
              <w:left w:val="nil"/>
              <w:bottom w:val="single" w:sz="4" w:space="0" w:color="auto"/>
              <w:right w:val="single" w:sz="4" w:space="0" w:color="auto"/>
            </w:tcBorders>
            <w:shd w:val="clear" w:color="auto" w:fill="auto"/>
            <w:vAlign w:val="center"/>
            <w:hideMark/>
          </w:tcPr>
          <w:p w14:paraId="569043A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$0</w:t>
            </w:r>
          </w:p>
        </w:tc>
      </w:tr>
      <w:tr w:rsidR="001A38D5" w:rsidRPr="001A38D5" w14:paraId="3F695571"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12D1C35C" w14:textId="77777777" w:rsidR="00A20990" w:rsidRPr="001A38D5" w:rsidRDefault="00A20990" w:rsidP="005140E1">
            <w:pPr>
              <w:contextualSpacing/>
              <w:jc w:val="center"/>
              <w:rPr>
                <w:rFonts w:eastAsia="Times New Roman" w:cs="Arial"/>
                <w:sz w:val="14"/>
                <w:szCs w:val="14"/>
                <w:lang w:val="es-CO" w:eastAsia="es-CO"/>
              </w:rPr>
            </w:pPr>
          </w:p>
        </w:tc>
        <w:tc>
          <w:tcPr>
            <w:tcW w:w="688" w:type="pct"/>
            <w:vMerge/>
            <w:tcBorders>
              <w:top w:val="nil"/>
              <w:left w:val="single" w:sz="4" w:space="0" w:color="auto"/>
              <w:bottom w:val="single" w:sz="4" w:space="0" w:color="auto"/>
              <w:right w:val="single" w:sz="4" w:space="0" w:color="auto"/>
            </w:tcBorders>
            <w:vAlign w:val="center"/>
            <w:hideMark/>
          </w:tcPr>
          <w:p w14:paraId="14405600" w14:textId="77777777" w:rsidR="00A20990" w:rsidRPr="001A38D5" w:rsidRDefault="00A20990" w:rsidP="005140E1">
            <w:pPr>
              <w:contextualSpacing/>
              <w:jc w:val="center"/>
              <w:rPr>
                <w:rFonts w:eastAsia="Times New Roman" w:cs="Arial"/>
                <w:sz w:val="14"/>
                <w:szCs w:val="14"/>
                <w:lang w:val="es-CO" w:eastAsia="es-CO"/>
              </w:rPr>
            </w:pPr>
          </w:p>
        </w:tc>
        <w:tc>
          <w:tcPr>
            <w:tcW w:w="471" w:type="pct"/>
            <w:vMerge/>
            <w:tcBorders>
              <w:top w:val="nil"/>
              <w:left w:val="single" w:sz="4" w:space="0" w:color="auto"/>
              <w:bottom w:val="single" w:sz="4" w:space="0" w:color="auto"/>
              <w:right w:val="single" w:sz="4" w:space="0" w:color="auto"/>
            </w:tcBorders>
            <w:vAlign w:val="center"/>
            <w:hideMark/>
          </w:tcPr>
          <w:p w14:paraId="032FEC9C"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6094CF6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OTROS RECURSOS POR SGP DIFERENTES A ALIMENTACION ESCOLAR</w:t>
            </w:r>
          </w:p>
        </w:tc>
        <w:tc>
          <w:tcPr>
            <w:tcW w:w="394" w:type="pct"/>
            <w:tcBorders>
              <w:top w:val="nil"/>
              <w:left w:val="nil"/>
              <w:bottom w:val="single" w:sz="4" w:space="0" w:color="auto"/>
              <w:right w:val="single" w:sz="4" w:space="0" w:color="auto"/>
            </w:tcBorders>
            <w:shd w:val="clear" w:color="auto" w:fill="auto"/>
            <w:vAlign w:val="center"/>
            <w:hideMark/>
          </w:tcPr>
          <w:p w14:paraId="47E554C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$500.000</w:t>
            </w:r>
          </w:p>
        </w:tc>
        <w:tc>
          <w:tcPr>
            <w:tcW w:w="438" w:type="pct"/>
            <w:tcBorders>
              <w:top w:val="nil"/>
              <w:left w:val="nil"/>
              <w:bottom w:val="single" w:sz="4" w:space="0" w:color="auto"/>
              <w:right w:val="single" w:sz="4" w:space="0" w:color="auto"/>
            </w:tcBorders>
            <w:shd w:val="clear" w:color="auto" w:fill="auto"/>
            <w:vAlign w:val="center"/>
            <w:hideMark/>
          </w:tcPr>
          <w:p w14:paraId="43F1FCC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389" w:type="pct"/>
            <w:tcBorders>
              <w:top w:val="nil"/>
              <w:left w:val="nil"/>
              <w:bottom w:val="single" w:sz="4" w:space="0" w:color="auto"/>
              <w:right w:val="single" w:sz="4" w:space="0" w:color="auto"/>
            </w:tcBorders>
            <w:shd w:val="clear" w:color="auto" w:fill="auto"/>
            <w:vAlign w:val="center"/>
            <w:hideMark/>
          </w:tcPr>
          <w:p w14:paraId="357C529D"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21/07/2022</w:t>
            </w:r>
          </w:p>
        </w:tc>
        <w:tc>
          <w:tcPr>
            <w:tcW w:w="444" w:type="pct"/>
            <w:tcBorders>
              <w:top w:val="nil"/>
              <w:left w:val="nil"/>
              <w:bottom w:val="single" w:sz="4" w:space="0" w:color="auto"/>
              <w:right w:val="single" w:sz="4" w:space="0" w:color="auto"/>
            </w:tcBorders>
            <w:shd w:val="clear" w:color="auto" w:fill="auto"/>
            <w:vAlign w:val="center"/>
            <w:hideMark/>
          </w:tcPr>
          <w:p w14:paraId="7D7A1A7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25/09/2022</w:t>
            </w:r>
          </w:p>
        </w:tc>
        <w:tc>
          <w:tcPr>
            <w:tcW w:w="368" w:type="pct"/>
            <w:tcBorders>
              <w:top w:val="nil"/>
              <w:left w:val="nil"/>
              <w:bottom w:val="single" w:sz="4" w:space="0" w:color="auto"/>
              <w:right w:val="single" w:sz="4" w:space="0" w:color="auto"/>
            </w:tcBorders>
            <w:shd w:val="clear" w:color="auto" w:fill="auto"/>
            <w:vAlign w:val="center"/>
            <w:hideMark/>
          </w:tcPr>
          <w:p w14:paraId="5056215E"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13</w:t>
            </w:r>
          </w:p>
        </w:tc>
        <w:tc>
          <w:tcPr>
            <w:tcW w:w="297" w:type="pct"/>
            <w:tcBorders>
              <w:top w:val="nil"/>
              <w:left w:val="nil"/>
              <w:bottom w:val="single" w:sz="4" w:space="0" w:color="auto"/>
              <w:right w:val="single" w:sz="4" w:space="0" w:color="auto"/>
            </w:tcBorders>
            <w:shd w:val="clear" w:color="auto" w:fill="auto"/>
            <w:vAlign w:val="center"/>
            <w:hideMark/>
          </w:tcPr>
          <w:p w14:paraId="134B00C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$0</w:t>
            </w:r>
          </w:p>
        </w:tc>
      </w:tr>
      <w:tr w:rsidR="001A38D5" w:rsidRPr="001A38D5" w14:paraId="5E9A1047" w14:textId="77777777" w:rsidTr="00A20990">
        <w:trPr>
          <w:trHeight w:val="240"/>
          <w:jc w:val="center"/>
        </w:trPr>
        <w:tc>
          <w:tcPr>
            <w:tcW w:w="321" w:type="pct"/>
            <w:vMerge/>
            <w:tcBorders>
              <w:top w:val="nil"/>
              <w:left w:val="single" w:sz="4" w:space="0" w:color="auto"/>
              <w:bottom w:val="single" w:sz="4" w:space="0" w:color="auto"/>
              <w:right w:val="single" w:sz="4" w:space="0" w:color="auto"/>
            </w:tcBorders>
            <w:vAlign w:val="center"/>
            <w:hideMark/>
          </w:tcPr>
          <w:p w14:paraId="46FF9BA7" w14:textId="77777777" w:rsidR="00A20990" w:rsidRPr="001A38D5" w:rsidRDefault="00A20990" w:rsidP="005140E1">
            <w:pPr>
              <w:contextualSpacing/>
              <w:jc w:val="center"/>
              <w:rPr>
                <w:rFonts w:eastAsia="Times New Roman" w:cs="Arial"/>
                <w:sz w:val="14"/>
                <w:szCs w:val="14"/>
                <w:lang w:val="es-CO" w:eastAsia="es-CO"/>
              </w:rPr>
            </w:pPr>
          </w:p>
        </w:tc>
        <w:tc>
          <w:tcPr>
            <w:tcW w:w="688" w:type="pct"/>
            <w:tcBorders>
              <w:top w:val="nil"/>
              <w:left w:val="nil"/>
              <w:bottom w:val="single" w:sz="4" w:space="0" w:color="auto"/>
              <w:right w:val="single" w:sz="4" w:space="0" w:color="auto"/>
            </w:tcBorders>
            <w:shd w:val="clear" w:color="auto" w:fill="auto"/>
            <w:vAlign w:val="center"/>
            <w:hideMark/>
          </w:tcPr>
          <w:p w14:paraId="57033A1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CONTRATACION DIRECTA CONTRATO DE PRESTACION DE SERVICIOS No.3122 DE 2022</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14:paraId="31D7ADA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SERVICIOS DE ALIMENTOS Y LOGISTICA S.A.S SEDEALCO S.A.S - NIT. 901.084.024</w:t>
            </w:r>
          </w:p>
        </w:tc>
        <w:tc>
          <w:tcPr>
            <w:tcW w:w="1191" w:type="pct"/>
            <w:tcBorders>
              <w:top w:val="nil"/>
              <w:left w:val="nil"/>
              <w:bottom w:val="single" w:sz="4" w:space="0" w:color="auto"/>
              <w:right w:val="single" w:sz="4" w:space="0" w:color="auto"/>
            </w:tcBorders>
            <w:shd w:val="clear" w:color="auto" w:fill="auto"/>
            <w:vAlign w:val="center"/>
            <w:hideMark/>
          </w:tcPr>
          <w:p w14:paraId="3A2E2687"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DEL SISTEMA GENERAL DE REGALIAS</w:t>
            </w:r>
          </w:p>
        </w:tc>
        <w:tc>
          <w:tcPr>
            <w:tcW w:w="394" w:type="pct"/>
            <w:tcBorders>
              <w:top w:val="nil"/>
              <w:left w:val="nil"/>
              <w:bottom w:val="single" w:sz="4" w:space="0" w:color="auto"/>
              <w:right w:val="single" w:sz="4" w:space="0" w:color="auto"/>
            </w:tcBorders>
            <w:shd w:val="clear" w:color="auto" w:fill="auto"/>
            <w:vAlign w:val="center"/>
            <w:hideMark/>
          </w:tcPr>
          <w:p w14:paraId="1788E5B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$3.782</w:t>
            </w:r>
          </w:p>
        </w:tc>
        <w:tc>
          <w:tcPr>
            <w:tcW w:w="438" w:type="pct"/>
            <w:tcBorders>
              <w:top w:val="nil"/>
              <w:left w:val="nil"/>
              <w:bottom w:val="single" w:sz="4" w:space="0" w:color="auto"/>
              <w:right w:val="single" w:sz="4" w:space="0" w:color="auto"/>
            </w:tcBorders>
            <w:shd w:val="clear" w:color="auto" w:fill="auto"/>
            <w:vAlign w:val="center"/>
            <w:hideMark/>
          </w:tcPr>
          <w:p w14:paraId="79E204D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16/09/2022</w:t>
            </w:r>
          </w:p>
        </w:tc>
        <w:tc>
          <w:tcPr>
            <w:tcW w:w="389" w:type="pct"/>
            <w:tcBorders>
              <w:top w:val="nil"/>
              <w:left w:val="nil"/>
              <w:bottom w:val="single" w:sz="4" w:space="0" w:color="auto"/>
              <w:right w:val="single" w:sz="4" w:space="0" w:color="auto"/>
            </w:tcBorders>
            <w:shd w:val="clear" w:color="auto" w:fill="auto"/>
            <w:vAlign w:val="center"/>
            <w:hideMark/>
          </w:tcPr>
          <w:p w14:paraId="6EE1422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16/09/2022</w:t>
            </w:r>
          </w:p>
        </w:tc>
        <w:tc>
          <w:tcPr>
            <w:tcW w:w="444" w:type="pct"/>
            <w:tcBorders>
              <w:top w:val="nil"/>
              <w:left w:val="nil"/>
              <w:bottom w:val="single" w:sz="4" w:space="0" w:color="auto"/>
              <w:right w:val="single" w:sz="4" w:space="0" w:color="auto"/>
            </w:tcBorders>
            <w:shd w:val="clear" w:color="auto" w:fill="auto"/>
            <w:vAlign w:val="center"/>
            <w:hideMark/>
          </w:tcPr>
          <w:p w14:paraId="52B421C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21/10/2022</w:t>
            </w:r>
          </w:p>
        </w:tc>
        <w:tc>
          <w:tcPr>
            <w:tcW w:w="368" w:type="pct"/>
            <w:tcBorders>
              <w:top w:val="nil"/>
              <w:left w:val="nil"/>
              <w:bottom w:val="single" w:sz="4" w:space="0" w:color="auto"/>
              <w:right w:val="single" w:sz="4" w:space="0" w:color="auto"/>
            </w:tcBorders>
            <w:shd w:val="clear" w:color="auto" w:fill="auto"/>
            <w:vAlign w:val="center"/>
            <w:hideMark/>
          </w:tcPr>
          <w:p w14:paraId="63814F2C"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20</w:t>
            </w:r>
          </w:p>
        </w:tc>
        <w:tc>
          <w:tcPr>
            <w:tcW w:w="297" w:type="pct"/>
            <w:tcBorders>
              <w:top w:val="nil"/>
              <w:left w:val="nil"/>
              <w:bottom w:val="single" w:sz="4" w:space="0" w:color="auto"/>
              <w:right w:val="single" w:sz="4" w:space="0" w:color="auto"/>
            </w:tcBorders>
            <w:shd w:val="clear" w:color="auto" w:fill="auto"/>
            <w:vAlign w:val="center"/>
            <w:hideMark/>
          </w:tcPr>
          <w:p w14:paraId="72C7306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$0</w:t>
            </w:r>
          </w:p>
        </w:tc>
      </w:tr>
      <w:tr w:rsidR="001A38D5" w:rsidRPr="001A38D5" w14:paraId="6E304987" w14:textId="77777777" w:rsidTr="00A20990">
        <w:trPr>
          <w:trHeight w:val="450"/>
          <w:jc w:val="center"/>
        </w:trPr>
        <w:tc>
          <w:tcPr>
            <w:tcW w:w="321" w:type="pct"/>
            <w:vMerge/>
            <w:tcBorders>
              <w:top w:val="nil"/>
              <w:left w:val="single" w:sz="4" w:space="0" w:color="auto"/>
              <w:bottom w:val="single" w:sz="4" w:space="0" w:color="auto"/>
              <w:right w:val="single" w:sz="4" w:space="0" w:color="auto"/>
            </w:tcBorders>
            <w:vAlign w:val="center"/>
            <w:hideMark/>
          </w:tcPr>
          <w:p w14:paraId="576F5AAB" w14:textId="77777777" w:rsidR="00A20990" w:rsidRPr="001A38D5" w:rsidRDefault="00A20990" w:rsidP="005140E1">
            <w:pPr>
              <w:contextualSpacing/>
              <w:jc w:val="center"/>
              <w:rPr>
                <w:rFonts w:eastAsia="Times New Roman" w:cs="Arial"/>
                <w:sz w:val="14"/>
                <w:szCs w:val="14"/>
                <w:lang w:val="es-CO" w:eastAsia="es-CO"/>
              </w:rPr>
            </w:pPr>
          </w:p>
        </w:tc>
        <w:tc>
          <w:tcPr>
            <w:tcW w:w="688" w:type="pct"/>
            <w:tcBorders>
              <w:top w:val="nil"/>
              <w:left w:val="nil"/>
              <w:bottom w:val="single" w:sz="4" w:space="0" w:color="auto"/>
              <w:right w:val="single" w:sz="4" w:space="0" w:color="auto"/>
            </w:tcBorders>
            <w:shd w:val="clear" w:color="auto" w:fill="auto"/>
            <w:vAlign w:val="center"/>
            <w:hideMark/>
          </w:tcPr>
          <w:p w14:paraId="65F63B0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ADICION Y PRORROGA AL CONTRATO No. 3122 DE 2022</w:t>
            </w:r>
          </w:p>
        </w:tc>
        <w:tc>
          <w:tcPr>
            <w:tcW w:w="471" w:type="pct"/>
            <w:vMerge/>
            <w:tcBorders>
              <w:top w:val="nil"/>
              <w:left w:val="single" w:sz="4" w:space="0" w:color="auto"/>
              <w:bottom w:val="single" w:sz="4" w:space="0" w:color="auto"/>
              <w:right w:val="single" w:sz="4" w:space="0" w:color="auto"/>
            </w:tcBorders>
            <w:vAlign w:val="center"/>
            <w:hideMark/>
          </w:tcPr>
          <w:p w14:paraId="3243140C" w14:textId="77777777" w:rsidR="00A20990" w:rsidRPr="001A38D5" w:rsidRDefault="00A20990" w:rsidP="005140E1">
            <w:pPr>
              <w:contextualSpacing/>
              <w:jc w:val="center"/>
              <w:rPr>
                <w:rFonts w:eastAsia="Times New Roman" w:cs="Arial"/>
                <w:sz w:val="14"/>
                <w:szCs w:val="14"/>
                <w:lang w:val="es-CO" w:eastAsia="es-CO"/>
              </w:rPr>
            </w:pPr>
          </w:p>
        </w:tc>
        <w:tc>
          <w:tcPr>
            <w:tcW w:w="1191" w:type="pct"/>
            <w:tcBorders>
              <w:top w:val="nil"/>
              <w:left w:val="nil"/>
              <w:bottom w:val="single" w:sz="4" w:space="0" w:color="auto"/>
              <w:right w:val="single" w:sz="4" w:space="0" w:color="auto"/>
            </w:tcBorders>
            <w:shd w:val="clear" w:color="auto" w:fill="auto"/>
            <w:vAlign w:val="center"/>
            <w:hideMark/>
          </w:tcPr>
          <w:p w14:paraId="5264D30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 INVERSION DEL PGN ASIGNADOS POR UAPA - VIGENCIA ACTUAL</w:t>
            </w:r>
          </w:p>
        </w:tc>
        <w:tc>
          <w:tcPr>
            <w:tcW w:w="394" w:type="pct"/>
            <w:tcBorders>
              <w:top w:val="nil"/>
              <w:left w:val="nil"/>
              <w:bottom w:val="single" w:sz="4" w:space="0" w:color="auto"/>
              <w:right w:val="single" w:sz="4" w:space="0" w:color="auto"/>
            </w:tcBorders>
            <w:shd w:val="clear" w:color="auto" w:fill="auto"/>
            <w:vAlign w:val="center"/>
            <w:hideMark/>
          </w:tcPr>
          <w:p w14:paraId="0101402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$756</w:t>
            </w:r>
          </w:p>
        </w:tc>
        <w:tc>
          <w:tcPr>
            <w:tcW w:w="438" w:type="pct"/>
            <w:tcBorders>
              <w:top w:val="nil"/>
              <w:left w:val="nil"/>
              <w:bottom w:val="single" w:sz="4" w:space="0" w:color="auto"/>
              <w:right w:val="single" w:sz="4" w:space="0" w:color="auto"/>
            </w:tcBorders>
            <w:shd w:val="clear" w:color="auto" w:fill="auto"/>
            <w:vAlign w:val="center"/>
            <w:hideMark/>
          </w:tcPr>
          <w:p w14:paraId="280745B4"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16/09/2022</w:t>
            </w:r>
          </w:p>
        </w:tc>
        <w:tc>
          <w:tcPr>
            <w:tcW w:w="389" w:type="pct"/>
            <w:tcBorders>
              <w:top w:val="nil"/>
              <w:left w:val="nil"/>
              <w:bottom w:val="single" w:sz="4" w:space="0" w:color="auto"/>
              <w:right w:val="single" w:sz="4" w:space="0" w:color="auto"/>
            </w:tcBorders>
            <w:shd w:val="clear" w:color="auto" w:fill="auto"/>
            <w:vAlign w:val="center"/>
            <w:hideMark/>
          </w:tcPr>
          <w:p w14:paraId="3A09D7F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16/09/2022</w:t>
            </w:r>
          </w:p>
        </w:tc>
        <w:tc>
          <w:tcPr>
            <w:tcW w:w="444" w:type="pct"/>
            <w:tcBorders>
              <w:top w:val="nil"/>
              <w:left w:val="nil"/>
              <w:bottom w:val="single" w:sz="4" w:space="0" w:color="auto"/>
              <w:right w:val="single" w:sz="4" w:space="0" w:color="auto"/>
            </w:tcBorders>
            <w:shd w:val="clear" w:color="auto" w:fill="auto"/>
            <w:vAlign w:val="center"/>
            <w:hideMark/>
          </w:tcPr>
          <w:p w14:paraId="26AE1DD1"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2/11/2022</w:t>
            </w:r>
          </w:p>
        </w:tc>
        <w:tc>
          <w:tcPr>
            <w:tcW w:w="368" w:type="pct"/>
            <w:tcBorders>
              <w:top w:val="nil"/>
              <w:left w:val="nil"/>
              <w:bottom w:val="single" w:sz="4" w:space="0" w:color="auto"/>
              <w:right w:val="single" w:sz="4" w:space="0" w:color="auto"/>
            </w:tcBorders>
            <w:shd w:val="clear" w:color="auto" w:fill="auto"/>
            <w:vAlign w:val="center"/>
            <w:hideMark/>
          </w:tcPr>
          <w:p w14:paraId="00BAB43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w:t>
            </w:r>
          </w:p>
        </w:tc>
        <w:tc>
          <w:tcPr>
            <w:tcW w:w="297" w:type="pct"/>
            <w:tcBorders>
              <w:top w:val="nil"/>
              <w:left w:val="nil"/>
              <w:bottom w:val="single" w:sz="4" w:space="0" w:color="auto"/>
              <w:right w:val="single" w:sz="4" w:space="0" w:color="auto"/>
            </w:tcBorders>
            <w:shd w:val="clear" w:color="auto" w:fill="auto"/>
            <w:vAlign w:val="center"/>
            <w:hideMark/>
          </w:tcPr>
          <w:p w14:paraId="15A175C8"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$0</w:t>
            </w:r>
          </w:p>
        </w:tc>
      </w:tr>
      <w:tr w:rsidR="001A38D5" w:rsidRPr="001A38D5" w14:paraId="660CE28E" w14:textId="77777777" w:rsidTr="00A20990">
        <w:trPr>
          <w:trHeight w:val="720"/>
          <w:jc w:val="center"/>
        </w:trPr>
        <w:tc>
          <w:tcPr>
            <w:tcW w:w="321" w:type="pct"/>
            <w:vMerge/>
            <w:tcBorders>
              <w:top w:val="nil"/>
              <w:left w:val="single" w:sz="4" w:space="0" w:color="auto"/>
              <w:bottom w:val="single" w:sz="4" w:space="0" w:color="auto"/>
              <w:right w:val="single" w:sz="4" w:space="0" w:color="auto"/>
            </w:tcBorders>
            <w:vAlign w:val="center"/>
            <w:hideMark/>
          </w:tcPr>
          <w:p w14:paraId="4D81BD83" w14:textId="77777777" w:rsidR="00A20990" w:rsidRPr="001A38D5" w:rsidRDefault="00A20990" w:rsidP="005140E1">
            <w:pPr>
              <w:contextualSpacing/>
              <w:jc w:val="center"/>
              <w:rPr>
                <w:rFonts w:eastAsia="Times New Roman" w:cs="Arial"/>
                <w:sz w:val="14"/>
                <w:szCs w:val="14"/>
                <w:lang w:val="es-CO" w:eastAsia="es-CO"/>
              </w:rPr>
            </w:pPr>
          </w:p>
        </w:tc>
        <w:tc>
          <w:tcPr>
            <w:tcW w:w="688" w:type="pct"/>
            <w:tcBorders>
              <w:top w:val="nil"/>
              <w:left w:val="nil"/>
              <w:bottom w:val="single" w:sz="4" w:space="0" w:color="auto"/>
              <w:right w:val="single" w:sz="4" w:space="0" w:color="auto"/>
            </w:tcBorders>
            <w:shd w:val="clear" w:color="auto" w:fill="auto"/>
            <w:vAlign w:val="center"/>
            <w:hideMark/>
          </w:tcPr>
          <w:p w14:paraId="05501765"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LICITACION PUBLICA CONTRATO DE PRESTACION DE SERVICIOS No.3369 DE 2022</w:t>
            </w:r>
          </w:p>
        </w:tc>
        <w:tc>
          <w:tcPr>
            <w:tcW w:w="471" w:type="pct"/>
            <w:tcBorders>
              <w:top w:val="nil"/>
              <w:left w:val="nil"/>
              <w:bottom w:val="single" w:sz="4" w:space="0" w:color="auto"/>
              <w:right w:val="single" w:sz="4" w:space="0" w:color="auto"/>
            </w:tcBorders>
            <w:shd w:val="clear" w:color="auto" w:fill="auto"/>
            <w:vAlign w:val="center"/>
            <w:hideMark/>
          </w:tcPr>
          <w:p w14:paraId="6C9E3822"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SERVICIO DE ALIMENTOS Y LOGISTICA S.A.S - NIT. 901.084.024</w:t>
            </w:r>
          </w:p>
        </w:tc>
        <w:tc>
          <w:tcPr>
            <w:tcW w:w="1191" w:type="pct"/>
            <w:tcBorders>
              <w:top w:val="nil"/>
              <w:left w:val="nil"/>
              <w:bottom w:val="single" w:sz="4" w:space="0" w:color="auto"/>
              <w:right w:val="single" w:sz="4" w:space="0" w:color="auto"/>
            </w:tcBorders>
            <w:shd w:val="clear" w:color="auto" w:fill="auto"/>
            <w:vAlign w:val="center"/>
            <w:hideMark/>
          </w:tcPr>
          <w:p w14:paraId="0CDC644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val="es-CO" w:eastAsia="es-CO"/>
              </w:rPr>
              <w:t>RECURSOS DEL SISTEMA GENERAL DE REGALIAS</w:t>
            </w:r>
          </w:p>
        </w:tc>
        <w:tc>
          <w:tcPr>
            <w:tcW w:w="394" w:type="pct"/>
            <w:tcBorders>
              <w:top w:val="nil"/>
              <w:left w:val="nil"/>
              <w:bottom w:val="single" w:sz="4" w:space="0" w:color="auto"/>
              <w:right w:val="single" w:sz="4" w:space="0" w:color="auto"/>
            </w:tcBorders>
            <w:shd w:val="clear" w:color="auto" w:fill="auto"/>
            <w:vAlign w:val="center"/>
            <w:hideMark/>
          </w:tcPr>
          <w:p w14:paraId="7DFF5E8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$2.837</w:t>
            </w:r>
          </w:p>
        </w:tc>
        <w:tc>
          <w:tcPr>
            <w:tcW w:w="438" w:type="pct"/>
            <w:tcBorders>
              <w:top w:val="nil"/>
              <w:left w:val="nil"/>
              <w:bottom w:val="single" w:sz="4" w:space="0" w:color="auto"/>
              <w:right w:val="single" w:sz="4" w:space="0" w:color="auto"/>
            </w:tcBorders>
            <w:shd w:val="clear" w:color="auto" w:fill="auto"/>
            <w:vAlign w:val="center"/>
            <w:hideMark/>
          </w:tcPr>
          <w:p w14:paraId="48DACC2B"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2/11/2022</w:t>
            </w:r>
          </w:p>
        </w:tc>
        <w:tc>
          <w:tcPr>
            <w:tcW w:w="389" w:type="pct"/>
            <w:tcBorders>
              <w:top w:val="nil"/>
              <w:left w:val="nil"/>
              <w:bottom w:val="single" w:sz="4" w:space="0" w:color="auto"/>
              <w:right w:val="single" w:sz="4" w:space="0" w:color="auto"/>
            </w:tcBorders>
            <w:shd w:val="clear" w:color="auto" w:fill="auto"/>
            <w:vAlign w:val="center"/>
            <w:hideMark/>
          </w:tcPr>
          <w:p w14:paraId="0CD7672A"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4/11/2022</w:t>
            </w:r>
          </w:p>
        </w:tc>
        <w:tc>
          <w:tcPr>
            <w:tcW w:w="444" w:type="pct"/>
            <w:tcBorders>
              <w:top w:val="nil"/>
              <w:left w:val="nil"/>
              <w:bottom w:val="single" w:sz="4" w:space="0" w:color="auto"/>
              <w:right w:val="single" w:sz="4" w:space="0" w:color="auto"/>
            </w:tcBorders>
            <w:shd w:val="clear" w:color="auto" w:fill="auto"/>
            <w:vAlign w:val="center"/>
            <w:hideMark/>
          </w:tcPr>
          <w:p w14:paraId="3E9D6C0F"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30/11/2022</w:t>
            </w:r>
          </w:p>
        </w:tc>
        <w:tc>
          <w:tcPr>
            <w:tcW w:w="368" w:type="pct"/>
            <w:tcBorders>
              <w:top w:val="nil"/>
              <w:left w:val="nil"/>
              <w:bottom w:val="single" w:sz="4" w:space="0" w:color="auto"/>
              <w:right w:val="single" w:sz="4" w:space="0" w:color="auto"/>
            </w:tcBorders>
            <w:shd w:val="clear" w:color="auto" w:fill="auto"/>
            <w:vAlign w:val="center"/>
            <w:hideMark/>
          </w:tcPr>
          <w:p w14:paraId="38473EF6"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19</w:t>
            </w:r>
          </w:p>
        </w:tc>
        <w:tc>
          <w:tcPr>
            <w:tcW w:w="297" w:type="pct"/>
            <w:tcBorders>
              <w:top w:val="nil"/>
              <w:left w:val="nil"/>
              <w:bottom w:val="single" w:sz="4" w:space="0" w:color="auto"/>
              <w:right w:val="single" w:sz="4" w:space="0" w:color="auto"/>
            </w:tcBorders>
            <w:shd w:val="clear" w:color="auto" w:fill="auto"/>
            <w:vAlign w:val="center"/>
            <w:hideMark/>
          </w:tcPr>
          <w:p w14:paraId="20473019" w14:textId="77777777" w:rsidR="00A20990" w:rsidRPr="001A38D5" w:rsidRDefault="00A20990" w:rsidP="005140E1">
            <w:pPr>
              <w:contextualSpacing/>
              <w:jc w:val="center"/>
              <w:rPr>
                <w:rFonts w:eastAsia="Times New Roman" w:cs="Arial"/>
                <w:sz w:val="14"/>
                <w:szCs w:val="14"/>
                <w:lang w:val="es-CO" w:eastAsia="es-CO"/>
              </w:rPr>
            </w:pPr>
            <w:r w:rsidRPr="001A38D5">
              <w:rPr>
                <w:rFonts w:eastAsia="Times New Roman" w:cs="Arial"/>
                <w:sz w:val="14"/>
                <w:szCs w:val="14"/>
                <w:lang w:val="es-CO" w:eastAsia="es-CO"/>
              </w:rPr>
              <w:t>$0</w:t>
            </w:r>
          </w:p>
        </w:tc>
      </w:tr>
    </w:tbl>
    <w:p w14:paraId="175C59A0" w14:textId="77777777" w:rsidR="00A20990" w:rsidRPr="001A38D5" w:rsidRDefault="00A20990" w:rsidP="005140E1">
      <w:pPr>
        <w:contextualSpacing/>
        <w:jc w:val="center"/>
        <w:rPr>
          <w:rFonts w:cs="Arial"/>
          <w:bCs/>
          <w:sz w:val="18"/>
        </w:rPr>
        <w:sectPr w:rsidR="00A20990" w:rsidRPr="001A38D5" w:rsidSect="007A412F">
          <w:pgSz w:w="15840" w:h="12240" w:orient="landscape" w:code="1"/>
          <w:pgMar w:top="1701" w:right="1418" w:bottom="1701" w:left="1418" w:header="284" w:footer="284" w:gutter="0"/>
          <w:cols w:space="708"/>
          <w:titlePg/>
          <w:docGrid w:linePitch="360"/>
        </w:sectPr>
      </w:pPr>
      <w:r w:rsidRPr="001A38D5">
        <w:rPr>
          <w:rFonts w:cs="Arial"/>
          <w:bCs/>
          <w:sz w:val="18"/>
        </w:rPr>
        <w:t>Fuente: Elaboración DAF con base en el reporte en las Categorías MEN PAE y UAPA PAE del CHIP</w:t>
      </w:r>
    </w:p>
    <w:p w14:paraId="4CE70227" w14:textId="77777777" w:rsidR="008F7844" w:rsidRDefault="008F7844" w:rsidP="005140E1">
      <w:pPr>
        <w:contextualSpacing/>
        <w:jc w:val="both"/>
        <w:rPr>
          <w:rFonts w:cs="Arial"/>
          <w:b/>
          <w:szCs w:val="28"/>
        </w:rPr>
      </w:pPr>
    </w:p>
    <w:p w14:paraId="554A6064" w14:textId="77777777" w:rsidR="00A20990" w:rsidRPr="001A38D5" w:rsidRDefault="00A20990" w:rsidP="005140E1">
      <w:pPr>
        <w:contextualSpacing/>
        <w:jc w:val="both"/>
        <w:rPr>
          <w:rFonts w:cs="Arial"/>
          <w:b/>
          <w:szCs w:val="28"/>
        </w:rPr>
      </w:pPr>
      <w:r w:rsidRPr="001A38D5">
        <w:rPr>
          <w:rFonts w:cs="Arial"/>
          <w:b/>
          <w:szCs w:val="28"/>
        </w:rPr>
        <w:t>Prestación del servicio</w:t>
      </w:r>
      <w:r w:rsidR="008F7844">
        <w:rPr>
          <w:rFonts w:cs="Arial"/>
          <w:b/>
          <w:szCs w:val="28"/>
        </w:rPr>
        <w:t>.</w:t>
      </w:r>
    </w:p>
    <w:p w14:paraId="2160CE72" w14:textId="77777777" w:rsidR="00A20990" w:rsidRPr="001A38D5" w:rsidRDefault="00A20990" w:rsidP="005140E1">
      <w:pPr>
        <w:contextualSpacing/>
        <w:jc w:val="both"/>
        <w:rPr>
          <w:rFonts w:cs="Arial"/>
          <w:bCs/>
          <w:szCs w:val="28"/>
        </w:rPr>
      </w:pPr>
    </w:p>
    <w:p w14:paraId="19DCB765" w14:textId="77777777" w:rsidR="00A20990" w:rsidRPr="001A38D5" w:rsidRDefault="00A20990" w:rsidP="005140E1">
      <w:pPr>
        <w:contextualSpacing/>
        <w:jc w:val="both"/>
        <w:rPr>
          <w:rFonts w:cs="Arial"/>
          <w:bCs/>
          <w:szCs w:val="28"/>
        </w:rPr>
      </w:pPr>
      <w:r w:rsidRPr="001A38D5">
        <w:rPr>
          <w:rFonts w:cs="Arial"/>
          <w:bCs/>
          <w:szCs w:val="28"/>
        </w:rPr>
        <w:t xml:space="preserve">Para la vigencia 2019 la Entidad reportó los </w:t>
      </w:r>
      <w:r w:rsidR="007D2F5A">
        <w:rPr>
          <w:rFonts w:cs="Arial"/>
          <w:bCs/>
          <w:szCs w:val="28"/>
        </w:rPr>
        <w:t>C</w:t>
      </w:r>
      <w:r w:rsidRPr="001A38D5">
        <w:rPr>
          <w:rFonts w:cs="Arial"/>
          <w:bCs/>
          <w:szCs w:val="28"/>
        </w:rPr>
        <w:t xml:space="preserve">ontratos No. 077 y 1198 de 2019 por un valor total de $11.828,88 millones, lo que coincide con los </w:t>
      </w:r>
      <w:r w:rsidR="00D50D50" w:rsidRPr="00D50D50">
        <w:rPr>
          <w:rFonts w:cs="Arial"/>
          <w:bCs/>
          <w:szCs w:val="28"/>
        </w:rPr>
        <w:t>CDP 4646 de 2018, 1889, 1890 y 4978 de 2019 y los RDP</w:t>
      </w:r>
      <w:r w:rsidR="00D50D50">
        <w:rPr>
          <w:rFonts w:cs="Arial"/>
          <w:bCs/>
          <w:szCs w:val="28"/>
        </w:rPr>
        <w:t xml:space="preserve"> 244, 2031, 2554 y 5537 de 2019</w:t>
      </w:r>
      <w:r w:rsidRPr="001A38D5">
        <w:rPr>
          <w:rFonts w:cs="Arial"/>
          <w:bCs/>
          <w:szCs w:val="28"/>
        </w:rPr>
        <w:t xml:space="preserve">. No obstante, se observan diferencias entre el valor ejecutado reportado y lo consignado tanto en la ejecución presupuestal de gastos, como en </w:t>
      </w:r>
      <w:r w:rsidR="00D50D50">
        <w:rPr>
          <w:rFonts w:cs="Arial"/>
          <w:bCs/>
          <w:szCs w:val="28"/>
        </w:rPr>
        <w:t>las órdenes de pago e informes</w:t>
      </w:r>
      <w:r w:rsidRPr="001A38D5">
        <w:rPr>
          <w:rFonts w:cs="Arial"/>
          <w:bCs/>
          <w:szCs w:val="28"/>
        </w:rPr>
        <w:t xml:space="preserve"> de ejecución de los </w:t>
      </w:r>
      <w:r w:rsidR="007D2F5A">
        <w:rPr>
          <w:rFonts w:cs="Arial"/>
          <w:bCs/>
          <w:szCs w:val="28"/>
        </w:rPr>
        <w:t>C</w:t>
      </w:r>
      <w:r w:rsidRPr="001A38D5">
        <w:rPr>
          <w:rFonts w:cs="Arial"/>
          <w:bCs/>
          <w:szCs w:val="28"/>
        </w:rPr>
        <w:t xml:space="preserve">ontratos ($11.566,53 y $11.592,54, respectivamente). </w:t>
      </w:r>
    </w:p>
    <w:p w14:paraId="43745836" w14:textId="77777777" w:rsidR="00A20990" w:rsidRPr="001A38D5" w:rsidRDefault="00A20990" w:rsidP="005140E1">
      <w:pPr>
        <w:contextualSpacing/>
        <w:jc w:val="both"/>
        <w:rPr>
          <w:rFonts w:cs="Arial"/>
          <w:bCs/>
          <w:szCs w:val="28"/>
        </w:rPr>
      </w:pPr>
    </w:p>
    <w:p w14:paraId="6168E422" w14:textId="77777777" w:rsidR="00A20990" w:rsidRDefault="00A20990" w:rsidP="005140E1">
      <w:pPr>
        <w:contextualSpacing/>
        <w:jc w:val="both"/>
        <w:rPr>
          <w:rFonts w:cs="Arial"/>
          <w:bCs/>
          <w:szCs w:val="28"/>
        </w:rPr>
      </w:pPr>
      <w:r w:rsidRPr="001A38D5">
        <w:rPr>
          <w:rFonts w:cs="Arial"/>
          <w:bCs/>
          <w:szCs w:val="28"/>
        </w:rPr>
        <w:t xml:space="preserve">Se observa que en 2020 la Entidad reportó un valor total contratado de $18.755,20 millones de los contratos suscritos para la prestación del servicio de Alimentación Escolar y </w:t>
      </w:r>
      <w:r w:rsidR="007D2F5A">
        <w:rPr>
          <w:rFonts w:cs="Arial"/>
          <w:bCs/>
          <w:szCs w:val="28"/>
        </w:rPr>
        <w:t xml:space="preserve">de </w:t>
      </w:r>
      <w:r w:rsidRPr="001A38D5">
        <w:rPr>
          <w:rFonts w:cs="Arial"/>
          <w:bCs/>
          <w:szCs w:val="28"/>
        </w:rPr>
        <w:t xml:space="preserve">$12.437,05 como valor ejecutado de </w:t>
      </w:r>
      <w:r w:rsidR="007D2F5A">
        <w:rPr>
          <w:rFonts w:cs="Arial"/>
          <w:bCs/>
          <w:szCs w:val="28"/>
        </w:rPr>
        <w:t>estos</w:t>
      </w:r>
      <w:r w:rsidRPr="001A38D5">
        <w:rPr>
          <w:rFonts w:cs="Arial"/>
          <w:bCs/>
          <w:szCs w:val="28"/>
        </w:rPr>
        <w:t xml:space="preserve">. A partir de lo anterior, resulta preciso señalar que la ejecución presupuestal de gastos da cuenta de compromisos por $12.671,36 millones para el proyecto de implementación del Programa de Alimentación Escolar Villavicencio, (incluyendo Equipo PAE) y obligaciones por $10.368,78 millones para este. Al tiempo, los documentos contractuales muestran que el valor total de los contratos ascendió a $12.489,99 millones y su ejecución a $12.270,74 millones. </w:t>
      </w:r>
    </w:p>
    <w:p w14:paraId="1004E85C" w14:textId="77777777" w:rsidR="00EB5C49" w:rsidRPr="001A38D5" w:rsidRDefault="00EB5C49" w:rsidP="005140E1">
      <w:pPr>
        <w:contextualSpacing/>
        <w:jc w:val="both"/>
        <w:rPr>
          <w:rFonts w:cs="Arial"/>
          <w:bCs/>
          <w:szCs w:val="28"/>
        </w:rPr>
      </w:pPr>
    </w:p>
    <w:p w14:paraId="2752DC80" w14:textId="77777777" w:rsidR="00A20990" w:rsidRPr="001A38D5" w:rsidRDefault="00A20990" w:rsidP="005140E1">
      <w:pPr>
        <w:contextualSpacing/>
        <w:jc w:val="both"/>
        <w:rPr>
          <w:rFonts w:cs="Arial"/>
          <w:bCs/>
          <w:szCs w:val="28"/>
        </w:rPr>
      </w:pPr>
      <w:r w:rsidRPr="001A38D5">
        <w:rPr>
          <w:rFonts w:cs="Arial"/>
          <w:bCs/>
          <w:szCs w:val="28"/>
        </w:rPr>
        <w:t xml:space="preserve">Al cierre de la vigencia 2021 la Entidad Territorial no incluyó en este Formulario los </w:t>
      </w:r>
      <w:r w:rsidR="007D2F5A">
        <w:rPr>
          <w:rFonts w:cs="Arial"/>
          <w:bCs/>
          <w:szCs w:val="28"/>
        </w:rPr>
        <w:t>C</w:t>
      </w:r>
      <w:r w:rsidRPr="001A38D5">
        <w:rPr>
          <w:rFonts w:cs="Arial"/>
          <w:bCs/>
          <w:szCs w:val="28"/>
        </w:rPr>
        <w:t>ontratos 939 y 1346 de 2021. El primero se encuentra reportado en el trimestre de abril a junio y el segundo, en el trimestre de julio a septiembre. Sobre el particular la UAPA ha indicado que este Formulario debe diligenciarse de manera acumulada para cada trimestre.</w:t>
      </w:r>
    </w:p>
    <w:p w14:paraId="30E1F47D" w14:textId="77777777" w:rsidR="00A20990" w:rsidRPr="001A38D5" w:rsidRDefault="00A20990" w:rsidP="005140E1">
      <w:pPr>
        <w:contextualSpacing/>
        <w:jc w:val="both"/>
        <w:rPr>
          <w:rFonts w:cs="Arial"/>
          <w:bCs/>
          <w:szCs w:val="28"/>
        </w:rPr>
      </w:pPr>
    </w:p>
    <w:p w14:paraId="676D3F04" w14:textId="77777777" w:rsidR="00A20990" w:rsidRPr="001A38D5" w:rsidRDefault="00A20990" w:rsidP="005140E1">
      <w:pPr>
        <w:contextualSpacing/>
        <w:jc w:val="both"/>
        <w:rPr>
          <w:rFonts w:cs="Arial"/>
          <w:bCs/>
          <w:szCs w:val="28"/>
        </w:rPr>
      </w:pPr>
      <w:r w:rsidRPr="001A38D5">
        <w:rPr>
          <w:rFonts w:cs="Arial"/>
          <w:bCs/>
          <w:szCs w:val="28"/>
        </w:rPr>
        <w:t>En lo referente al valor total contratado durante la vigencia, en este Formulario se reporta un valor de $16.348,63 millones de los cuatro contratos suscritos en la vigencia para la prestación del servicio y $14.011,59 como valor ejecutado. Entre tanto, la ejecución presupuestal de gastos da cuenta de obligaciones por $4.893,92 millones para el proyecto de implementación del Programa de Alimentación Escolar Villavicencio</w:t>
      </w:r>
      <w:r w:rsidR="007D2F5A">
        <w:rPr>
          <w:rFonts w:cs="Arial"/>
          <w:bCs/>
          <w:szCs w:val="28"/>
        </w:rPr>
        <w:t xml:space="preserve"> </w:t>
      </w:r>
      <w:r w:rsidRPr="001A38D5">
        <w:rPr>
          <w:rFonts w:cs="Arial"/>
          <w:bCs/>
          <w:szCs w:val="28"/>
        </w:rPr>
        <w:t>(incluyendo Equipo PAE).</w:t>
      </w:r>
    </w:p>
    <w:p w14:paraId="651773F6" w14:textId="77777777" w:rsidR="00A20990" w:rsidRPr="001A38D5" w:rsidRDefault="00A20990" w:rsidP="005140E1">
      <w:pPr>
        <w:contextualSpacing/>
        <w:jc w:val="both"/>
        <w:rPr>
          <w:rFonts w:cs="Arial"/>
          <w:bCs/>
          <w:szCs w:val="28"/>
        </w:rPr>
      </w:pPr>
    </w:p>
    <w:p w14:paraId="4FC899B4" w14:textId="77777777" w:rsidR="00A20990" w:rsidRPr="001A38D5" w:rsidRDefault="00A20990" w:rsidP="005140E1">
      <w:pPr>
        <w:contextualSpacing/>
        <w:jc w:val="both"/>
        <w:rPr>
          <w:rFonts w:cs="Arial"/>
          <w:bCs/>
          <w:szCs w:val="28"/>
        </w:rPr>
      </w:pPr>
      <w:r w:rsidRPr="001A38D5">
        <w:rPr>
          <w:rFonts w:cs="Arial"/>
          <w:bCs/>
          <w:szCs w:val="28"/>
        </w:rPr>
        <w:t xml:space="preserve">Para la vigencia 2022, sobre las raciones contratadas se observa que lo registrado para el Contrato 3122 de 2022 (39.762 raciones industrializadas y 6.565 RPS almuerzo) no corresponde con lo señalado en la cláusula decima segunda del </w:t>
      </w:r>
      <w:r w:rsidR="007D2F5A">
        <w:rPr>
          <w:rFonts w:cs="Arial"/>
          <w:bCs/>
          <w:szCs w:val="28"/>
        </w:rPr>
        <w:t>C</w:t>
      </w:r>
      <w:r w:rsidRPr="001A38D5">
        <w:rPr>
          <w:rFonts w:cs="Arial"/>
          <w:bCs/>
          <w:szCs w:val="28"/>
        </w:rPr>
        <w:t xml:space="preserve">ontrato, que establece la obligación por parte del contratista de suministrar 48.258 raciones industrializadas y 8.726 RPS almuerzo. Asimismo, sobre este </w:t>
      </w:r>
      <w:r w:rsidR="007D2F5A">
        <w:rPr>
          <w:rFonts w:cs="Arial"/>
          <w:bCs/>
          <w:szCs w:val="28"/>
        </w:rPr>
        <w:t>C</w:t>
      </w:r>
      <w:r w:rsidRPr="001A38D5">
        <w:rPr>
          <w:rFonts w:cs="Arial"/>
          <w:bCs/>
          <w:szCs w:val="28"/>
        </w:rPr>
        <w:t>ontrato se observa</w:t>
      </w:r>
      <w:r w:rsidR="007D2F5A">
        <w:rPr>
          <w:rFonts w:cs="Arial"/>
          <w:bCs/>
          <w:szCs w:val="28"/>
        </w:rPr>
        <w:t>n</w:t>
      </w:r>
      <w:r w:rsidRPr="001A38D5">
        <w:rPr>
          <w:rFonts w:cs="Arial"/>
          <w:bCs/>
          <w:szCs w:val="28"/>
        </w:rPr>
        <w:t xml:space="preserve"> diferencias entre el valor unitario de las raciones RPS almuerzo y los valores especificados en la cláusula tercera del Contrato 3122 de 2022 que van desde los $4.399 a $5.777, según grupo etario.</w:t>
      </w:r>
    </w:p>
    <w:p w14:paraId="5DBD7976" w14:textId="77777777" w:rsidR="00A20990" w:rsidRPr="001A38D5" w:rsidRDefault="00A20990" w:rsidP="005140E1">
      <w:pPr>
        <w:contextualSpacing/>
        <w:jc w:val="both"/>
        <w:rPr>
          <w:rFonts w:cs="Arial"/>
          <w:bCs/>
          <w:szCs w:val="28"/>
        </w:rPr>
      </w:pPr>
    </w:p>
    <w:p w14:paraId="48E9935C" w14:textId="77777777" w:rsidR="00A20990" w:rsidRPr="001A38D5" w:rsidRDefault="00A20990" w:rsidP="005140E1">
      <w:pPr>
        <w:contextualSpacing/>
        <w:jc w:val="both"/>
        <w:rPr>
          <w:rFonts w:cs="Arial"/>
          <w:bCs/>
          <w:sz w:val="18"/>
        </w:rPr>
      </w:pPr>
      <w:r w:rsidRPr="001A38D5">
        <w:rPr>
          <w:rFonts w:cs="Arial"/>
          <w:bCs/>
          <w:szCs w:val="28"/>
        </w:rPr>
        <w:t xml:space="preserve">En cuanto a los valores reportados, en primer lugar, el total contratado reportado en este Formulario asciende a $34.096,8 millones, mientras que el total de los compromisos asociados al suministro de los complementos en esta vigencia fue de $25.522,63 millones. Al tiempo, se reporta una ejecución en la prestación del servicio </w:t>
      </w:r>
      <w:r w:rsidRPr="001A38D5">
        <w:rPr>
          <w:rFonts w:cs="Arial"/>
          <w:bCs/>
          <w:szCs w:val="28"/>
        </w:rPr>
        <w:lastRenderedPageBreak/>
        <w:t xml:space="preserve">de $24.126,78 millones, mientras que la ejecución presupuestal de gastos del presupuesto ordinario establece obligaciones por $12.639,25 millones (incluyendo los contratos de prestación de servicios del equipo PAE) y de la categoría de ejecución de gastos del SGR del FUT no se reportan obligaciones. </w:t>
      </w:r>
    </w:p>
    <w:p w14:paraId="43C7150D" w14:textId="77777777" w:rsidR="00A20990" w:rsidRPr="001A38D5" w:rsidRDefault="00A20990" w:rsidP="005140E1">
      <w:pPr>
        <w:contextualSpacing/>
        <w:rPr>
          <w:rFonts w:cs="Arial"/>
          <w:bCs/>
          <w:sz w:val="18"/>
        </w:rPr>
        <w:sectPr w:rsidR="00A20990" w:rsidRPr="001A38D5" w:rsidSect="007A412F">
          <w:pgSz w:w="12240" w:h="15840" w:code="1"/>
          <w:pgMar w:top="1701" w:right="1418" w:bottom="1701" w:left="1418" w:header="284" w:footer="284" w:gutter="0"/>
          <w:cols w:space="708"/>
          <w:titlePg/>
          <w:docGrid w:linePitch="360"/>
        </w:sectPr>
      </w:pPr>
    </w:p>
    <w:p w14:paraId="477F6B63" w14:textId="77777777" w:rsidR="00A20990" w:rsidRPr="001A38D5" w:rsidRDefault="00A20990" w:rsidP="005140E1">
      <w:pPr>
        <w:contextualSpacing/>
        <w:rPr>
          <w:rFonts w:cs="Arial"/>
          <w:bCs/>
          <w:sz w:val="18"/>
        </w:rPr>
      </w:pPr>
    </w:p>
    <w:p w14:paraId="7E47A2BB" w14:textId="77777777" w:rsidR="00A20990" w:rsidRPr="00B011F8" w:rsidRDefault="00A20990" w:rsidP="005140E1">
      <w:pPr>
        <w:pStyle w:val="Descripcin"/>
        <w:keepNext/>
        <w:contextualSpacing/>
        <w:rPr>
          <w:rFonts w:ascii="Verdana" w:hAnsi="Verdana"/>
          <w:color w:val="auto"/>
          <w:sz w:val="18"/>
          <w:szCs w:val="18"/>
        </w:rPr>
      </w:pPr>
      <w:r w:rsidRPr="00B011F8">
        <w:rPr>
          <w:rFonts w:ascii="Verdana" w:hAnsi="Verdana"/>
          <w:color w:val="auto"/>
          <w:sz w:val="18"/>
          <w:szCs w:val="18"/>
        </w:rPr>
        <w:t xml:space="preserve">Tabla </w:t>
      </w:r>
      <w:r w:rsidRPr="00B011F8">
        <w:rPr>
          <w:rFonts w:ascii="Verdana" w:hAnsi="Verdana"/>
          <w:color w:val="auto"/>
          <w:sz w:val="18"/>
          <w:szCs w:val="18"/>
        </w:rPr>
        <w:fldChar w:fldCharType="begin"/>
      </w:r>
      <w:r w:rsidRPr="00B011F8">
        <w:rPr>
          <w:rFonts w:ascii="Verdana" w:hAnsi="Verdana"/>
          <w:color w:val="auto"/>
          <w:sz w:val="18"/>
          <w:szCs w:val="18"/>
        </w:rPr>
        <w:instrText xml:space="preserve"> SEQ Tabla \* ARABIC </w:instrText>
      </w:r>
      <w:r w:rsidRPr="00B011F8">
        <w:rPr>
          <w:rFonts w:ascii="Verdana" w:hAnsi="Verdana"/>
          <w:color w:val="auto"/>
          <w:sz w:val="18"/>
          <w:szCs w:val="18"/>
        </w:rPr>
        <w:fldChar w:fldCharType="separate"/>
      </w:r>
      <w:r w:rsidR="0073140F" w:rsidRPr="00B011F8">
        <w:rPr>
          <w:rFonts w:ascii="Verdana" w:hAnsi="Verdana"/>
          <w:noProof/>
          <w:color w:val="auto"/>
          <w:sz w:val="18"/>
          <w:szCs w:val="18"/>
        </w:rPr>
        <w:t>15</w:t>
      </w:r>
      <w:r w:rsidRPr="00B011F8">
        <w:rPr>
          <w:rFonts w:ascii="Verdana" w:hAnsi="Verdana"/>
          <w:color w:val="auto"/>
          <w:sz w:val="18"/>
          <w:szCs w:val="18"/>
        </w:rPr>
        <w:fldChar w:fldCharType="end"/>
      </w:r>
      <w:r w:rsidRPr="00B011F8">
        <w:rPr>
          <w:rFonts w:ascii="Verdana" w:hAnsi="Verdana"/>
          <w:color w:val="auto"/>
          <w:sz w:val="18"/>
          <w:szCs w:val="18"/>
        </w:rPr>
        <w:t xml:space="preserve"> Prestación del Servicio - Ejecución </w:t>
      </w:r>
      <w:bookmarkStart w:id="15" w:name="_Hlk144815441"/>
      <w:r w:rsidRPr="00B011F8">
        <w:rPr>
          <w:rFonts w:ascii="Verdana" w:hAnsi="Verdana"/>
          <w:color w:val="auto"/>
          <w:sz w:val="18"/>
          <w:szCs w:val="18"/>
        </w:rPr>
        <w:t>del Programa de Alimentación Escolar, vigencias 2019-2022.</w:t>
      </w:r>
      <w:bookmarkEnd w:id="15"/>
    </w:p>
    <w:tbl>
      <w:tblPr>
        <w:tblW w:w="584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0"/>
        <w:gridCol w:w="1215"/>
        <w:gridCol w:w="3033"/>
        <w:gridCol w:w="1063"/>
        <w:gridCol w:w="1063"/>
        <w:gridCol w:w="1063"/>
        <w:gridCol w:w="905"/>
        <w:gridCol w:w="1205"/>
        <w:gridCol w:w="1078"/>
        <w:gridCol w:w="1309"/>
        <w:gridCol w:w="1166"/>
        <w:gridCol w:w="1172"/>
      </w:tblGrid>
      <w:tr w:rsidR="001A38D5" w:rsidRPr="00186A18" w14:paraId="3A95ECFF" w14:textId="77777777" w:rsidTr="00B23E6E">
        <w:trPr>
          <w:trHeight w:val="20"/>
        </w:trPr>
        <w:tc>
          <w:tcPr>
            <w:tcW w:w="300" w:type="pct"/>
            <w:vMerge w:val="restart"/>
            <w:shd w:val="clear" w:color="000000" w:fill="FFC000"/>
            <w:vAlign w:val="center"/>
            <w:hideMark/>
          </w:tcPr>
          <w:p w14:paraId="1D3AE41C"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VIGENCIA</w:t>
            </w:r>
          </w:p>
        </w:tc>
        <w:tc>
          <w:tcPr>
            <w:tcW w:w="400" w:type="pct"/>
            <w:vMerge w:val="restart"/>
            <w:shd w:val="clear" w:color="000000" w:fill="FFC000"/>
            <w:vAlign w:val="center"/>
            <w:hideMark/>
          </w:tcPr>
          <w:p w14:paraId="774DC988"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NUMERO DE CONTRATO O CONVENIO</w:t>
            </w:r>
          </w:p>
        </w:tc>
        <w:tc>
          <w:tcPr>
            <w:tcW w:w="999" w:type="pct"/>
            <w:vMerge w:val="restart"/>
            <w:shd w:val="clear" w:color="000000" w:fill="FFC000"/>
            <w:vAlign w:val="center"/>
            <w:hideMark/>
          </w:tcPr>
          <w:p w14:paraId="7E394B8E"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MODALIDAD PREPARACION Y TIPO DE COMPLEMENTO</w:t>
            </w:r>
          </w:p>
        </w:tc>
        <w:tc>
          <w:tcPr>
            <w:tcW w:w="700" w:type="pct"/>
            <w:gridSpan w:val="2"/>
            <w:tcBorders>
              <w:bottom w:val="single" w:sz="4" w:space="0" w:color="auto"/>
            </w:tcBorders>
            <w:shd w:val="clear" w:color="000000" w:fill="FFC000"/>
            <w:vAlign w:val="center"/>
            <w:hideMark/>
          </w:tcPr>
          <w:p w14:paraId="77148F2D"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TOTAL RACIONES</w:t>
            </w:r>
          </w:p>
        </w:tc>
        <w:tc>
          <w:tcPr>
            <w:tcW w:w="648" w:type="pct"/>
            <w:gridSpan w:val="2"/>
            <w:tcBorders>
              <w:bottom w:val="single" w:sz="4" w:space="0" w:color="auto"/>
            </w:tcBorders>
            <w:shd w:val="clear" w:color="000000" w:fill="FFC000"/>
            <w:vAlign w:val="center"/>
            <w:hideMark/>
          </w:tcPr>
          <w:p w14:paraId="6AC5B6A5"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DIAS DE ATENCION</w:t>
            </w:r>
          </w:p>
        </w:tc>
        <w:tc>
          <w:tcPr>
            <w:tcW w:w="752" w:type="pct"/>
            <w:gridSpan w:val="2"/>
            <w:tcBorders>
              <w:bottom w:val="single" w:sz="4" w:space="0" w:color="auto"/>
            </w:tcBorders>
            <w:shd w:val="clear" w:color="000000" w:fill="FFC000"/>
            <w:vAlign w:val="center"/>
            <w:hideMark/>
          </w:tcPr>
          <w:p w14:paraId="3DFCB72D"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TOTAL VALOR</w:t>
            </w:r>
          </w:p>
        </w:tc>
        <w:tc>
          <w:tcPr>
            <w:tcW w:w="815" w:type="pct"/>
            <w:gridSpan w:val="2"/>
            <w:tcBorders>
              <w:bottom w:val="single" w:sz="4" w:space="0" w:color="auto"/>
            </w:tcBorders>
            <w:shd w:val="clear" w:color="000000" w:fill="FFC000"/>
            <w:vAlign w:val="center"/>
            <w:hideMark/>
          </w:tcPr>
          <w:p w14:paraId="230C0E18"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RACIONES DIARIAS</w:t>
            </w:r>
          </w:p>
        </w:tc>
        <w:tc>
          <w:tcPr>
            <w:tcW w:w="386" w:type="pct"/>
            <w:vMerge w:val="restart"/>
            <w:shd w:val="clear" w:color="000000" w:fill="FFC000"/>
            <w:vAlign w:val="center"/>
            <w:hideMark/>
          </w:tcPr>
          <w:p w14:paraId="208572E8"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VALOR PRECIO RACION APROXIMADO (Pesos)</w:t>
            </w:r>
          </w:p>
        </w:tc>
      </w:tr>
      <w:tr w:rsidR="001A38D5" w:rsidRPr="00186A18" w14:paraId="44E49E15" w14:textId="77777777" w:rsidTr="00B23E6E">
        <w:trPr>
          <w:trHeight w:val="20"/>
        </w:trPr>
        <w:tc>
          <w:tcPr>
            <w:tcW w:w="300" w:type="pct"/>
            <w:vMerge/>
            <w:vAlign w:val="center"/>
            <w:hideMark/>
          </w:tcPr>
          <w:p w14:paraId="24B1CDC0" w14:textId="77777777" w:rsidR="00A20990" w:rsidRPr="00B011F8" w:rsidRDefault="00A20990" w:rsidP="005140E1">
            <w:pPr>
              <w:contextualSpacing/>
              <w:jc w:val="center"/>
              <w:rPr>
                <w:rFonts w:eastAsia="Times New Roman" w:cs="Arial"/>
                <w:b/>
                <w:bCs/>
                <w:sz w:val="13"/>
                <w:szCs w:val="13"/>
                <w:lang w:val="es-CO" w:eastAsia="es-CO"/>
              </w:rPr>
            </w:pPr>
          </w:p>
        </w:tc>
        <w:tc>
          <w:tcPr>
            <w:tcW w:w="400" w:type="pct"/>
            <w:vMerge/>
            <w:vAlign w:val="center"/>
            <w:hideMark/>
          </w:tcPr>
          <w:p w14:paraId="542F13CB" w14:textId="77777777" w:rsidR="00A20990" w:rsidRPr="00B011F8" w:rsidRDefault="00A20990" w:rsidP="005140E1">
            <w:pPr>
              <w:contextualSpacing/>
              <w:rPr>
                <w:rFonts w:eastAsia="Times New Roman" w:cs="Arial"/>
                <w:b/>
                <w:bCs/>
                <w:sz w:val="13"/>
                <w:szCs w:val="13"/>
                <w:lang w:val="es-CO" w:eastAsia="es-CO"/>
              </w:rPr>
            </w:pPr>
          </w:p>
        </w:tc>
        <w:tc>
          <w:tcPr>
            <w:tcW w:w="999" w:type="pct"/>
            <w:vMerge/>
            <w:vAlign w:val="center"/>
            <w:hideMark/>
          </w:tcPr>
          <w:p w14:paraId="2D1732CE" w14:textId="77777777" w:rsidR="00A20990" w:rsidRPr="00B011F8" w:rsidRDefault="00A20990" w:rsidP="005140E1">
            <w:pPr>
              <w:contextualSpacing/>
              <w:rPr>
                <w:rFonts w:eastAsia="Times New Roman" w:cs="Arial"/>
                <w:b/>
                <w:bCs/>
                <w:sz w:val="13"/>
                <w:szCs w:val="13"/>
                <w:lang w:val="es-CO" w:eastAsia="es-CO"/>
              </w:rPr>
            </w:pPr>
          </w:p>
        </w:tc>
        <w:tc>
          <w:tcPr>
            <w:tcW w:w="350" w:type="pct"/>
            <w:shd w:val="clear" w:color="auto" w:fill="FFC000"/>
            <w:vAlign w:val="center"/>
            <w:hideMark/>
          </w:tcPr>
          <w:p w14:paraId="6E04DD6D"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CONTRATADAS (Unidad)</w:t>
            </w:r>
          </w:p>
        </w:tc>
        <w:tc>
          <w:tcPr>
            <w:tcW w:w="350" w:type="pct"/>
            <w:shd w:val="clear" w:color="auto" w:fill="FFC000"/>
            <w:vAlign w:val="center"/>
            <w:hideMark/>
          </w:tcPr>
          <w:p w14:paraId="4BAFA192"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EJECUTADAS (Unidad)</w:t>
            </w:r>
          </w:p>
        </w:tc>
        <w:tc>
          <w:tcPr>
            <w:tcW w:w="350" w:type="pct"/>
            <w:shd w:val="clear" w:color="auto" w:fill="FFC000"/>
            <w:vAlign w:val="center"/>
            <w:hideMark/>
          </w:tcPr>
          <w:p w14:paraId="2BD64B5C"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CONTRATADOS</w:t>
            </w:r>
          </w:p>
        </w:tc>
        <w:tc>
          <w:tcPr>
            <w:tcW w:w="298" w:type="pct"/>
            <w:shd w:val="clear" w:color="auto" w:fill="FFC000"/>
            <w:vAlign w:val="center"/>
            <w:hideMark/>
          </w:tcPr>
          <w:p w14:paraId="5715E2C9"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EJECUTADOS</w:t>
            </w:r>
          </w:p>
        </w:tc>
        <w:tc>
          <w:tcPr>
            <w:tcW w:w="397" w:type="pct"/>
            <w:shd w:val="clear" w:color="auto" w:fill="FFC000"/>
            <w:vAlign w:val="center"/>
            <w:hideMark/>
          </w:tcPr>
          <w:p w14:paraId="7DAA151A"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CONTRATADO (Millones)</w:t>
            </w:r>
          </w:p>
        </w:tc>
        <w:tc>
          <w:tcPr>
            <w:tcW w:w="355" w:type="pct"/>
            <w:shd w:val="clear" w:color="auto" w:fill="FFC000"/>
            <w:vAlign w:val="center"/>
            <w:hideMark/>
          </w:tcPr>
          <w:p w14:paraId="00F88FB8"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EJECUTADO (Millones)</w:t>
            </w:r>
          </w:p>
        </w:tc>
        <w:tc>
          <w:tcPr>
            <w:tcW w:w="431" w:type="pct"/>
            <w:shd w:val="clear" w:color="auto" w:fill="FFC000"/>
            <w:vAlign w:val="center"/>
            <w:hideMark/>
          </w:tcPr>
          <w:p w14:paraId="5AAE3054"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CONTRATADAS (Unidad)</w:t>
            </w:r>
          </w:p>
        </w:tc>
        <w:tc>
          <w:tcPr>
            <w:tcW w:w="384" w:type="pct"/>
            <w:shd w:val="clear" w:color="auto" w:fill="FFC000"/>
            <w:vAlign w:val="center"/>
            <w:hideMark/>
          </w:tcPr>
          <w:p w14:paraId="6780DFFB" w14:textId="77777777" w:rsidR="00A20990" w:rsidRPr="00B011F8" w:rsidRDefault="00A20990" w:rsidP="005140E1">
            <w:pPr>
              <w:contextualSpacing/>
              <w:jc w:val="center"/>
              <w:rPr>
                <w:rFonts w:eastAsia="Times New Roman" w:cs="Arial"/>
                <w:b/>
                <w:bCs/>
                <w:sz w:val="13"/>
                <w:szCs w:val="13"/>
                <w:lang w:val="es-CO" w:eastAsia="es-CO"/>
              </w:rPr>
            </w:pPr>
            <w:r w:rsidRPr="00B011F8">
              <w:rPr>
                <w:rFonts w:eastAsia="Times New Roman" w:cs="Arial"/>
                <w:b/>
                <w:bCs/>
                <w:sz w:val="13"/>
                <w:szCs w:val="13"/>
                <w:lang w:val="es-CO" w:eastAsia="es-CO"/>
              </w:rPr>
              <w:t>EJECUTADAS (Unidad)</w:t>
            </w:r>
          </w:p>
        </w:tc>
        <w:tc>
          <w:tcPr>
            <w:tcW w:w="386" w:type="pct"/>
            <w:vMerge/>
            <w:vAlign w:val="center"/>
            <w:hideMark/>
          </w:tcPr>
          <w:p w14:paraId="561D80D7" w14:textId="77777777" w:rsidR="00A20990" w:rsidRPr="00B011F8" w:rsidRDefault="00A20990" w:rsidP="005140E1">
            <w:pPr>
              <w:contextualSpacing/>
              <w:jc w:val="center"/>
              <w:rPr>
                <w:rFonts w:eastAsia="Times New Roman" w:cs="Arial"/>
                <w:b/>
                <w:bCs/>
                <w:sz w:val="13"/>
                <w:szCs w:val="13"/>
                <w:lang w:val="es-CO" w:eastAsia="es-CO"/>
              </w:rPr>
            </w:pPr>
          </w:p>
        </w:tc>
      </w:tr>
      <w:tr w:rsidR="001A38D5" w:rsidRPr="00186A18" w14:paraId="109F5AFE" w14:textId="77777777" w:rsidTr="00A20990">
        <w:trPr>
          <w:trHeight w:val="20"/>
        </w:trPr>
        <w:tc>
          <w:tcPr>
            <w:tcW w:w="300" w:type="pct"/>
            <w:vMerge w:val="restart"/>
            <w:shd w:val="clear" w:color="auto" w:fill="auto"/>
            <w:vAlign w:val="center"/>
            <w:hideMark/>
          </w:tcPr>
          <w:p w14:paraId="11916DA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2019</w:t>
            </w:r>
          </w:p>
        </w:tc>
        <w:tc>
          <w:tcPr>
            <w:tcW w:w="400" w:type="pct"/>
            <w:shd w:val="clear" w:color="auto" w:fill="auto"/>
            <w:vAlign w:val="center"/>
            <w:hideMark/>
          </w:tcPr>
          <w:p w14:paraId="1327D02C"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077 DE 2019</w:t>
            </w:r>
          </w:p>
        </w:tc>
        <w:tc>
          <w:tcPr>
            <w:tcW w:w="999" w:type="pct"/>
            <w:shd w:val="clear" w:color="auto" w:fill="auto"/>
            <w:vAlign w:val="center"/>
            <w:hideMark/>
          </w:tcPr>
          <w:p w14:paraId="7969E62C"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REGULAR</w:t>
            </w:r>
          </w:p>
        </w:tc>
        <w:tc>
          <w:tcPr>
            <w:tcW w:w="350" w:type="pct"/>
            <w:shd w:val="clear" w:color="auto" w:fill="auto"/>
            <w:vAlign w:val="center"/>
            <w:hideMark/>
          </w:tcPr>
          <w:p w14:paraId="6EB01D0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1.473.582</w:t>
            </w:r>
          </w:p>
        </w:tc>
        <w:tc>
          <w:tcPr>
            <w:tcW w:w="350" w:type="pct"/>
            <w:shd w:val="clear" w:color="auto" w:fill="auto"/>
            <w:vAlign w:val="center"/>
            <w:hideMark/>
          </w:tcPr>
          <w:p w14:paraId="755720F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1.453.452</w:t>
            </w:r>
          </w:p>
        </w:tc>
        <w:tc>
          <w:tcPr>
            <w:tcW w:w="350" w:type="pct"/>
            <w:shd w:val="clear" w:color="auto" w:fill="auto"/>
            <w:vAlign w:val="center"/>
            <w:hideMark/>
          </w:tcPr>
          <w:p w14:paraId="2A9861D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66</w:t>
            </w:r>
          </w:p>
        </w:tc>
        <w:tc>
          <w:tcPr>
            <w:tcW w:w="298" w:type="pct"/>
            <w:shd w:val="clear" w:color="auto" w:fill="auto"/>
            <w:vAlign w:val="center"/>
            <w:hideMark/>
          </w:tcPr>
          <w:p w14:paraId="32EE8BA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66</w:t>
            </w:r>
          </w:p>
        </w:tc>
        <w:tc>
          <w:tcPr>
            <w:tcW w:w="397" w:type="pct"/>
            <w:shd w:val="clear" w:color="auto" w:fill="auto"/>
            <w:vAlign w:val="center"/>
            <w:hideMark/>
          </w:tcPr>
          <w:p w14:paraId="046FC2D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$3.047</w:t>
            </w:r>
          </w:p>
        </w:tc>
        <w:tc>
          <w:tcPr>
            <w:tcW w:w="355" w:type="pct"/>
            <w:shd w:val="clear" w:color="auto" w:fill="auto"/>
            <w:vAlign w:val="center"/>
            <w:hideMark/>
          </w:tcPr>
          <w:p w14:paraId="4E923E5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$3.006</w:t>
            </w:r>
          </w:p>
        </w:tc>
        <w:tc>
          <w:tcPr>
            <w:tcW w:w="431" w:type="pct"/>
            <w:shd w:val="clear" w:color="auto" w:fill="auto"/>
            <w:vAlign w:val="center"/>
            <w:hideMark/>
          </w:tcPr>
          <w:p w14:paraId="5B6D9A9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22.327</w:t>
            </w:r>
          </w:p>
        </w:tc>
        <w:tc>
          <w:tcPr>
            <w:tcW w:w="384" w:type="pct"/>
            <w:shd w:val="clear" w:color="auto" w:fill="auto"/>
            <w:vAlign w:val="center"/>
            <w:hideMark/>
          </w:tcPr>
          <w:p w14:paraId="16CF912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22.022</w:t>
            </w:r>
          </w:p>
        </w:tc>
        <w:tc>
          <w:tcPr>
            <w:tcW w:w="386" w:type="pct"/>
            <w:shd w:val="clear" w:color="auto" w:fill="auto"/>
            <w:vAlign w:val="center"/>
            <w:hideMark/>
          </w:tcPr>
          <w:p w14:paraId="3400754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$2.068</w:t>
            </w:r>
          </w:p>
        </w:tc>
      </w:tr>
      <w:tr w:rsidR="001A38D5" w:rsidRPr="00186A18" w14:paraId="319AC2C7" w14:textId="77777777" w:rsidTr="00A20990">
        <w:trPr>
          <w:trHeight w:val="20"/>
        </w:trPr>
        <w:tc>
          <w:tcPr>
            <w:tcW w:w="300" w:type="pct"/>
            <w:vMerge/>
            <w:vAlign w:val="center"/>
            <w:hideMark/>
          </w:tcPr>
          <w:p w14:paraId="4C7278F8"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auto"/>
            <w:vAlign w:val="center"/>
            <w:hideMark/>
          </w:tcPr>
          <w:p w14:paraId="5E97B2DC"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077 DE 2019</w:t>
            </w:r>
          </w:p>
        </w:tc>
        <w:tc>
          <w:tcPr>
            <w:tcW w:w="999" w:type="pct"/>
            <w:shd w:val="clear" w:color="auto" w:fill="auto"/>
            <w:vAlign w:val="center"/>
            <w:hideMark/>
          </w:tcPr>
          <w:p w14:paraId="7CB589EB"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-REGULAR</w:t>
            </w:r>
          </w:p>
        </w:tc>
        <w:tc>
          <w:tcPr>
            <w:tcW w:w="350" w:type="pct"/>
            <w:shd w:val="clear" w:color="auto" w:fill="auto"/>
            <w:vAlign w:val="center"/>
            <w:hideMark/>
          </w:tcPr>
          <w:p w14:paraId="5B79011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187.044</w:t>
            </w:r>
          </w:p>
        </w:tc>
        <w:tc>
          <w:tcPr>
            <w:tcW w:w="350" w:type="pct"/>
            <w:shd w:val="clear" w:color="auto" w:fill="auto"/>
            <w:vAlign w:val="center"/>
            <w:hideMark/>
          </w:tcPr>
          <w:p w14:paraId="4C2ADD6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182.952</w:t>
            </w:r>
          </w:p>
        </w:tc>
        <w:tc>
          <w:tcPr>
            <w:tcW w:w="350" w:type="pct"/>
            <w:shd w:val="clear" w:color="auto" w:fill="auto"/>
            <w:vAlign w:val="center"/>
            <w:hideMark/>
          </w:tcPr>
          <w:p w14:paraId="237C149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66</w:t>
            </w:r>
          </w:p>
        </w:tc>
        <w:tc>
          <w:tcPr>
            <w:tcW w:w="298" w:type="pct"/>
            <w:shd w:val="clear" w:color="auto" w:fill="auto"/>
            <w:vAlign w:val="center"/>
            <w:hideMark/>
          </w:tcPr>
          <w:p w14:paraId="6A2F388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66</w:t>
            </w:r>
          </w:p>
        </w:tc>
        <w:tc>
          <w:tcPr>
            <w:tcW w:w="397" w:type="pct"/>
            <w:shd w:val="clear" w:color="auto" w:fill="auto"/>
            <w:vAlign w:val="center"/>
            <w:hideMark/>
          </w:tcPr>
          <w:p w14:paraId="3098720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$552</w:t>
            </w:r>
          </w:p>
        </w:tc>
        <w:tc>
          <w:tcPr>
            <w:tcW w:w="355" w:type="pct"/>
            <w:shd w:val="clear" w:color="auto" w:fill="auto"/>
            <w:vAlign w:val="center"/>
            <w:hideMark/>
          </w:tcPr>
          <w:p w14:paraId="635C42D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$540</w:t>
            </w:r>
          </w:p>
        </w:tc>
        <w:tc>
          <w:tcPr>
            <w:tcW w:w="431" w:type="pct"/>
            <w:shd w:val="clear" w:color="auto" w:fill="auto"/>
            <w:vAlign w:val="center"/>
            <w:hideMark/>
          </w:tcPr>
          <w:p w14:paraId="657D6EC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2.834</w:t>
            </w:r>
          </w:p>
        </w:tc>
        <w:tc>
          <w:tcPr>
            <w:tcW w:w="384" w:type="pct"/>
            <w:shd w:val="clear" w:color="auto" w:fill="auto"/>
            <w:vAlign w:val="center"/>
            <w:hideMark/>
          </w:tcPr>
          <w:p w14:paraId="180F8A0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2.772</w:t>
            </w:r>
          </w:p>
        </w:tc>
        <w:tc>
          <w:tcPr>
            <w:tcW w:w="386" w:type="pct"/>
            <w:shd w:val="clear" w:color="auto" w:fill="auto"/>
            <w:vAlign w:val="center"/>
            <w:hideMark/>
          </w:tcPr>
          <w:p w14:paraId="272E2DA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$2.952</w:t>
            </w:r>
          </w:p>
        </w:tc>
      </w:tr>
      <w:tr w:rsidR="001A38D5" w:rsidRPr="00186A18" w14:paraId="5253496D" w14:textId="77777777" w:rsidTr="00A20990">
        <w:trPr>
          <w:trHeight w:val="20"/>
        </w:trPr>
        <w:tc>
          <w:tcPr>
            <w:tcW w:w="300" w:type="pct"/>
            <w:vMerge/>
            <w:vAlign w:val="center"/>
            <w:hideMark/>
          </w:tcPr>
          <w:p w14:paraId="192F14FA"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auto"/>
            <w:vAlign w:val="center"/>
            <w:hideMark/>
          </w:tcPr>
          <w:p w14:paraId="3E4475A4"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077 DE 2019</w:t>
            </w:r>
          </w:p>
        </w:tc>
        <w:tc>
          <w:tcPr>
            <w:tcW w:w="999" w:type="pct"/>
            <w:shd w:val="clear" w:color="auto" w:fill="auto"/>
            <w:vAlign w:val="center"/>
            <w:hideMark/>
          </w:tcPr>
          <w:p w14:paraId="6361DE9B"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JORNADA UNICA</w:t>
            </w:r>
          </w:p>
        </w:tc>
        <w:tc>
          <w:tcPr>
            <w:tcW w:w="350" w:type="pct"/>
            <w:shd w:val="clear" w:color="auto" w:fill="auto"/>
            <w:vAlign w:val="center"/>
            <w:hideMark/>
          </w:tcPr>
          <w:p w14:paraId="3CA5CBD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529.188</w:t>
            </w:r>
          </w:p>
        </w:tc>
        <w:tc>
          <w:tcPr>
            <w:tcW w:w="350" w:type="pct"/>
            <w:shd w:val="clear" w:color="auto" w:fill="auto"/>
            <w:vAlign w:val="center"/>
            <w:hideMark/>
          </w:tcPr>
          <w:p w14:paraId="3F8976F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529.188</w:t>
            </w:r>
          </w:p>
        </w:tc>
        <w:tc>
          <w:tcPr>
            <w:tcW w:w="350" w:type="pct"/>
            <w:shd w:val="clear" w:color="auto" w:fill="auto"/>
            <w:vAlign w:val="center"/>
            <w:hideMark/>
          </w:tcPr>
          <w:p w14:paraId="17A560E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66</w:t>
            </w:r>
          </w:p>
        </w:tc>
        <w:tc>
          <w:tcPr>
            <w:tcW w:w="298" w:type="pct"/>
            <w:shd w:val="clear" w:color="auto" w:fill="auto"/>
            <w:vAlign w:val="center"/>
            <w:hideMark/>
          </w:tcPr>
          <w:p w14:paraId="3E837E3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66</w:t>
            </w:r>
          </w:p>
        </w:tc>
        <w:tc>
          <w:tcPr>
            <w:tcW w:w="397" w:type="pct"/>
            <w:shd w:val="clear" w:color="auto" w:fill="auto"/>
            <w:vAlign w:val="center"/>
            <w:hideMark/>
          </w:tcPr>
          <w:p w14:paraId="558D1CC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$1.094</w:t>
            </w:r>
          </w:p>
        </w:tc>
        <w:tc>
          <w:tcPr>
            <w:tcW w:w="355" w:type="pct"/>
            <w:shd w:val="clear" w:color="auto" w:fill="auto"/>
            <w:vAlign w:val="center"/>
            <w:hideMark/>
          </w:tcPr>
          <w:p w14:paraId="2196E01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$1.094</w:t>
            </w:r>
          </w:p>
        </w:tc>
        <w:tc>
          <w:tcPr>
            <w:tcW w:w="431" w:type="pct"/>
            <w:shd w:val="clear" w:color="auto" w:fill="auto"/>
            <w:vAlign w:val="center"/>
            <w:hideMark/>
          </w:tcPr>
          <w:p w14:paraId="34203A6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8.018</w:t>
            </w:r>
          </w:p>
        </w:tc>
        <w:tc>
          <w:tcPr>
            <w:tcW w:w="384" w:type="pct"/>
            <w:shd w:val="clear" w:color="auto" w:fill="auto"/>
            <w:vAlign w:val="center"/>
            <w:hideMark/>
          </w:tcPr>
          <w:p w14:paraId="536D966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8.018</w:t>
            </w:r>
          </w:p>
        </w:tc>
        <w:tc>
          <w:tcPr>
            <w:tcW w:w="386" w:type="pct"/>
            <w:shd w:val="clear" w:color="auto" w:fill="auto"/>
            <w:vAlign w:val="center"/>
            <w:hideMark/>
          </w:tcPr>
          <w:p w14:paraId="2E2EBE9D"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$2.068</w:t>
            </w:r>
          </w:p>
        </w:tc>
      </w:tr>
      <w:tr w:rsidR="001A38D5" w:rsidRPr="00186A18" w14:paraId="5A251C72" w14:textId="77777777" w:rsidTr="00A20990">
        <w:trPr>
          <w:trHeight w:val="20"/>
        </w:trPr>
        <w:tc>
          <w:tcPr>
            <w:tcW w:w="300" w:type="pct"/>
            <w:vMerge/>
            <w:vAlign w:val="center"/>
            <w:hideMark/>
          </w:tcPr>
          <w:p w14:paraId="6034C3DF"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auto"/>
            <w:vAlign w:val="center"/>
            <w:hideMark/>
          </w:tcPr>
          <w:p w14:paraId="634B23B7"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077 DE 2019</w:t>
            </w:r>
          </w:p>
        </w:tc>
        <w:tc>
          <w:tcPr>
            <w:tcW w:w="999" w:type="pct"/>
            <w:shd w:val="clear" w:color="auto" w:fill="auto"/>
            <w:vAlign w:val="center"/>
            <w:hideMark/>
          </w:tcPr>
          <w:p w14:paraId="54A61E49"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-JORNADA UNICA</w:t>
            </w:r>
          </w:p>
        </w:tc>
        <w:tc>
          <w:tcPr>
            <w:tcW w:w="350" w:type="pct"/>
            <w:shd w:val="clear" w:color="auto" w:fill="auto"/>
            <w:vAlign w:val="center"/>
            <w:hideMark/>
          </w:tcPr>
          <w:p w14:paraId="03E4CB9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42.504</w:t>
            </w:r>
          </w:p>
        </w:tc>
        <w:tc>
          <w:tcPr>
            <w:tcW w:w="350" w:type="pct"/>
            <w:shd w:val="clear" w:color="auto" w:fill="auto"/>
            <w:vAlign w:val="center"/>
            <w:hideMark/>
          </w:tcPr>
          <w:p w14:paraId="7B61FC2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42.504</w:t>
            </w:r>
          </w:p>
        </w:tc>
        <w:tc>
          <w:tcPr>
            <w:tcW w:w="350" w:type="pct"/>
            <w:shd w:val="clear" w:color="auto" w:fill="auto"/>
            <w:vAlign w:val="center"/>
            <w:hideMark/>
          </w:tcPr>
          <w:p w14:paraId="7913176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66</w:t>
            </w:r>
          </w:p>
        </w:tc>
        <w:tc>
          <w:tcPr>
            <w:tcW w:w="298" w:type="pct"/>
            <w:shd w:val="clear" w:color="auto" w:fill="auto"/>
            <w:vAlign w:val="center"/>
            <w:hideMark/>
          </w:tcPr>
          <w:p w14:paraId="6C76470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66</w:t>
            </w:r>
          </w:p>
        </w:tc>
        <w:tc>
          <w:tcPr>
            <w:tcW w:w="397" w:type="pct"/>
            <w:shd w:val="clear" w:color="auto" w:fill="auto"/>
            <w:vAlign w:val="center"/>
            <w:hideMark/>
          </w:tcPr>
          <w:p w14:paraId="108EB0D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$125</w:t>
            </w:r>
          </w:p>
        </w:tc>
        <w:tc>
          <w:tcPr>
            <w:tcW w:w="355" w:type="pct"/>
            <w:shd w:val="clear" w:color="auto" w:fill="auto"/>
            <w:vAlign w:val="center"/>
            <w:hideMark/>
          </w:tcPr>
          <w:p w14:paraId="4D22892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$125</w:t>
            </w:r>
          </w:p>
        </w:tc>
        <w:tc>
          <w:tcPr>
            <w:tcW w:w="431" w:type="pct"/>
            <w:shd w:val="clear" w:color="auto" w:fill="auto"/>
            <w:vAlign w:val="center"/>
            <w:hideMark/>
          </w:tcPr>
          <w:p w14:paraId="40F4C30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644</w:t>
            </w:r>
          </w:p>
        </w:tc>
        <w:tc>
          <w:tcPr>
            <w:tcW w:w="384" w:type="pct"/>
            <w:shd w:val="clear" w:color="auto" w:fill="auto"/>
            <w:vAlign w:val="center"/>
            <w:hideMark/>
          </w:tcPr>
          <w:p w14:paraId="08EBF62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644</w:t>
            </w:r>
          </w:p>
        </w:tc>
        <w:tc>
          <w:tcPr>
            <w:tcW w:w="386" w:type="pct"/>
            <w:shd w:val="clear" w:color="auto" w:fill="auto"/>
            <w:vAlign w:val="center"/>
            <w:hideMark/>
          </w:tcPr>
          <w:p w14:paraId="5F4E4E7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$2.952</w:t>
            </w:r>
          </w:p>
        </w:tc>
      </w:tr>
      <w:tr w:rsidR="001A38D5" w:rsidRPr="00186A18" w14:paraId="594DD8B8" w14:textId="77777777" w:rsidTr="00A20990">
        <w:trPr>
          <w:trHeight w:val="20"/>
        </w:trPr>
        <w:tc>
          <w:tcPr>
            <w:tcW w:w="300" w:type="pct"/>
            <w:vMerge/>
            <w:vAlign w:val="center"/>
            <w:hideMark/>
          </w:tcPr>
          <w:p w14:paraId="5CC12CDC"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auto"/>
            <w:vAlign w:val="center"/>
            <w:hideMark/>
          </w:tcPr>
          <w:p w14:paraId="79E2DFE4"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1198 DE 2019</w:t>
            </w:r>
          </w:p>
        </w:tc>
        <w:tc>
          <w:tcPr>
            <w:tcW w:w="999" w:type="pct"/>
            <w:shd w:val="clear" w:color="auto" w:fill="auto"/>
            <w:vAlign w:val="center"/>
            <w:hideMark/>
          </w:tcPr>
          <w:p w14:paraId="0FB42438"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REGULAR</w:t>
            </w:r>
          </w:p>
        </w:tc>
        <w:tc>
          <w:tcPr>
            <w:tcW w:w="350" w:type="pct"/>
            <w:shd w:val="clear" w:color="auto" w:fill="auto"/>
            <w:vAlign w:val="center"/>
            <w:hideMark/>
          </w:tcPr>
          <w:p w14:paraId="0CDE2B8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2.148.841</w:t>
            </w:r>
          </w:p>
        </w:tc>
        <w:tc>
          <w:tcPr>
            <w:tcW w:w="350" w:type="pct"/>
            <w:shd w:val="clear" w:color="auto" w:fill="auto"/>
            <w:vAlign w:val="center"/>
            <w:hideMark/>
          </w:tcPr>
          <w:p w14:paraId="4238697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2.097.916</w:t>
            </w:r>
          </w:p>
        </w:tc>
        <w:tc>
          <w:tcPr>
            <w:tcW w:w="350" w:type="pct"/>
            <w:shd w:val="clear" w:color="auto" w:fill="auto"/>
            <w:vAlign w:val="center"/>
            <w:hideMark/>
          </w:tcPr>
          <w:p w14:paraId="0933573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97</w:t>
            </w:r>
          </w:p>
        </w:tc>
        <w:tc>
          <w:tcPr>
            <w:tcW w:w="298" w:type="pct"/>
            <w:shd w:val="clear" w:color="auto" w:fill="auto"/>
            <w:vAlign w:val="center"/>
            <w:hideMark/>
          </w:tcPr>
          <w:p w14:paraId="11A4E5E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97</w:t>
            </w:r>
          </w:p>
        </w:tc>
        <w:tc>
          <w:tcPr>
            <w:tcW w:w="397" w:type="pct"/>
            <w:shd w:val="clear" w:color="auto" w:fill="auto"/>
            <w:vAlign w:val="center"/>
            <w:hideMark/>
          </w:tcPr>
          <w:p w14:paraId="7E1435A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$4.379</w:t>
            </w:r>
          </w:p>
        </w:tc>
        <w:tc>
          <w:tcPr>
            <w:tcW w:w="355" w:type="pct"/>
            <w:shd w:val="clear" w:color="auto" w:fill="auto"/>
            <w:vAlign w:val="center"/>
            <w:hideMark/>
          </w:tcPr>
          <w:p w14:paraId="685BB2C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$4.276</w:t>
            </w:r>
          </w:p>
        </w:tc>
        <w:tc>
          <w:tcPr>
            <w:tcW w:w="431" w:type="pct"/>
            <w:shd w:val="clear" w:color="auto" w:fill="auto"/>
            <w:vAlign w:val="center"/>
            <w:hideMark/>
          </w:tcPr>
          <w:p w14:paraId="20E6EF4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22.153</w:t>
            </w:r>
          </w:p>
        </w:tc>
        <w:tc>
          <w:tcPr>
            <w:tcW w:w="384" w:type="pct"/>
            <w:shd w:val="clear" w:color="auto" w:fill="auto"/>
            <w:vAlign w:val="center"/>
            <w:hideMark/>
          </w:tcPr>
          <w:p w14:paraId="56769FA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21.628</w:t>
            </w:r>
          </w:p>
        </w:tc>
        <w:tc>
          <w:tcPr>
            <w:tcW w:w="386" w:type="pct"/>
            <w:shd w:val="clear" w:color="auto" w:fill="auto"/>
            <w:vAlign w:val="center"/>
            <w:hideMark/>
          </w:tcPr>
          <w:p w14:paraId="1FD8C01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$2.038</w:t>
            </w:r>
          </w:p>
        </w:tc>
      </w:tr>
      <w:tr w:rsidR="001A38D5" w:rsidRPr="00186A18" w14:paraId="4D242861" w14:textId="77777777" w:rsidTr="00A20990">
        <w:trPr>
          <w:trHeight w:val="20"/>
        </w:trPr>
        <w:tc>
          <w:tcPr>
            <w:tcW w:w="300" w:type="pct"/>
            <w:vMerge/>
            <w:vAlign w:val="center"/>
            <w:hideMark/>
          </w:tcPr>
          <w:p w14:paraId="1A7FE4AF"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auto"/>
            <w:vAlign w:val="center"/>
            <w:hideMark/>
          </w:tcPr>
          <w:p w14:paraId="3774DF3F"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1198 DE 2019</w:t>
            </w:r>
          </w:p>
        </w:tc>
        <w:tc>
          <w:tcPr>
            <w:tcW w:w="999" w:type="pct"/>
            <w:shd w:val="clear" w:color="auto" w:fill="auto"/>
            <w:vAlign w:val="center"/>
            <w:hideMark/>
          </w:tcPr>
          <w:p w14:paraId="19A54D47"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-REGULAR</w:t>
            </w:r>
          </w:p>
        </w:tc>
        <w:tc>
          <w:tcPr>
            <w:tcW w:w="350" w:type="pct"/>
            <w:shd w:val="clear" w:color="auto" w:fill="auto"/>
            <w:vAlign w:val="center"/>
            <w:hideMark/>
          </w:tcPr>
          <w:p w14:paraId="75926B0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273.346</w:t>
            </w:r>
          </w:p>
        </w:tc>
        <w:tc>
          <w:tcPr>
            <w:tcW w:w="350" w:type="pct"/>
            <w:shd w:val="clear" w:color="auto" w:fill="auto"/>
            <w:vAlign w:val="center"/>
            <w:hideMark/>
          </w:tcPr>
          <w:p w14:paraId="0D206A9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258.893</w:t>
            </w:r>
          </w:p>
        </w:tc>
        <w:tc>
          <w:tcPr>
            <w:tcW w:w="350" w:type="pct"/>
            <w:shd w:val="clear" w:color="auto" w:fill="auto"/>
            <w:vAlign w:val="center"/>
            <w:hideMark/>
          </w:tcPr>
          <w:p w14:paraId="2FA52F1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97</w:t>
            </w:r>
          </w:p>
        </w:tc>
        <w:tc>
          <w:tcPr>
            <w:tcW w:w="298" w:type="pct"/>
            <w:shd w:val="clear" w:color="auto" w:fill="auto"/>
            <w:vAlign w:val="center"/>
            <w:hideMark/>
          </w:tcPr>
          <w:p w14:paraId="6F0C6D3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97</w:t>
            </w:r>
          </w:p>
        </w:tc>
        <w:tc>
          <w:tcPr>
            <w:tcW w:w="397" w:type="pct"/>
            <w:shd w:val="clear" w:color="auto" w:fill="auto"/>
            <w:vAlign w:val="center"/>
            <w:hideMark/>
          </w:tcPr>
          <w:p w14:paraId="4AC65AA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$819</w:t>
            </w:r>
          </w:p>
        </w:tc>
        <w:tc>
          <w:tcPr>
            <w:tcW w:w="355" w:type="pct"/>
            <w:shd w:val="clear" w:color="auto" w:fill="auto"/>
            <w:vAlign w:val="center"/>
            <w:hideMark/>
          </w:tcPr>
          <w:p w14:paraId="36908EC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$776</w:t>
            </w:r>
          </w:p>
        </w:tc>
        <w:tc>
          <w:tcPr>
            <w:tcW w:w="431" w:type="pct"/>
            <w:shd w:val="clear" w:color="auto" w:fill="auto"/>
            <w:vAlign w:val="center"/>
            <w:hideMark/>
          </w:tcPr>
          <w:p w14:paraId="62C19D5D"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2.818</w:t>
            </w:r>
          </w:p>
        </w:tc>
        <w:tc>
          <w:tcPr>
            <w:tcW w:w="384" w:type="pct"/>
            <w:shd w:val="clear" w:color="auto" w:fill="auto"/>
            <w:vAlign w:val="center"/>
            <w:hideMark/>
          </w:tcPr>
          <w:p w14:paraId="38BEE06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2.669</w:t>
            </w:r>
          </w:p>
        </w:tc>
        <w:tc>
          <w:tcPr>
            <w:tcW w:w="386" w:type="pct"/>
            <w:shd w:val="clear" w:color="auto" w:fill="auto"/>
            <w:vAlign w:val="center"/>
            <w:hideMark/>
          </w:tcPr>
          <w:p w14:paraId="0DB3FE0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$2.996</w:t>
            </w:r>
          </w:p>
        </w:tc>
      </w:tr>
      <w:tr w:rsidR="001A38D5" w:rsidRPr="00186A18" w14:paraId="03971387" w14:textId="77777777" w:rsidTr="00A20990">
        <w:trPr>
          <w:trHeight w:val="20"/>
        </w:trPr>
        <w:tc>
          <w:tcPr>
            <w:tcW w:w="300" w:type="pct"/>
            <w:vMerge/>
            <w:vAlign w:val="center"/>
            <w:hideMark/>
          </w:tcPr>
          <w:p w14:paraId="7F2DFE08"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auto"/>
            <w:vAlign w:val="center"/>
            <w:hideMark/>
          </w:tcPr>
          <w:p w14:paraId="22776F38"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1198 DE 2019</w:t>
            </w:r>
          </w:p>
        </w:tc>
        <w:tc>
          <w:tcPr>
            <w:tcW w:w="999" w:type="pct"/>
            <w:shd w:val="clear" w:color="auto" w:fill="auto"/>
            <w:vAlign w:val="center"/>
            <w:hideMark/>
          </w:tcPr>
          <w:p w14:paraId="5AF289FD"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JORNADA UNICA</w:t>
            </w:r>
          </w:p>
        </w:tc>
        <w:tc>
          <w:tcPr>
            <w:tcW w:w="350" w:type="pct"/>
            <w:shd w:val="clear" w:color="auto" w:fill="auto"/>
            <w:vAlign w:val="center"/>
            <w:hideMark/>
          </w:tcPr>
          <w:p w14:paraId="25A4962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794.624</w:t>
            </w:r>
          </w:p>
        </w:tc>
        <w:tc>
          <w:tcPr>
            <w:tcW w:w="350" w:type="pct"/>
            <w:shd w:val="clear" w:color="auto" w:fill="auto"/>
            <w:vAlign w:val="center"/>
            <w:hideMark/>
          </w:tcPr>
          <w:p w14:paraId="3621884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764.845</w:t>
            </w:r>
          </w:p>
        </w:tc>
        <w:tc>
          <w:tcPr>
            <w:tcW w:w="350" w:type="pct"/>
            <w:shd w:val="clear" w:color="auto" w:fill="auto"/>
            <w:vAlign w:val="center"/>
            <w:hideMark/>
          </w:tcPr>
          <w:p w14:paraId="3F75B60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97</w:t>
            </w:r>
          </w:p>
        </w:tc>
        <w:tc>
          <w:tcPr>
            <w:tcW w:w="298" w:type="pct"/>
            <w:shd w:val="clear" w:color="auto" w:fill="auto"/>
            <w:vAlign w:val="center"/>
            <w:hideMark/>
          </w:tcPr>
          <w:p w14:paraId="21D5FBA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97</w:t>
            </w:r>
          </w:p>
        </w:tc>
        <w:tc>
          <w:tcPr>
            <w:tcW w:w="397" w:type="pct"/>
            <w:shd w:val="clear" w:color="auto" w:fill="auto"/>
            <w:vAlign w:val="center"/>
            <w:hideMark/>
          </w:tcPr>
          <w:p w14:paraId="2923CA8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$1.619</w:t>
            </w:r>
          </w:p>
        </w:tc>
        <w:tc>
          <w:tcPr>
            <w:tcW w:w="355" w:type="pct"/>
            <w:shd w:val="clear" w:color="auto" w:fill="auto"/>
            <w:vAlign w:val="center"/>
            <w:hideMark/>
          </w:tcPr>
          <w:p w14:paraId="5D1C570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$1.559</w:t>
            </w:r>
          </w:p>
        </w:tc>
        <w:tc>
          <w:tcPr>
            <w:tcW w:w="431" w:type="pct"/>
            <w:shd w:val="clear" w:color="auto" w:fill="auto"/>
            <w:vAlign w:val="center"/>
            <w:hideMark/>
          </w:tcPr>
          <w:p w14:paraId="2342BEA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8.192</w:t>
            </w:r>
          </w:p>
        </w:tc>
        <w:tc>
          <w:tcPr>
            <w:tcW w:w="384" w:type="pct"/>
            <w:shd w:val="clear" w:color="auto" w:fill="auto"/>
            <w:vAlign w:val="center"/>
            <w:hideMark/>
          </w:tcPr>
          <w:p w14:paraId="52988E6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7.885</w:t>
            </w:r>
          </w:p>
        </w:tc>
        <w:tc>
          <w:tcPr>
            <w:tcW w:w="386" w:type="pct"/>
            <w:shd w:val="clear" w:color="auto" w:fill="auto"/>
            <w:vAlign w:val="center"/>
            <w:hideMark/>
          </w:tcPr>
          <w:p w14:paraId="419B72F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$2.038</w:t>
            </w:r>
          </w:p>
        </w:tc>
      </w:tr>
      <w:tr w:rsidR="001A38D5" w:rsidRPr="00186A18" w14:paraId="6184B7DA" w14:textId="77777777" w:rsidTr="00A20990">
        <w:trPr>
          <w:trHeight w:val="20"/>
        </w:trPr>
        <w:tc>
          <w:tcPr>
            <w:tcW w:w="300" w:type="pct"/>
            <w:vMerge/>
            <w:vAlign w:val="center"/>
            <w:hideMark/>
          </w:tcPr>
          <w:p w14:paraId="55D4DDAF"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auto"/>
            <w:vAlign w:val="center"/>
            <w:hideMark/>
          </w:tcPr>
          <w:p w14:paraId="624972E4"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1198 DE 2019</w:t>
            </w:r>
          </w:p>
        </w:tc>
        <w:tc>
          <w:tcPr>
            <w:tcW w:w="999" w:type="pct"/>
            <w:shd w:val="clear" w:color="auto" w:fill="auto"/>
            <w:vAlign w:val="center"/>
            <w:hideMark/>
          </w:tcPr>
          <w:p w14:paraId="36C97962"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-JORNADA UNICA</w:t>
            </w:r>
          </w:p>
        </w:tc>
        <w:tc>
          <w:tcPr>
            <w:tcW w:w="350" w:type="pct"/>
            <w:shd w:val="clear" w:color="auto" w:fill="auto"/>
            <w:vAlign w:val="center"/>
            <w:hideMark/>
          </w:tcPr>
          <w:p w14:paraId="6A42754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64.020</w:t>
            </w:r>
          </w:p>
        </w:tc>
        <w:tc>
          <w:tcPr>
            <w:tcW w:w="350" w:type="pct"/>
            <w:shd w:val="clear" w:color="auto" w:fill="auto"/>
            <w:vAlign w:val="center"/>
            <w:hideMark/>
          </w:tcPr>
          <w:p w14:paraId="129AD68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63.729</w:t>
            </w:r>
          </w:p>
        </w:tc>
        <w:tc>
          <w:tcPr>
            <w:tcW w:w="350" w:type="pct"/>
            <w:shd w:val="clear" w:color="auto" w:fill="auto"/>
            <w:vAlign w:val="center"/>
            <w:hideMark/>
          </w:tcPr>
          <w:p w14:paraId="5923C9E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97</w:t>
            </w:r>
          </w:p>
        </w:tc>
        <w:tc>
          <w:tcPr>
            <w:tcW w:w="298" w:type="pct"/>
            <w:shd w:val="clear" w:color="auto" w:fill="auto"/>
            <w:vAlign w:val="center"/>
            <w:hideMark/>
          </w:tcPr>
          <w:p w14:paraId="4D06C31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97</w:t>
            </w:r>
          </w:p>
        </w:tc>
        <w:tc>
          <w:tcPr>
            <w:tcW w:w="397" w:type="pct"/>
            <w:shd w:val="clear" w:color="auto" w:fill="auto"/>
            <w:vAlign w:val="center"/>
            <w:hideMark/>
          </w:tcPr>
          <w:p w14:paraId="17765CF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$192</w:t>
            </w:r>
          </w:p>
        </w:tc>
        <w:tc>
          <w:tcPr>
            <w:tcW w:w="355" w:type="pct"/>
            <w:shd w:val="clear" w:color="auto" w:fill="auto"/>
            <w:vAlign w:val="center"/>
            <w:hideMark/>
          </w:tcPr>
          <w:p w14:paraId="32D81D0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$191</w:t>
            </w:r>
          </w:p>
        </w:tc>
        <w:tc>
          <w:tcPr>
            <w:tcW w:w="431" w:type="pct"/>
            <w:shd w:val="clear" w:color="auto" w:fill="auto"/>
            <w:vAlign w:val="center"/>
            <w:hideMark/>
          </w:tcPr>
          <w:p w14:paraId="27DE9E7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660</w:t>
            </w:r>
          </w:p>
        </w:tc>
        <w:tc>
          <w:tcPr>
            <w:tcW w:w="384" w:type="pct"/>
            <w:shd w:val="clear" w:color="auto" w:fill="auto"/>
            <w:vAlign w:val="center"/>
            <w:hideMark/>
          </w:tcPr>
          <w:p w14:paraId="2271030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657</w:t>
            </w:r>
          </w:p>
        </w:tc>
        <w:tc>
          <w:tcPr>
            <w:tcW w:w="386" w:type="pct"/>
            <w:shd w:val="clear" w:color="auto" w:fill="auto"/>
            <w:vAlign w:val="center"/>
            <w:hideMark/>
          </w:tcPr>
          <w:p w14:paraId="648F1E2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$2.996</w:t>
            </w:r>
          </w:p>
        </w:tc>
      </w:tr>
      <w:tr w:rsidR="001A38D5" w:rsidRPr="00186A18" w14:paraId="5F74C38B" w14:textId="77777777" w:rsidTr="00A20990">
        <w:trPr>
          <w:trHeight w:val="20"/>
        </w:trPr>
        <w:tc>
          <w:tcPr>
            <w:tcW w:w="300" w:type="pct"/>
            <w:vMerge w:val="restart"/>
            <w:shd w:val="clear" w:color="auto" w:fill="DDD9C3" w:themeFill="background2" w:themeFillShade="E6"/>
            <w:vAlign w:val="center"/>
            <w:hideMark/>
          </w:tcPr>
          <w:p w14:paraId="3B8DFF6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2020</w:t>
            </w:r>
          </w:p>
        </w:tc>
        <w:tc>
          <w:tcPr>
            <w:tcW w:w="400" w:type="pct"/>
            <w:shd w:val="clear" w:color="auto" w:fill="DDD9C3" w:themeFill="background2" w:themeFillShade="E6"/>
            <w:vAlign w:val="center"/>
            <w:hideMark/>
          </w:tcPr>
          <w:p w14:paraId="518D2BFA"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049 DE 2020</w:t>
            </w:r>
          </w:p>
        </w:tc>
        <w:tc>
          <w:tcPr>
            <w:tcW w:w="999" w:type="pct"/>
            <w:shd w:val="clear" w:color="auto" w:fill="DDD9C3" w:themeFill="background2" w:themeFillShade="E6"/>
            <w:vAlign w:val="center"/>
            <w:hideMark/>
          </w:tcPr>
          <w:p w14:paraId="2FDCE9D1"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-REGULAR</w:t>
            </w:r>
          </w:p>
        </w:tc>
        <w:tc>
          <w:tcPr>
            <w:tcW w:w="350" w:type="pct"/>
            <w:shd w:val="clear" w:color="auto" w:fill="DDD9C3" w:themeFill="background2" w:themeFillShade="E6"/>
            <w:vAlign w:val="center"/>
            <w:hideMark/>
          </w:tcPr>
          <w:p w14:paraId="4902C22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52.200</w:t>
            </w:r>
          </w:p>
        </w:tc>
        <w:tc>
          <w:tcPr>
            <w:tcW w:w="350" w:type="pct"/>
            <w:shd w:val="clear" w:color="auto" w:fill="DDD9C3" w:themeFill="background2" w:themeFillShade="E6"/>
            <w:vAlign w:val="center"/>
            <w:hideMark/>
          </w:tcPr>
          <w:p w14:paraId="09DF3A1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2.900</w:t>
            </w:r>
          </w:p>
        </w:tc>
        <w:tc>
          <w:tcPr>
            <w:tcW w:w="350" w:type="pct"/>
            <w:shd w:val="clear" w:color="auto" w:fill="DDD9C3" w:themeFill="background2" w:themeFillShade="E6"/>
            <w:vAlign w:val="center"/>
            <w:hideMark/>
          </w:tcPr>
          <w:p w14:paraId="53C4821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w:t>
            </w:r>
          </w:p>
        </w:tc>
        <w:tc>
          <w:tcPr>
            <w:tcW w:w="298" w:type="pct"/>
            <w:shd w:val="clear" w:color="auto" w:fill="DDD9C3" w:themeFill="background2" w:themeFillShade="E6"/>
            <w:vAlign w:val="center"/>
            <w:hideMark/>
          </w:tcPr>
          <w:p w14:paraId="34BF57E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w:t>
            </w:r>
          </w:p>
        </w:tc>
        <w:tc>
          <w:tcPr>
            <w:tcW w:w="397" w:type="pct"/>
            <w:shd w:val="clear" w:color="auto" w:fill="DDD9C3" w:themeFill="background2" w:themeFillShade="E6"/>
            <w:vAlign w:val="center"/>
            <w:hideMark/>
          </w:tcPr>
          <w:p w14:paraId="2B9B8DC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$161</w:t>
            </w:r>
          </w:p>
        </w:tc>
        <w:tc>
          <w:tcPr>
            <w:tcW w:w="355" w:type="pct"/>
            <w:shd w:val="clear" w:color="auto" w:fill="DDD9C3" w:themeFill="background2" w:themeFillShade="E6"/>
            <w:vAlign w:val="center"/>
            <w:hideMark/>
          </w:tcPr>
          <w:p w14:paraId="099A33B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$161</w:t>
            </w:r>
          </w:p>
        </w:tc>
        <w:tc>
          <w:tcPr>
            <w:tcW w:w="431" w:type="pct"/>
            <w:shd w:val="clear" w:color="auto" w:fill="DDD9C3" w:themeFill="background2" w:themeFillShade="E6"/>
            <w:vAlign w:val="center"/>
            <w:hideMark/>
          </w:tcPr>
          <w:p w14:paraId="7BBE4D4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2.900</w:t>
            </w:r>
          </w:p>
        </w:tc>
        <w:tc>
          <w:tcPr>
            <w:tcW w:w="384" w:type="pct"/>
            <w:shd w:val="clear" w:color="auto" w:fill="DDD9C3" w:themeFill="background2" w:themeFillShade="E6"/>
            <w:vAlign w:val="center"/>
            <w:hideMark/>
          </w:tcPr>
          <w:p w14:paraId="4EA7117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2.900</w:t>
            </w:r>
          </w:p>
        </w:tc>
        <w:tc>
          <w:tcPr>
            <w:tcW w:w="386" w:type="pct"/>
            <w:shd w:val="clear" w:color="auto" w:fill="DDD9C3" w:themeFill="background2" w:themeFillShade="E6"/>
            <w:vAlign w:val="center"/>
            <w:hideMark/>
          </w:tcPr>
          <w:p w14:paraId="7A56652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$3.090</w:t>
            </w:r>
          </w:p>
        </w:tc>
      </w:tr>
      <w:tr w:rsidR="001A38D5" w:rsidRPr="00186A18" w14:paraId="4F90757B" w14:textId="77777777" w:rsidTr="00A20990">
        <w:trPr>
          <w:trHeight w:val="20"/>
        </w:trPr>
        <w:tc>
          <w:tcPr>
            <w:tcW w:w="300" w:type="pct"/>
            <w:vMerge/>
            <w:shd w:val="clear" w:color="auto" w:fill="DDD9C3" w:themeFill="background2" w:themeFillShade="E6"/>
            <w:vAlign w:val="center"/>
            <w:hideMark/>
          </w:tcPr>
          <w:p w14:paraId="1D7E94EC"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1C23EB04"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049 DE 2020</w:t>
            </w:r>
          </w:p>
        </w:tc>
        <w:tc>
          <w:tcPr>
            <w:tcW w:w="999" w:type="pct"/>
            <w:shd w:val="clear" w:color="auto" w:fill="DDD9C3" w:themeFill="background2" w:themeFillShade="E6"/>
            <w:vAlign w:val="center"/>
            <w:hideMark/>
          </w:tcPr>
          <w:p w14:paraId="28FBC4A8"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REGULAR</w:t>
            </w:r>
          </w:p>
        </w:tc>
        <w:tc>
          <w:tcPr>
            <w:tcW w:w="350" w:type="pct"/>
            <w:shd w:val="clear" w:color="auto" w:fill="DDD9C3" w:themeFill="background2" w:themeFillShade="E6"/>
            <w:vAlign w:val="center"/>
            <w:hideMark/>
          </w:tcPr>
          <w:p w14:paraId="5DB4307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394.200</w:t>
            </w:r>
          </w:p>
        </w:tc>
        <w:tc>
          <w:tcPr>
            <w:tcW w:w="350" w:type="pct"/>
            <w:shd w:val="clear" w:color="auto" w:fill="DDD9C3" w:themeFill="background2" w:themeFillShade="E6"/>
            <w:vAlign w:val="center"/>
            <w:hideMark/>
          </w:tcPr>
          <w:p w14:paraId="64B3C0A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21.900</w:t>
            </w:r>
          </w:p>
        </w:tc>
        <w:tc>
          <w:tcPr>
            <w:tcW w:w="350" w:type="pct"/>
            <w:shd w:val="clear" w:color="auto" w:fill="DDD9C3" w:themeFill="background2" w:themeFillShade="E6"/>
            <w:vAlign w:val="center"/>
            <w:hideMark/>
          </w:tcPr>
          <w:p w14:paraId="5EF2EA2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w:t>
            </w:r>
          </w:p>
        </w:tc>
        <w:tc>
          <w:tcPr>
            <w:tcW w:w="298" w:type="pct"/>
            <w:shd w:val="clear" w:color="auto" w:fill="DDD9C3" w:themeFill="background2" w:themeFillShade="E6"/>
            <w:vAlign w:val="center"/>
            <w:hideMark/>
          </w:tcPr>
          <w:p w14:paraId="280E0DC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w:t>
            </w:r>
          </w:p>
        </w:tc>
        <w:tc>
          <w:tcPr>
            <w:tcW w:w="397" w:type="pct"/>
            <w:shd w:val="clear" w:color="auto" w:fill="DDD9C3" w:themeFill="background2" w:themeFillShade="E6"/>
            <w:vAlign w:val="center"/>
            <w:hideMark/>
          </w:tcPr>
          <w:p w14:paraId="3E33277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$800</w:t>
            </w:r>
          </w:p>
        </w:tc>
        <w:tc>
          <w:tcPr>
            <w:tcW w:w="355" w:type="pct"/>
            <w:shd w:val="clear" w:color="auto" w:fill="DDD9C3" w:themeFill="background2" w:themeFillShade="E6"/>
            <w:vAlign w:val="center"/>
            <w:hideMark/>
          </w:tcPr>
          <w:p w14:paraId="4B7DE57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$800</w:t>
            </w:r>
          </w:p>
        </w:tc>
        <w:tc>
          <w:tcPr>
            <w:tcW w:w="431" w:type="pct"/>
            <w:shd w:val="clear" w:color="auto" w:fill="DDD9C3" w:themeFill="background2" w:themeFillShade="E6"/>
            <w:vAlign w:val="center"/>
            <w:hideMark/>
          </w:tcPr>
          <w:p w14:paraId="37D8A28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21.900</w:t>
            </w:r>
          </w:p>
        </w:tc>
        <w:tc>
          <w:tcPr>
            <w:tcW w:w="384" w:type="pct"/>
            <w:shd w:val="clear" w:color="auto" w:fill="DDD9C3" w:themeFill="background2" w:themeFillShade="E6"/>
            <w:vAlign w:val="center"/>
            <w:hideMark/>
          </w:tcPr>
          <w:p w14:paraId="0CE0EE6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21.900</w:t>
            </w:r>
          </w:p>
        </w:tc>
        <w:tc>
          <w:tcPr>
            <w:tcW w:w="386" w:type="pct"/>
            <w:shd w:val="clear" w:color="auto" w:fill="DDD9C3" w:themeFill="background2" w:themeFillShade="E6"/>
            <w:vAlign w:val="center"/>
            <w:hideMark/>
          </w:tcPr>
          <w:p w14:paraId="2C262CC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$2.030</w:t>
            </w:r>
          </w:p>
        </w:tc>
      </w:tr>
      <w:tr w:rsidR="001A38D5" w:rsidRPr="00186A18" w14:paraId="7DB76235" w14:textId="77777777" w:rsidTr="00A20990">
        <w:trPr>
          <w:trHeight w:val="20"/>
        </w:trPr>
        <w:tc>
          <w:tcPr>
            <w:tcW w:w="300" w:type="pct"/>
            <w:vMerge/>
            <w:shd w:val="clear" w:color="auto" w:fill="DDD9C3" w:themeFill="background2" w:themeFillShade="E6"/>
            <w:vAlign w:val="center"/>
            <w:hideMark/>
          </w:tcPr>
          <w:p w14:paraId="73F7C972"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03F80B7C"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049 DE 2020</w:t>
            </w:r>
          </w:p>
        </w:tc>
        <w:tc>
          <w:tcPr>
            <w:tcW w:w="999" w:type="pct"/>
            <w:shd w:val="clear" w:color="auto" w:fill="DDD9C3" w:themeFill="background2" w:themeFillShade="E6"/>
            <w:vAlign w:val="center"/>
            <w:hideMark/>
          </w:tcPr>
          <w:p w14:paraId="5DDD4B44"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-JORNADA UNICA</w:t>
            </w:r>
          </w:p>
        </w:tc>
        <w:tc>
          <w:tcPr>
            <w:tcW w:w="350" w:type="pct"/>
            <w:shd w:val="clear" w:color="auto" w:fill="DDD9C3" w:themeFill="background2" w:themeFillShade="E6"/>
            <w:vAlign w:val="center"/>
            <w:hideMark/>
          </w:tcPr>
          <w:p w14:paraId="0D9D6AE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26.190</w:t>
            </w:r>
          </w:p>
        </w:tc>
        <w:tc>
          <w:tcPr>
            <w:tcW w:w="350" w:type="pct"/>
            <w:shd w:val="clear" w:color="auto" w:fill="DDD9C3" w:themeFill="background2" w:themeFillShade="E6"/>
            <w:vAlign w:val="center"/>
            <w:hideMark/>
          </w:tcPr>
          <w:p w14:paraId="6B1A519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1.455</w:t>
            </w:r>
          </w:p>
        </w:tc>
        <w:tc>
          <w:tcPr>
            <w:tcW w:w="350" w:type="pct"/>
            <w:shd w:val="clear" w:color="auto" w:fill="DDD9C3" w:themeFill="background2" w:themeFillShade="E6"/>
            <w:vAlign w:val="center"/>
            <w:hideMark/>
          </w:tcPr>
          <w:p w14:paraId="6BB9FB5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w:t>
            </w:r>
          </w:p>
        </w:tc>
        <w:tc>
          <w:tcPr>
            <w:tcW w:w="298" w:type="pct"/>
            <w:shd w:val="clear" w:color="auto" w:fill="DDD9C3" w:themeFill="background2" w:themeFillShade="E6"/>
            <w:vAlign w:val="center"/>
            <w:hideMark/>
          </w:tcPr>
          <w:p w14:paraId="58ECADB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w:t>
            </w:r>
          </w:p>
        </w:tc>
        <w:tc>
          <w:tcPr>
            <w:tcW w:w="397" w:type="pct"/>
            <w:shd w:val="clear" w:color="auto" w:fill="DDD9C3" w:themeFill="background2" w:themeFillShade="E6"/>
            <w:vAlign w:val="center"/>
            <w:hideMark/>
          </w:tcPr>
          <w:p w14:paraId="0AD0653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$81</w:t>
            </w:r>
          </w:p>
        </w:tc>
        <w:tc>
          <w:tcPr>
            <w:tcW w:w="355" w:type="pct"/>
            <w:shd w:val="clear" w:color="auto" w:fill="DDD9C3" w:themeFill="background2" w:themeFillShade="E6"/>
            <w:vAlign w:val="center"/>
            <w:hideMark/>
          </w:tcPr>
          <w:p w14:paraId="77C71FB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$81</w:t>
            </w:r>
          </w:p>
        </w:tc>
        <w:tc>
          <w:tcPr>
            <w:tcW w:w="431" w:type="pct"/>
            <w:shd w:val="clear" w:color="auto" w:fill="DDD9C3" w:themeFill="background2" w:themeFillShade="E6"/>
            <w:vAlign w:val="center"/>
            <w:hideMark/>
          </w:tcPr>
          <w:p w14:paraId="2D1835D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1.455</w:t>
            </w:r>
          </w:p>
        </w:tc>
        <w:tc>
          <w:tcPr>
            <w:tcW w:w="384" w:type="pct"/>
            <w:shd w:val="clear" w:color="auto" w:fill="DDD9C3" w:themeFill="background2" w:themeFillShade="E6"/>
            <w:vAlign w:val="center"/>
            <w:hideMark/>
          </w:tcPr>
          <w:p w14:paraId="14D6B09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1.455</w:t>
            </w:r>
          </w:p>
        </w:tc>
        <w:tc>
          <w:tcPr>
            <w:tcW w:w="386" w:type="pct"/>
            <w:shd w:val="clear" w:color="auto" w:fill="DDD9C3" w:themeFill="background2" w:themeFillShade="E6"/>
            <w:vAlign w:val="center"/>
            <w:hideMark/>
          </w:tcPr>
          <w:p w14:paraId="0B41FDE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$3.090</w:t>
            </w:r>
          </w:p>
        </w:tc>
      </w:tr>
      <w:tr w:rsidR="001A38D5" w:rsidRPr="00186A18" w14:paraId="4F093420" w14:textId="77777777" w:rsidTr="00A20990">
        <w:trPr>
          <w:trHeight w:val="20"/>
        </w:trPr>
        <w:tc>
          <w:tcPr>
            <w:tcW w:w="300" w:type="pct"/>
            <w:vMerge/>
            <w:shd w:val="clear" w:color="auto" w:fill="DDD9C3" w:themeFill="background2" w:themeFillShade="E6"/>
            <w:vAlign w:val="center"/>
            <w:hideMark/>
          </w:tcPr>
          <w:p w14:paraId="7F3F87C8"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4348FFAA"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049 DE 2020</w:t>
            </w:r>
          </w:p>
        </w:tc>
        <w:tc>
          <w:tcPr>
            <w:tcW w:w="999" w:type="pct"/>
            <w:shd w:val="clear" w:color="auto" w:fill="DDD9C3" w:themeFill="background2" w:themeFillShade="E6"/>
            <w:vAlign w:val="center"/>
            <w:hideMark/>
          </w:tcPr>
          <w:p w14:paraId="6284E7E9"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JORNADA UNICA</w:t>
            </w:r>
          </w:p>
        </w:tc>
        <w:tc>
          <w:tcPr>
            <w:tcW w:w="350" w:type="pct"/>
            <w:shd w:val="clear" w:color="auto" w:fill="DDD9C3" w:themeFill="background2" w:themeFillShade="E6"/>
            <w:vAlign w:val="center"/>
            <w:hideMark/>
          </w:tcPr>
          <w:p w14:paraId="1FC1B69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134.802</w:t>
            </w:r>
          </w:p>
        </w:tc>
        <w:tc>
          <w:tcPr>
            <w:tcW w:w="350" w:type="pct"/>
            <w:shd w:val="clear" w:color="auto" w:fill="DDD9C3" w:themeFill="background2" w:themeFillShade="E6"/>
            <w:vAlign w:val="center"/>
            <w:hideMark/>
          </w:tcPr>
          <w:p w14:paraId="65870D6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7.489</w:t>
            </w:r>
          </w:p>
        </w:tc>
        <w:tc>
          <w:tcPr>
            <w:tcW w:w="350" w:type="pct"/>
            <w:shd w:val="clear" w:color="auto" w:fill="DDD9C3" w:themeFill="background2" w:themeFillShade="E6"/>
            <w:vAlign w:val="center"/>
            <w:hideMark/>
          </w:tcPr>
          <w:p w14:paraId="091B2CD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w:t>
            </w:r>
          </w:p>
        </w:tc>
        <w:tc>
          <w:tcPr>
            <w:tcW w:w="298" w:type="pct"/>
            <w:shd w:val="clear" w:color="auto" w:fill="DDD9C3" w:themeFill="background2" w:themeFillShade="E6"/>
            <w:vAlign w:val="center"/>
            <w:hideMark/>
          </w:tcPr>
          <w:p w14:paraId="72944C4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w:t>
            </w:r>
          </w:p>
        </w:tc>
        <w:tc>
          <w:tcPr>
            <w:tcW w:w="397" w:type="pct"/>
            <w:shd w:val="clear" w:color="auto" w:fill="DDD9C3" w:themeFill="background2" w:themeFillShade="E6"/>
            <w:vAlign w:val="center"/>
            <w:hideMark/>
          </w:tcPr>
          <w:p w14:paraId="3E3F62FD"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$274</w:t>
            </w:r>
          </w:p>
        </w:tc>
        <w:tc>
          <w:tcPr>
            <w:tcW w:w="355" w:type="pct"/>
            <w:shd w:val="clear" w:color="auto" w:fill="DDD9C3" w:themeFill="background2" w:themeFillShade="E6"/>
            <w:vAlign w:val="center"/>
            <w:hideMark/>
          </w:tcPr>
          <w:p w14:paraId="20C54F1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$274</w:t>
            </w:r>
          </w:p>
        </w:tc>
        <w:tc>
          <w:tcPr>
            <w:tcW w:w="431" w:type="pct"/>
            <w:shd w:val="clear" w:color="auto" w:fill="DDD9C3" w:themeFill="background2" w:themeFillShade="E6"/>
            <w:vAlign w:val="center"/>
            <w:hideMark/>
          </w:tcPr>
          <w:p w14:paraId="4C76F9C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7.489</w:t>
            </w:r>
          </w:p>
        </w:tc>
        <w:tc>
          <w:tcPr>
            <w:tcW w:w="384" w:type="pct"/>
            <w:shd w:val="clear" w:color="auto" w:fill="DDD9C3" w:themeFill="background2" w:themeFillShade="E6"/>
            <w:vAlign w:val="center"/>
            <w:hideMark/>
          </w:tcPr>
          <w:p w14:paraId="0B58D60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7.489</w:t>
            </w:r>
          </w:p>
        </w:tc>
        <w:tc>
          <w:tcPr>
            <w:tcW w:w="386" w:type="pct"/>
            <w:shd w:val="clear" w:color="auto" w:fill="DDD9C3" w:themeFill="background2" w:themeFillShade="E6"/>
            <w:vAlign w:val="center"/>
            <w:hideMark/>
          </w:tcPr>
          <w:p w14:paraId="6A18A89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$2.030</w:t>
            </w:r>
          </w:p>
        </w:tc>
      </w:tr>
      <w:tr w:rsidR="001A38D5" w:rsidRPr="00186A18" w14:paraId="594F2348" w14:textId="77777777" w:rsidTr="00A20990">
        <w:trPr>
          <w:trHeight w:val="20"/>
        </w:trPr>
        <w:tc>
          <w:tcPr>
            <w:tcW w:w="300" w:type="pct"/>
            <w:vMerge/>
            <w:shd w:val="clear" w:color="auto" w:fill="DDD9C3" w:themeFill="background2" w:themeFillShade="E6"/>
            <w:vAlign w:val="center"/>
            <w:hideMark/>
          </w:tcPr>
          <w:p w14:paraId="2F218618"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342211B9"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MOD1 049 DE 2020</w:t>
            </w:r>
          </w:p>
        </w:tc>
        <w:tc>
          <w:tcPr>
            <w:tcW w:w="999" w:type="pct"/>
            <w:shd w:val="clear" w:color="auto" w:fill="DDD9C3" w:themeFill="background2" w:themeFillShade="E6"/>
            <w:vAlign w:val="center"/>
            <w:hideMark/>
          </w:tcPr>
          <w:p w14:paraId="1A0EB93B"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JORNADA UNICA COMPLEMENTOS ALIMENTARIOS</w:t>
            </w:r>
          </w:p>
        </w:tc>
        <w:tc>
          <w:tcPr>
            <w:tcW w:w="350" w:type="pct"/>
            <w:shd w:val="clear" w:color="auto" w:fill="DDD9C3" w:themeFill="background2" w:themeFillShade="E6"/>
            <w:vAlign w:val="center"/>
            <w:hideMark/>
          </w:tcPr>
          <w:p w14:paraId="41E4C9CD"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33.823</w:t>
            </w:r>
          </w:p>
        </w:tc>
        <w:tc>
          <w:tcPr>
            <w:tcW w:w="350" w:type="pct"/>
            <w:shd w:val="clear" w:color="auto" w:fill="DDD9C3" w:themeFill="background2" w:themeFillShade="E6"/>
            <w:vAlign w:val="center"/>
            <w:hideMark/>
          </w:tcPr>
          <w:p w14:paraId="011E8E4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32.994</w:t>
            </w:r>
          </w:p>
        </w:tc>
        <w:tc>
          <w:tcPr>
            <w:tcW w:w="350" w:type="pct"/>
            <w:shd w:val="clear" w:color="auto" w:fill="DDD9C3" w:themeFill="background2" w:themeFillShade="E6"/>
            <w:vAlign w:val="center"/>
            <w:hideMark/>
          </w:tcPr>
          <w:p w14:paraId="0C43D96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w:t>
            </w:r>
          </w:p>
        </w:tc>
        <w:tc>
          <w:tcPr>
            <w:tcW w:w="298" w:type="pct"/>
            <w:shd w:val="clear" w:color="auto" w:fill="DDD9C3" w:themeFill="background2" w:themeFillShade="E6"/>
            <w:vAlign w:val="center"/>
            <w:hideMark/>
          </w:tcPr>
          <w:p w14:paraId="21F75DE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w:t>
            </w:r>
          </w:p>
        </w:tc>
        <w:tc>
          <w:tcPr>
            <w:tcW w:w="397" w:type="pct"/>
            <w:shd w:val="clear" w:color="auto" w:fill="DDD9C3" w:themeFill="background2" w:themeFillShade="E6"/>
            <w:vAlign w:val="center"/>
            <w:hideMark/>
          </w:tcPr>
          <w:p w14:paraId="29DAD32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$1.880</w:t>
            </w:r>
          </w:p>
        </w:tc>
        <w:tc>
          <w:tcPr>
            <w:tcW w:w="355" w:type="pct"/>
            <w:shd w:val="clear" w:color="auto" w:fill="DDD9C3" w:themeFill="background2" w:themeFillShade="E6"/>
            <w:vAlign w:val="center"/>
            <w:hideMark/>
          </w:tcPr>
          <w:p w14:paraId="4AE2778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$1.834</w:t>
            </w:r>
          </w:p>
        </w:tc>
        <w:tc>
          <w:tcPr>
            <w:tcW w:w="431" w:type="pct"/>
            <w:shd w:val="clear" w:color="auto" w:fill="DDD9C3" w:themeFill="background2" w:themeFillShade="E6"/>
            <w:vAlign w:val="center"/>
            <w:hideMark/>
          </w:tcPr>
          <w:p w14:paraId="6D0FA89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33.823</w:t>
            </w:r>
          </w:p>
        </w:tc>
        <w:tc>
          <w:tcPr>
            <w:tcW w:w="384" w:type="pct"/>
            <w:shd w:val="clear" w:color="auto" w:fill="DDD9C3" w:themeFill="background2" w:themeFillShade="E6"/>
            <w:vAlign w:val="center"/>
            <w:hideMark/>
          </w:tcPr>
          <w:p w14:paraId="0CC4138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32.994</w:t>
            </w:r>
          </w:p>
        </w:tc>
        <w:tc>
          <w:tcPr>
            <w:tcW w:w="386" w:type="pct"/>
            <w:shd w:val="clear" w:color="auto" w:fill="DDD9C3" w:themeFill="background2" w:themeFillShade="E6"/>
            <w:vAlign w:val="center"/>
            <w:hideMark/>
          </w:tcPr>
          <w:p w14:paraId="592E1E5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$55.588</w:t>
            </w:r>
          </w:p>
        </w:tc>
      </w:tr>
      <w:tr w:rsidR="001A38D5" w:rsidRPr="00186A18" w14:paraId="7F8C5F71" w14:textId="77777777" w:rsidTr="00A20990">
        <w:trPr>
          <w:trHeight w:val="20"/>
        </w:trPr>
        <w:tc>
          <w:tcPr>
            <w:tcW w:w="300" w:type="pct"/>
            <w:vMerge/>
            <w:shd w:val="clear" w:color="auto" w:fill="DDD9C3" w:themeFill="background2" w:themeFillShade="E6"/>
            <w:vAlign w:val="center"/>
            <w:hideMark/>
          </w:tcPr>
          <w:p w14:paraId="4C097106"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2141D44A"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MOD2 049 DE 2020</w:t>
            </w:r>
          </w:p>
        </w:tc>
        <w:tc>
          <w:tcPr>
            <w:tcW w:w="999" w:type="pct"/>
            <w:shd w:val="clear" w:color="auto" w:fill="DDD9C3" w:themeFill="background2" w:themeFillShade="E6"/>
            <w:vAlign w:val="center"/>
            <w:hideMark/>
          </w:tcPr>
          <w:p w14:paraId="7579DDF1"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JORNADA UNICA COMPLEMENTOS ALIMENTARIOS</w:t>
            </w:r>
          </w:p>
        </w:tc>
        <w:tc>
          <w:tcPr>
            <w:tcW w:w="350" w:type="pct"/>
            <w:shd w:val="clear" w:color="auto" w:fill="DDD9C3" w:themeFill="background2" w:themeFillShade="E6"/>
            <w:vAlign w:val="center"/>
            <w:hideMark/>
          </w:tcPr>
          <w:p w14:paraId="5F44563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47.157</w:t>
            </w:r>
          </w:p>
        </w:tc>
        <w:tc>
          <w:tcPr>
            <w:tcW w:w="350" w:type="pct"/>
            <w:shd w:val="clear" w:color="auto" w:fill="DDD9C3" w:themeFill="background2" w:themeFillShade="E6"/>
            <w:vAlign w:val="center"/>
            <w:hideMark/>
          </w:tcPr>
          <w:p w14:paraId="5BAB888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46.716</w:t>
            </w:r>
          </w:p>
        </w:tc>
        <w:tc>
          <w:tcPr>
            <w:tcW w:w="350" w:type="pct"/>
            <w:shd w:val="clear" w:color="auto" w:fill="DDD9C3" w:themeFill="background2" w:themeFillShade="E6"/>
            <w:vAlign w:val="center"/>
            <w:hideMark/>
          </w:tcPr>
          <w:p w14:paraId="5EA10D5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w:t>
            </w:r>
          </w:p>
        </w:tc>
        <w:tc>
          <w:tcPr>
            <w:tcW w:w="298" w:type="pct"/>
            <w:shd w:val="clear" w:color="auto" w:fill="DDD9C3" w:themeFill="background2" w:themeFillShade="E6"/>
            <w:vAlign w:val="center"/>
            <w:hideMark/>
          </w:tcPr>
          <w:p w14:paraId="63889C5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w:t>
            </w:r>
          </w:p>
        </w:tc>
        <w:tc>
          <w:tcPr>
            <w:tcW w:w="397" w:type="pct"/>
            <w:shd w:val="clear" w:color="auto" w:fill="DDD9C3" w:themeFill="background2" w:themeFillShade="E6"/>
            <w:vAlign w:val="center"/>
            <w:hideMark/>
          </w:tcPr>
          <w:p w14:paraId="0AE28D2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$2.580</w:t>
            </w:r>
          </w:p>
        </w:tc>
        <w:tc>
          <w:tcPr>
            <w:tcW w:w="355" w:type="pct"/>
            <w:shd w:val="clear" w:color="auto" w:fill="DDD9C3" w:themeFill="background2" w:themeFillShade="E6"/>
            <w:vAlign w:val="center"/>
            <w:hideMark/>
          </w:tcPr>
          <w:p w14:paraId="304CBE1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$2.556</w:t>
            </w:r>
          </w:p>
        </w:tc>
        <w:tc>
          <w:tcPr>
            <w:tcW w:w="431" w:type="pct"/>
            <w:shd w:val="clear" w:color="auto" w:fill="DDD9C3" w:themeFill="background2" w:themeFillShade="E6"/>
            <w:vAlign w:val="center"/>
            <w:hideMark/>
          </w:tcPr>
          <w:p w14:paraId="0B2584C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47.157</w:t>
            </w:r>
          </w:p>
        </w:tc>
        <w:tc>
          <w:tcPr>
            <w:tcW w:w="384" w:type="pct"/>
            <w:shd w:val="clear" w:color="auto" w:fill="DDD9C3" w:themeFill="background2" w:themeFillShade="E6"/>
            <w:vAlign w:val="center"/>
            <w:hideMark/>
          </w:tcPr>
          <w:p w14:paraId="3963628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46.716</w:t>
            </w:r>
          </w:p>
        </w:tc>
        <w:tc>
          <w:tcPr>
            <w:tcW w:w="386" w:type="pct"/>
            <w:shd w:val="clear" w:color="auto" w:fill="DDD9C3" w:themeFill="background2" w:themeFillShade="E6"/>
            <w:vAlign w:val="center"/>
            <w:hideMark/>
          </w:tcPr>
          <w:p w14:paraId="34C8345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$54.717</w:t>
            </w:r>
          </w:p>
        </w:tc>
      </w:tr>
      <w:tr w:rsidR="001A38D5" w:rsidRPr="00186A18" w14:paraId="40477962" w14:textId="77777777" w:rsidTr="00A20990">
        <w:trPr>
          <w:trHeight w:val="20"/>
        </w:trPr>
        <w:tc>
          <w:tcPr>
            <w:tcW w:w="300" w:type="pct"/>
            <w:vMerge/>
            <w:shd w:val="clear" w:color="auto" w:fill="DDD9C3" w:themeFill="background2" w:themeFillShade="E6"/>
            <w:vAlign w:val="center"/>
            <w:hideMark/>
          </w:tcPr>
          <w:p w14:paraId="47366597"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0CE42F4B"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594 DE 2020</w:t>
            </w:r>
          </w:p>
        </w:tc>
        <w:tc>
          <w:tcPr>
            <w:tcW w:w="999" w:type="pct"/>
            <w:shd w:val="clear" w:color="auto" w:fill="DDD9C3" w:themeFill="background2" w:themeFillShade="E6"/>
            <w:vAlign w:val="center"/>
            <w:hideMark/>
          </w:tcPr>
          <w:p w14:paraId="28F71721"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-REGULAR</w:t>
            </w:r>
          </w:p>
        </w:tc>
        <w:tc>
          <w:tcPr>
            <w:tcW w:w="350" w:type="pct"/>
            <w:shd w:val="clear" w:color="auto" w:fill="DDD9C3" w:themeFill="background2" w:themeFillShade="E6"/>
            <w:vAlign w:val="center"/>
            <w:hideMark/>
          </w:tcPr>
          <w:p w14:paraId="2A3F206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642.816</w:t>
            </w:r>
          </w:p>
        </w:tc>
        <w:tc>
          <w:tcPr>
            <w:tcW w:w="350" w:type="pct"/>
            <w:shd w:val="clear" w:color="auto" w:fill="DDD9C3" w:themeFill="background2" w:themeFillShade="E6"/>
            <w:vAlign w:val="center"/>
            <w:hideMark/>
          </w:tcPr>
          <w:p w14:paraId="52CA2FC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31</w:t>
            </w:r>
          </w:p>
        </w:tc>
        <w:tc>
          <w:tcPr>
            <w:tcW w:w="350" w:type="pct"/>
            <w:shd w:val="clear" w:color="auto" w:fill="DDD9C3" w:themeFill="background2" w:themeFillShade="E6"/>
            <w:vAlign w:val="center"/>
            <w:hideMark/>
          </w:tcPr>
          <w:p w14:paraId="3198FAB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144</w:t>
            </w:r>
          </w:p>
        </w:tc>
        <w:tc>
          <w:tcPr>
            <w:tcW w:w="298" w:type="pct"/>
            <w:shd w:val="clear" w:color="auto" w:fill="DDD9C3" w:themeFill="background2" w:themeFillShade="E6"/>
            <w:vAlign w:val="center"/>
            <w:hideMark/>
          </w:tcPr>
          <w:p w14:paraId="54D7AC4D"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74</w:t>
            </w:r>
          </w:p>
        </w:tc>
        <w:tc>
          <w:tcPr>
            <w:tcW w:w="397" w:type="pct"/>
            <w:shd w:val="clear" w:color="auto" w:fill="DDD9C3" w:themeFill="background2" w:themeFillShade="E6"/>
            <w:vAlign w:val="center"/>
            <w:hideMark/>
          </w:tcPr>
          <w:p w14:paraId="70F9F40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$6.215</w:t>
            </w:r>
          </w:p>
        </w:tc>
        <w:tc>
          <w:tcPr>
            <w:tcW w:w="355" w:type="pct"/>
            <w:shd w:val="clear" w:color="auto" w:fill="DDD9C3" w:themeFill="background2" w:themeFillShade="E6"/>
            <w:vAlign w:val="center"/>
            <w:hideMark/>
          </w:tcPr>
          <w:p w14:paraId="40141D5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$22</w:t>
            </w:r>
          </w:p>
        </w:tc>
        <w:tc>
          <w:tcPr>
            <w:tcW w:w="431" w:type="pct"/>
            <w:shd w:val="clear" w:color="auto" w:fill="DDD9C3" w:themeFill="background2" w:themeFillShade="E6"/>
            <w:vAlign w:val="center"/>
            <w:hideMark/>
          </w:tcPr>
          <w:p w14:paraId="5EB585A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4.464</w:t>
            </w:r>
          </w:p>
        </w:tc>
        <w:tc>
          <w:tcPr>
            <w:tcW w:w="384" w:type="pct"/>
            <w:shd w:val="clear" w:color="auto" w:fill="DDD9C3" w:themeFill="background2" w:themeFillShade="E6"/>
            <w:vAlign w:val="center"/>
            <w:hideMark/>
          </w:tcPr>
          <w:p w14:paraId="74D5B16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31</w:t>
            </w:r>
          </w:p>
        </w:tc>
        <w:tc>
          <w:tcPr>
            <w:tcW w:w="386" w:type="pct"/>
            <w:shd w:val="clear" w:color="auto" w:fill="DDD9C3" w:themeFill="background2" w:themeFillShade="E6"/>
            <w:vAlign w:val="center"/>
            <w:hideMark/>
          </w:tcPr>
          <w:p w14:paraId="4503DD2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$9.668</w:t>
            </w:r>
          </w:p>
        </w:tc>
      </w:tr>
      <w:tr w:rsidR="001A38D5" w:rsidRPr="00186A18" w14:paraId="60C9FA67" w14:textId="77777777" w:rsidTr="00A20990">
        <w:trPr>
          <w:trHeight w:val="20"/>
        </w:trPr>
        <w:tc>
          <w:tcPr>
            <w:tcW w:w="300" w:type="pct"/>
            <w:vMerge/>
            <w:shd w:val="clear" w:color="auto" w:fill="DDD9C3" w:themeFill="background2" w:themeFillShade="E6"/>
            <w:vAlign w:val="center"/>
            <w:hideMark/>
          </w:tcPr>
          <w:p w14:paraId="11086D23"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0B4F849A"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AD1 049 DE 2020</w:t>
            </w:r>
          </w:p>
        </w:tc>
        <w:tc>
          <w:tcPr>
            <w:tcW w:w="999" w:type="pct"/>
            <w:shd w:val="clear" w:color="auto" w:fill="DDD9C3" w:themeFill="background2" w:themeFillShade="E6"/>
            <w:vAlign w:val="center"/>
            <w:hideMark/>
          </w:tcPr>
          <w:p w14:paraId="049EB3DB"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JORNADA UNICA</w:t>
            </w:r>
          </w:p>
        </w:tc>
        <w:tc>
          <w:tcPr>
            <w:tcW w:w="350" w:type="pct"/>
            <w:shd w:val="clear" w:color="auto" w:fill="DDD9C3" w:themeFill="background2" w:themeFillShade="E6"/>
            <w:vAlign w:val="center"/>
            <w:hideMark/>
          </w:tcPr>
          <w:p w14:paraId="57669CF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47.155</w:t>
            </w:r>
          </w:p>
        </w:tc>
        <w:tc>
          <w:tcPr>
            <w:tcW w:w="350" w:type="pct"/>
            <w:shd w:val="clear" w:color="auto" w:fill="DDD9C3" w:themeFill="background2" w:themeFillShade="E6"/>
            <w:vAlign w:val="center"/>
            <w:hideMark/>
          </w:tcPr>
          <w:p w14:paraId="16A0A9B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46.429</w:t>
            </w:r>
          </w:p>
        </w:tc>
        <w:tc>
          <w:tcPr>
            <w:tcW w:w="350" w:type="pct"/>
            <w:shd w:val="clear" w:color="auto" w:fill="DDD9C3" w:themeFill="background2" w:themeFillShade="E6"/>
            <w:vAlign w:val="center"/>
            <w:hideMark/>
          </w:tcPr>
          <w:p w14:paraId="2C9BA03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w:t>
            </w:r>
          </w:p>
        </w:tc>
        <w:tc>
          <w:tcPr>
            <w:tcW w:w="298" w:type="pct"/>
            <w:shd w:val="clear" w:color="auto" w:fill="DDD9C3" w:themeFill="background2" w:themeFillShade="E6"/>
            <w:vAlign w:val="center"/>
            <w:hideMark/>
          </w:tcPr>
          <w:p w14:paraId="695ECD9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w:t>
            </w:r>
          </w:p>
        </w:tc>
        <w:tc>
          <w:tcPr>
            <w:tcW w:w="397" w:type="pct"/>
            <w:shd w:val="clear" w:color="auto" w:fill="DDD9C3" w:themeFill="background2" w:themeFillShade="E6"/>
            <w:vAlign w:val="center"/>
            <w:hideMark/>
          </w:tcPr>
          <w:p w14:paraId="7502627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$2.332</w:t>
            </w:r>
          </w:p>
        </w:tc>
        <w:tc>
          <w:tcPr>
            <w:tcW w:w="355" w:type="pct"/>
            <w:shd w:val="clear" w:color="auto" w:fill="DDD9C3" w:themeFill="background2" w:themeFillShade="E6"/>
            <w:vAlign w:val="center"/>
            <w:hideMark/>
          </w:tcPr>
          <w:p w14:paraId="7787463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$2.296</w:t>
            </w:r>
          </w:p>
        </w:tc>
        <w:tc>
          <w:tcPr>
            <w:tcW w:w="431" w:type="pct"/>
            <w:shd w:val="clear" w:color="auto" w:fill="DDD9C3" w:themeFill="background2" w:themeFillShade="E6"/>
            <w:vAlign w:val="center"/>
            <w:hideMark/>
          </w:tcPr>
          <w:p w14:paraId="1B9CA80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47.155</w:t>
            </w:r>
          </w:p>
        </w:tc>
        <w:tc>
          <w:tcPr>
            <w:tcW w:w="384" w:type="pct"/>
            <w:shd w:val="clear" w:color="auto" w:fill="DDD9C3" w:themeFill="background2" w:themeFillShade="E6"/>
            <w:vAlign w:val="center"/>
            <w:hideMark/>
          </w:tcPr>
          <w:p w14:paraId="63E719D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46.429</w:t>
            </w:r>
          </w:p>
        </w:tc>
        <w:tc>
          <w:tcPr>
            <w:tcW w:w="386" w:type="pct"/>
            <w:shd w:val="clear" w:color="auto" w:fill="DDD9C3" w:themeFill="background2" w:themeFillShade="E6"/>
            <w:vAlign w:val="center"/>
            <w:hideMark/>
          </w:tcPr>
          <w:p w14:paraId="33D72C4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$49.462</w:t>
            </w:r>
          </w:p>
        </w:tc>
      </w:tr>
      <w:tr w:rsidR="001A38D5" w:rsidRPr="00186A18" w14:paraId="79A67E1E" w14:textId="77777777" w:rsidTr="00A20990">
        <w:trPr>
          <w:trHeight w:val="20"/>
        </w:trPr>
        <w:tc>
          <w:tcPr>
            <w:tcW w:w="300" w:type="pct"/>
            <w:vMerge/>
            <w:shd w:val="clear" w:color="auto" w:fill="DDD9C3" w:themeFill="background2" w:themeFillShade="E6"/>
            <w:vAlign w:val="center"/>
            <w:hideMark/>
          </w:tcPr>
          <w:p w14:paraId="3F98291E"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4B6E4CB9"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AD2 049 DE 2020</w:t>
            </w:r>
          </w:p>
        </w:tc>
        <w:tc>
          <w:tcPr>
            <w:tcW w:w="999" w:type="pct"/>
            <w:shd w:val="clear" w:color="auto" w:fill="DDD9C3" w:themeFill="background2" w:themeFillShade="E6"/>
            <w:vAlign w:val="center"/>
            <w:hideMark/>
          </w:tcPr>
          <w:p w14:paraId="61823377"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JORNADA UNICA</w:t>
            </w:r>
          </w:p>
        </w:tc>
        <w:tc>
          <w:tcPr>
            <w:tcW w:w="350" w:type="pct"/>
            <w:shd w:val="clear" w:color="auto" w:fill="DDD9C3" w:themeFill="background2" w:themeFillShade="E6"/>
            <w:vAlign w:val="center"/>
            <w:hideMark/>
          </w:tcPr>
          <w:p w14:paraId="5AFD496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47.157</w:t>
            </w:r>
          </w:p>
        </w:tc>
        <w:tc>
          <w:tcPr>
            <w:tcW w:w="350" w:type="pct"/>
            <w:shd w:val="clear" w:color="auto" w:fill="DDD9C3" w:themeFill="background2" w:themeFillShade="E6"/>
            <w:vAlign w:val="center"/>
            <w:hideMark/>
          </w:tcPr>
          <w:p w14:paraId="41F5C0D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46.750</w:t>
            </w:r>
          </w:p>
        </w:tc>
        <w:tc>
          <w:tcPr>
            <w:tcW w:w="350" w:type="pct"/>
            <w:shd w:val="clear" w:color="auto" w:fill="DDD9C3" w:themeFill="background2" w:themeFillShade="E6"/>
            <w:vAlign w:val="center"/>
            <w:hideMark/>
          </w:tcPr>
          <w:p w14:paraId="0BF402CD"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w:t>
            </w:r>
          </w:p>
        </w:tc>
        <w:tc>
          <w:tcPr>
            <w:tcW w:w="298" w:type="pct"/>
            <w:shd w:val="clear" w:color="auto" w:fill="DDD9C3" w:themeFill="background2" w:themeFillShade="E6"/>
            <w:vAlign w:val="center"/>
            <w:hideMark/>
          </w:tcPr>
          <w:p w14:paraId="2B1C2E4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w:t>
            </w:r>
          </w:p>
        </w:tc>
        <w:tc>
          <w:tcPr>
            <w:tcW w:w="397" w:type="pct"/>
            <w:shd w:val="clear" w:color="auto" w:fill="DDD9C3" w:themeFill="background2" w:themeFillShade="E6"/>
            <w:vAlign w:val="center"/>
            <w:hideMark/>
          </w:tcPr>
          <w:p w14:paraId="7327BE9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$2.255</w:t>
            </w:r>
          </w:p>
        </w:tc>
        <w:tc>
          <w:tcPr>
            <w:tcW w:w="355" w:type="pct"/>
            <w:shd w:val="clear" w:color="auto" w:fill="DDD9C3" w:themeFill="background2" w:themeFillShade="E6"/>
            <w:vAlign w:val="center"/>
            <w:hideMark/>
          </w:tcPr>
          <w:p w14:paraId="56C7A98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$2.235</w:t>
            </w:r>
          </w:p>
        </w:tc>
        <w:tc>
          <w:tcPr>
            <w:tcW w:w="431" w:type="pct"/>
            <w:shd w:val="clear" w:color="auto" w:fill="DDD9C3" w:themeFill="background2" w:themeFillShade="E6"/>
            <w:vAlign w:val="center"/>
            <w:hideMark/>
          </w:tcPr>
          <w:p w14:paraId="44BF97D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47.157</w:t>
            </w:r>
          </w:p>
        </w:tc>
        <w:tc>
          <w:tcPr>
            <w:tcW w:w="384" w:type="pct"/>
            <w:shd w:val="clear" w:color="auto" w:fill="DDD9C3" w:themeFill="background2" w:themeFillShade="E6"/>
            <w:vAlign w:val="center"/>
            <w:hideMark/>
          </w:tcPr>
          <w:p w14:paraId="0531710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46.750</w:t>
            </w:r>
          </w:p>
        </w:tc>
        <w:tc>
          <w:tcPr>
            <w:tcW w:w="386" w:type="pct"/>
            <w:shd w:val="clear" w:color="auto" w:fill="DDD9C3" w:themeFill="background2" w:themeFillShade="E6"/>
            <w:vAlign w:val="center"/>
            <w:hideMark/>
          </w:tcPr>
          <w:p w14:paraId="54CA8D9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$47.814</w:t>
            </w:r>
          </w:p>
        </w:tc>
      </w:tr>
      <w:tr w:rsidR="001A38D5" w:rsidRPr="00186A18" w14:paraId="7BE59FD3" w14:textId="77777777" w:rsidTr="00A20990">
        <w:trPr>
          <w:trHeight w:val="20"/>
        </w:trPr>
        <w:tc>
          <w:tcPr>
            <w:tcW w:w="300" w:type="pct"/>
            <w:vMerge/>
            <w:shd w:val="clear" w:color="auto" w:fill="DDD9C3" w:themeFill="background2" w:themeFillShade="E6"/>
            <w:vAlign w:val="center"/>
            <w:hideMark/>
          </w:tcPr>
          <w:p w14:paraId="034141CF"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79864DE1"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1961 DE 2020</w:t>
            </w:r>
          </w:p>
        </w:tc>
        <w:tc>
          <w:tcPr>
            <w:tcW w:w="999" w:type="pct"/>
            <w:shd w:val="clear" w:color="auto" w:fill="DDD9C3" w:themeFill="background2" w:themeFillShade="E6"/>
            <w:vAlign w:val="center"/>
            <w:hideMark/>
          </w:tcPr>
          <w:p w14:paraId="3066ACF9"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JORNADA UNICA</w:t>
            </w:r>
          </w:p>
        </w:tc>
        <w:tc>
          <w:tcPr>
            <w:tcW w:w="350" w:type="pct"/>
            <w:shd w:val="clear" w:color="auto" w:fill="DDD9C3" w:themeFill="background2" w:themeFillShade="E6"/>
            <w:vAlign w:val="center"/>
            <w:hideMark/>
          </w:tcPr>
          <w:p w14:paraId="6E069D2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47.157</w:t>
            </w:r>
          </w:p>
        </w:tc>
        <w:tc>
          <w:tcPr>
            <w:tcW w:w="350" w:type="pct"/>
            <w:shd w:val="clear" w:color="auto" w:fill="DDD9C3" w:themeFill="background2" w:themeFillShade="E6"/>
            <w:vAlign w:val="center"/>
            <w:hideMark/>
          </w:tcPr>
          <w:p w14:paraId="0EC7D31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47.157</w:t>
            </w:r>
          </w:p>
        </w:tc>
        <w:tc>
          <w:tcPr>
            <w:tcW w:w="350" w:type="pct"/>
            <w:shd w:val="clear" w:color="auto" w:fill="DDD9C3" w:themeFill="background2" w:themeFillShade="E6"/>
            <w:vAlign w:val="center"/>
            <w:hideMark/>
          </w:tcPr>
          <w:p w14:paraId="22F8C3E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w:t>
            </w:r>
          </w:p>
        </w:tc>
        <w:tc>
          <w:tcPr>
            <w:tcW w:w="298" w:type="pct"/>
            <w:shd w:val="clear" w:color="auto" w:fill="DDD9C3" w:themeFill="background2" w:themeFillShade="E6"/>
            <w:vAlign w:val="center"/>
            <w:hideMark/>
          </w:tcPr>
          <w:p w14:paraId="3C7FA25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w:t>
            </w:r>
          </w:p>
        </w:tc>
        <w:tc>
          <w:tcPr>
            <w:tcW w:w="397" w:type="pct"/>
            <w:shd w:val="clear" w:color="auto" w:fill="DDD9C3" w:themeFill="background2" w:themeFillShade="E6"/>
            <w:vAlign w:val="center"/>
            <w:hideMark/>
          </w:tcPr>
          <w:p w14:paraId="078403B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$2.177</w:t>
            </w:r>
          </w:p>
        </w:tc>
        <w:tc>
          <w:tcPr>
            <w:tcW w:w="355" w:type="pct"/>
            <w:shd w:val="clear" w:color="auto" w:fill="DDD9C3" w:themeFill="background2" w:themeFillShade="E6"/>
            <w:vAlign w:val="center"/>
            <w:hideMark/>
          </w:tcPr>
          <w:p w14:paraId="6E8FD6C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$2.177</w:t>
            </w:r>
          </w:p>
        </w:tc>
        <w:tc>
          <w:tcPr>
            <w:tcW w:w="431" w:type="pct"/>
            <w:shd w:val="clear" w:color="auto" w:fill="DDD9C3" w:themeFill="background2" w:themeFillShade="E6"/>
            <w:vAlign w:val="center"/>
            <w:hideMark/>
          </w:tcPr>
          <w:p w14:paraId="1F2F72D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47.157</w:t>
            </w:r>
          </w:p>
        </w:tc>
        <w:tc>
          <w:tcPr>
            <w:tcW w:w="384" w:type="pct"/>
            <w:shd w:val="clear" w:color="auto" w:fill="DDD9C3" w:themeFill="background2" w:themeFillShade="E6"/>
            <w:vAlign w:val="center"/>
            <w:hideMark/>
          </w:tcPr>
          <w:p w14:paraId="7A54DD1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47.157</w:t>
            </w:r>
          </w:p>
        </w:tc>
        <w:tc>
          <w:tcPr>
            <w:tcW w:w="386" w:type="pct"/>
            <w:shd w:val="clear" w:color="auto" w:fill="DDD9C3" w:themeFill="background2" w:themeFillShade="E6"/>
            <w:vAlign w:val="center"/>
            <w:hideMark/>
          </w:tcPr>
          <w:p w14:paraId="24B2D6C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$46.160</w:t>
            </w:r>
          </w:p>
        </w:tc>
      </w:tr>
      <w:tr w:rsidR="001A38D5" w:rsidRPr="00186A18" w14:paraId="774EC17A" w14:textId="77777777" w:rsidTr="00A20990">
        <w:trPr>
          <w:trHeight w:val="20"/>
        </w:trPr>
        <w:tc>
          <w:tcPr>
            <w:tcW w:w="300" w:type="pct"/>
            <w:vMerge w:val="restart"/>
            <w:shd w:val="clear" w:color="auto" w:fill="auto"/>
            <w:vAlign w:val="center"/>
            <w:hideMark/>
          </w:tcPr>
          <w:p w14:paraId="3331493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2021</w:t>
            </w:r>
          </w:p>
        </w:tc>
        <w:tc>
          <w:tcPr>
            <w:tcW w:w="400" w:type="pct"/>
            <w:shd w:val="clear" w:color="auto" w:fill="auto"/>
            <w:vAlign w:val="center"/>
            <w:hideMark/>
          </w:tcPr>
          <w:p w14:paraId="04D22AEF"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2014 DE 2021</w:t>
            </w:r>
          </w:p>
        </w:tc>
        <w:tc>
          <w:tcPr>
            <w:tcW w:w="999" w:type="pct"/>
            <w:shd w:val="clear" w:color="auto" w:fill="auto"/>
            <w:vAlign w:val="center"/>
            <w:hideMark/>
          </w:tcPr>
          <w:p w14:paraId="0DC5BA8A"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BONO ALIMENTARIO</w:t>
            </w:r>
          </w:p>
        </w:tc>
        <w:tc>
          <w:tcPr>
            <w:tcW w:w="350" w:type="pct"/>
            <w:shd w:val="clear" w:color="auto" w:fill="auto"/>
            <w:vAlign w:val="center"/>
            <w:hideMark/>
          </w:tcPr>
          <w:p w14:paraId="7591FDF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112.867</w:t>
            </w:r>
          </w:p>
        </w:tc>
        <w:tc>
          <w:tcPr>
            <w:tcW w:w="350" w:type="pct"/>
            <w:shd w:val="clear" w:color="auto" w:fill="auto"/>
            <w:vAlign w:val="center"/>
            <w:hideMark/>
          </w:tcPr>
          <w:p w14:paraId="7CC8277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93.586</w:t>
            </w:r>
          </w:p>
        </w:tc>
        <w:tc>
          <w:tcPr>
            <w:tcW w:w="350" w:type="pct"/>
            <w:shd w:val="clear" w:color="auto" w:fill="auto"/>
            <w:vAlign w:val="center"/>
            <w:hideMark/>
          </w:tcPr>
          <w:p w14:paraId="25A0134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45</w:t>
            </w:r>
          </w:p>
        </w:tc>
        <w:tc>
          <w:tcPr>
            <w:tcW w:w="298" w:type="pct"/>
            <w:shd w:val="clear" w:color="auto" w:fill="auto"/>
            <w:vAlign w:val="center"/>
            <w:hideMark/>
          </w:tcPr>
          <w:p w14:paraId="091019B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45</w:t>
            </w:r>
          </w:p>
        </w:tc>
        <w:tc>
          <w:tcPr>
            <w:tcW w:w="397" w:type="pct"/>
            <w:shd w:val="clear" w:color="auto" w:fill="auto"/>
            <w:vAlign w:val="center"/>
            <w:hideMark/>
          </w:tcPr>
          <w:p w14:paraId="49B6EDD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$5.495</w:t>
            </w:r>
          </w:p>
        </w:tc>
        <w:tc>
          <w:tcPr>
            <w:tcW w:w="355" w:type="pct"/>
            <w:shd w:val="clear" w:color="auto" w:fill="auto"/>
            <w:vAlign w:val="center"/>
            <w:hideMark/>
          </w:tcPr>
          <w:p w14:paraId="09CF876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$4.556</w:t>
            </w:r>
          </w:p>
        </w:tc>
        <w:tc>
          <w:tcPr>
            <w:tcW w:w="431" w:type="pct"/>
            <w:shd w:val="clear" w:color="auto" w:fill="auto"/>
            <w:vAlign w:val="center"/>
            <w:hideMark/>
          </w:tcPr>
          <w:p w14:paraId="798A77F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2.508</w:t>
            </w:r>
          </w:p>
        </w:tc>
        <w:tc>
          <w:tcPr>
            <w:tcW w:w="384" w:type="pct"/>
            <w:shd w:val="clear" w:color="auto" w:fill="auto"/>
            <w:vAlign w:val="center"/>
            <w:hideMark/>
          </w:tcPr>
          <w:p w14:paraId="502A5BF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2.080</w:t>
            </w:r>
          </w:p>
        </w:tc>
        <w:tc>
          <w:tcPr>
            <w:tcW w:w="386" w:type="pct"/>
            <w:shd w:val="clear" w:color="auto" w:fill="auto"/>
            <w:vAlign w:val="center"/>
            <w:hideMark/>
          </w:tcPr>
          <w:p w14:paraId="0416BC9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$48.685</w:t>
            </w:r>
          </w:p>
        </w:tc>
      </w:tr>
      <w:tr w:rsidR="001A38D5" w:rsidRPr="00186A18" w14:paraId="46EEE473" w14:textId="77777777" w:rsidTr="00A20990">
        <w:trPr>
          <w:trHeight w:val="20"/>
        </w:trPr>
        <w:tc>
          <w:tcPr>
            <w:tcW w:w="300" w:type="pct"/>
            <w:vMerge/>
            <w:vAlign w:val="center"/>
            <w:hideMark/>
          </w:tcPr>
          <w:p w14:paraId="23615B7C"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auto"/>
            <w:vAlign w:val="center"/>
            <w:hideMark/>
          </w:tcPr>
          <w:p w14:paraId="68FF68C1"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1104 DE 2021</w:t>
            </w:r>
          </w:p>
        </w:tc>
        <w:tc>
          <w:tcPr>
            <w:tcW w:w="999" w:type="pct"/>
            <w:shd w:val="clear" w:color="auto" w:fill="auto"/>
            <w:vAlign w:val="center"/>
            <w:hideMark/>
          </w:tcPr>
          <w:p w14:paraId="2962A39C"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-JORNADA UNICA</w:t>
            </w:r>
          </w:p>
        </w:tc>
        <w:tc>
          <w:tcPr>
            <w:tcW w:w="350" w:type="pct"/>
            <w:shd w:val="clear" w:color="auto" w:fill="auto"/>
            <w:vAlign w:val="center"/>
            <w:hideMark/>
          </w:tcPr>
          <w:p w14:paraId="482B55F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3.813</w:t>
            </w:r>
          </w:p>
        </w:tc>
        <w:tc>
          <w:tcPr>
            <w:tcW w:w="350" w:type="pct"/>
            <w:shd w:val="clear" w:color="auto" w:fill="auto"/>
            <w:vAlign w:val="center"/>
            <w:hideMark/>
          </w:tcPr>
          <w:p w14:paraId="418CAFD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3.630</w:t>
            </w:r>
          </w:p>
        </w:tc>
        <w:tc>
          <w:tcPr>
            <w:tcW w:w="350" w:type="pct"/>
            <w:shd w:val="clear" w:color="auto" w:fill="auto"/>
            <w:vAlign w:val="center"/>
            <w:hideMark/>
          </w:tcPr>
          <w:p w14:paraId="4D432BF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123</w:t>
            </w:r>
          </w:p>
        </w:tc>
        <w:tc>
          <w:tcPr>
            <w:tcW w:w="298" w:type="pct"/>
            <w:shd w:val="clear" w:color="auto" w:fill="auto"/>
            <w:vAlign w:val="center"/>
            <w:hideMark/>
          </w:tcPr>
          <w:p w14:paraId="24FA808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121</w:t>
            </w:r>
          </w:p>
        </w:tc>
        <w:tc>
          <w:tcPr>
            <w:tcW w:w="397" w:type="pct"/>
            <w:shd w:val="clear" w:color="auto" w:fill="auto"/>
            <w:vAlign w:val="center"/>
            <w:hideMark/>
          </w:tcPr>
          <w:p w14:paraId="392217D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$39</w:t>
            </w:r>
          </w:p>
        </w:tc>
        <w:tc>
          <w:tcPr>
            <w:tcW w:w="355" w:type="pct"/>
            <w:shd w:val="clear" w:color="auto" w:fill="auto"/>
            <w:vAlign w:val="center"/>
            <w:hideMark/>
          </w:tcPr>
          <w:p w14:paraId="6BFA11B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$37</w:t>
            </w:r>
          </w:p>
        </w:tc>
        <w:tc>
          <w:tcPr>
            <w:tcW w:w="431" w:type="pct"/>
            <w:shd w:val="clear" w:color="auto" w:fill="auto"/>
            <w:vAlign w:val="center"/>
            <w:hideMark/>
          </w:tcPr>
          <w:p w14:paraId="7386553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31</w:t>
            </w:r>
          </w:p>
        </w:tc>
        <w:tc>
          <w:tcPr>
            <w:tcW w:w="384" w:type="pct"/>
            <w:shd w:val="clear" w:color="auto" w:fill="auto"/>
            <w:vAlign w:val="center"/>
            <w:hideMark/>
          </w:tcPr>
          <w:p w14:paraId="037F568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30</w:t>
            </w:r>
          </w:p>
        </w:tc>
        <w:tc>
          <w:tcPr>
            <w:tcW w:w="386" w:type="pct"/>
            <w:shd w:val="clear" w:color="auto" w:fill="auto"/>
            <w:vAlign w:val="center"/>
            <w:hideMark/>
          </w:tcPr>
          <w:p w14:paraId="47273A2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$10.174</w:t>
            </w:r>
          </w:p>
        </w:tc>
      </w:tr>
      <w:tr w:rsidR="001A38D5" w:rsidRPr="00186A18" w14:paraId="63D39A0C" w14:textId="77777777" w:rsidTr="00A20990">
        <w:trPr>
          <w:trHeight w:val="20"/>
        </w:trPr>
        <w:tc>
          <w:tcPr>
            <w:tcW w:w="300" w:type="pct"/>
            <w:vMerge/>
            <w:vAlign w:val="center"/>
            <w:hideMark/>
          </w:tcPr>
          <w:p w14:paraId="55BEFA66"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auto"/>
            <w:vAlign w:val="center"/>
            <w:hideMark/>
          </w:tcPr>
          <w:p w14:paraId="1A99071B"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1346 DE 2021</w:t>
            </w:r>
          </w:p>
        </w:tc>
        <w:tc>
          <w:tcPr>
            <w:tcW w:w="999" w:type="pct"/>
            <w:shd w:val="clear" w:color="auto" w:fill="auto"/>
            <w:vAlign w:val="center"/>
            <w:hideMark/>
          </w:tcPr>
          <w:p w14:paraId="7BB2476F"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BONO ALIMENTARIO</w:t>
            </w:r>
          </w:p>
        </w:tc>
        <w:tc>
          <w:tcPr>
            <w:tcW w:w="350" w:type="pct"/>
            <w:shd w:val="clear" w:color="auto" w:fill="auto"/>
            <w:vAlign w:val="center"/>
            <w:hideMark/>
          </w:tcPr>
          <w:p w14:paraId="016B691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119.836</w:t>
            </w:r>
          </w:p>
        </w:tc>
        <w:tc>
          <w:tcPr>
            <w:tcW w:w="350" w:type="pct"/>
            <w:shd w:val="clear" w:color="auto" w:fill="auto"/>
            <w:vAlign w:val="center"/>
            <w:hideMark/>
          </w:tcPr>
          <w:p w14:paraId="10AC0D5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93.240</w:t>
            </w:r>
          </w:p>
        </w:tc>
        <w:tc>
          <w:tcPr>
            <w:tcW w:w="350" w:type="pct"/>
            <w:shd w:val="clear" w:color="auto" w:fill="auto"/>
            <w:vAlign w:val="center"/>
            <w:hideMark/>
          </w:tcPr>
          <w:p w14:paraId="3388CF5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90</w:t>
            </w:r>
          </w:p>
        </w:tc>
        <w:tc>
          <w:tcPr>
            <w:tcW w:w="298" w:type="pct"/>
            <w:shd w:val="clear" w:color="auto" w:fill="auto"/>
            <w:vAlign w:val="center"/>
            <w:hideMark/>
          </w:tcPr>
          <w:p w14:paraId="228666C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70</w:t>
            </w:r>
          </w:p>
        </w:tc>
        <w:tc>
          <w:tcPr>
            <w:tcW w:w="397" w:type="pct"/>
            <w:shd w:val="clear" w:color="auto" w:fill="auto"/>
            <w:vAlign w:val="center"/>
            <w:hideMark/>
          </w:tcPr>
          <w:p w14:paraId="1921A44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$5.898</w:t>
            </w:r>
          </w:p>
        </w:tc>
        <w:tc>
          <w:tcPr>
            <w:tcW w:w="355" w:type="pct"/>
            <w:shd w:val="clear" w:color="auto" w:fill="auto"/>
            <w:vAlign w:val="center"/>
            <w:hideMark/>
          </w:tcPr>
          <w:p w14:paraId="3AA891B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$4.589</w:t>
            </w:r>
          </w:p>
        </w:tc>
        <w:tc>
          <w:tcPr>
            <w:tcW w:w="431" w:type="pct"/>
            <w:shd w:val="clear" w:color="auto" w:fill="auto"/>
            <w:vAlign w:val="center"/>
            <w:hideMark/>
          </w:tcPr>
          <w:p w14:paraId="6FEB387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1.332</w:t>
            </w:r>
          </w:p>
        </w:tc>
        <w:tc>
          <w:tcPr>
            <w:tcW w:w="384" w:type="pct"/>
            <w:shd w:val="clear" w:color="auto" w:fill="auto"/>
            <w:vAlign w:val="center"/>
            <w:hideMark/>
          </w:tcPr>
          <w:p w14:paraId="2DE11B1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1.332</w:t>
            </w:r>
          </w:p>
        </w:tc>
        <w:tc>
          <w:tcPr>
            <w:tcW w:w="386" w:type="pct"/>
            <w:shd w:val="clear" w:color="auto" w:fill="auto"/>
            <w:vAlign w:val="center"/>
            <w:hideMark/>
          </w:tcPr>
          <w:p w14:paraId="2FDA469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$49.220</w:t>
            </w:r>
          </w:p>
        </w:tc>
      </w:tr>
      <w:tr w:rsidR="001A38D5" w:rsidRPr="00186A18" w14:paraId="2FE0363E" w14:textId="77777777" w:rsidTr="00A20990">
        <w:trPr>
          <w:trHeight w:val="20"/>
        </w:trPr>
        <w:tc>
          <w:tcPr>
            <w:tcW w:w="300" w:type="pct"/>
            <w:vMerge/>
            <w:vAlign w:val="center"/>
            <w:hideMark/>
          </w:tcPr>
          <w:p w14:paraId="47C9B439"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auto"/>
            <w:vAlign w:val="center"/>
            <w:hideMark/>
          </w:tcPr>
          <w:p w14:paraId="2013BDD5"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939 DE 2021</w:t>
            </w:r>
          </w:p>
        </w:tc>
        <w:tc>
          <w:tcPr>
            <w:tcW w:w="999" w:type="pct"/>
            <w:shd w:val="clear" w:color="auto" w:fill="auto"/>
            <w:vAlign w:val="center"/>
            <w:hideMark/>
          </w:tcPr>
          <w:p w14:paraId="30666707"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BONO ALIMENTARIO</w:t>
            </w:r>
          </w:p>
        </w:tc>
        <w:tc>
          <w:tcPr>
            <w:tcW w:w="350" w:type="pct"/>
            <w:shd w:val="clear" w:color="auto" w:fill="auto"/>
            <w:vAlign w:val="center"/>
            <w:hideMark/>
          </w:tcPr>
          <w:p w14:paraId="638B386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104.409</w:t>
            </w:r>
          </w:p>
        </w:tc>
        <w:tc>
          <w:tcPr>
            <w:tcW w:w="350" w:type="pct"/>
            <w:shd w:val="clear" w:color="auto" w:fill="auto"/>
            <w:vAlign w:val="center"/>
            <w:hideMark/>
          </w:tcPr>
          <w:p w14:paraId="6F00B95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102.552</w:t>
            </w:r>
          </w:p>
        </w:tc>
        <w:tc>
          <w:tcPr>
            <w:tcW w:w="350" w:type="pct"/>
            <w:shd w:val="clear" w:color="auto" w:fill="auto"/>
            <w:vAlign w:val="center"/>
            <w:hideMark/>
          </w:tcPr>
          <w:p w14:paraId="09D30F3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73</w:t>
            </w:r>
          </w:p>
        </w:tc>
        <w:tc>
          <w:tcPr>
            <w:tcW w:w="298" w:type="pct"/>
            <w:shd w:val="clear" w:color="auto" w:fill="auto"/>
            <w:vAlign w:val="center"/>
            <w:hideMark/>
          </w:tcPr>
          <w:p w14:paraId="00FC0EF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73</w:t>
            </w:r>
          </w:p>
        </w:tc>
        <w:tc>
          <w:tcPr>
            <w:tcW w:w="397" w:type="pct"/>
            <w:shd w:val="clear" w:color="auto" w:fill="auto"/>
            <w:vAlign w:val="center"/>
            <w:hideMark/>
          </w:tcPr>
          <w:p w14:paraId="60D807D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$4.916</w:t>
            </w:r>
          </w:p>
        </w:tc>
        <w:tc>
          <w:tcPr>
            <w:tcW w:w="355" w:type="pct"/>
            <w:shd w:val="clear" w:color="auto" w:fill="auto"/>
            <w:vAlign w:val="center"/>
            <w:hideMark/>
          </w:tcPr>
          <w:p w14:paraId="5AB13CE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$4.828</w:t>
            </w:r>
          </w:p>
        </w:tc>
        <w:tc>
          <w:tcPr>
            <w:tcW w:w="431" w:type="pct"/>
            <w:shd w:val="clear" w:color="auto" w:fill="auto"/>
            <w:vAlign w:val="center"/>
            <w:hideMark/>
          </w:tcPr>
          <w:p w14:paraId="5C79B2D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1.430</w:t>
            </w:r>
          </w:p>
        </w:tc>
        <w:tc>
          <w:tcPr>
            <w:tcW w:w="384" w:type="pct"/>
            <w:shd w:val="clear" w:color="auto" w:fill="auto"/>
            <w:vAlign w:val="center"/>
            <w:hideMark/>
          </w:tcPr>
          <w:p w14:paraId="43CEF54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1.405</w:t>
            </w:r>
          </w:p>
        </w:tc>
        <w:tc>
          <w:tcPr>
            <w:tcW w:w="386" w:type="pct"/>
            <w:shd w:val="clear" w:color="auto" w:fill="auto"/>
            <w:vAlign w:val="center"/>
            <w:hideMark/>
          </w:tcPr>
          <w:p w14:paraId="75A401A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$47.080</w:t>
            </w:r>
          </w:p>
        </w:tc>
      </w:tr>
      <w:tr w:rsidR="001A38D5" w:rsidRPr="00186A18" w14:paraId="15B75F67" w14:textId="77777777" w:rsidTr="00A20990">
        <w:trPr>
          <w:trHeight w:val="20"/>
        </w:trPr>
        <w:tc>
          <w:tcPr>
            <w:tcW w:w="300" w:type="pct"/>
            <w:vMerge w:val="restart"/>
            <w:shd w:val="clear" w:color="auto" w:fill="DDD9C3" w:themeFill="background2" w:themeFillShade="E6"/>
            <w:vAlign w:val="center"/>
            <w:hideMark/>
          </w:tcPr>
          <w:p w14:paraId="478DA29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2022</w:t>
            </w:r>
          </w:p>
        </w:tc>
        <w:tc>
          <w:tcPr>
            <w:tcW w:w="400" w:type="pct"/>
            <w:shd w:val="clear" w:color="auto" w:fill="DDD9C3" w:themeFill="background2" w:themeFillShade="E6"/>
            <w:vAlign w:val="center"/>
            <w:hideMark/>
          </w:tcPr>
          <w:p w14:paraId="1FA3724B"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1719 DE 2022</w:t>
            </w:r>
          </w:p>
        </w:tc>
        <w:tc>
          <w:tcPr>
            <w:tcW w:w="999" w:type="pct"/>
            <w:shd w:val="clear" w:color="auto" w:fill="DDD9C3" w:themeFill="background2" w:themeFillShade="E6"/>
            <w:vAlign w:val="center"/>
            <w:hideMark/>
          </w:tcPr>
          <w:p w14:paraId="5C646F40"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REGULAR</w:t>
            </w:r>
          </w:p>
        </w:tc>
        <w:tc>
          <w:tcPr>
            <w:tcW w:w="350" w:type="pct"/>
            <w:shd w:val="clear" w:color="auto" w:fill="DDD9C3" w:themeFill="background2" w:themeFillShade="E6"/>
            <w:vAlign w:val="center"/>
            <w:hideMark/>
          </w:tcPr>
          <w:p w14:paraId="140CD97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1.641.710</w:t>
            </w:r>
          </w:p>
        </w:tc>
        <w:tc>
          <w:tcPr>
            <w:tcW w:w="350" w:type="pct"/>
            <w:shd w:val="clear" w:color="auto" w:fill="DDD9C3" w:themeFill="background2" w:themeFillShade="E6"/>
            <w:vAlign w:val="center"/>
            <w:hideMark/>
          </w:tcPr>
          <w:p w14:paraId="4BFEB32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1.641.710</w:t>
            </w:r>
          </w:p>
        </w:tc>
        <w:tc>
          <w:tcPr>
            <w:tcW w:w="350" w:type="pct"/>
            <w:shd w:val="clear" w:color="auto" w:fill="DDD9C3" w:themeFill="background2" w:themeFillShade="E6"/>
            <w:vAlign w:val="center"/>
            <w:hideMark/>
          </w:tcPr>
          <w:p w14:paraId="052C60C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35</w:t>
            </w:r>
          </w:p>
        </w:tc>
        <w:tc>
          <w:tcPr>
            <w:tcW w:w="298" w:type="pct"/>
            <w:shd w:val="clear" w:color="auto" w:fill="DDD9C3" w:themeFill="background2" w:themeFillShade="E6"/>
            <w:vAlign w:val="center"/>
            <w:hideMark/>
          </w:tcPr>
          <w:p w14:paraId="128951D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35</w:t>
            </w:r>
          </w:p>
        </w:tc>
        <w:tc>
          <w:tcPr>
            <w:tcW w:w="397" w:type="pct"/>
            <w:shd w:val="clear" w:color="auto" w:fill="DDD9C3" w:themeFill="background2" w:themeFillShade="E6"/>
            <w:vAlign w:val="center"/>
            <w:hideMark/>
          </w:tcPr>
          <w:p w14:paraId="39156AA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$4.104</w:t>
            </w:r>
          </w:p>
        </w:tc>
        <w:tc>
          <w:tcPr>
            <w:tcW w:w="355" w:type="pct"/>
            <w:shd w:val="clear" w:color="auto" w:fill="DDD9C3" w:themeFill="background2" w:themeFillShade="E6"/>
            <w:vAlign w:val="center"/>
            <w:hideMark/>
          </w:tcPr>
          <w:p w14:paraId="05A8DEA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$4.104</w:t>
            </w:r>
          </w:p>
        </w:tc>
        <w:tc>
          <w:tcPr>
            <w:tcW w:w="431" w:type="pct"/>
            <w:shd w:val="clear" w:color="auto" w:fill="DDD9C3" w:themeFill="background2" w:themeFillShade="E6"/>
            <w:vAlign w:val="center"/>
            <w:hideMark/>
          </w:tcPr>
          <w:p w14:paraId="3A71CA8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46.906</w:t>
            </w:r>
          </w:p>
        </w:tc>
        <w:tc>
          <w:tcPr>
            <w:tcW w:w="384" w:type="pct"/>
            <w:shd w:val="clear" w:color="auto" w:fill="DDD9C3" w:themeFill="background2" w:themeFillShade="E6"/>
            <w:vAlign w:val="center"/>
            <w:hideMark/>
          </w:tcPr>
          <w:p w14:paraId="3A72DF6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46.906</w:t>
            </w:r>
          </w:p>
        </w:tc>
        <w:tc>
          <w:tcPr>
            <w:tcW w:w="386" w:type="pct"/>
            <w:shd w:val="clear" w:color="auto" w:fill="DDD9C3" w:themeFill="background2" w:themeFillShade="E6"/>
            <w:vAlign w:val="center"/>
            <w:hideMark/>
          </w:tcPr>
          <w:p w14:paraId="63F0534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$2.500</w:t>
            </w:r>
          </w:p>
        </w:tc>
      </w:tr>
      <w:tr w:rsidR="001A38D5" w:rsidRPr="00186A18" w14:paraId="7CE88B03" w14:textId="77777777" w:rsidTr="00A20990">
        <w:trPr>
          <w:trHeight w:val="20"/>
        </w:trPr>
        <w:tc>
          <w:tcPr>
            <w:tcW w:w="300" w:type="pct"/>
            <w:vMerge/>
            <w:shd w:val="clear" w:color="auto" w:fill="DDD9C3" w:themeFill="background2" w:themeFillShade="E6"/>
            <w:vAlign w:val="center"/>
            <w:hideMark/>
          </w:tcPr>
          <w:p w14:paraId="36D3A405"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70483718"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1719 DE 2022</w:t>
            </w:r>
          </w:p>
        </w:tc>
        <w:tc>
          <w:tcPr>
            <w:tcW w:w="999" w:type="pct"/>
            <w:shd w:val="clear" w:color="auto" w:fill="DDD9C3" w:themeFill="background2" w:themeFillShade="E6"/>
            <w:vAlign w:val="center"/>
            <w:hideMark/>
          </w:tcPr>
          <w:p w14:paraId="1D768769"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-REGULAR</w:t>
            </w:r>
          </w:p>
        </w:tc>
        <w:tc>
          <w:tcPr>
            <w:tcW w:w="350" w:type="pct"/>
            <w:shd w:val="clear" w:color="auto" w:fill="DDD9C3" w:themeFill="background2" w:themeFillShade="E6"/>
            <w:vAlign w:val="center"/>
            <w:hideMark/>
          </w:tcPr>
          <w:p w14:paraId="67358C0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349.405</w:t>
            </w:r>
          </w:p>
        </w:tc>
        <w:tc>
          <w:tcPr>
            <w:tcW w:w="350" w:type="pct"/>
            <w:shd w:val="clear" w:color="auto" w:fill="DDD9C3" w:themeFill="background2" w:themeFillShade="E6"/>
            <w:vAlign w:val="center"/>
            <w:hideMark/>
          </w:tcPr>
          <w:p w14:paraId="0C48D96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349.405</w:t>
            </w:r>
          </w:p>
        </w:tc>
        <w:tc>
          <w:tcPr>
            <w:tcW w:w="350" w:type="pct"/>
            <w:shd w:val="clear" w:color="auto" w:fill="DDD9C3" w:themeFill="background2" w:themeFillShade="E6"/>
            <w:vAlign w:val="center"/>
            <w:hideMark/>
          </w:tcPr>
          <w:p w14:paraId="61CA2D5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35</w:t>
            </w:r>
          </w:p>
        </w:tc>
        <w:tc>
          <w:tcPr>
            <w:tcW w:w="298" w:type="pct"/>
            <w:shd w:val="clear" w:color="auto" w:fill="DDD9C3" w:themeFill="background2" w:themeFillShade="E6"/>
            <w:vAlign w:val="center"/>
            <w:hideMark/>
          </w:tcPr>
          <w:p w14:paraId="243A87C0"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35</w:t>
            </w:r>
          </w:p>
        </w:tc>
        <w:tc>
          <w:tcPr>
            <w:tcW w:w="397" w:type="pct"/>
            <w:shd w:val="clear" w:color="auto" w:fill="DDD9C3" w:themeFill="background2" w:themeFillShade="E6"/>
            <w:vAlign w:val="center"/>
            <w:hideMark/>
          </w:tcPr>
          <w:p w14:paraId="7476911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$1.278</w:t>
            </w:r>
          </w:p>
        </w:tc>
        <w:tc>
          <w:tcPr>
            <w:tcW w:w="355" w:type="pct"/>
            <w:shd w:val="clear" w:color="auto" w:fill="DDD9C3" w:themeFill="background2" w:themeFillShade="E6"/>
            <w:vAlign w:val="center"/>
            <w:hideMark/>
          </w:tcPr>
          <w:p w14:paraId="03A9E08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$1.278</w:t>
            </w:r>
          </w:p>
        </w:tc>
        <w:tc>
          <w:tcPr>
            <w:tcW w:w="431" w:type="pct"/>
            <w:shd w:val="clear" w:color="auto" w:fill="DDD9C3" w:themeFill="background2" w:themeFillShade="E6"/>
            <w:vAlign w:val="center"/>
            <w:hideMark/>
          </w:tcPr>
          <w:p w14:paraId="271655C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9.983</w:t>
            </w:r>
          </w:p>
        </w:tc>
        <w:tc>
          <w:tcPr>
            <w:tcW w:w="384" w:type="pct"/>
            <w:shd w:val="clear" w:color="auto" w:fill="DDD9C3" w:themeFill="background2" w:themeFillShade="E6"/>
            <w:vAlign w:val="center"/>
            <w:hideMark/>
          </w:tcPr>
          <w:p w14:paraId="1EE4C35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9.983</w:t>
            </w:r>
          </w:p>
        </w:tc>
        <w:tc>
          <w:tcPr>
            <w:tcW w:w="386" w:type="pct"/>
            <w:shd w:val="clear" w:color="auto" w:fill="DDD9C3" w:themeFill="background2" w:themeFillShade="E6"/>
            <w:vAlign w:val="center"/>
            <w:hideMark/>
          </w:tcPr>
          <w:p w14:paraId="49271F4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$3.657</w:t>
            </w:r>
          </w:p>
        </w:tc>
      </w:tr>
      <w:tr w:rsidR="001A38D5" w:rsidRPr="00186A18" w14:paraId="01DB3D8D" w14:textId="77777777" w:rsidTr="00A20990">
        <w:trPr>
          <w:trHeight w:val="20"/>
        </w:trPr>
        <w:tc>
          <w:tcPr>
            <w:tcW w:w="300" w:type="pct"/>
            <w:vMerge/>
            <w:shd w:val="clear" w:color="auto" w:fill="DDD9C3" w:themeFill="background2" w:themeFillShade="E6"/>
            <w:vAlign w:val="center"/>
            <w:hideMark/>
          </w:tcPr>
          <w:p w14:paraId="0029DB38"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60CBA0D3"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1739 DE 2022</w:t>
            </w:r>
          </w:p>
        </w:tc>
        <w:tc>
          <w:tcPr>
            <w:tcW w:w="999" w:type="pct"/>
            <w:shd w:val="clear" w:color="auto" w:fill="DDD9C3" w:themeFill="background2" w:themeFillShade="E6"/>
            <w:vAlign w:val="center"/>
            <w:hideMark/>
          </w:tcPr>
          <w:p w14:paraId="7EE5A24E"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REGULAR</w:t>
            </w:r>
          </w:p>
        </w:tc>
        <w:tc>
          <w:tcPr>
            <w:tcW w:w="350" w:type="pct"/>
            <w:shd w:val="clear" w:color="auto" w:fill="DDD9C3" w:themeFill="background2" w:themeFillShade="E6"/>
            <w:vAlign w:val="center"/>
            <w:hideMark/>
          </w:tcPr>
          <w:p w14:paraId="4A9088E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1.351.224</w:t>
            </w:r>
          </w:p>
        </w:tc>
        <w:tc>
          <w:tcPr>
            <w:tcW w:w="350" w:type="pct"/>
            <w:shd w:val="clear" w:color="auto" w:fill="DDD9C3" w:themeFill="background2" w:themeFillShade="E6"/>
            <w:vAlign w:val="center"/>
            <w:hideMark/>
          </w:tcPr>
          <w:p w14:paraId="25E064B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1.348.763</w:t>
            </w:r>
          </w:p>
        </w:tc>
        <w:tc>
          <w:tcPr>
            <w:tcW w:w="350" w:type="pct"/>
            <w:shd w:val="clear" w:color="auto" w:fill="DDD9C3" w:themeFill="background2" w:themeFillShade="E6"/>
            <w:vAlign w:val="center"/>
            <w:hideMark/>
          </w:tcPr>
          <w:p w14:paraId="2C84FB8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28</w:t>
            </w:r>
          </w:p>
        </w:tc>
        <w:tc>
          <w:tcPr>
            <w:tcW w:w="298" w:type="pct"/>
            <w:shd w:val="clear" w:color="auto" w:fill="DDD9C3" w:themeFill="background2" w:themeFillShade="E6"/>
            <w:vAlign w:val="center"/>
            <w:hideMark/>
          </w:tcPr>
          <w:p w14:paraId="04B145B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28</w:t>
            </w:r>
          </w:p>
        </w:tc>
        <w:tc>
          <w:tcPr>
            <w:tcW w:w="397" w:type="pct"/>
            <w:shd w:val="clear" w:color="auto" w:fill="DDD9C3" w:themeFill="background2" w:themeFillShade="E6"/>
            <w:vAlign w:val="center"/>
            <w:hideMark/>
          </w:tcPr>
          <w:p w14:paraId="1FCCBD7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$4.017</w:t>
            </w:r>
          </w:p>
        </w:tc>
        <w:tc>
          <w:tcPr>
            <w:tcW w:w="355" w:type="pct"/>
            <w:shd w:val="clear" w:color="auto" w:fill="DDD9C3" w:themeFill="background2" w:themeFillShade="E6"/>
            <w:vAlign w:val="center"/>
            <w:hideMark/>
          </w:tcPr>
          <w:p w14:paraId="0C8CA63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$4.013</w:t>
            </w:r>
          </w:p>
        </w:tc>
        <w:tc>
          <w:tcPr>
            <w:tcW w:w="431" w:type="pct"/>
            <w:shd w:val="clear" w:color="auto" w:fill="DDD9C3" w:themeFill="background2" w:themeFillShade="E6"/>
            <w:vAlign w:val="center"/>
            <w:hideMark/>
          </w:tcPr>
          <w:p w14:paraId="0AD06F3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48.258</w:t>
            </w:r>
          </w:p>
        </w:tc>
        <w:tc>
          <w:tcPr>
            <w:tcW w:w="384" w:type="pct"/>
            <w:shd w:val="clear" w:color="auto" w:fill="DDD9C3" w:themeFill="background2" w:themeFillShade="E6"/>
            <w:vAlign w:val="center"/>
            <w:hideMark/>
          </w:tcPr>
          <w:p w14:paraId="7948049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48.170</w:t>
            </w:r>
          </w:p>
        </w:tc>
        <w:tc>
          <w:tcPr>
            <w:tcW w:w="386" w:type="pct"/>
            <w:shd w:val="clear" w:color="auto" w:fill="DDD9C3" w:themeFill="background2" w:themeFillShade="E6"/>
            <w:vAlign w:val="center"/>
            <w:hideMark/>
          </w:tcPr>
          <w:p w14:paraId="5AE4429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$2.973</w:t>
            </w:r>
          </w:p>
        </w:tc>
      </w:tr>
      <w:tr w:rsidR="001A38D5" w:rsidRPr="00186A18" w14:paraId="571C2944" w14:textId="77777777" w:rsidTr="00A20990">
        <w:trPr>
          <w:trHeight w:val="20"/>
        </w:trPr>
        <w:tc>
          <w:tcPr>
            <w:tcW w:w="300" w:type="pct"/>
            <w:vMerge/>
            <w:shd w:val="clear" w:color="auto" w:fill="DDD9C3" w:themeFill="background2" w:themeFillShade="E6"/>
            <w:vAlign w:val="center"/>
            <w:hideMark/>
          </w:tcPr>
          <w:p w14:paraId="52D50185"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50A8271B"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1739 DE 2022</w:t>
            </w:r>
          </w:p>
        </w:tc>
        <w:tc>
          <w:tcPr>
            <w:tcW w:w="999" w:type="pct"/>
            <w:shd w:val="clear" w:color="auto" w:fill="DDD9C3" w:themeFill="background2" w:themeFillShade="E6"/>
            <w:vAlign w:val="center"/>
            <w:hideMark/>
          </w:tcPr>
          <w:p w14:paraId="5DF114D8"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-REGULAR</w:t>
            </w:r>
          </w:p>
        </w:tc>
        <w:tc>
          <w:tcPr>
            <w:tcW w:w="350" w:type="pct"/>
            <w:shd w:val="clear" w:color="auto" w:fill="DDD9C3" w:themeFill="background2" w:themeFillShade="E6"/>
            <w:vAlign w:val="center"/>
            <w:hideMark/>
          </w:tcPr>
          <w:p w14:paraId="04B97ABD"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244.328</w:t>
            </w:r>
          </w:p>
        </w:tc>
        <w:tc>
          <w:tcPr>
            <w:tcW w:w="350" w:type="pct"/>
            <w:shd w:val="clear" w:color="auto" w:fill="DDD9C3" w:themeFill="background2" w:themeFillShade="E6"/>
            <w:vAlign w:val="center"/>
            <w:hideMark/>
          </w:tcPr>
          <w:p w14:paraId="5AA6571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209.976</w:t>
            </w:r>
          </w:p>
        </w:tc>
        <w:tc>
          <w:tcPr>
            <w:tcW w:w="350" w:type="pct"/>
            <w:shd w:val="clear" w:color="auto" w:fill="DDD9C3" w:themeFill="background2" w:themeFillShade="E6"/>
            <w:vAlign w:val="center"/>
            <w:hideMark/>
          </w:tcPr>
          <w:p w14:paraId="3A67CA3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28</w:t>
            </w:r>
          </w:p>
        </w:tc>
        <w:tc>
          <w:tcPr>
            <w:tcW w:w="298" w:type="pct"/>
            <w:shd w:val="clear" w:color="auto" w:fill="DDD9C3" w:themeFill="background2" w:themeFillShade="E6"/>
            <w:vAlign w:val="center"/>
            <w:hideMark/>
          </w:tcPr>
          <w:p w14:paraId="3AC4CCE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28</w:t>
            </w:r>
          </w:p>
        </w:tc>
        <w:tc>
          <w:tcPr>
            <w:tcW w:w="397" w:type="pct"/>
            <w:shd w:val="clear" w:color="auto" w:fill="DDD9C3" w:themeFill="background2" w:themeFillShade="E6"/>
            <w:vAlign w:val="center"/>
            <w:hideMark/>
          </w:tcPr>
          <w:p w14:paraId="2AF4E97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$1.273</w:t>
            </w:r>
          </w:p>
        </w:tc>
        <w:tc>
          <w:tcPr>
            <w:tcW w:w="355" w:type="pct"/>
            <w:shd w:val="clear" w:color="auto" w:fill="DDD9C3" w:themeFill="background2" w:themeFillShade="E6"/>
            <w:vAlign w:val="center"/>
            <w:hideMark/>
          </w:tcPr>
          <w:p w14:paraId="10AC911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$1.091</w:t>
            </w:r>
          </w:p>
        </w:tc>
        <w:tc>
          <w:tcPr>
            <w:tcW w:w="431" w:type="pct"/>
            <w:shd w:val="clear" w:color="auto" w:fill="DDD9C3" w:themeFill="background2" w:themeFillShade="E6"/>
            <w:vAlign w:val="center"/>
            <w:hideMark/>
          </w:tcPr>
          <w:p w14:paraId="474798B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8.726</w:t>
            </w:r>
          </w:p>
        </w:tc>
        <w:tc>
          <w:tcPr>
            <w:tcW w:w="384" w:type="pct"/>
            <w:shd w:val="clear" w:color="auto" w:fill="DDD9C3" w:themeFill="background2" w:themeFillShade="E6"/>
            <w:vAlign w:val="center"/>
            <w:hideMark/>
          </w:tcPr>
          <w:p w14:paraId="20BA918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7.499</w:t>
            </w:r>
          </w:p>
        </w:tc>
        <w:tc>
          <w:tcPr>
            <w:tcW w:w="386" w:type="pct"/>
            <w:shd w:val="clear" w:color="auto" w:fill="DDD9C3" w:themeFill="background2" w:themeFillShade="E6"/>
            <w:vAlign w:val="center"/>
            <w:hideMark/>
          </w:tcPr>
          <w:p w14:paraId="306CC05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$5.209</w:t>
            </w:r>
          </w:p>
        </w:tc>
      </w:tr>
      <w:tr w:rsidR="001A38D5" w:rsidRPr="00186A18" w14:paraId="197B3F4A" w14:textId="77777777" w:rsidTr="00A20990">
        <w:trPr>
          <w:trHeight w:val="20"/>
        </w:trPr>
        <w:tc>
          <w:tcPr>
            <w:tcW w:w="300" w:type="pct"/>
            <w:vMerge/>
            <w:shd w:val="clear" w:color="auto" w:fill="DDD9C3" w:themeFill="background2" w:themeFillShade="E6"/>
            <w:vAlign w:val="center"/>
            <w:hideMark/>
          </w:tcPr>
          <w:p w14:paraId="6E67F71B"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257FCC1C"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1932 DE 2022</w:t>
            </w:r>
          </w:p>
        </w:tc>
        <w:tc>
          <w:tcPr>
            <w:tcW w:w="999" w:type="pct"/>
            <w:shd w:val="clear" w:color="auto" w:fill="DDD9C3" w:themeFill="background2" w:themeFillShade="E6"/>
            <w:vAlign w:val="center"/>
            <w:hideMark/>
          </w:tcPr>
          <w:p w14:paraId="32C6070B"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-REGULAR</w:t>
            </w:r>
          </w:p>
        </w:tc>
        <w:tc>
          <w:tcPr>
            <w:tcW w:w="350" w:type="pct"/>
            <w:shd w:val="clear" w:color="auto" w:fill="DDD9C3" w:themeFill="background2" w:themeFillShade="E6"/>
            <w:vAlign w:val="center"/>
            <w:hideMark/>
          </w:tcPr>
          <w:p w14:paraId="720905A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2.475</w:t>
            </w:r>
          </w:p>
        </w:tc>
        <w:tc>
          <w:tcPr>
            <w:tcW w:w="350" w:type="pct"/>
            <w:shd w:val="clear" w:color="auto" w:fill="DDD9C3" w:themeFill="background2" w:themeFillShade="E6"/>
            <w:vAlign w:val="center"/>
            <w:hideMark/>
          </w:tcPr>
          <w:p w14:paraId="5F2B2E5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2.475</w:t>
            </w:r>
          </w:p>
        </w:tc>
        <w:tc>
          <w:tcPr>
            <w:tcW w:w="350" w:type="pct"/>
            <w:shd w:val="clear" w:color="auto" w:fill="DDD9C3" w:themeFill="background2" w:themeFillShade="E6"/>
            <w:vAlign w:val="center"/>
            <w:hideMark/>
          </w:tcPr>
          <w:p w14:paraId="169D828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75</w:t>
            </w:r>
          </w:p>
        </w:tc>
        <w:tc>
          <w:tcPr>
            <w:tcW w:w="298" w:type="pct"/>
            <w:shd w:val="clear" w:color="auto" w:fill="DDD9C3" w:themeFill="background2" w:themeFillShade="E6"/>
            <w:vAlign w:val="center"/>
            <w:hideMark/>
          </w:tcPr>
          <w:p w14:paraId="33A4E3A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75</w:t>
            </w:r>
          </w:p>
        </w:tc>
        <w:tc>
          <w:tcPr>
            <w:tcW w:w="397" w:type="pct"/>
            <w:shd w:val="clear" w:color="auto" w:fill="DDD9C3" w:themeFill="background2" w:themeFillShade="E6"/>
            <w:vAlign w:val="center"/>
            <w:hideMark/>
          </w:tcPr>
          <w:p w14:paraId="57BE9ED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$35</w:t>
            </w:r>
          </w:p>
        </w:tc>
        <w:tc>
          <w:tcPr>
            <w:tcW w:w="355" w:type="pct"/>
            <w:shd w:val="clear" w:color="auto" w:fill="DDD9C3" w:themeFill="background2" w:themeFillShade="E6"/>
            <w:vAlign w:val="center"/>
            <w:hideMark/>
          </w:tcPr>
          <w:p w14:paraId="46E06CC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$35</w:t>
            </w:r>
          </w:p>
        </w:tc>
        <w:tc>
          <w:tcPr>
            <w:tcW w:w="431" w:type="pct"/>
            <w:shd w:val="clear" w:color="auto" w:fill="DDD9C3" w:themeFill="background2" w:themeFillShade="E6"/>
            <w:vAlign w:val="center"/>
            <w:hideMark/>
          </w:tcPr>
          <w:p w14:paraId="2ABA03D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33</w:t>
            </w:r>
          </w:p>
        </w:tc>
        <w:tc>
          <w:tcPr>
            <w:tcW w:w="384" w:type="pct"/>
            <w:shd w:val="clear" w:color="auto" w:fill="DDD9C3" w:themeFill="background2" w:themeFillShade="E6"/>
            <w:vAlign w:val="center"/>
            <w:hideMark/>
          </w:tcPr>
          <w:p w14:paraId="3D32C22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33</w:t>
            </w:r>
          </w:p>
        </w:tc>
        <w:tc>
          <w:tcPr>
            <w:tcW w:w="386" w:type="pct"/>
            <w:shd w:val="clear" w:color="auto" w:fill="DDD9C3" w:themeFill="background2" w:themeFillShade="E6"/>
            <w:vAlign w:val="center"/>
            <w:hideMark/>
          </w:tcPr>
          <w:p w14:paraId="5F4FF51D"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$13.954</w:t>
            </w:r>
          </w:p>
        </w:tc>
      </w:tr>
      <w:tr w:rsidR="001A38D5" w:rsidRPr="00186A18" w14:paraId="4A7ED9AC" w14:textId="77777777" w:rsidTr="00A20990">
        <w:trPr>
          <w:trHeight w:val="20"/>
        </w:trPr>
        <w:tc>
          <w:tcPr>
            <w:tcW w:w="300" w:type="pct"/>
            <w:vMerge/>
            <w:shd w:val="clear" w:color="auto" w:fill="DDD9C3" w:themeFill="background2" w:themeFillShade="E6"/>
            <w:vAlign w:val="center"/>
            <w:hideMark/>
          </w:tcPr>
          <w:p w14:paraId="2837C6FC"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7ED987DC"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1825 DE 2022</w:t>
            </w:r>
          </w:p>
        </w:tc>
        <w:tc>
          <w:tcPr>
            <w:tcW w:w="999" w:type="pct"/>
            <w:shd w:val="clear" w:color="auto" w:fill="DDD9C3" w:themeFill="background2" w:themeFillShade="E6"/>
            <w:vAlign w:val="center"/>
            <w:hideMark/>
          </w:tcPr>
          <w:p w14:paraId="7A3E0CB6"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REGULAR</w:t>
            </w:r>
          </w:p>
        </w:tc>
        <w:tc>
          <w:tcPr>
            <w:tcW w:w="350" w:type="pct"/>
            <w:shd w:val="clear" w:color="auto" w:fill="DDD9C3" w:themeFill="background2" w:themeFillShade="E6"/>
            <w:vAlign w:val="center"/>
            <w:hideMark/>
          </w:tcPr>
          <w:p w14:paraId="397AA3D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1.882.062</w:t>
            </w:r>
          </w:p>
        </w:tc>
        <w:tc>
          <w:tcPr>
            <w:tcW w:w="350" w:type="pct"/>
            <w:shd w:val="clear" w:color="auto" w:fill="DDD9C3" w:themeFill="background2" w:themeFillShade="E6"/>
            <w:vAlign w:val="center"/>
            <w:hideMark/>
          </w:tcPr>
          <w:p w14:paraId="30EB72F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1.882.062</w:t>
            </w:r>
          </w:p>
        </w:tc>
        <w:tc>
          <w:tcPr>
            <w:tcW w:w="350" w:type="pct"/>
            <w:shd w:val="clear" w:color="auto" w:fill="DDD9C3" w:themeFill="background2" w:themeFillShade="E6"/>
            <w:vAlign w:val="center"/>
            <w:hideMark/>
          </w:tcPr>
          <w:p w14:paraId="53A5AEF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39</w:t>
            </w:r>
          </w:p>
        </w:tc>
        <w:tc>
          <w:tcPr>
            <w:tcW w:w="298" w:type="pct"/>
            <w:shd w:val="clear" w:color="auto" w:fill="DDD9C3" w:themeFill="background2" w:themeFillShade="E6"/>
            <w:vAlign w:val="center"/>
            <w:hideMark/>
          </w:tcPr>
          <w:p w14:paraId="1635252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39</w:t>
            </w:r>
          </w:p>
        </w:tc>
        <w:tc>
          <w:tcPr>
            <w:tcW w:w="397" w:type="pct"/>
            <w:shd w:val="clear" w:color="auto" w:fill="DDD9C3" w:themeFill="background2" w:themeFillShade="E6"/>
            <w:vAlign w:val="center"/>
            <w:hideMark/>
          </w:tcPr>
          <w:p w14:paraId="0FDEF53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$5.593</w:t>
            </w:r>
          </w:p>
        </w:tc>
        <w:tc>
          <w:tcPr>
            <w:tcW w:w="355" w:type="pct"/>
            <w:shd w:val="clear" w:color="auto" w:fill="DDD9C3" w:themeFill="background2" w:themeFillShade="E6"/>
            <w:vAlign w:val="center"/>
            <w:hideMark/>
          </w:tcPr>
          <w:p w14:paraId="7772846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$5.593</w:t>
            </w:r>
          </w:p>
        </w:tc>
        <w:tc>
          <w:tcPr>
            <w:tcW w:w="431" w:type="pct"/>
            <w:shd w:val="clear" w:color="auto" w:fill="DDD9C3" w:themeFill="background2" w:themeFillShade="E6"/>
            <w:vAlign w:val="center"/>
            <w:hideMark/>
          </w:tcPr>
          <w:p w14:paraId="7F4EC83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48.258</w:t>
            </w:r>
          </w:p>
        </w:tc>
        <w:tc>
          <w:tcPr>
            <w:tcW w:w="384" w:type="pct"/>
            <w:shd w:val="clear" w:color="auto" w:fill="DDD9C3" w:themeFill="background2" w:themeFillShade="E6"/>
            <w:vAlign w:val="center"/>
            <w:hideMark/>
          </w:tcPr>
          <w:p w14:paraId="0C650EE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48.258</w:t>
            </w:r>
          </w:p>
        </w:tc>
        <w:tc>
          <w:tcPr>
            <w:tcW w:w="386" w:type="pct"/>
            <w:shd w:val="clear" w:color="auto" w:fill="DDD9C3" w:themeFill="background2" w:themeFillShade="E6"/>
            <w:vAlign w:val="center"/>
            <w:hideMark/>
          </w:tcPr>
          <w:p w14:paraId="1BF96AB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$2.972</w:t>
            </w:r>
          </w:p>
        </w:tc>
      </w:tr>
      <w:tr w:rsidR="001A38D5" w:rsidRPr="00186A18" w14:paraId="31AFCC19" w14:textId="77777777" w:rsidTr="00A20990">
        <w:trPr>
          <w:trHeight w:val="20"/>
        </w:trPr>
        <w:tc>
          <w:tcPr>
            <w:tcW w:w="300" w:type="pct"/>
            <w:vMerge/>
            <w:shd w:val="clear" w:color="auto" w:fill="DDD9C3" w:themeFill="background2" w:themeFillShade="E6"/>
            <w:vAlign w:val="center"/>
            <w:hideMark/>
          </w:tcPr>
          <w:p w14:paraId="7F717F5C"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402FF17F"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1825 DE 2022</w:t>
            </w:r>
          </w:p>
        </w:tc>
        <w:tc>
          <w:tcPr>
            <w:tcW w:w="999" w:type="pct"/>
            <w:shd w:val="clear" w:color="auto" w:fill="DDD9C3" w:themeFill="background2" w:themeFillShade="E6"/>
            <w:vAlign w:val="center"/>
            <w:hideMark/>
          </w:tcPr>
          <w:p w14:paraId="0A505F65"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-REGULAR</w:t>
            </w:r>
          </w:p>
        </w:tc>
        <w:tc>
          <w:tcPr>
            <w:tcW w:w="350" w:type="pct"/>
            <w:shd w:val="clear" w:color="auto" w:fill="DDD9C3" w:themeFill="background2" w:themeFillShade="E6"/>
            <w:vAlign w:val="center"/>
            <w:hideMark/>
          </w:tcPr>
          <w:p w14:paraId="4868596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340.314</w:t>
            </w:r>
          </w:p>
        </w:tc>
        <w:tc>
          <w:tcPr>
            <w:tcW w:w="350" w:type="pct"/>
            <w:shd w:val="clear" w:color="auto" w:fill="DDD9C3" w:themeFill="background2" w:themeFillShade="E6"/>
            <w:vAlign w:val="center"/>
            <w:hideMark/>
          </w:tcPr>
          <w:p w14:paraId="663A37E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340.314</w:t>
            </w:r>
          </w:p>
        </w:tc>
        <w:tc>
          <w:tcPr>
            <w:tcW w:w="350" w:type="pct"/>
            <w:shd w:val="clear" w:color="auto" w:fill="DDD9C3" w:themeFill="background2" w:themeFillShade="E6"/>
            <w:vAlign w:val="center"/>
            <w:hideMark/>
          </w:tcPr>
          <w:p w14:paraId="627F8C4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39</w:t>
            </w:r>
          </w:p>
        </w:tc>
        <w:tc>
          <w:tcPr>
            <w:tcW w:w="298" w:type="pct"/>
            <w:shd w:val="clear" w:color="auto" w:fill="DDD9C3" w:themeFill="background2" w:themeFillShade="E6"/>
            <w:vAlign w:val="center"/>
            <w:hideMark/>
          </w:tcPr>
          <w:p w14:paraId="5236820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39</w:t>
            </w:r>
          </w:p>
        </w:tc>
        <w:tc>
          <w:tcPr>
            <w:tcW w:w="397" w:type="pct"/>
            <w:shd w:val="clear" w:color="auto" w:fill="DDD9C3" w:themeFill="background2" w:themeFillShade="E6"/>
            <w:vAlign w:val="center"/>
            <w:hideMark/>
          </w:tcPr>
          <w:p w14:paraId="1027EDEA"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$1.780</w:t>
            </w:r>
          </w:p>
        </w:tc>
        <w:tc>
          <w:tcPr>
            <w:tcW w:w="355" w:type="pct"/>
            <w:shd w:val="clear" w:color="auto" w:fill="DDD9C3" w:themeFill="background2" w:themeFillShade="E6"/>
            <w:vAlign w:val="center"/>
            <w:hideMark/>
          </w:tcPr>
          <w:p w14:paraId="66DEDE8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$1.780</w:t>
            </w:r>
          </w:p>
        </w:tc>
        <w:tc>
          <w:tcPr>
            <w:tcW w:w="431" w:type="pct"/>
            <w:shd w:val="clear" w:color="auto" w:fill="DDD9C3" w:themeFill="background2" w:themeFillShade="E6"/>
            <w:vAlign w:val="center"/>
            <w:hideMark/>
          </w:tcPr>
          <w:p w14:paraId="0F0BEDE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8.726</w:t>
            </w:r>
          </w:p>
        </w:tc>
        <w:tc>
          <w:tcPr>
            <w:tcW w:w="384" w:type="pct"/>
            <w:shd w:val="clear" w:color="auto" w:fill="DDD9C3" w:themeFill="background2" w:themeFillShade="E6"/>
            <w:vAlign w:val="center"/>
            <w:hideMark/>
          </w:tcPr>
          <w:p w14:paraId="57B2C9B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8.726</w:t>
            </w:r>
          </w:p>
        </w:tc>
        <w:tc>
          <w:tcPr>
            <w:tcW w:w="386" w:type="pct"/>
            <w:shd w:val="clear" w:color="auto" w:fill="DDD9C3" w:themeFill="background2" w:themeFillShade="E6"/>
            <w:vAlign w:val="center"/>
            <w:hideMark/>
          </w:tcPr>
          <w:p w14:paraId="00F0D1DD"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$5.232</w:t>
            </w:r>
          </w:p>
        </w:tc>
      </w:tr>
      <w:tr w:rsidR="001A38D5" w:rsidRPr="00186A18" w14:paraId="0BD5E5FE" w14:textId="77777777" w:rsidTr="00A20990">
        <w:trPr>
          <w:trHeight w:val="20"/>
        </w:trPr>
        <w:tc>
          <w:tcPr>
            <w:tcW w:w="300" w:type="pct"/>
            <w:vMerge/>
            <w:shd w:val="clear" w:color="auto" w:fill="DDD9C3" w:themeFill="background2" w:themeFillShade="E6"/>
            <w:vAlign w:val="center"/>
            <w:hideMark/>
          </w:tcPr>
          <w:p w14:paraId="4035B97E"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6819F704"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3122 DE 2022</w:t>
            </w:r>
          </w:p>
        </w:tc>
        <w:tc>
          <w:tcPr>
            <w:tcW w:w="999" w:type="pct"/>
            <w:shd w:val="clear" w:color="auto" w:fill="DDD9C3" w:themeFill="background2" w:themeFillShade="E6"/>
            <w:vAlign w:val="center"/>
            <w:hideMark/>
          </w:tcPr>
          <w:p w14:paraId="47264DB0"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REGULAR</w:t>
            </w:r>
          </w:p>
        </w:tc>
        <w:tc>
          <w:tcPr>
            <w:tcW w:w="350" w:type="pct"/>
            <w:shd w:val="clear" w:color="auto" w:fill="DDD9C3" w:themeFill="background2" w:themeFillShade="E6"/>
            <w:vAlign w:val="center"/>
            <w:hideMark/>
          </w:tcPr>
          <w:p w14:paraId="237F2EB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1.113.339</w:t>
            </w:r>
          </w:p>
        </w:tc>
        <w:tc>
          <w:tcPr>
            <w:tcW w:w="350" w:type="pct"/>
            <w:shd w:val="clear" w:color="auto" w:fill="DDD9C3" w:themeFill="background2" w:themeFillShade="E6"/>
            <w:vAlign w:val="center"/>
            <w:hideMark/>
          </w:tcPr>
          <w:p w14:paraId="613094F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1.113.339</w:t>
            </w:r>
          </w:p>
        </w:tc>
        <w:tc>
          <w:tcPr>
            <w:tcW w:w="350" w:type="pct"/>
            <w:shd w:val="clear" w:color="auto" w:fill="DDD9C3" w:themeFill="background2" w:themeFillShade="E6"/>
            <w:vAlign w:val="center"/>
            <w:hideMark/>
          </w:tcPr>
          <w:p w14:paraId="1FCF000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28</w:t>
            </w:r>
          </w:p>
        </w:tc>
        <w:tc>
          <w:tcPr>
            <w:tcW w:w="298" w:type="pct"/>
            <w:shd w:val="clear" w:color="auto" w:fill="DDD9C3" w:themeFill="background2" w:themeFillShade="E6"/>
            <w:vAlign w:val="center"/>
            <w:hideMark/>
          </w:tcPr>
          <w:p w14:paraId="6340C68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28</w:t>
            </w:r>
          </w:p>
        </w:tc>
        <w:tc>
          <w:tcPr>
            <w:tcW w:w="397" w:type="pct"/>
            <w:shd w:val="clear" w:color="auto" w:fill="DDD9C3" w:themeFill="background2" w:themeFillShade="E6"/>
            <w:vAlign w:val="center"/>
            <w:hideMark/>
          </w:tcPr>
          <w:p w14:paraId="470D663D"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$3.292</w:t>
            </w:r>
          </w:p>
        </w:tc>
        <w:tc>
          <w:tcPr>
            <w:tcW w:w="355" w:type="pct"/>
            <w:shd w:val="clear" w:color="auto" w:fill="DDD9C3" w:themeFill="background2" w:themeFillShade="E6"/>
            <w:vAlign w:val="center"/>
            <w:hideMark/>
          </w:tcPr>
          <w:p w14:paraId="6817FE4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$3.292</w:t>
            </w:r>
          </w:p>
        </w:tc>
        <w:tc>
          <w:tcPr>
            <w:tcW w:w="431" w:type="pct"/>
            <w:shd w:val="clear" w:color="auto" w:fill="DDD9C3" w:themeFill="background2" w:themeFillShade="E6"/>
            <w:vAlign w:val="center"/>
            <w:hideMark/>
          </w:tcPr>
          <w:p w14:paraId="7B832556"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39.762</w:t>
            </w:r>
          </w:p>
        </w:tc>
        <w:tc>
          <w:tcPr>
            <w:tcW w:w="384" w:type="pct"/>
            <w:shd w:val="clear" w:color="auto" w:fill="DDD9C3" w:themeFill="background2" w:themeFillShade="E6"/>
            <w:vAlign w:val="center"/>
            <w:hideMark/>
          </w:tcPr>
          <w:p w14:paraId="713C46E1"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39.762</w:t>
            </w:r>
          </w:p>
        </w:tc>
        <w:tc>
          <w:tcPr>
            <w:tcW w:w="386" w:type="pct"/>
            <w:shd w:val="clear" w:color="auto" w:fill="DDD9C3" w:themeFill="background2" w:themeFillShade="E6"/>
            <w:vAlign w:val="center"/>
            <w:hideMark/>
          </w:tcPr>
          <w:p w14:paraId="307822A5"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$2.957</w:t>
            </w:r>
          </w:p>
        </w:tc>
      </w:tr>
      <w:tr w:rsidR="001A38D5" w:rsidRPr="00186A18" w14:paraId="317B172C" w14:textId="77777777" w:rsidTr="00A20990">
        <w:trPr>
          <w:trHeight w:val="20"/>
        </w:trPr>
        <w:tc>
          <w:tcPr>
            <w:tcW w:w="300" w:type="pct"/>
            <w:vMerge/>
            <w:shd w:val="clear" w:color="auto" w:fill="DDD9C3" w:themeFill="background2" w:themeFillShade="E6"/>
            <w:vAlign w:val="center"/>
            <w:hideMark/>
          </w:tcPr>
          <w:p w14:paraId="27E4F0C8"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14F5E247"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3122 DE 2022</w:t>
            </w:r>
          </w:p>
        </w:tc>
        <w:tc>
          <w:tcPr>
            <w:tcW w:w="999" w:type="pct"/>
            <w:shd w:val="clear" w:color="auto" w:fill="DDD9C3" w:themeFill="background2" w:themeFillShade="E6"/>
            <w:vAlign w:val="center"/>
            <w:hideMark/>
          </w:tcPr>
          <w:p w14:paraId="37F68B6B"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-REGULAR</w:t>
            </w:r>
          </w:p>
        </w:tc>
        <w:tc>
          <w:tcPr>
            <w:tcW w:w="350" w:type="pct"/>
            <w:shd w:val="clear" w:color="auto" w:fill="DDD9C3" w:themeFill="background2" w:themeFillShade="E6"/>
            <w:vAlign w:val="center"/>
            <w:hideMark/>
          </w:tcPr>
          <w:p w14:paraId="084F689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183.825</w:t>
            </w:r>
          </w:p>
        </w:tc>
        <w:tc>
          <w:tcPr>
            <w:tcW w:w="350" w:type="pct"/>
            <w:shd w:val="clear" w:color="auto" w:fill="DDD9C3" w:themeFill="background2" w:themeFillShade="E6"/>
            <w:vAlign w:val="center"/>
            <w:hideMark/>
          </w:tcPr>
          <w:p w14:paraId="696CC8E4"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183.825</w:t>
            </w:r>
          </w:p>
        </w:tc>
        <w:tc>
          <w:tcPr>
            <w:tcW w:w="350" w:type="pct"/>
            <w:shd w:val="clear" w:color="auto" w:fill="DDD9C3" w:themeFill="background2" w:themeFillShade="E6"/>
            <w:vAlign w:val="center"/>
            <w:hideMark/>
          </w:tcPr>
          <w:p w14:paraId="0D63B0B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28</w:t>
            </w:r>
          </w:p>
        </w:tc>
        <w:tc>
          <w:tcPr>
            <w:tcW w:w="298" w:type="pct"/>
            <w:shd w:val="clear" w:color="auto" w:fill="DDD9C3" w:themeFill="background2" w:themeFillShade="E6"/>
            <w:vAlign w:val="center"/>
            <w:hideMark/>
          </w:tcPr>
          <w:p w14:paraId="447F26CF"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28</w:t>
            </w:r>
          </w:p>
        </w:tc>
        <w:tc>
          <w:tcPr>
            <w:tcW w:w="397" w:type="pct"/>
            <w:shd w:val="clear" w:color="auto" w:fill="DDD9C3" w:themeFill="background2" w:themeFillShade="E6"/>
            <w:vAlign w:val="center"/>
            <w:hideMark/>
          </w:tcPr>
          <w:p w14:paraId="5D00B43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$9.132</w:t>
            </w:r>
          </w:p>
        </w:tc>
        <w:tc>
          <w:tcPr>
            <w:tcW w:w="355" w:type="pct"/>
            <w:shd w:val="clear" w:color="auto" w:fill="DDD9C3" w:themeFill="background2" w:themeFillShade="E6"/>
            <w:vAlign w:val="center"/>
            <w:hideMark/>
          </w:tcPr>
          <w:p w14:paraId="7F0F1DE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$918</w:t>
            </w:r>
          </w:p>
        </w:tc>
        <w:tc>
          <w:tcPr>
            <w:tcW w:w="431" w:type="pct"/>
            <w:shd w:val="clear" w:color="auto" w:fill="DDD9C3" w:themeFill="background2" w:themeFillShade="E6"/>
            <w:vAlign w:val="center"/>
            <w:hideMark/>
          </w:tcPr>
          <w:p w14:paraId="01FA813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6.565</w:t>
            </w:r>
          </w:p>
        </w:tc>
        <w:tc>
          <w:tcPr>
            <w:tcW w:w="384" w:type="pct"/>
            <w:shd w:val="clear" w:color="auto" w:fill="DDD9C3" w:themeFill="background2" w:themeFillShade="E6"/>
            <w:vAlign w:val="center"/>
            <w:hideMark/>
          </w:tcPr>
          <w:p w14:paraId="023C805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6.565</w:t>
            </w:r>
          </w:p>
        </w:tc>
        <w:tc>
          <w:tcPr>
            <w:tcW w:w="386" w:type="pct"/>
            <w:shd w:val="clear" w:color="auto" w:fill="DDD9C3" w:themeFill="background2" w:themeFillShade="E6"/>
            <w:vAlign w:val="center"/>
            <w:hideMark/>
          </w:tcPr>
          <w:p w14:paraId="66143D28"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$49.675</w:t>
            </w:r>
          </w:p>
        </w:tc>
      </w:tr>
      <w:tr w:rsidR="001A38D5" w:rsidRPr="00186A18" w14:paraId="1DDE170C" w14:textId="77777777" w:rsidTr="00A20990">
        <w:trPr>
          <w:trHeight w:val="20"/>
        </w:trPr>
        <w:tc>
          <w:tcPr>
            <w:tcW w:w="300" w:type="pct"/>
            <w:vMerge/>
            <w:shd w:val="clear" w:color="auto" w:fill="DDD9C3" w:themeFill="background2" w:themeFillShade="E6"/>
            <w:vAlign w:val="center"/>
            <w:hideMark/>
          </w:tcPr>
          <w:p w14:paraId="5A34B78B"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3372310E"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3369 DE 2022</w:t>
            </w:r>
          </w:p>
        </w:tc>
        <w:tc>
          <w:tcPr>
            <w:tcW w:w="999" w:type="pct"/>
            <w:shd w:val="clear" w:color="auto" w:fill="DDD9C3" w:themeFill="background2" w:themeFillShade="E6"/>
            <w:vAlign w:val="center"/>
            <w:hideMark/>
          </w:tcPr>
          <w:p w14:paraId="3ED0AC98"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INDUSTRIALIZADA - REGULAR</w:t>
            </w:r>
          </w:p>
        </w:tc>
        <w:tc>
          <w:tcPr>
            <w:tcW w:w="350" w:type="pct"/>
            <w:shd w:val="clear" w:color="auto" w:fill="DDD9C3" w:themeFill="background2" w:themeFillShade="E6"/>
            <w:vAlign w:val="center"/>
            <w:hideMark/>
          </w:tcPr>
          <w:p w14:paraId="667A1A2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916.909</w:t>
            </w:r>
          </w:p>
        </w:tc>
        <w:tc>
          <w:tcPr>
            <w:tcW w:w="350" w:type="pct"/>
            <w:shd w:val="clear" w:color="auto" w:fill="DDD9C3" w:themeFill="background2" w:themeFillShade="E6"/>
            <w:vAlign w:val="center"/>
            <w:hideMark/>
          </w:tcPr>
          <w:p w14:paraId="75497F2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522.636</w:t>
            </w:r>
          </w:p>
        </w:tc>
        <w:tc>
          <w:tcPr>
            <w:tcW w:w="350" w:type="pct"/>
            <w:shd w:val="clear" w:color="auto" w:fill="DDD9C3" w:themeFill="background2" w:themeFillShade="E6"/>
            <w:vAlign w:val="center"/>
            <w:hideMark/>
          </w:tcPr>
          <w:p w14:paraId="1FA04EE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19</w:t>
            </w:r>
          </w:p>
        </w:tc>
        <w:tc>
          <w:tcPr>
            <w:tcW w:w="298" w:type="pct"/>
            <w:shd w:val="clear" w:color="auto" w:fill="DDD9C3" w:themeFill="background2" w:themeFillShade="E6"/>
            <w:vAlign w:val="center"/>
            <w:hideMark/>
          </w:tcPr>
          <w:p w14:paraId="64004D2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19</w:t>
            </w:r>
          </w:p>
        </w:tc>
        <w:tc>
          <w:tcPr>
            <w:tcW w:w="397" w:type="pct"/>
            <w:shd w:val="clear" w:color="auto" w:fill="DDD9C3" w:themeFill="background2" w:themeFillShade="E6"/>
            <w:vAlign w:val="center"/>
            <w:hideMark/>
          </w:tcPr>
          <w:p w14:paraId="7A9C014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$2.726</w:t>
            </w:r>
          </w:p>
        </w:tc>
        <w:tc>
          <w:tcPr>
            <w:tcW w:w="355" w:type="pct"/>
            <w:shd w:val="clear" w:color="auto" w:fill="DDD9C3" w:themeFill="background2" w:themeFillShade="E6"/>
            <w:vAlign w:val="center"/>
            <w:hideMark/>
          </w:tcPr>
          <w:p w14:paraId="4DEA8252"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$1.551</w:t>
            </w:r>
          </w:p>
        </w:tc>
        <w:tc>
          <w:tcPr>
            <w:tcW w:w="431" w:type="pct"/>
            <w:shd w:val="clear" w:color="auto" w:fill="DDD9C3" w:themeFill="background2" w:themeFillShade="E6"/>
            <w:vAlign w:val="center"/>
            <w:hideMark/>
          </w:tcPr>
          <w:p w14:paraId="3896692B"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48.258</w:t>
            </w:r>
          </w:p>
        </w:tc>
        <w:tc>
          <w:tcPr>
            <w:tcW w:w="384" w:type="pct"/>
            <w:shd w:val="clear" w:color="auto" w:fill="DDD9C3" w:themeFill="background2" w:themeFillShade="E6"/>
            <w:vAlign w:val="center"/>
            <w:hideMark/>
          </w:tcPr>
          <w:p w14:paraId="7D4D673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27.507</w:t>
            </w:r>
          </w:p>
        </w:tc>
        <w:tc>
          <w:tcPr>
            <w:tcW w:w="386" w:type="pct"/>
            <w:shd w:val="clear" w:color="auto" w:fill="DDD9C3" w:themeFill="background2" w:themeFillShade="E6"/>
            <w:vAlign w:val="center"/>
            <w:hideMark/>
          </w:tcPr>
          <w:p w14:paraId="1D7EA07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$2.973</w:t>
            </w:r>
          </w:p>
        </w:tc>
      </w:tr>
      <w:tr w:rsidR="001A38D5" w:rsidRPr="00186A18" w14:paraId="7C13A045" w14:textId="77777777" w:rsidTr="00A20990">
        <w:trPr>
          <w:trHeight w:val="20"/>
        </w:trPr>
        <w:tc>
          <w:tcPr>
            <w:tcW w:w="300" w:type="pct"/>
            <w:vMerge/>
            <w:shd w:val="clear" w:color="auto" w:fill="DDD9C3" w:themeFill="background2" w:themeFillShade="E6"/>
            <w:vAlign w:val="center"/>
            <w:hideMark/>
          </w:tcPr>
          <w:p w14:paraId="6C26F4D5" w14:textId="77777777" w:rsidR="00A20990" w:rsidRPr="00B011F8" w:rsidRDefault="00A20990" w:rsidP="005140E1">
            <w:pPr>
              <w:contextualSpacing/>
              <w:jc w:val="center"/>
              <w:rPr>
                <w:rFonts w:eastAsia="Times New Roman" w:cs="Arial"/>
                <w:sz w:val="13"/>
                <w:szCs w:val="13"/>
                <w:lang w:val="es-CO" w:eastAsia="es-CO"/>
              </w:rPr>
            </w:pPr>
          </w:p>
        </w:tc>
        <w:tc>
          <w:tcPr>
            <w:tcW w:w="400" w:type="pct"/>
            <w:shd w:val="clear" w:color="auto" w:fill="DDD9C3" w:themeFill="background2" w:themeFillShade="E6"/>
            <w:vAlign w:val="center"/>
            <w:hideMark/>
          </w:tcPr>
          <w:p w14:paraId="2D8B888A"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3369 DE 2022</w:t>
            </w:r>
          </w:p>
        </w:tc>
        <w:tc>
          <w:tcPr>
            <w:tcW w:w="999" w:type="pct"/>
            <w:shd w:val="clear" w:color="auto" w:fill="DDD9C3" w:themeFill="background2" w:themeFillShade="E6"/>
            <w:vAlign w:val="center"/>
            <w:hideMark/>
          </w:tcPr>
          <w:p w14:paraId="5D01E508" w14:textId="77777777" w:rsidR="00A20990" w:rsidRPr="00B011F8" w:rsidRDefault="00A20990" w:rsidP="005140E1">
            <w:pPr>
              <w:contextualSpacing/>
              <w:rPr>
                <w:rFonts w:eastAsia="Times New Roman" w:cs="Arial"/>
                <w:sz w:val="13"/>
                <w:szCs w:val="13"/>
                <w:lang w:val="es-CO" w:eastAsia="es-CO"/>
              </w:rPr>
            </w:pPr>
            <w:r w:rsidRPr="00B011F8">
              <w:rPr>
                <w:rFonts w:eastAsia="Times New Roman" w:cs="Arial"/>
                <w:sz w:val="13"/>
                <w:szCs w:val="13"/>
                <w:lang w:val="es-CO" w:eastAsia="es-CO"/>
              </w:rPr>
              <w:t>RPS ALMUERZOS -REGULAR</w:t>
            </w:r>
          </w:p>
        </w:tc>
        <w:tc>
          <w:tcPr>
            <w:tcW w:w="350" w:type="pct"/>
            <w:shd w:val="clear" w:color="auto" w:fill="DDD9C3" w:themeFill="background2" w:themeFillShade="E6"/>
            <w:vAlign w:val="center"/>
            <w:hideMark/>
          </w:tcPr>
          <w:p w14:paraId="2CBC480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165.794</w:t>
            </w:r>
          </w:p>
        </w:tc>
        <w:tc>
          <w:tcPr>
            <w:tcW w:w="350" w:type="pct"/>
            <w:shd w:val="clear" w:color="auto" w:fill="DDD9C3" w:themeFill="background2" w:themeFillShade="E6"/>
            <w:vAlign w:val="center"/>
            <w:hideMark/>
          </w:tcPr>
          <w:p w14:paraId="4E236857"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91.003</w:t>
            </w:r>
          </w:p>
        </w:tc>
        <w:tc>
          <w:tcPr>
            <w:tcW w:w="350" w:type="pct"/>
            <w:shd w:val="clear" w:color="auto" w:fill="DDD9C3" w:themeFill="background2" w:themeFillShade="E6"/>
            <w:vAlign w:val="center"/>
            <w:hideMark/>
          </w:tcPr>
          <w:p w14:paraId="3F66B5D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19</w:t>
            </w:r>
          </w:p>
        </w:tc>
        <w:tc>
          <w:tcPr>
            <w:tcW w:w="298" w:type="pct"/>
            <w:shd w:val="clear" w:color="auto" w:fill="DDD9C3" w:themeFill="background2" w:themeFillShade="E6"/>
            <w:vAlign w:val="center"/>
            <w:hideMark/>
          </w:tcPr>
          <w:p w14:paraId="625B941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19</w:t>
            </w:r>
          </w:p>
        </w:tc>
        <w:tc>
          <w:tcPr>
            <w:tcW w:w="397" w:type="pct"/>
            <w:shd w:val="clear" w:color="auto" w:fill="DDD9C3" w:themeFill="background2" w:themeFillShade="E6"/>
            <w:vAlign w:val="center"/>
            <w:hideMark/>
          </w:tcPr>
          <w:p w14:paraId="6E4DD22E"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$867</w:t>
            </w:r>
          </w:p>
        </w:tc>
        <w:tc>
          <w:tcPr>
            <w:tcW w:w="355" w:type="pct"/>
            <w:shd w:val="clear" w:color="auto" w:fill="DDD9C3" w:themeFill="background2" w:themeFillShade="E6"/>
            <w:vAlign w:val="center"/>
            <w:hideMark/>
          </w:tcPr>
          <w:p w14:paraId="3A85310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$471</w:t>
            </w:r>
          </w:p>
        </w:tc>
        <w:tc>
          <w:tcPr>
            <w:tcW w:w="431" w:type="pct"/>
            <w:shd w:val="clear" w:color="auto" w:fill="DDD9C3" w:themeFill="background2" w:themeFillShade="E6"/>
            <w:vAlign w:val="center"/>
            <w:hideMark/>
          </w:tcPr>
          <w:p w14:paraId="22B61523"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8.726</w:t>
            </w:r>
          </w:p>
        </w:tc>
        <w:tc>
          <w:tcPr>
            <w:tcW w:w="384" w:type="pct"/>
            <w:shd w:val="clear" w:color="auto" w:fill="DDD9C3" w:themeFill="background2" w:themeFillShade="E6"/>
            <w:vAlign w:val="center"/>
            <w:hideMark/>
          </w:tcPr>
          <w:p w14:paraId="3E559969"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4.790</w:t>
            </w:r>
          </w:p>
        </w:tc>
        <w:tc>
          <w:tcPr>
            <w:tcW w:w="386" w:type="pct"/>
            <w:shd w:val="clear" w:color="auto" w:fill="DDD9C3" w:themeFill="background2" w:themeFillShade="E6"/>
            <w:vAlign w:val="center"/>
            <w:hideMark/>
          </w:tcPr>
          <w:p w14:paraId="74EB25BC" w14:textId="77777777" w:rsidR="00A20990" w:rsidRPr="00B011F8" w:rsidRDefault="00A20990" w:rsidP="005140E1">
            <w:pPr>
              <w:contextualSpacing/>
              <w:jc w:val="center"/>
              <w:rPr>
                <w:rFonts w:eastAsia="Times New Roman" w:cs="Arial"/>
                <w:sz w:val="13"/>
                <w:szCs w:val="13"/>
                <w:lang w:val="es-CO" w:eastAsia="es-CO"/>
              </w:rPr>
            </w:pPr>
            <w:r w:rsidRPr="00B011F8">
              <w:rPr>
                <w:rFonts w:eastAsia="Times New Roman" w:cs="Arial"/>
                <w:sz w:val="13"/>
                <w:szCs w:val="13"/>
                <w:lang w:val="es-CO" w:eastAsia="es-CO"/>
              </w:rPr>
              <w:t>$5.232</w:t>
            </w:r>
          </w:p>
        </w:tc>
      </w:tr>
    </w:tbl>
    <w:p w14:paraId="17F86464" w14:textId="77777777" w:rsidR="00A20990" w:rsidRPr="007A412F" w:rsidRDefault="00A20990" w:rsidP="005140E1">
      <w:pPr>
        <w:contextualSpacing/>
        <w:jc w:val="center"/>
        <w:rPr>
          <w:rFonts w:cs="Arial"/>
          <w:bCs/>
          <w:sz w:val="16"/>
          <w:szCs w:val="21"/>
          <w:highlight w:val="yellow"/>
        </w:rPr>
      </w:pPr>
      <w:r w:rsidRPr="007A412F">
        <w:rPr>
          <w:rFonts w:cs="Arial"/>
          <w:bCs/>
          <w:sz w:val="16"/>
          <w:szCs w:val="21"/>
        </w:rPr>
        <w:t>Fuente: Elaboración DAF con base en el reporte en las Categorías MEN PAE y UAPA PAE del CHIP</w:t>
      </w:r>
    </w:p>
    <w:p w14:paraId="2F300468" w14:textId="77777777" w:rsidR="00A20990" w:rsidRPr="001A38D5" w:rsidRDefault="00A20990" w:rsidP="005140E1">
      <w:pPr>
        <w:contextualSpacing/>
        <w:jc w:val="both"/>
        <w:rPr>
          <w:rFonts w:cs="Arial"/>
          <w:bCs/>
          <w:highlight w:val="yellow"/>
        </w:rPr>
      </w:pPr>
    </w:p>
    <w:p w14:paraId="6025C679" w14:textId="77777777" w:rsidR="00A20990" w:rsidRPr="001A38D5" w:rsidRDefault="00A20990" w:rsidP="005140E1">
      <w:pPr>
        <w:contextualSpacing/>
        <w:jc w:val="both"/>
        <w:rPr>
          <w:rFonts w:cs="Arial"/>
          <w:bCs/>
          <w:highlight w:val="yellow"/>
        </w:rPr>
        <w:sectPr w:rsidR="00A20990" w:rsidRPr="001A38D5" w:rsidSect="007A412F">
          <w:pgSz w:w="15840" w:h="12240" w:orient="landscape" w:code="1"/>
          <w:pgMar w:top="1701" w:right="1418" w:bottom="1701" w:left="1418" w:header="284" w:footer="284" w:gutter="0"/>
          <w:cols w:space="708"/>
          <w:titlePg/>
          <w:docGrid w:linePitch="360"/>
        </w:sectPr>
      </w:pPr>
    </w:p>
    <w:p w14:paraId="243BEEBE" w14:textId="77777777" w:rsidR="00A20990" w:rsidRPr="001A38D5" w:rsidRDefault="00A20990" w:rsidP="005140E1">
      <w:pPr>
        <w:contextualSpacing/>
        <w:jc w:val="both"/>
        <w:rPr>
          <w:rFonts w:cs="Arial"/>
          <w:b/>
          <w:szCs w:val="28"/>
        </w:rPr>
      </w:pPr>
      <w:r w:rsidRPr="001A38D5">
        <w:rPr>
          <w:rFonts w:cs="Arial"/>
          <w:b/>
          <w:szCs w:val="28"/>
        </w:rPr>
        <w:lastRenderedPageBreak/>
        <w:t>Ejecución de recursos</w:t>
      </w:r>
      <w:r w:rsidR="00AD65B0">
        <w:rPr>
          <w:rFonts w:cs="Arial"/>
          <w:b/>
          <w:szCs w:val="28"/>
        </w:rPr>
        <w:t>.</w:t>
      </w:r>
    </w:p>
    <w:p w14:paraId="2A42C03F" w14:textId="77777777" w:rsidR="00A20990" w:rsidRPr="001A38D5" w:rsidRDefault="00A20990" w:rsidP="005140E1">
      <w:pPr>
        <w:contextualSpacing/>
        <w:jc w:val="both"/>
        <w:rPr>
          <w:rFonts w:cs="Arial"/>
          <w:bCs/>
          <w:szCs w:val="28"/>
        </w:rPr>
      </w:pPr>
    </w:p>
    <w:p w14:paraId="5DD606D4" w14:textId="77777777" w:rsidR="00A20990" w:rsidRPr="001A38D5" w:rsidRDefault="00A20990" w:rsidP="005140E1">
      <w:pPr>
        <w:contextualSpacing/>
        <w:jc w:val="both"/>
        <w:rPr>
          <w:rFonts w:cs="Arial"/>
        </w:rPr>
      </w:pPr>
      <w:r w:rsidRPr="001A38D5">
        <w:rPr>
          <w:rFonts w:cs="Arial"/>
          <w:bCs/>
          <w:szCs w:val="28"/>
        </w:rPr>
        <w:t xml:space="preserve">Para las vigencias 2019 y 2020 se toma la información del </w:t>
      </w:r>
      <w:r w:rsidRPr="001A38D5">
        <w:rPr>
          <w:rFonts w:cs="Arial"/>
        </w:rPr>
        <w:t xml:space="preserve">Formulario de </w:t>
      </w:r>
      <w:r w:rsidR="005F4052">
        <w:rPr>
          <w:rFonts w:cs="Arial"/>
        </w:rPr>
        <w:t>F</w:t>
      </w:r>
      <w:r w:rsidRPr="001A38D5">
        <w:rPr>
          <w:rFonts w:cs="Arial"/>
        </w:rPr>
        <w:t xml:space="preserve">lujo de </w:t>
      </w:r>
      <w:r w:rsidR="005F4052">
        <w:rPr>
          <w:rFonts w:cs="Arial"/>
        </w:rPr>
        <w:t>P</w:t>
      </w:r>
      <w:r w:rsidRPr="001A38D5">
        <w:rPr>
          <w:rFonts w:cs="Arial"/>
        </w:rPr>
        <w:t>agos de la Categoría MEN-PAE Ejecución de Recursos del CHIP, teniendo en cuenta que solo se realiza para la fuente de financiación 540 TRANSFERENCIAS PARA ALIMENTACION ESCOLAR LEY 1450 DE 2011 MEN. A partir de 2021, se evalúa el reporte en el Formulario E_EJECUCION_DE_RECURSOS de la Categoría UAPA PAE del CHIP, realizado para todas las fuentes de recursos.</w:t>
      </w:r>
    </w:p>
    <w:p w14:paraId="76D0D9F7" w14:textId="77777777" w:rsidR="00A20990" w:rsidRPr="001A38D5" w:rsidRDefault="00A20990" w:rsidP="005140E1">
      <w:pPr>
        <w:contextualSpacing/>
        <w:jc w:val="both"/>
        <w:rPr>
          <w:rFonts w:cs="Arial"/>
        </w:rPr>
      </w:pPr>
    </w:p>
    <w:p w14:paraId="4546C899" w14:textId="77777777" w:rsidR="00A20990" w:rsidRPr="001A38D5" w:rsidRDefault="00A20990" w:rsidP="005140E1">
      <w:pPr>
        <w:contextualSpacing/>
        <w:jc w:val="both"/>
        <w:rPr>
          <w:rFonts w:cs="Arial"/>
        </w:rPr>
      </w:pPr>
      <w:r w:rsidRPr="001A38D5">
        <w:rPr>
          <w:rFonts w:cs="Arial"/>
        </w:rPr>
        <w:t xml:space="preserve">Al cierre de la vigencia 2019 la Entidad reportó dos contratos para la provisión integral del Servicio de Alimentación Escolar. En primer lugar, para el Contrato de </w:t>
      </w:r>
      <w:r w:rsidR="005F4052">
        <w:rPr>
          <w:rFonts w:cs="Arial"/>
        </w:rPr>
        <w:t>P</w:t>
      </w:r>
      <w:r w:rsidRPr="001A38D5">
        <w:rPr>
          <w:rFonts w:cs="Arial"/>
        </w:rPr>
        <w:t xml:space="preserve">restación de </w:t>
      </w:r>
      <w:r w:rsidR="005F4052">
        <w:rPr>
          <w:rFonts w:cs="Arial"/>
        </w:rPr>
        <w:t>S</w:t>
      </w:r>
      <w:r w:rsidRPr="001A38D5">
        <w:rPr>
          <w:rFonts w:cs="Arial"/>
        </w:rPr>
        <w:t xml:space="preserve">ervicios No. 077 de 2019 el valor contratado reportado en el Formulario difiere del señalado en los </w:t>
      </w:r>
      <w:r w:rsidR="00D50D50" w:rsidRPr="00D50D50">
        <w:rPr>
          <w:rFonts w:cs="Arial"/>
        </w:rPr>
        <w:t>CDP 4646 del 7 de diciembre de 2018</w:t>
      </w:r>
      <w:r w:rsidR="00D50D50">
        <w:rPr>
          <w:rFonts w:cs="Arial"/>
        </w:rPr>
        <w:t xml:space="preserve"> -</w:t>
      </w:r>
      <w:r w:rsidR="00D50D50" w:rsidRPr="00D50D50">
        <w:rPr>
          <w:rFonts w:cs="Arial"/>
        </w:rPr>
        <w:t xml:space="preserve"> </w:t>
      </w:r>
      <w:r w:rsidRPr="001A38D5">
        <w:rPr>
          <w:rFonts w:cs="Arial"/>
        </w:rPr>
        <w:t>R</w:t>
      </w:r>
      <w:r w:rsidR="00D50D50">
        <w:rPr>
          <w:rFonts w:cs="Arial"/>
        </w:rPr>
        <w:t>D</w:t>
      </w:r>
      <w:r w:rsidRPr="001A38D5">
        <w:rPr>
          <w:rFonts w:cs="Arial"/>
        </w:rPr>
        <w:t xml:space="preserve">P 244 del 31 de enero y </w:t>
      </w:r>
      <w:r w:rsidR="00D50D50" w:rsidRPr="00D50D50">
        <w:rPr>
          <w:rFonts w:cs="Arial"/>
        </w:rPr>
        <w:t xml:space="preserve">CDP 1889 del 10 de abril de 2019 </w:t>
      </w:r>
      <w:r w:rsidR="00D50D50">
        <w:rPr>
          <w:rFonts w:cs="Arial"/>
        </w:rPr>
        <w:t xml:space="preserve">– RDP </w:t>
      </w:r>
      <w:r w:rsidRPr="001A38D5">
        <w:rPr>
          <w:rFonts w:cs="Arial"/>
        </w:rPr>
        <w:t xml:space="preserve">2031 del 11 de abril de 2019 en $27,69 millones. En segundo lugar, del Contrato de </w:t>
      </w:r>
      <w:r w:rsidR="005F4052">
        <w:rPr>
          <w:rFonts w:cs="Arial"/>
        </w:rPr>
        <w:t>P</w:t>
      </w:r>
      <w:r w:rsidRPr="001A38D5">
        <w:rPr>
          <w:rFonts w:cs="Arial"/>
        </w:rPr>
        <w:t xml:space="preserve">restación de </w:t>
      </w:r>
      <w:r w:rsidR="005F4052">
        <w:rPr>
          <w:rFonts w:cs="Arial"/>
        </w:rPr>
        <w:t>S</w:t>
      </w:r>
      <w:r w:rsidRPr="001A38D5">
        <w:rPr>
          <w:rFonts w:cs="Arial"/>
        </w:rPr>
        <w:t xml:space="preserve">ervicios No. 1198 de 2019, la Entidad comprometió recursos de transferencias para la Alimentación Escolar Ley 1450 </w:t>
      </w:r>
      <w:r w:rsidR="00D50D50">
        <w:rPr>
          <w:rFonts w:cs="Arial"/>
        </w:rPr>
        <w:t xml:space="preserve">de </w:t>
      </w:r>
      <w:r w:rsidRPr="001A38D5">
        <w:rPr>
          <w:rFonts w:cs="Arial"/>
        </w:rPr>
        <w:t>2011 por un total de $5.256,62</w:t>
      </w:r>
      <w:r w:rsidR="00D50D50">
        <w:rPr>
          <w:rFonts w:cs="Arial"/>
        </w:rPr>
        <w:t xml:space="preserve"> millones</w:t>
      </w:r>
      <w:r w:rsidRPr="001A38D5">
        <w:rPr>
          <w:rFonts w:cs="Arial"/>
        </w:rPr>
        <w:t xml:space="preserve"> y autorizó pagos con cargo a esta fuente por $5.054,96 millones, lo que revela inconsistencias en el reporte de la información en el formato de ejecución de recursos de la </w:t>
      </w:r>
      <w:r w:rsidR="005F4052">
        <w:rPr>
          <w:rFonts w:cs="Arial"/>
        </w:rPr>
        <w:t>Ca</w:t>
      </w:r>
      <w:r w:rsidRPr="001A38D5">
        <w:rPr>
          <w:rFonts w:cs="Arial"/>
        </w:rPr>
        <w:t>tegoría MEN</w:t>
      </w:r>
      <w:r w:rsidR="005F4052">
        <w:rPr>
          <w:rFonts w:cs="Arial"/>
        </w:rPr>
        <w:t>-</w:t>
      </w:r>
      <w:r w:rsidRPr="001A38D5">
        <w:rPr>
          <w:rFonts w:cs="Arial"/>
        </w:rPr>
        <w:t>PAE para esta vigencia.</w:t>
      </w:r>
    </w:p>
    <w:p w14:paraId="478A76C4" w14:textId="77777777" w:rsidR="00A20990" w:rsidRPr="001A38D5" w:rsidRDefault="00A20990" w:rsidP="005140E1">
      <w:pPr>
        <w:contextualSpacing/>
        <w:jc w:val="both"/>
        <w:rPr>
          <w:rFonts w:cs="Arial"/>
        </w:rPr>
      </w:pPr>
    </w:p>
    <w:p w14:paraId="25FB073C" w14:textId="77777777" w:rsidR="00A20990" w:rsidRPr="001A38D5" w:rsidRDefault="00A20990" w:rsidP="005140E1">
      <w:pPr>
        <w:contextualSpacing/>
        <w:jc w:val="both"/>
        <w:rPr>
          <w:rFonts w:cs="Arial"/>
        </w:rPr>
      </w:pPr>
      <w:r w:rsidRPr="001A38D5">
        <w:rPr>
          <w:rFonts w:cs="Arial"/>
        </w:rPr>
        <w:t xml:space="preserve">Para la vigencia 2020 del Contrato de </w:t>
      </w:r>
      <w:r w:rsidR="005F4052">
        <w:rPr>
          <w:rFonts w:cs="Arial"/>
        </w:rPr>
        <w:t>P</w:t>
      </w:r>
      <w:r w:rsidRPr="001A38D5">
        <w:rPr>
          <w:rFonts w:cs="Arial"/>
        </w:rPr>
        <w:t xml:space="preserve">restación de </w:t>
      </w:r>
      <w:r w:rsidR="005F4052">
        <w:rPr>
          <w:rFonts w:cs="Arial"/>
        </w:rPr>
        <w:t>S</w:t>
      </w:r>
      <w:r w:rsidRPr="001A38D5">
        <w:rPr>
          <w:rFonts w:cs="Arial"/>
        </w:rPr>
        <w:t xml:space="preserve">ervicios No. 049 de 2020 se reporta el valor del </w:t>
      </w:r>
      <w:r w:rsidR="005F4052">
        <w:rPr>
          <w:rFonts w:cs="Arial"/>
        </w:rPr>
        <w:t>C</w:t>
      </w:r>
      <w:r w:rsidRPr="001A38D5">
        <w:rPr>
          <w:rFonts w:cs="Arial"/>
        </w:rPr>
        <w:t>ontrato y pagos por $5.577,27</w:t>
      </w:r>
      <w:r w:rsidR="00D50D50">
        <w:rPr>
          <w:rFonts w:cs="Arial"/>
        </w:rPr>
        <w:t xml:space="preserve"> millones</w:t>
      </w:r>
      <w:r w:rsidRPr="001A38D5">
        <w:rPr>
          <w:rFonts w:cs="Arial"/>
        </w:rPr>
        <w:t>. No obstante, el Contrato en mención tuvo un valor final de $10.270,6 millones, de los cuales $5.610,39</w:t>
      </w:r>
      <w:r w:rsidR="00D50D50">
        <w:rPr>
          <w:rFonts w:cs="Arial"/>
        </w:rPr>
        <w:t xml:space="preserve"> millones</w:t>
      </w:r>
      <w:r w:rsidRPr="001A38D5">
        <w:rPr>
          <w:rFonts w:cs="Arial"/>
        </w:rPr>
        <w:t xml:space="preserve"> se financiaron con cargo a recursos de transferencias para </w:t>
      </w:r>
      <w:r w:rsidR="005F4052">
        <w:rPr>
          <w:rFonts w:cs="Arial"/>
        </w:rPr>
        <w:t>A</w:t>
      </w:r>
      <w:r w:rsidRPr="001A38D5">
        <w:rPr>
          <w:rFonts w:cs="Arial"/>
        </w:rPr>
        <w:t xml:space="preserve">limentación </w:t>
      </w:r>
      <w:r w:rsidR="005F4052">
        <w:rPr>
          <w:rFonts w:cs="Arial"/>
        </w:rPr>
        <w:t>E</w:t>
      </w:r>
      <w:r w:rsidRPr="001A38D5">
        <w:rPr>
          <w:rFonts w:cs="Arial"/>
        </w:rPr>
        <w:t xml:space="preserve">scolar Ley 1450 de 2011. Al cierre de la vigencia 2020 se ordenaron pagos con esta fuente por $4.800,46 millones, según las órdenes de pago remitidas por la Entidad mediante </w:t>
      </w:r>
      <w:r w:rsidR="005F4052">
        <w:rPr>
          <w:rFonts w:cs="Arial"/>
        </w:rPr>
        <w:t xml:space="preserve">el oficio con </w:t>
      </w:r>
      <w:r w:rsidRPr="001A38D5">
        <w:rPr>
          <w:rFonts w:cs="Arial"/>
        </w:rPr>
        <w:t xml:space="preserve">radicado No. 1-2021-091566. </w:t>
      </w:r>
    </w:p>
    <w:p w14:paraId="2A514DF5" w14:textId="77777777" w:rsidR="00A20990" w:rsidRPr="001A38D5" w:rsidRDefault="00A20990" w:rsidP="005140E1">
      <w:pPr>
        <w:contextualSpacing/>
        <w:jc w:val="both"/>
        <w:rPr>
          <w:rFonts w:cs="Arial"/>
        </w:rPr>
      </w:pPr>
    </w:p>
    <w:p w14:paraId="0C287C96" w14:textId="77777777" w:rsidR="00A20990" w:rsidRPr="001A38D5" w:rsidRDefault="00A20990" w:rsidP="005140E1">
      <w:pPr>
        <w:contextualSpacing/>
        <w:jc w:val="both"/>
        <w:rPr>
          <w:rFonts w:cs="Arial"/>
        </w:rPr>
      </w:pPr>
      <w:r w:rsidRPr="001A38D5">
        <w:rPr>
          <w:rFonts w:cs="Arial"/>
        </w:rPr>
        <w:t xml:space="preserve">Ahora bien, frente al Contrato de </w:t>
      </w:r>
      <w:r w:rsidR="006438E6">
        <w:rPr>
          <w:rFonts w:cs="Arial"/>
        </w:rPr>
        <w:t>P</w:t>
      </w:r>
      <w:r w:rsidRPr="001A38D5">
        <w:rPr>
          <w:rFonts w:cs="Arial"/>
        </w:rPr>
        <w:t xml:space="preserve">restación de </w:t>
      </w:r>
      <w:r w:rsidR="006438E6">
        <w:rPr>
          <w:rFonts w:cs="Arial"/>
        </w:rPr>
        <w:t>S</w:t>
      </w:r>
      <w:r w:rsidRPr="001A38D5">
        <w:rPr>
          <w:rFonts w:cs="Arial"/>
        </w:rPr>
        <w:t>ervicios No. 1961 de 2020 se reportó con el concepto de gasto “</w:t>
      </w:r>
      <w:r w:rsidRPr="007A412F">
        <w:rPr>
          <w:rFonts w:cs="Arial"/>
          <w:i/>
          <w:iCs/>
        </w:rPr>
        <w:t>SUPERVISION - INTERVENTORIA - MONITOREO Y CONTROL</w:t>
      </w:r>
      <w:r w:rsidRPr="001A38D5">
        <w:rPr>
          <w:rFonts w:cs="Arial"/>
        </w:rPr>
        <w:t>”</w:t>
      </w:r>
      <w:r w:rsidR="006438E6">
        <w:rPr>
          <w:rFonts w:cs="Arial"/>
        </w:rPr>
        <w:t>;</w:t>
      </w:r>
      <w:r w:rsidRPr="001A38D5">
        <w:rPr>
          <w:rFonts w:cs="Arial"/>
        </w:rPr>
        <w:t xml:space="preserve"> sin embargo, este Contrato se suscribió con el objeto de operar el Programa de Alimentación Escolar </w:t>
      </w:r>
      <w:r w:rsidR="00B20B48">
        <w:rPr>
          <w:rFonts w:cs="Arial"/>
        </w:rPr>
        <w:t xml:space="preserve">- </w:t>
      </w:r>
      <w:r w:rsidRPr="001A38D5">
        <w:rPr>
          <w:rFonts w:cs="Arial"/>
        </w:rPr>
        <w:t xml:space="preserve">PAE dirigido a los estudiantes registrados con matrícula oficial en el SIMAT del Municipio. Al tiempo, no se reportó el valor comprometido de las transferencias para </w:t>
      </w:r>
      <w:r w:rsidR="00B20B48">
        <w:rPr>
          <w:rFonts w:cs="Arial"/>
        </w:rPr>
        <w:t>A</w:t>
      </w:r>
      <w:r w:rsidRPr="001A38D5">
        <w:rPr>
          <w:rFonts w:cs="Arial"/>
        </w:rPr>
        <w:t xml:space="preserve">limentación </w:t>
      </w:r>
      <w:r w:rsidR="00B20B48">
        <w:rPr>
          <w:rFonts w:cs="Arial"/>
        </w:rPr>
        <w:t>E</w:t>
      </w:r>
      <w:r w:rsidRPr="001A38D5">
        <w:rPr>
          <w:rFonts w:cs="Arial"/>
        </w:rPr>
        <w:t>scolar Ley 1450 de 2011, que ascendía a $1.116,61 millones. Al cierre de la vigencia no se habían autorizado pagos por la ejecución de este Contrato.</w:t>
      </w:r>
    </w:p>
    <w:p w14:paraId="08402C09" w14:textId="77777777" w:rsidR="00A20990" w:rsidRPr="001A38D5" w:rsidRDefault="00A20990" w:rsidP="005140E1">
      <w:pPr>
        <w:contextualSpacing/>
        <w:jc w:val="both"/>
        <w:rPr>
          <w:rFonts w:cs="Arial"/>
        </w:rPr>
      </w:pPr>
    </w:p>
    <w:p w14:paraId="20E608D3"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16</w:t>
      </w:r>
      <w:r w:rsidRPr="007A412F">
        <w:rPr>
          <w:rFonts w:ascii="Verdana" w:hAnsi="Verdana"/>
          <w:color w:val="auto"/>
          <w:sz w:val="20"/>
          <w:szCs w:val="20"/>
        </w:rPr>
        <w:fldChar w:fldCharType="end"/>
      </w:r>
      <w:r w:rsidRPr="007A412F">
        <w:rPr>
          <w:rFonts w:ascii="Verdana" w:hAnsi="Verdana"/>
          <w:color w:val="auto"/>
          <w:sz w:val="20"/>
          <w:szCs w:val="20"/>
        </w:rPr>
        <w:t xml:space="preserve"> Ejecución de recursos del Programa de Alimentación Escolar, vigencias 2019 y 2020 (valores en millones de pesos de colombianos).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1"/>
        <w:gridCol w:w="1233"/>
        <w:gridCol w:w="1234"/>
        <w:gridCol w:w="1232"/>
        <w:gridCol w:w="1234"/>
      </w:tblGrid>
      <w:tr w:rsidR="001A38D5" w:rsidRPr="001A38D5" w14:paraId="6FA722FF" w14:textId="77777777" w:rsidTr="00B23E6E">
        <w:trPr>
          <w:trHeight w:val="20"/>
        </w:trPr>
        <w:tc>
          <w:tcPr>
            <w:tcW w:w="2374" w:type="pct"/>
            <w:vMerge w:val="restart"/>
            <w:shd w:val="clear" w:color="auto" w:fill="FFC000"/>
            <w:noWrap/>
            <w:vAlign w:val="center"/>
            <w:hideMark/>
          </w:tcPr>
          <w:p w14:paraId="33ED38EE"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Contrato</w:t>
            </w:r>
          </w:p>
        </w:tc>
        <w:tc>
          <w:tcPr>
            <w:tcW w:w="1313" w:type="pct"/>
            <w:gridSpan w:val="2"/>
            <w:shd w:val="clear" w:color="auto" w:fill="FFC000"/>
            <w:noWrap/>
            <w:vAlign w:val="center"/>
            <w:hideMark/>
          </w:tcPr>
          <w:p w14:paraId="2EADD7BB"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del contrato</w:t>
            </w:r>
          </w:p>
        </w:tc>
        <w:tc>
          <w:tcPr>
            <w:tcW w:w="1313" w:type="pct"/>
            <w:gridSpan w:val="2"/>
            <w:shd w:val="clear" w:color="auto" w:fill="FFC000"/>
            <w:noWrap/>
            <w:vAlign w:val="center"/>
            <w:hideMark/>
          </w:tcPr>
          <w:p w14:paraId="5E39EF88"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Pagos cierre de la vigencia</w:t>
            </w:r>
          </w:p>
        </w:tc>
      </w:tr>
      <w:tr w:rsidR="001A38D5" w:rsidRPr="001A38D5" w14:paraId="20D2AEC2" w14:textId="77777777" w:rsidTr="00B23E6E">
        <w:trPr>
          <w:trHeight w:val="20"/>
        </w:trPr>
        <w:tc>
          <w:tcPr>
            <w:tcW w:w="2374" w:type="pct"/>
            <w:vMerge/>
            <w:shd w:val="clear" w:color="auto" w:fill="FFC000"/>
            <w:vAlign w:val="center"/>
            <w:hideMark/>
          </w:tcPr>
          <w:p w14:paraId="79F694BB" w14:textId="77777777" w:rsidR="00A20990" w:rsidRPr="001A38D5" w:rsidRDefault="00A20990" w:rsidP="005140E1">
            <w:pPr>
              <w:contextualSpacing/>
              <w:jc w:val="center"/>
              <w:rPr>
                <w:rFonts w:eastAsia="Times New Roman" w:cs="Arial"/>
                <w:b/>
                <w:bCs/>
                <w:sz w:val="14"/>
                <w:szCs w:val="14"/>
                <w:lang w:val="es-CO" w:eastAsia="es-CO"/>
              </w:rPr>
            </w:pPr>
          </w:p>
        </w:tc>
        <w:tc>
          <w:tcPr>
            <w:tcW w:w="656" w:type="pct"/>
            <w:shd w:val="clear" w:color="auto" w:fill="FFC000"/>
            <w:noWrap/>
            <w:vAlign w:val="center"/>
            <w:hideMark/>
          </w:tcPr>
          <w:p w14:paraId="03B4D322"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Documentos contractuales</w:t>
            </w:r>
          </w:p>
        </w:tc>
        <w:tc>
          <w:tcPr>
            <w:tcW w:w="657" w:type="pct"/>
            <w:shd w:val="clear" w:color="auto" w:fill="FFC000"/>
            <w:noWrap/>
            <w:vAlign w:val="center"/>
            <w:hideMark/>
          </w:tcPr>
          <w:p w14:paraId="4B1462F1"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MEN PAE</w:t>
            </w:r>
          </w:p>
        </w:tc>
        <w:tc>
          <w:tcPr>
            <w:tcW w:w="656" w:type="pct"/>
            <w:shd w:val="clear" w:color="auto" w:fill="FFC000"/>
            <w:noWrap/>
            <w:vAlign w:val="center"/>
            <w:hideMark/>
          </w:tcPr>
          <w:p w14:paraId="68249C1A"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Documentos contractuales</w:t>
            </w:r>
          </w:p>
        </w:tc>
        <w:tc>
          <w:tcPr>
            <w:tcW w:w="657" w:type="pct"/>
            <w:shd w:val="clear" w:color="auto" w:fill="FFC000"/>
            <w:noWrap/>
            <w:vAlign w:val="center"/>
            <w:hideMark/>
          </w:tcPr>
          <w:p w14:paraId="5F858881"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MEN PAE</w:t>
            </w:r>
          </w:p>
        </w:tc>
      </w:tr>
      <w:tr w:rsidR="001A38D5" w:rsidRPr="001A38D5" w14:paraId="0B5EF168" w14:textId="77777777" w:rsidTr="00A20990">
        <w:trPr>
          <w:trHeight w:val="20"/>
        </w:trPr>
        <w:tc>
          <w:tcPr>
            <w:tcW w:w="2374" w:type="pct"/>
            <w:shd w:val="clear" w:color="auto" w:fill="auto"/>
            <w:noWrap/>
            <w:vAlign w:val="center"/>
            <w:hideMark/>
          </w:tcPr>
          <w:p w14:paraId="4D86FF8C"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Contrato No. 077 del 30 de enero de 2019</w:t>
            </w:r>
          </w:p>
        </w:tc>
        <w:tc>
          <w:tcPr>
            <w:tcW w:w="656" w:type="pct"/>
            <w:shd w:val="clear" w:color="auto" w:fill="auto"/>
            <w:noWrap/>
            <w:vAlign w:val="center"/>
            <w:hideMark/>
          </w:tcPr>
          <w:p w14:paraId="4F068B1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$3.867,63</w:t>
            </w:r>
          </w:p>
        </w:tc>
        <w:tc>
          <w:tcPr>
            <w:tcW w:w="657" w:type="pct"/>
            <w:shd w:val="clear" w:color="auto" w:fill="F2F2F2" w:themeFill="background1" w:themeFillShade="F2"/>
            <w:noWrap/>
            <w:vAlign w:val="center"/>
            <w:hideMark/>
          </w:tcPr>
          <w:p w14:paraId="49135E3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$3.839,93</w:t>
            </w:r>
          </w:p>
        </w:tc>
        <w:tc>
          <w:tcPr>
            <w:tcW w:w="656" w:type="pct"/>
            <w:shd w:val="clear" w:color="auto" w:fill="auto"/>
            <w:noWrap/>
            <w:vAlign w:val="center"/>
            <w:hideMark/>
          </w:tcPr>
          <w:p w14:paraId="0711D11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$3.839,93</w:t>
            </w:r>
          </w:p>
        </w:tc>
        <w:tc>
          <w:tcPr>
            <w:tcW w:w="657" w:type="pct"/>
            <w:shd w:val="clear" w:color="auto" w:fill="F2F2F2" w:themeFill="background1" w:themeFillShade="F2"/>
            <w:noWrap/>
            <w:vAlign w:val="center"/>
            <w:hideMark/>
          </w:tcPr>
          <w:p w14:paraId="518F8E9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$3.839,93</w:t>
            </w:r>
          </w:p>
        </w:tc>
      </w:tr>
      <w:tr w:rsidR="001A38D5" w:rsidRPr="001A38D5" w14:paraId="086AC2BD" w14:textId="77777777" w:rsidTr="00A20990">
        <w:trPr>
          <w:trHeight w:val="20"/>
        </w:trPr>
        <w:tc>
          <w:tcPr>
            <w:tcW w:w="2374" w:type="pct"/>
            <w:shd w:val="clear" w:color="auto" w:fill="auto"/>
            <w:noWrap/>
            <w:vAlign w:val="center"/>
            <w:hideMark/>
          </w:tcPr>
          <w:p w14:paraId="545FEA7D"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Contrato No. 1198 del 30 de mayo de 2019</w:t>
            </w:r>
          </w:p>
        </w:tc>
        <w:tc>
          <w:tcPr>
            <w:tcW w:w="656" w:type="pct"/>
            <w:shd w:val="clear" w:color="auto" w:fill="auto"/>
            <w:noWrap/>
            <w:vAlign w:val="center"/>
            <w:hideMark/>
          </w:tcPr>
          <w:p w14:paraId="7EB390B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$5.256,62</w:t>
            </w:r>
          </w:p>
        </w:tc>
        <w:tc>
          <w:tcPr>
            <w:tcW w:w="657" w:type="pct"/>
            <w:shd w:val="clear" w:color="auto" w:fill="F2F2F2" w:themeFill="background1" w:themeFillShade="F2"/>
            <w:noWrap/>
            <w:vAlign w:val="center"/>
            <w:hideMark/>
          </w:tcPr>
          <w:p w14:paraId="49C42F2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$2.819,52</w:t>
            </w:r>
          </w:p>
        </w:tc>
        <w:tc>
          <w:tcPr>
            <w:tcW w:w="656" w:type="pct"/>
            <w:shd w:val="clear" w:color="auto" w:fill="auto"/>
            <w:noWrap/>
            <w:vAlign w:val="center"/>
            <w:hideMark/>
          </w:tcPr>
          <w:p w14:paraId="065291B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$5.054,96</w:t>
            </w:r>
          </w:p>
        </w:tc>
        <w:tc>
          <w:tcPr>
            <w:tcW w:w="657" w:type="pct"/>
            <w:shd w:val="clear" w:color="auto" w:fill="F2F2F2" w:themeFill="background1" w:themeFillShade="F2"/>
            <w:noWrap/>
            <w:vAlign w:val="center"/>
            <w:hideMark/>
          </w:tcPr>
          <w:p w14:paraId="28ACCE1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$2.819,52</w:t>
            </w:r>
          </w:p>
        </w:tc>
      </w:tr>
      <w:tr w:rsidR="001A38D5" w:rsidRPr="001A38D5" w14:paraId="5F38B6C8" w14:textId="77777777" w:rsidTr="00A20990">
        <w:trPr>
          <w:trHeight w:val="20"/>
        </w:trPr>
        <w:tc>
          <w:tcPr>
            <w:tcW w:w="2374" w:type="pct"/>
            <w:shd w:val="clear" w:color="auto" w:fill="auto"/>
            <w:noWrap/>
            <w:vAlign w:val="center"/>
            <w:hideMark/>
          </w:tcPr>
          <w:p w14:paraId="02BD8E9A"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Contrato No. 049 del 7 de febrero de 2020</w:t>
            </w:r>
          </w:p>
        </w:tc>
        <w:tc>
          <w:tcPr>
            <w:tcW w:w="656" w:type="pct"/>
            <w:shd w:val="clear" w:color="auto" w:fill="auto"/>
            <w:noWrap/>
            <w:vAlign w:val="center"/>
            <w:hideMark/>
          </w:tcPr>
          <w:p w14:paraId="3D14576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$5.610,40</w:t>
            </w:r>
          </w:p>
        </w:tc>
        <w:tc>
          <w:tcPr>
            <w:tcW w:w="657" w:type="pct"/>
            <w:shd w:val="clear" w:color="auto" w:fill="F2F2F2" w:themeFill="background1" w:themeFillShade="F2"/>
            <w:noWrap/>
            <w:vAlign w:val="center"/>
            <w:hideMark/>
          </w:tcPr>
          <w:p w14:paraId="506AD44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$5.577,27</w:t>
            </w:r>
          </w:p>
        </w:tc>
        <w:tc>
          <w:tcPr>
            <w:tcW w:w="656" w:type="pct"/>
            <w:shd w:val="clear" w:color="auto" w:fill="auto"/>
            <w:noWrap/>
            <w:vAlign w:val="center"/>
            <w:hideMark/>
          </w:tcPr>
          <w:p w14:paraId="2D5DA26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$4.800,46</w:t>
            </w:r>
          </w:p>
        </w:tc>
        <w:tc>
          <w:tcPr>
            <w:tcW w:w="657" w:type="pct"/>
            <w:shd w:val="clear" w:color="auto" w:fill="F2F2F2" w:themeFill="background1" w:themeFillShade="F2"/>
            <w:noWrap/>
            <w:vAlign w:val="center"/>
            <w:hideMark/>
          </w:tcPr>
          <w:p w14:paraId="7C2CD6C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$5.577,27</w:t>
            </w:r>
          </w:p>
        </w:tc>
      </w:tr>
      <w:tr w:rsidR="001A38D5" w:rsidRPr="001A38D5" w14:paraId="72F36963" w14:textId="77777777" w:rsidTr="00A20990">
        <w:trPr>
          <w:trHeight w:val="20"/>
        </w:trPr>
        <w:tc>
          <w:tcPr>
            <w:tcW w:w="2374" w:type="pct"/>
            <w:shd w:val="clear" w:color="auto" w:fill="auto"/>
            <w:noWrap/>
            <w:vAlign w:val="center"/>
            <w:hideMark/>
          </w:tcPr>
          <w:p w14:paraId="1DC907E0"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Contrato No. 1961 del 13 de diciembre de 2020</w:t>
            </w:r>
          </w:p>
        </w:tc>
        <w:tc>
          <w:tcPr>
            <w:tcW w:w="656" w:type="pct"/>
            <w:shd w:val="clear" w:color="auto" w:fill="auto"/>
            <w:noWrap/>
            <w:vAlign w:val="center"/>
            <w:hideMark/>
          </w:tcPr>
          <w:p w14:paraId="443FE17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$1.116,61</w:t>
            </w:r>
          </w:p>
        </w:tc>
        <w:tc>
          <w:tcPr>
            <w:tcW w:w="657" w:type="pct"/>
            <w:shd w:val="clear" w:color="auto" w:fill="F2F2F2" w:themeFill="background1" w:themeFillShade="F2"/>
            <w:noWrap/>
            <w:vAlign w:val="center"/>
            <w:hideMark/>
          </w:tcPr>
          <w:p w14:paraId="61B9317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$0,00</w:t>
            </w:r>
          </w:p>
        </w:tc>
        <w:tc>
          <w:tcPr>
            <w:tcW w:w="656" w:type="pct"/>
            <w:shd w:val="clear" w:color="auto" w:fill="auto"/>
            <w:noWrap/>
            <w:vAlign w:val="center"/>
            <w:hideMark/>
          </w:tcPr>
          <w:p w14:paraId="18ABE55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$0,00</w:t>
            </w:r>
          </w:p>
        </w:tc>
        <w:tc>
          <w:tcPr>
            <w:tcW w:w="657" w:type="pct"/>
            <w:shd w:val="clear" w:color="auto" w:fill="F2F2F2" w:themeFill="background1" w:themeFillShade="F2"/>
            <w:noWrap/>
            <w:vAlign w:val="center"/>
            <w:hideMark/>
          </w:tcPr>
          <w:p w14:paraId="158A3A8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$0,00</w:t>
            </w:r>
          </w:p>
        </w:tc>
      </w:tr>
    </w:tbl>
    <w:p w14:paraId="7F1EE4D6" w14:textId="77777777" w:rsidR="00A20990" w:rsidRPr="007A412F" w:rsidRDefault="00A20990" w:rsidP="005140E1">
      <w:pPr>
        <w:contextualSpacing/>
        <w:jc w:val="center"/>
        <w:rPr>
          <w:rFonts w:cs="Arial"/>
          <w:bCs/>
          <w:sz w:val="16"/>
          <w:szCs w:val="21"/>
          <w:highlight w:val="yellow"/>
        </w:rPr>
      </w:pPr>
      <w:r w:rsidRPr="007A412F">
        <w:rPr>
          <w:rFonts w:cs="Arial"/>
          <w:bCs/>
          <w:sz w:val="16"/>
          <w:szCs w:val="21"/>
        </w:rPr>
        <w:t>Fuente: Elaboración DAF con base en el reporte en la Categoría MEN PAE del CHIP</w:t>
      </w:r>
    </w:p>
    <w:p w14:paraId="5F3DD8E8" w14:textId="77777777" w:rsidR="00A20990" w:rsidRPr="001A38D5" w:rsidRDefault="00A20990" w:rsidP="005140E1">
      <w:pPr>
        <w:contextualSpacing/>
        <w:jc w:val="both"/>
        <w:rPr>
          <w:rFonts w:cs="Arial"/>
          <w:bCs/>
          <w:szCs w:val="28"/>
        </w:rPr>
      </w:pPr>
    </w:p>
    <w:p w14:paraId="62B71D29" w14:textId="77777777" w:rsidR="00A20990" w:rsidRPr="001A38D5" w:rsidRDefault="00A20990" w:rsidP="005140E1">
      <w:pPr>
        <w:contextualSpacing/>
        <w:jc w:val="both"/>
        <w:rPr>
          <w:rFonts w:cs="Arial"/>
          <w:bCs/>
          <w:szCs w:val="28"/>
        </w:rPr>
      </w:pPr>
      <w:r w:rsidRPr="001A38D5">
        <w:rPr>
          <w:rFonts w:cs="Arial"/>
          <w:bCs/>
          <w:szCs w:val="28"/>
        </w:rPr>
        <w:t>A 31 de diciembre de 2021 en este Formulario se reportan compromisos acumulados por $16.595,34 millones, en línea con los datos en la ejecución presupuestal de gastos 2021. En cuanto al el flujo de pagos efectivamente realizados se reporta un total acumulado de $4.878,62 millones, guardando consistencia por fuente de recursos para el PAE con la ejecución presupuestal de gastos 2021.</w:t>
      </w:r>
    </w:p>
    <w:p w14:paraId="25E6A8C7" w14:textId="77777777" w:rsidR="00A20990" w:rsidRPr="001A38D5" w:rsidRDefault="00A20990" w:rsidP="005140E1">
      <w:pPr>
        <w:contextualSpacing/>
        <w:jc w:val="both"/>
        <w:rPr>
          <w:rFonts w:cs="Arial"/>
          <w:bCs/>
          <w:szCs w:val="28"/>
        </w:rPr>
      </w:pPr>
    </w:p>
    <w:p w14:paraId="1CE5AFF0" w14:textId="77777777" w:rsidR="00A20990" w:rsidRPr="0097403A" w:rsidRDefault="00A20990" w:rsidP="005140E1">
      <w:pPr>
        <w:contextualSpacing/>
        <w:jc w:val="both"/>
        <w:rPr>
          <w:rFonts w:eastAsia="Calibri" w:cs="Arial"/>
          <w:bCs/>
          <w:szCs w:val="28"/>
        </w:rPr>
      </w:pPr>
      <w:r w:rsidRPr="001A38D5">
        <w:rPr>
          <w:rFonts w:cs="Arial"/>
          <w:bCs/>
          <w:szCs w:val="28"/>
        </w:rPr>
        <w:t xml:space="preserve">Al cierre de la vigencia 2022 se evidencian inconsistencia en el valor acumulado comprometido, especialmente porque se agrupan las fuentes así: i) como OTROS RECURSOS POR SGP DIFERENTES A ALIMENTACION ESCOLAR se agrupan los recursos corrientes del SPG Educación Calidad y los de SGP Propósito General Libre inversión; ii) como RECURSOS ASIGNADOS POR EL DEPARTAMENTO se suman los correspondientes a rendimientos financieros del CONPES 151 de 2012 0402, </w:t>
      </w:r>
      <w:r w:rsidR="00777248">
        <w:rPr>
          <w:rFonts w:cs="Arial"/>
          <w:bCs/>
          <w:szCs w:val="28"/>
        </w:rPr>
        <w:t xml:space="preserve">rendimientos financieros de las AESGPAE, </w:t>
      </w:r>
      <w:r w:rsidRPr="001A38D5">
        <w:rPr>
          <w:rFonts w:cs="Arial"/>
          <w:bCs/>
          <w:szCs w:val="28"/>
        </w:rPr>
        <w:t xml:space="preserve">recursos del balance del SGP Prestación del Servicio Educativo y rendimientos financieros del PGN Alimentación Escolar-Ley 1450/2011. En cuanto a los pagos efectivamente realizados por fuente de recursos para el PAE, se evidencian inconsistencias frente a lo anotado en la ejecución presupuestal para las fuentes </w:t>
      </w:r>
      <w:r w:rsidR="0097403A" w:rsidRPr="0097403A">
        <w:rPr>
          <w:rFonts w:cs="Arial"/>
          <w:bCs/>
          <w:szCs w:val="28"/>
        </w:rPr>
        <w:t>RENDIMIENTOS FINANCIEROS CONPES 151</w:t>
      </w:r>
      <w:r w:rsidR="0097403A">
        <w:rPr>
          <w:rFonts w:cs="Arial"/>
          <w:bCs/>
          <w:szCs w:val="28"/>
        </w:rPr>
        <w:t xml:space="preserve">, </w:t>
      </w:r>
      <w:r w:rsidR="0097403A" w:rsidRPr="0097403A">
        <w:rPr>
          <w:rFonts w:cs="Arial"/>
          <w:bCs/>
          <w:szCs w:val="28"/>
        </w:rPr>
        <w:t>RENDIMIENTOS FINANCIEROS PGN</w:t>
      </w:r>
      <w:r w:rsidR="0097403A">
        <w:rPr>
          <w:rFonts w:cs="Arial"/>
          <w:bCs/>
          <w:szCs w:val="28"/>
        </w:rPr>
        <w:t xml:space="preserve">, </w:t>
      </w:r>
      <w:r w:rsidR="0097403A" w:rsidRPr="0097403A">
        <w:rPr>
          <w:rFonts w:cs="Arial"/>
          <w:bCs/>
          <w:szCs w:val="28"/>
        </w:rPr>
        <w:t>RENDIMIENTOS FINANCIEROS SGP</w:t>
      </w:r>
      <w:r w:rsidR="0097403A">
        <w:rPr>
          <w:rFonts w:cs="Arial"/>
          <w:bCs/>
          <w:szCs w:val="28"/>
        </w:rPr>
        <w:t xml:space="preserve">, </w:t>
      </w:r>
      <w:r w:rsidR="0097403A" w:rsidRPr="0097403A">
        <w:rPr>
          <w:rFonts w:cs="Arial"/>
          <w:bCs/>
          <w:szCs w:val="28"/>
        </w:rPr>
        <w:t>RECURSOS DE INVERSION DEL PGN ASIGN</w:t>
      </w:r>
      <w:r w:rsidR="0097403A">
        <w:rPr>
          <w:rFonts w:cs="Arial"/>
          <w:bCs/>
          <w:szCs w:val="28"/>
        </w:rPr>
        <w:t xml:space="preserve">ADOS POR UAPA - VIGENCIA ACTUAL y </w:t>
      </w:r>
      <w:r w:rsidR="0097403A" w:rsidRPr="0097403A">
        <w:rPr>
          <w:rFonts w:cs="Arial"/>
          <w:bCs/>
          <w:szCs w:val="28"/>
        </w:rPr>
        <w:t>RECURSOS ASIGNADOS POR EL DEPARTAMENTO</w:t>
      </w:r>
      <w:r w:rsidR="0097403A">
        <w:rPr>
          <w:rFonts w:cs="Arial"/>
          <w:bCs/>
          <w:szCs w:val="28"/>
        </w:rPr>
        <w:t>.</w:t>
      </w:r>
    </w:p>
    <w:p w14:paraId="329B5544" w14:textId="77777777" w:rsidR="00A20990" w:rsidRPr="001A38D5" w:rsidRDefault="00A20990" w:rsidP="005140E1">
      <w:pPr>
        <w:contextualSpacing/>
        <w:jc w:val="both"/>
        <w:rPr>
          <w:rFonts w:cs="Arial"/>
          <w:lang w:val="es-CO"/>
        </w:rPr>
      </w:pPr>
    </w:p>
    <w:p w14:paraId="0C22EBB2"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17</w:t>
      </w:r>
      <w:r w:rsidRPr="007A412F">
        <w:rPr>
          <w:rFonts w:ascii="Verdana" w:hAnsi="Verdana"/>
          <w:color w:val="auto"/>
          <w:sz w:val="20"/>
          <w:szCs w:val="20"/>
        </w:rPr>
        <w:fldChar w:fldCharType="end"/>
      </w:r>
      <w:r w:rsidRPr="007A412F">
        <w:rPr>
          <w:rFonts w:ascii="Verdana" w:hAnsi="Verdana"/>
          <w:color w:val="auto"/>
          <w:sz w:val="20"/>
          <w:szCs w:val="20"/>
        </w:rPr>
        <w:t xml:space="preserve"> Ejecución de recursos del Programa de Alimentación Escolar, vigencias 2021 y 2022 (valores en millones de pesos de colombianos).</w:t>
      </w:r>
    </w:p>
    <w:tbl>
      <w:tblPr>
        <w:tblW w:w="5778" w:type="pct"/>
        <w:jc w:val="center"/>
        <w:tblCellMar>
          <w:left w:w="70" w:type="dxa"/>
          <w:right w:w="70" w:type="dxa"/>
        </w:tblCellMar>
        <w:tblLook w:val="04A0" w:firstRow="1" w:lastRow="0" w:firstColumn="1" w:lastColumn="0" w:noHBand="0" w:noVBand="1"/>
      </w:tblPr>
      <w:tblGrid>
        <w:gridCol w:w="1645"/>
        <w:gridCol w:w="1166"/>
        <w:gridCol w:w="1166"/>
        <w:gridCol w:w="1052"/>
        <w:gridCol w:w="1163"/>
        <w:gridCol w:w="1166"/>
        <w:gridCol w:w="1166"/>
        <w:gridCol w:w="1166"/>
        <w:gridCol w:w="1166"/>
      </w:tblGrid>
      <w:tr w:rsidR="001A38D5" w:rsidRPr="001A38D5" w14:paraId="61BD3710" w14:textId="77777777" w:rsidTr="00B23E6E">
        <w:trPr>
          <w:trHeight w:val="20"/>
          <w:tblHeader/>
          <w:jc w:val="center"/>
        </w:trPr>
        <w:tc>
          <w:tcPr>
            <w:tcW w:w="1526" w:type="pct"/>
            <w:vMerge w:val="restart"/>
            <w:tcBorders>
              <w:top w:val="single" w:sz="4" w:space="0" w:color="auto"/>
              <w:left w:val="single" w:sz="4" w:space="0" w:color="auto"/>
              <w:right w:val="single" w:sz="4" w:space="0" w:color="auto"/>
            </w:tcBorders>
            <w:shd w:val="clear" w:color="auto" w:fill="FFC000"/>
            <w:vAlign w:val="center"/>
          </w:tcPr>
          <w:p w14:paraId="32B8C4E9"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FUENTE RECURSOS</w:t>
            </w:r>
          </w:p>
        </w:tc>
        <w:tc>
          <w:tcPr>
            <w:tcW w:w="1559" w:type="pct"/>
            <w:gridSpan w:val="4"/>
            <w:tcBorders>
              <w:top w:val="single" w:sz="4" w:space="0" w:color="auto"/>
              <w:left w:val="nil"/>
              <w:bottom w:val="single" w:sz="4" w:space="0" w:color="auto"/>
              <w:right w:val="single" w:sz="4" w:space="0" w:color="auto"/>
            </w:tcBorders>
            <w:shd w:val="clear" w:color="auto" w:fill="FFC000"/>
            <w:vAlign w:val="center"/>
          </w:tcPr>
          <w:p w14:paraId="7566EFCA"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2021</w:t>
            </w:r>
          </w:p>
        </w:tc>
        <w:tc>
          <w:tcPr>
            <w:tcW w:w="1914" w:type="pct"/>
            <w:gridSpan w:val="4"/>
            <w:tcBorders>
              <w:top w:val="single" w:sz="4" w:space="0" w:color="auto"/>
              <w:left w:val="nil"/>
              <w:bottom w:val="single" w:sz="4" w:space="0" w:color="auto"/>
              <w:right w:val="single" w:sz="4" w:space="0" w:color="auto"/>
            </w:tcBorders>
            <w:shd w:val="clear" w:color="auto" w:fill="FFC000"/>
            <w:vAlign w:val="center"/>
          </w:tcPr>
          <w:p w14:paraId="090A0DB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2022</w:t>
            </w:r>
          </w:p>
        </w:tc>
      </w:tr>
      <w:tr w:rsidR="001A38D5" w:rsidRPr="001A38D5" w14:paraId="78A30A51" w14:textId="77777777" w:rsidTr="00B23E6E">
        <w:trPr>
          <w:trHeight w:val="20"/>
          <w:tblHeader/>
          <w:jc w:val="center"/>
        </w:trPr>
        <w:tc>
          <w:tcPr>
            <w:tcW w:w="1526" w:type="pct"/>
            <w:vMerge/>
            <w:tcBorders>
              <w:left w:val="single" w:sz="4" w:space="0" w:color="auto"/>
              <w:right w:val="single" w:sz="4" w:space="0" w:color="auto"/>
            </w:tcBorders>
            <w:shd w:val="clear" w:color="auto" w:fill="FFC000"/>
            <w:vAlign w:val="center"/>
            <w:hideMark/>
          </w:tcPr>
          <w:p w14:paraId="32F65E3E" w14:textId="77777777" w:rsidR="00A20990" w:rsidRPr="001A38D5" w:rsidRDefault="00A20990" w:rsidP="005140E1">
            <w:pPr>
              <w:contextualSpacing/>
              <w:jc w:val="center"/>
              <w:rPr>
                <w:rFonts w:eastAsia="Times New Roman" w:cs="Arial"/>
                <w:b/>
                <w:bCs/>
                <w:sz w:val="16"/>
                <w:szCs w:val="16"/>
                <w:lang w:val="es-CO" w:eastAsia="es-CO"/>
              </w:rPr>
            </w:pPr>
          </w:p>
        </w:tc>
        <w:tc>
          <w:tcPr>
            <w:tcW w:w="646" w:type="pct"/>
            <w:gridSpan w:val="2"/>
            <w:tcBorders>
              <w:top w:val="single" w:sz="4" w:space="0" w:color="auto"/>
              <w:left w:val="nil"/>
              <w:bottom w:val="single" w:sz="4" w:space="0" w:color="auto"/>
              <w:right w:val="single" w:sz="4" w:space="0" w:color="auto"/>
            </w:tcBorders>
            <w:shd w:val="clear" w:color="auto" w:fill="FFC000"/>
            <w:vAlign w:val="center"/>
            <w:hideMark/>
          </w:tcPr>
          <w:p w14:paraId="308A4CE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COMPROMETIDO ACUM.</w:t>
            </w:r>
          </w:p>
        </w:tc>
        <w:tc>
          <w:tcPr>
            <w:tcW w:w="914" w:type="pct"/>
            <w:gridSpan w:val="2"/>
            <w:tcBorders>
              <w:top w:val="single" w:sz="4" w:space="0" w:color="auto"/>
              <w:left w:val="nil"/>
              <w:bottom w:val="single" w:sz="4" w:space="0" w:color="auto"/>
              <w:right w:val="single" w:sz="4" w:space="0" w:color="auto"/>
            </w:tcBorders>
            <w:shd w:val="clear" w:color="auto" w:fill="FFC000"/>
            <w:vAlign w:val="center"/>
            <w:hideMark/>
          </w:tcPr>
          <w:p w14:paraId="44B55F0F"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PAGADO ACUM.</w:t>
            </w:r>
          </w:p>
        </w:tc>
        <w:tc>
          <w:tcPr>
            <w:tcW w:w="957" w:type="pct"/>
            <w:gridSpan w:val="2"/>
            <w:tcBorders>
              <w:top w:val="single" w:sz="4" w:space="0" w:color="auto"/>
              <w:left w:val="nil"/>
              <w:bottom w:val="single" w:sz="4" w:space="0" w:color="auto"/>
              <w:right w:val="single" w:sz="4" w:space="0" w:color="auto"/>
            </w:tcBorders>
            <w:shd w:val="clear" w:color="auto" w:fill="FFC000"/>
            <w:vAlign w:val="center"/>
            <w:hideMark/>
          </w:tcPr>
          <w:p w14:paraId="7D0CA92C"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COMPROMETIDO ACUM.</w:t>
            </w:r>
          </w:p>
        </w:tc>
        <w:tc>
          <w:tcPr>
            <w:tcW w:w="957" w:type="pct"/>
            <w:gridSpan w:val="2"/>
            <w:tcBorders>
              <w:top w:val="single" w:sz="4" w:space="0" w:color="auto"/>
              <w:left w:val="nil"/>
              <w:bottom w:val="single" w:sz="4" w:space="0" w:color="auto"/>
              <w:right w:val="single" w:sz="4" w:space="0" w:color="auto"/>
            </w:tcBorders>
            <w:shd w:val="clear" w:color="auto" w:fill="FFC000"/>
            <w:vAlign w:val="center"/>
            <w:hideMark/>
          </w:tcPr>
          <w:p w14:paraId="69C2FE4F"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PAGADO ACUM.</w:t>
            </w:r>
          </w:p>
        </w:tc>
      </w:tr>
      <w:tr w:rsidR="001A38D5" w:rsidRPr="001A38D5" w14:paraId="2D1CFCA8" w14:textId="77777777" w:rsidTr="00B23E6E">
        <w:trPr>
          <w:trHeight w:val="20"/>
          <w:tblHeader/>
          <w:jc w:val="center"/>
        </w:trPr>
        <w:tc>
          <w:tcPr>
            <w:tcW w:w="1526" w:type="pct"/>
            <w:vMerge/>
            <w:tcBorders>
              <w:left w:val="single" w:sz="4" w:space="0" w:color="auto"/>
              <w:bottom w:val="single" w:sz="4" w:space="0" w:color="auto"/>
              <w:right w:val="single" w:sz="4" w:space="0" w:color="auto"/>
            </w:tcBorders>
            <w:shd w:val="clear" w:color="auto" w:fill="FFC000"/>
            <w:vAlign w:val="center"/>
            <w:hideMark/>
          </w:tcPr>
          <w:p w14:paraId="21CFBBAA" w14:textId="77777777" w:rsidR="00A20990" w:rsidRPr="001A38D5" w:rsidRDefault="00A20990" w:rsidP="005140E1">
            <w:pPr>
              <w:contextualSpacing/>
              <w:rPr>
                <w:rFonts w:eastAsia="Times New Roman" w:cs="Arial"/>
                <w:b/>
                <w:bCs/>
                <w:sz w:val="16"/>
                <w:szCs w:val="16"/>
                <w:lang w:val="es-CO" w:eastAsia="es-CO"/>
              </w:rPr>
            </w:pPr>
          </w:p>
        </w:tc>
        <w:tc>
          <w:tcPr>
            <w:tcW w:w="150" w:type="pct"/>
            <w:tcBorders>
              <w:top w:val="nil"/>
              <w:left w:val="nil"/>
              <w:bottom w:val="single" w:sz="4" w:space="0" w:color="auto"/>
              <w:right w:val="single" w:sz="4" w:space="0" w:color="auto"/>
            </w:tcBorders>
            <w:shd w:val="clear" w:color="auto" w:fill="FFC000"/>
            <w:vAlign w:val="center"/>
            <w:hideMark/>
          </w:tcPr>
          <w:p w14:paraId="395F3483"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UAPA - PAE </w:t>
            </w:r>
          </w:p>
        </w:tc>
        <w:tc>
          <w:tcPr>
            <w:tcW w:w="496" w:type="pct"/>
            <w:tcBorders>
              <w:top w:val="nil"/>
              <w:left w:val="nil"/>
              <w:bottom w:val="single" w:sz="4" w:space="0" w:color="auto"/>
              <w:right w:val="single" w:sz="4" w:space="0" w:color="auto"/>
            </w:tcBorders>
            <w:shd w:val="clear" w:color="auto" w:fill="FFC000"/>
            <w:vAlign w:val="center"/>
            <w:hideMark/>
          </w:tcPr>
          <w:p w14:paraId="146E5192"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Ejecución presupuestal</w:t>
            </w:r>
          </w:p>
        </w:tc>
        <w:tc>
          <w:tcPr>
            <w:tcW w:w="418" w:type="pct"/>
            <w:tcBorders>
              <w:top w:val="nil"/>
              <w:left w:val="nil"/>
              <w:bottom w:val="single" w:sz="4" w:space="0" w:color="auto"/>
              <w:right w:val="single" w:sz="4" w:space="0" w:color="auto"/>
            </w:tcBorders>
            <w:shd w:val="clear" w:color="auto" w:fill="FFC000"/>
            <w:vAlign w:val="center"/>
            <w:hideMark/>
          </w:tcPr>
          <w:p w14:paraId="673C088E"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UAPA - PAE </w:t>
            </w:r>
          </w:p>
        </w:tc>
        <w:tc>
          <w:tcPr>
            <w:tcW w:w="496" w:type="pct"/>
            <w:tcBorders>
              <w:top w:val="nil"/>
              <w:left w:val="nil"/>
              <w:bottom w:val="single" w:sz="4" w:space="0" w:color="auto"/>
              <w:right w:val="single" w:sz="4" w:space="0" w:color="auto"/>
            </w:tcBorders>
            <w:shd w:val="clear" w:color="auto" w:fill="FFC000"/>
            <w:vAlign w:val="center"/>
            <w:hideMark/>
          </w:tcPr>
          <w:p w14:paraId="05212A79"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Ejecución presupuestal</w:t>
            </w:r>
          </w:p>
        </w:tc>
        <w:tc>
          <w:tcPr>
            <w:tcW w:w="461" w:type="pct"/>
            <w:tcBorders>
              <w:top w:val="nil"/>
              <w:left w:val="nil"/>
              <w:bottom w:val="single" w:sz="4" w:space="0" w:color="auto"/>
              <w:right w:val="single" w:sz="4" w:space="0" w:color="auto"/>
            </w:tcBorders>
            <w:shd w:val="clear" w:color="auto" w:fill="FFC000"/>
            <w:vAlign w:val="center"/>
            <w:hideMark/>
          </w:tcPr>
          <w:p w14:paraId="6467133C"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UAPA - PAE </w:t>
            </w:r>
          </w:p>
        </w:tc>
        <w:tc>
          <w:tcPr>
            <w:tcW w:w="496" w:type="pct"/>
            <w:tcBorders>
              <w:top w:val="nil"/>
              <w:left w:val="nil"/>
              <w:bottom w:val="single" w:sz="4" w:space="0" w:color="auto"/>
              <w:right w:val="single" w:sz="4" w:space="0" w:color="auto"/>
            </w:tcBorders>
            <w:shd w:val="clear" w:color="auto" w:fill="FFC000"/>
            <w:vAlign w:val="center"/>
            <w:hideMark/>
          </w:tcPr>
          <w:p w14:paraId="6159D63D"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Ejecución presupuestal</w:t>
            </w:r>
          </w:p>
        </w:tc>
        <w:tc>
          <w:tcPr>
            <w:tcW w:w="461" w:type="pct"/>
            <w:tcBorders>
              <w:top w:val="nil"/>
              <w:left w:val="nil"/>
              <w:bottom w:val="single" w:sz="4" w:space="0" w:color="auto"/>
              <w:right w:val="single" w:sz="4" w:space="0" w:color="auto"/>
            </w:tcBorders>
            <w:shd w:val="clear" w:color="auto" w:fill="FFC000"/>
            <w:vAlign w:val="center"/>
            <w:hideMark/>
          </w:tcPr>
          <w:p w14:paraId="4E7CBC26"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UAPA - PAE </w:t>
            </w:r>
          </w:p>
        </w:tc>
        <w:tc>
          <w:tcPr>
            <w:tcW w:w="496" w:type="pct"/>
            <w:tcBorders>
              <w:top w:val="nil"/>
              <w:left w:val="nil"/>
              <w:bottom w:val="single" w:sz="4" w:space="0" w:color="auto"/>
              <w:right w:val="single" w:sz="4" w:space="0" w:color="auto"/>
            </w:tcBorders>
            <w:shd w:val="clear" w:color="auto" w:fill="FFC000"/>
            <w:vAlign w:val="center"/>
            <w:hideMark/>
          </w:tcPr>
          <w:p w14:paraId="224ADD6A" w14:textId="77777777" w:rsidR="00A20990" w:rsidRPr="001A38D5" w:rsidRDefault="00A20990"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Ejecución presupuestal</w:t>
            </w:r>
          </w:p>
        </w:tc>
      </w:tr>
      <w:tr w:rsidR="001A38D5" w:rsidRPr="001A38D5" w14:paraId="3A97E589"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4C158801"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COFINANCIACION ALIMENTACION ESCOLAR - CONPES LEY 1530 DE 2012 ARTICULO 145 VIGENCIA ACTUAL </w:t>
            </w:r>
          </w:p>
        </w:tc>
        <w:tc>
          <w:tcPr>
            <w:tcW w:w="150" w:type="pct"/>
            <w:tcBorders>
              <w:top w:val="nil"/>
              <w:left w:val="nil"/>
              <w:bottom w:val="single" w:sz="4" w:space="0" w:color="auto"/>
              <w:right w:val="single" w:sz="4" w:space="0" w:color="auto"/>
            </w:tcBorders>
            <w:shd w:val="clear" w:color="auto" w:fill="auto"/>
            <w:noWrap/>
            <w:vAlign w:val="center"/>
            <w:hideMark/>
          </w:tcPr>
          <w:p w14:paraId="710F796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$713,58</w:t>
            </w:r>
          </w:p>
        </w:tc>
        <w:tc>
          <w:tcPr>
            <w:tcW w:w="496" w:type="pct"/>
            <w:tcBorders>
              <w:top w:val="nil"/>
              <w:left w:val="nil"/>
              <w:bottom w:val="single" w:sz="4" w:space="0" w:color="auto"/>
              <w:right w:val="single" w:sz="4" w:space="0" w:color="auto"/>
            </w:tcBorders>
            <w:shd w:val="clear" w:color="auto" w:fill="auto"/>
            <w:noWrap/>
            <w:vAlign w:val="center"/>
            <w:hideMark/>
          </w:tcPr>
          <w:p w14:paraId="79B286D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$713,58</w:t>
            </w:r>
          </w:p>
        </w:tc>
        <w:tc>
          <w:tcPr>
            <w:tcW w:w="418" w:type="pct"/>
            <w:tcBorders>
              <w:top w:val="nil"/>
              <w:left w:val="nil"/>
              <w:bottom w:val="single" w:sz="4" w:space="0" w:color="auto"/>
              <w:right w:val="single" w:sz="4" w:space="0" w:color="auto"/>
            </w:tcBorders>
            <w:shd w:val="clear" w:color="auto" w:fill="auto"/>
            <w:noWrap/>
            <w:vAlign w:val="center"/>
            <w:hideMark/>
          </w:tcPr>
          <w:p w14:paraId="50EAE48E"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$550,00</w:t>
            </w:r>
          </w:p>
        </w:tc>
        <w:tc>
          <w:tcPr>
            <w:tcW w:w="496" w:type="pct"/>
            <w:tcBorders>
              <w:top w:val="nil"/>
              <w:left w:val="nil"/>
              <w:bottom w:val="single" w:sz="4" w:space="0" w:color="auto"/>
              <w:right w:val="single" w:sz="4" w:space="0" w:color="auto"/>
            </w:tcBorders>
            <w:shd w:val="clear" w:color="auto" w:fill="auto"/>
            <w:noWrap/>
            <w:vAlign w:val="center"/>
            <w:hideMark/>
          </w:tcPr>
          <w:p w14:paraId="5E4EF35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$550,00</w:t>
            </w:r>
          </w:p>
        </w:tc>
        <w:tc>
          <w:tcPr>
            <w:tcW w:w="461" w:type="pct"/>
            <w:tcBorders>
              <w:top w:val="nil"/>
              <w:left w:val="nil"/>
              <w:bottom w:val="single" w:sz="4" w:space="0" w:color="auto"/>
              <w:right w:val="single" w:sz="4" w:space="0" w:color="auto"/>
            </w:tcBorders>
            <w:shd w:val="clear" w:color="auto" w:fill="auto"/>
            <w:noWrap/>
            <w:vAlign w:val="center"/>
            <w:hideMark/>
          </w:tcPr>
          <w:p w14:paraId="15D9ABE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5AA4238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65F3690D"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4611F95B"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1A38D5" w:rsidRPr="001A38D5" w14:paraId="5453BFEB"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704D8B90"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RENDIMIENTOS FINANCIEROS CONPES 151</w:t>
            </w:r>
          </w:p>
        </w:tc>
        <w:tc>
          <w:tcPr>
            <w:tcW w:w="150" w:type="pct"/>
            <w:tcBorders>
              <w:top w:val="nil"/>
              <w:left w:val="nil"/>
              <w:bottom w:val="single" w:sz="4" w:space="0" w:color="auto"/>
              <w:right w:val="single" w:sz="4" w:space="0" w:color="auto"/>
            </w:tcBorders>
            <w:shd w:val="clear" w:color="auto" w:fill="auto"/>
            <w:noWrap/>
            <w:vAlign w:val="center"/>
            <w:hideMark/>
          </w:tcPr>
          <w:p w14:paraId="69F0088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$11,04</w:t>
            </w:r>
          </w:p>
        </w:tc>
        <w:tc>
          <w:tcPr>
            <w:tcW w:w="496" w:type="pct"/>
            <w:tcBorders>
              <w:top w:val="nil"/>
              <w:left w:val="nil"/>
              <w:bottom w:val="single" w:sz="4" w:space="0" w:color="auto"/>
              <w:right w:val="single" w:sz="4" w:space="0" w:color="auto"/>
            </w:tcBorders>
            <w:shd w:val="clear" w:color="auto" w:fill="auto"/>
            <w:noWrap/>
            <w:vAlign w:val="center"/>
            <w:hideMark/>
          </w:tcPr>
          <w:p w14:paraId="3882F3A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$11,04</w:t>
            </w:r>
          </w:p>
        </w:tc>
        <w:tc>
          <w:tcPr>
            <w:tcW w:w="418" w:type="pct"/>
            <w:tcBorders>
              <w:top w:val="nil"/>
              <w:left w:val="nil"/>
              <w:bottom w:val="single" w:sz="4" w:space="0" w:color="auto"/>
              <w:right w:val="single" w:sz="4" w:space="0" w:color="auto"/>
            </w:tcBorders>
            <w:shd w:val="clear" w:color="auto" w:fill="auto"/>
            <w:noWrap/>
            <w:vAlign w:val="center"/>
            <w:hideMark/>
          </w:tcPr>
          <w:p w14:paraId="12C98597"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5816AF5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7952AE38"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73F28AF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$13,02</w:t>
            </w:r>
          </w:p>
        </w:tc>
        <w:tc>
          <w:tcPr>
            <w:tcW w:w="461" w:type="pct"/>
            <w:tcBorders>
              <w:top w:val="nil"/>
              <w:left w:val="nil"/>
              <w:bottom w:val="single" w:sz="4" w:space="0" w:color="auto"/>
              <w:right w:val="single" w:sz="4" w:space="0" w:color="auto"/>
            </w:tcBorders>
            <w:shd w:val="clear" w:color="auto" w:fill="auto"/>
            <w:noWrap/>
            <w:vAlign w:val="center"/>
            <w:hideMark/>
          </w:tcPr>
          <w:p w14:paraId="3AC9D98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6CAA177B"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$13,02</w:t>
            </w:r>
          </w:p>
        </w:tc>
      </w:tr>
      <w:tr w:rsidR="001A38D5" w:rsidRPr="001A38D5" w14:paraId="0975ED14"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2BF68C7D"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RENDIMIENTOS FINANCIEROS PGN</w:t>
            </w:r>
          </w:p>
        </w:tc>
        <w:tc>
          <w:tcPr>
            <w:tcW w:w="150" w:type="pct"/>
            <w:tcBorders>
              <w:top w:val="nil"/>
              <w:left w:val="nil"/>
              <w:bottom w:val="single" w:sz="4" w:space="0" w:color="auto"/>
              <w:right w:val="single" w:sz="4" w:space="0" w:color="auto"/>
            </w:tcBorders>
            <w:shd w:val="clear" w:color="auto" w:fill="auto"/>
            <w:noWrap/>
            <w:vAlign w:val="center"/>
            <w:hideMark/>
          </w:tcPr>
          <w:p w14:paraId="2C78636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$86,71</w:t>
            </w:r>
          </w:p>
        </w:tc>
        <w:tc>
          <w:tcPr>
            <w:tcW w:w="496" w:type="pct"/>
            <w:tcBorders>
              <w:top w:val="nil"/>
              <w:left w:val="nil"/>
              <w:bottom w:val="single" w:sz="4" w:space="0" w:color="auto"/>
              <w:right w:val="single" w:sz="4" w:space="0" w:color="auto"/>
            </w:tcBorders>
            <w:shd w:val="clear" w:color="auto" w:fill="auto"/>
            <w:noWrap/>
            <w:vAlign w:val="center"/>
            <w:hideMark/>
          </w:tcPr>
          <w:p w14:paraId="2189ADD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$86,71</w:t>
            </w:r>
          </w:p>
        </w:tc>
        <w:tc>
          <w:tcPr>
            <w:tcW w:w="418" w:type="pct"/>
            <w:tcBorders>
              <w:top w:val="nil"/>
              <w:left w:val="nil"/>
              <w:bottom w:val="single" w:sz="4" w:space="0" w:color="auto"/>
              <w:right w:val="single" w:sz="4" w:space="0" w:color="auto"/>
            </w:tcBorders>
            <w:shd w:val="clear" w:color="auto" w:fill="auto"/>
            <w:noWrap/>
            <w:vAlign w:val="center"/>
            <w:hideMark/>
          </w:tcPr>
          <w:p w14:paraId="39DF325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429B7C57"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61FDE0A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63A1739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$88,35</w:t>
            </w:r>
          </w:p>
        </w:tc>
        <w:tc>
          <w:tcPr>
            <w:tcW w:w="461" w:type="pct"/>
            <w:tcBorders>
              <w:top w:val="nil"/>
              <w:left w:val="nil"/>
              <w:bottom w:val="single" w:sz="4" w:space="0" w:color="auto"/>
              <w:right w:val="single" w:sz="4" w:space="0" w:color="auto"/>
            </w:tcBorders>
            <w:shd w:val="clear" w:color="auto" w:fill="auto"/>
            <w:noWrap/>
            <w:vAlign w:val="center"/>
            <w:hideMark/>
          </w:tcPr>
          <w:p w14:paraId="43DB3AE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4C7040E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$82,67</w:t>
            </w:r>
          </w:p>
        </w:tc>
      </w:tr>
      <w:tr w:rsidR="001A38D5" w:rsidRPr="001A38D5" w14:paraId="19CD3BC2"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0C14DCFA"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RENDIMIENTOS FINANCIEROS SGP</w:t>
            </w:r>
          </w:p>
        </w:tc>
        <w:tc>
          <w:tcPr>
            <w:tcW w:w="150" w:type="pct"/>
            <w:tcBorders>
              <w:top w:val="nil"/>
              <w:left w:val="nil"/>
              <w:bottom w:val="single" w:sz="4" w:space="0" w:color="auto"/>
              <w:right w:val="single" w:sz="4" w:space="0" w:color="auto"/>
            </w:tcBorders>
            <w:shd w:val="clear" w:color="auto" w:fill="auto"/>
            <w:noWrap/>
            <w:vAlign w:val="center"/>
            <w:hideMark/>
          </w:tcPr>
          <w:p w14:paraId="176E2BF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$16,00</w:t>
            </w:r>
          </w:p>
        </w:tc>
        <w:tc>
          <w:tcPr>
            <w:tcW w:w="496" w:type="pct"/>
            <w:tcBorders>
              <w:top w:val="nil"/>
              <w:left w:val="nil"/>
              <w:bottom w:val="single" w:sz="4" w:space="0" w:color="auto"/>
              <w:right w:val="single" w:sz="4" w:space="0" w:color="auto"/>
            </w:tcBorders>
            <w:shd w:val="clear" w:color="auto" w:fill="auto"/>
            <w:noWrap/>
            <w:vAlign w:val="center"/>
            <w:hideMark/>
          </w:tcPr>
          <w:p w14:paraId="7898EDE7"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$16,00</w:t>
            </w:r>
          </w:p>
        </w:tc>
        <w:tc>
          <w:tcPr>
            <w:tcW w:w="418" w:type="pct"/>
            <w:tcBorders>
              <w:top w:val="nil"/>
              <w:left w:val="nil"/>
              <w:bottom w:val="single" w:sz="4" w:space="0" w:color="auto"/>
              <w:right w:val="single" w:sz="4" w:space="0" w:color="auto"/>
            </w:tcBorders>
            <w:shd w:val="clear" w:color="auto" w:fill="auto"/>
            <w:noWrap/>
            <w:vAlign w:val="center"/>
            <w:hideMark/>
          </w:tcPr>
          <w:p w14:paraId="1DEBB4F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768995D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1745F821"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724CC541"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$13,71</w:t>
            </w:r>
          </w:p>
        </w:tc>
        <w:tc>
          <w:tcPr>
            <w:tcW w:w="461" w:type="pct"/>
            <w:tcBorders>
              <w:top w:val="nil"/>
              <w:left w:val="nil"/>
              <w:bottom w:val="single" w:sz="4" w:space="0" w:color="auto"/>
              <w:right w:val="single" w:sz="4" w:space="0" w:color="auto"/>
            </w:tcBorders>
            <w:shd w:val="clear" w:color="auto" w:fill="auto"/>
            <w:noWrap/>
            <w:vAlign w:val="center"/>
            <w:hideMark/>
          </w:tcPr>
          <w:p w14:paraId="0638427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75A2F1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$13,08</w:t>
            </w:r>
          </w:p>
        </w:tc>
      </w:tr>
      <w:tr w:rsidR="001A38D5" w:rsidRPr="001A38D5" w14:paraId="7C875B7F"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717A3001"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SGP ALIMENTACION ESCOLAR SALDOS NO EJECUTADOS VIGENCIAS ANTERIORES </w:t>
            </w:r>
          </w:p>
        </w:tc>
        <w:tc>
          <w:tcPr>
            <w:tcW w:w="150" w:type="pct"/>
            <w:tcBorders>
              <w:top w:val="nil"/>
              <w:left w:val="nil"/>
              <w:bottom w:val="single" w:sz="4" w:space="0" w:color="auto"/>
              <w:right w:val="single" w:sz="4" w:space="0" w:color="auto"/>
            </w:tcBorders>
            <w:shd w:val="clear" w:color="auto" w:fill="auto"/>
            <w:noWrap/>
            <w:vAlign w:val="center"/>
            <w:hideMark/>
          </w:tcPr>
          <w:p w14:paraId="77908ED8"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$85,82</w:t>
            </w:r>
          </w:p>
        </w:tc>
        <w:tc>
          <w:tcPr>
            <w:tcW w:w="496" w:type="pct"/>
            <w:tcBorders>
              <w:top w:val="nil"/>
              <w:left w:val="nil"/>
              <w:bottom w:val="single" w:sz="4" w:space="0" w:color="auto"/>
              <w:right w:val="single" w:sz="4" w:space="0" w:color="auto"/>
            </w:tcBorders>
            <w:shd w:val="clear" w:color="auto" w:fill="auto"/>
            <w:noWrap/>
            <w:vAlign w:val="center"/>
            <w:hideMark/>
          </w:tcPr>
          <w:p w14:paraId="7FC4F7A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$85,82</w:t>
            </w:r>
          </w:p>
        </w:tc>
        <w:tc>
          <w:tcPr>
            <w:tcW w:w="418" w:type="pct"/>
            <w:tcBorders>
              <w:top w:val="nil"/>
              <w:left w:val="nil"/>
              <w:bottom w:val="single" w:sz="4" w:space="0" w:color="auto"/>
              <w:right w:val="single" w:sz="4" w:space="0" w:color="auto"/>
            </w:tcBorders>
            <w:shd w:val="clear" w:color="auto" w:fill="auto"/>
            <w:noWrap/>
            <w:vAlign w:val="center"/>
            <w:hideMark/>
          </w:tcPr>
          <w:p w14:paraId="425E370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3730F7E"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602634D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4C5A3F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1D30641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647BCD7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1A38D5" w:rsidRPr="001A38D5" w14:paraId="1BC6EB24"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6FCE1996"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RECURSOS DE INVERSION DEL PGN ASIGNADOS POR UAPA - VIGENCIA ACTUAL </w:t>
            </w:r>
          </w:p>
        </w:tc>
        <w:tc>
          <w:tcPr>
            <w:tcW w:w="150" w:type="pct"/>
            <w:tcBorders>
              <w:top w:val="nil"/>
              <w:left w:val="nil"/>
              <w:bottom w:val="single" w:sz="4" w:space="0" w:color="auto"/>
              <w:right w:val="single" w:sz="4" w:space="0" w:color="auto"/>
            </w:tcBorders>
            <w:shd w:val="clear" w:color="auto" w:fill="auto"/>
            <w:noWrap/>
            <w:vAlign w:val="center"/>
            <w:hideMark/>
          </w:tcPr>
          <w:p w14:paraId="50B8727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$10.637,94</w:t>
            </w:r>
          </w:p>
        </w:tc>
        <w:tc>
          <w:tcPr>
            <w:tcW w:w="496" w:type="pct"/>
            <w:tcBorders>
              <w:top w:val="nil"/>
              <w:left w:val="nil"/>
              <w:bottom w:val="single" w:sz="4" w:space="0" w:color="auto"/>
              <w:right w:val="single" w:sz="4" w:space="0" w:color="auto"/>
            </w:tcBorders>
            <w:shd w:val="clear" w:color="auto" w:fill="auto"/>
            <w:noWrap/>
            <w:vAlign w:val="center"/>
            <w:hideMark/>
          </w:tcPr>
          <w:p w14:paraId="4F0C63D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$10.637,94</w:t>
            </w:r>
          </w:p>
        </w:tc>
        <w:tc>
          <w:tcPr>
            <w:tcW w:w="418" w:type="pct"/>
            <w:tcBorders>
              <w:top w:val="nil"/>
              <w:left w:val="nil"/>
              <w:bottom w:val="single" w:sz="4" w:space="0" w:color="auto"/>
              <w:right w:val="single" w:sz="4" w:space="0" w:color="auto"/>
            </w:tcBorders>
            <w:shd w:val="clear" w:color="auto" w:fill="auto"/>
            <w:noWrap/>
            <w:vAlign w:val="center"/>
            <w:hideMark/>
          </w:tcPr>
          <w:p w14:paraId="295F582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$4.150,78</w:t>
            </w:r>
          </w:p>
        </w:tc>
        <w:tc>
          <w:tcPr>
            <w:tcW w:w="496" w:type="pct"/>
            <w:tcBorders>
              <w:top w:val="nil"/>
              <w:left w:val="nil"/>
              <w:bottom w:val="single" w:sz="4" w:space="0" w:color="auto"/>
              <w:right w:val="single" w:sz="4" w:space="0" w:color="auto"/>
            </w:tcBorders>
            <w:shd w:val="clear" w:color="auto" w:fill="auto"/>
            <w:noWrap/>
            <w:vAlign w:val="center"/>
            <w:hideMark/>
          </w:tcPr>
          <w:p w14:paraId="49C554E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$4.150,78</w:t>
            </w:r>
          </w:p>
        </w:tc>
        <w:tc>
          <w:tcPr>
            <w:tcW w:w="461" w:type="pct"/>
            <w:tcBorders>
              <w:top w:val="nil"/>
              <w:left w:val="nil"/>
              <w:bottom w:val="single" w:sz="4" w:space="0" w:color="auto"/>
              <w:right w:val="single" w:sz="4" w:space="0" w:color="auto"/>
            </w:tcBorders>
            <w:shd w:val="clear" w:color="auto" w:fill="auto"/>
            <w:noWrap/>
            <w:vAlign w:val="center"/>
            <w:hideMark/>
          </w:tcPr>
          <w:p w14:paraId="3256735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$9.781,23</w:t>
            </w:r>
          </w:p>
        </w:tc>
        <w:tc>
          <w:tcPr>
            <w:tcW w:w="496" w:type="pct"/>
            <w:tcBorders>
              <w:top w:val="nil"/>
              <w:left w:val="nil"/>
              <w:bottom w:val="single" w:sz="4" w:space="0" w:color="auto"/>
              <w:right w:val="single" w:sz="4" w:space="0" w:color="auto"/>
            </w:tcBorders>
            <w:shd w:val="clear" w:color="auto" w:fill="auto"/>
            <w:noWrap/>
            <w:vAlign w:val="center"/>
            <w:hideMark/>
          </w:tcPr>
          <w:p w14:paraId="39929EA7"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$9.781,23</w:t>
            </w:r>
          </w:p>
        </w:tc>
        <w:tc>
          <w:tcPr>
            <w:tcW w:w="461" w:type="pct"/>
            <w:tcBorders>
              <w:top w:val="nil"/>
              <w:left w:val="nil"/>
              <w:bottom w:val="single" w:sz="4" w:space="0" w:color="auto"/>
              <w:right w:val="single" w:sz="4" w:space="0" w:color="auto"/>
            </w:tcBorders>
            <w:shd w:val="clear" w:color="auto" w:fill="auto"/>
            <w:noWrap/>
            <w:vAlign w:val="center"/>
            <w:hideMark/>
          </w:tcPr>
          <w:p w14:paraId="48DD374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$7.145,02</w:t>
            </w:r>
          </w:p>
        </w:tc>
        <w:tc>
          <w:tcPr>
            <w:tcW w:w="496" w:type="pct"/>
            <w:tcBorders>
              <w:top w:val="nil"/>
              <w:left w:val="nil"/>
              <w:bottom w:val="single" w:sz="4" w:space="0" w:color="auto"/>
              <w:right w:val="single" w:sz="4" w:space="0" w:color="auto"/>
            </w:tcBorders>
            <w:shd w:val="clear" w:color="auto" w:fill="auto"/>
            <w:noWrap/>
            <w:vAlign w:val="center"/>
            <w:hideMark/>
          </w:tcPr>
          <w:p w14:paraId="699F352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$7.134,02</w:t>
            </w:r>
          </w:p>
        </w:tc>
      </w:tr>
      <w:tr w:rsidR="001A38D5" w:rsidRPr="001A38D5" w14:paraId="3D085B16"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393792FA"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SGP ALIMENTACION ESCOLAR ONCE DOCEAVAS VIGENCIA ACTUAL MAS ULTIMA DOCEAVA VIGENCIA ANTERIOR </w:t>
            </w:r>
          </w:p>
        </w:tc>
        <w:tc>
          <w:tcPr>
            <w:tcW w:w="150" w:type="pct"/>
            <w:tcBorders>
              <w:top w:val="nil"/>
              <w:left w:val="nil"/>
              <w:bottom w:val="single" w:sz="4" w:space="0" w:color="auto"/>
              <w:right w:val="single" w:sz="4" w:space="0" w:color="auto"/>
            </w:tcBorders>
            <w:shd w:val="clear" w:color="auto" w:fill="auto"/>
            <w:noWrap/>
            <w:vAlign w:val="center"/>
            <w:hideMark/>
          </w:tcPr>
          <w:p w14:paraId="240E64ED"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$1.201,81</w:t>
            </w:r>
          </w:p>
        </w:tc>
        <w:tc>
          <w:tcPr>
            <w:tcW w:w="496" w:type="pct"/>
            <w:tcBorders>
              <w:top w:val="nil"/>
              <w:left w:val="nil"/>
              <w:bottom w:val="single" w:sz="4" w:space="0" w:color="auto"/>
              <w:right w:val="single" w:sz="4" w:space="0" w:color="auto"/>
            </w:tcBorders>
            <w:shd w:val="clear" w:color="auto" w:fill="auto"/>
            <w:noWrap/>
            <w:vAlign w:val="center"/>
            <w:hideMark/>
          </w:tcPr>
          <w:p w14:paraId="5742A55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$1.201,81</w:t>
            </w:r>
          </w:p>
        </w:tc>
        <w:tc>
          <w:tcPr>
            <w:tcW w:w="418" w:type="pct"/>
            <w:tcBorders>
              <w:top w:val="nil"/>
              <w:left w:val="nil"/>
              <w:bottom w:val="single" w:sz="4" w:space="0" w:color="auto"/>
              <w:right w:val="single" w:sz="4" w:space="0" w:color="auto"/>
            </w:tcBorders>
            <w:shd w:val="clear" w:color="auto" w:fill="auto"/>
            <w:noWrap/>
            <w:vAlign w:val="center"/>
            <w:hideMark/>
          </w:tcPr>
          <w:p w14:paraId="32CE2B9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$177,84</w:t>
            </w:r>
          </w:p>
        </w:tc>
        <w:tc>
          <w:tcPr>
            <w:tcW w:w="496" w:type="pct"/>
            <w:tcBorders>
              <w:top w:val="nil"/>
              <w:left w:val="nil"/>
              <w:bottom w:val="single" w:sz="4" w:space="0" w:color="auto"/>
              <w:right w:val="single" w:sz="4" w:space="0" w:color="auto"/>
            </w:tcBorders>
            <w:shd w:val="clear" w:color="auto" w:fill="auto"/>
            <w:noWrap/>
            <w:vAlign w:val="center"/>
            <w:hideMark/>
          </w:tcPr>
          <w:p w14:paraId="2A6AF4AE"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$177,84</w:t>
            </w:r>
          </w:p>
        </w:tc>
        <w:tc>
          <w:tcPr>
            <w:tcW w:w="461" w:type="pct"/>
            <w:tcBorders>
              <w:top w:val="nil"/>
              <w:left w:val="nil"/>
              <w:bottom w:val="single" w:sz="4" w:space="0" w:color="auto"/>
              <w:right w:val="single" w:sz="4" w:space="0" w:color="auto"/>
            </w:tcBorders>
            <w:shd w:val="clear" w:color="auto" w:fill="auto"/>
            <w:noWrap/>
            <w:vAlign w:val="center"/>
            <w:hideMark/>
          </w:tcPr>
          <w:p w14:paraId="6439933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c>
          <w:tcPr>
            <w:tcW w:w="496" w:type="pct"/>
            <w:tcBorders>
              <w:top w:val="nil"/>
              <w:left w:val="nil"/>
              <w:bottom w:val="single" w:sz="4" w:space="0" w:color="auto"/>
              <w:right w:val="single" w:sz="4" w:space="0" w:color="auto"/>
            </w:tcBorders>
            <w:shd w:val="clear" w:color="auto" w:fill="auto"/>
            <w:noWrap/>
            <w:vAlign w:val="center"/>
            <w:hideMark/>
          </w:tcPr>
          <w:p w14:paraId="0FD1CDA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c>
          <w:tcPr>
            <w:tcW w:w="461" w:type="pct"/>
            <w:tcBorders>
              <w:top w:val="nil"/>
              <w:left w:val="nil"/>
              <w:bottom w:val="single" w:sz="4" w:space="0" w:color="auto"/>
              <w:right w:val="single" w:sz="4" w:space="0" w:color="auto"/>
            </w:tcBorders>
            <w:shd w:val="clear" w:color="auto" w:fill="auto"/>
            <w:noWrap/>
            <w:vAlign w:val="center"/>
            <w:hideMark/>
          </w:tcPr>
          <w:p w14:paraId="7ECB07E8"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c>
          <w:tcPr>
            <w:tcW w:w="496" w:type="pct"/>
            <w:tcBorders>
              <w:top w:val="nil"/>
              <w:left w:val="nil"/>
              <w:bottom w:val="single" w:sz="4" w:space="0" w:color="auto"/>
              <w:right w:val="single" w:sz="4" w:space="0" w:color="auto"/>
            </w:tcBorders>
            <w:shd w:val="clear" w:color="auto" w:fill="auto"/>
            <w:noWrap/>
            <w:vAlign w:val="center"/>
            <w:hideMark/>
          </w:tcPr>
          <w:p w14:paraId="4DFB4EB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r>
      <w:tr w:rsidR="001A38D5" w:rsidRPr="001A38D5" w14:paraId="202EFCC7"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049B3E34"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RECURSOS DE INVERSION DEL PGN ASIGNADOS POR MEN / UAPA - VIGENCIAS ANTERIORES </w:t>
            </w:r>
          </w:p>
        </w:tc>
        <w:tc>
          <w:tcPr>
            <w:tcW w:w="150" w:type="pct"/>
            <w:tcBorders>
              <w:top w:val="nil"/>
              <w:left w:val="nil"/>
              <w:bottom w:val="single" w:sz="4" w:space="0" w:color="auto"/>
              <w:right w:val="single" w:sz="4" w:space="0" w:color="auto"/>
            </w:tcBorders>
            <w:shd w:val="clear" w:color="auto" w:fill="auto"/>
            <w:noWrap/>
            <w:vAlign w:val="center"/>
            <w:hideMark/>
          </w:tcPr>
          <w:p w14:paraId="52ADF0E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$1.337,44</w:t>
            </w:r>
          </w:p>
        </w:tc>
        <w:tc>
          <w:tcPr>
            <w:tcW w:w="496" w:type="pct"/>
            <w:tcBorders>
              <w:top w:val="nil"/>
              <w:left w:val="nil"/>
              <w:bottom w:val="single" w:sz="4" w:space="0" w:color="auto"/>
              <w:right w:val="single" w:sz="4" w:space="0" w:color="auto"/>
            </w:tcBorders>
            <w:shd w:val="clear" w:color="auto" w:fill="auto"/>
            <w:noWrap/>
            <w:vAlign w:val="center"/>
            <w:hideMark/>
          </w:tcPr>
          <w:p w14:paraId="75FEFD71"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$1.337,44</w:t>
            </w:r>
          </w:p>
        </w:tc>
        <w:tc>
          <w:tcPr>
            <w:tcW w:w="418" w:type="pct"/>
            <w:tcBorders>
              <w:top w:val="nil"/>
              <w:left w:val="nil"/>
              <w:bottom w:val="single" w:sz="4" w:space="0" w:color="auto"/>
              <w:right w:val="single" w:sz="4" w:space="0" w:color="auto"/>
            </w:tcBorders>
            <w:shd w:val="clear" w:color="auto" w:fill="auto"/>
            <w:noWrap/>
            <w:vAlign w:val="center"/>
            <w:hideMark/>
          </w:tcPr>
          <w:p w14:paraId="524DD51B"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0EF54CC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738FD55E"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$1.172,85</w:t>
            </w:r>
          </w:p>
        </w:tc>
        <w:tc>
          <w:tcPr>
            <w:tcW w:w="496" w:type="pct"/>
            <w:tcBorders>
              <w:top w:val="nil"/>
              <w:left w:val="nil"/>
              <w:bottom w:val="single" w:sz="4" w:space="0" w:color="auto"/>
              <w:right w:val="single" w:sz="4" w:space="0" w:color="auto"/>
            </w:tcBorders>
            <w:shd w:val="clear" w:color="auto" w:fill="auto"/>
            <w:noWrap/>
            <w:vAlign w:val="center"/>
            <w:hideMark/>
          </w:tcPr>
          <w:p w14:paraId="6FF97E3E"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$1.172,85</w:t>
            </w:r>
          </w:p>
        </w:tc>
        <w:tc>
          <w:tcPr>
            <w:tcW w:w="461" w:type="pct"/>
            <w:tcBorders>
              <w:top w:val="nil"/>
              <w:left w:val="nil"/>
              <w:bottom w:val="single" w:sz="4" w:space="0" w:color="auto"/>
              <w:right w:val="single" w:sz="4" w:space="0" w:color="auto"/>
            </w:tcBorders>
            <w:shd w:val="clear" w:color="auto" w:fill="auto"/>
            <w:noWrap/>
            <w:vAlign w:val="center"/>
            <w:hideMark/>
          </w:tcPr>
          <w:p w14:paraId="516CFD8B"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$404,48</w:t>
            </w:r>
          </w:p>
        </w:tc>
        <w:tc>
          <w:tcPr>
            <w:tcW w:w="496" w:type="pct"/>
            <w:tcBorders>
              <w:top w:val="nil"/>
              <w:left w:val="nil"/>
              <w:bottom w:val="single" w:sz="4" w:space="0" w:color="auto"/>
              <w:right w:val="single" w:sz="4" w:space="0" w:color="auto"/>
            </w:tcBorders>
            <w:shd w:val="clear" w:color="auto" w:fill="auto"/>
            <w:noWrap/>
            <w:vAlign w:val="center"/>
            <w:hideMark/>
          </w:tcPr>
          <w:p w14:paraId="5D47A26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$404,48</w:t>
            </w:r>
          </w:p>
        </w:tc>
      </w:tr>
      <w:tr w:rsidR="001A38D5" w:rsidRPr="001A38D5" w14:paraId="6DC421A0"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45A41537"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RECURSOS PROPIOS DE LA ENTIDAD TERRITORIAL </w:t>
            </w:r>
          </w:p>
        </w:tc>
        <w:tc>
          <w:tcPr>
            <w:tcW w:w="150" w:type="pct"/>
            <w:tcBorders>
              <w:top w:val="nil"/>
              <w:left w:val="nil"/>
              <w:bottom w:val="single" w:sz="4" w:space="0" w:color="auto"/>
              <w:right w:val="single" w:sz="4" w:space="0" w:color="auto"/>
            </w:tcBorders>
            <w:shd w:val="clear" w:color="auto" w:fill="auto"/>
            <w:noWrap/>
            <w:vAlign w:val="center"/>
            <w:hideMark/>
          </w:tcPr>
          <w:p w14:paraId="42CEBE4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$2.100,00</w:t>
            </w:r>
          </w:p>
        </w:tc>
        <w:tc>
          <w:tcPr>
            <w:tcW w:w="496" w:type="pct"/>
            <w:tcBorders>
              <w:top w:val="nil"/>
              <w:left w:val="nil"/>
              <w:bottom w:val="single" w:sz="4" w:space="0" w:color="auto"/>
              <w:right w:val="single" w:sz="4" w:space="0" w:color="auto"/>
            </w:tcBorders>
            <w:shd w:val="clear" w:color="auto" w:fill="auto"/>
            <w:noWrap/>
            <w:vAlign w:val="center"/>
            <w:hideMark/>
          </w:tcPr>
          <w:p w14:paraId="1066F88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$2.100,00</w:t>
            </w:r>
          </w:p>
        </w:tc>
        <w:tc>
          <w:tcPr>
            <w:tcW w:w="418" w:type="pct"/>
            <w:tcBorders>
              <w:top w:val="nil"/>
              <w:left w:val="nil"/>
              <w:bottom w:val="single" w:sz="4" w:space="0" w:color="auto"/>
              <w:right w:val="single" w:sz="4" w:space="0" w:color="auto"/>
            </w:tcBorders>
            <w:shd w:val="clear" w:color="auto" w:fill="auto"/>
            <w:noWrap/>
            <w:vAlign w:val="center"/>
            <w:hideMark/>
          </w:tcPr>
          <w:p w14:paraId="5958E5C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4273C681"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6E931A1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$3.707,96</w:t>
            </w:r>
          </w:p>
        </w:tc>
        <w:tc>
          <w:tcPr>
            <w:tcW w:w="496" w:type="pct"/>
            <w:tcBorders>
              <w:top w:val="nil"/>
              <w:left w:val="nil"/>
              <w:bottom w:val="single" w:sz="4" w:space="0" w:color="auto"/>
              <w:right w:val="single" w:sz="4" w:space="0" w:color="auto"/>
            </w:tcBorders>
            <w:shd w:val="clear" w:color="auto" w:fill="auto"/>
            <w:noWrap/>
            <w:vAlign w:val="center"/>
            <w:hideMark/>
          </w:tcPr>
          <w:p w14:paraId="1C5C5B97"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$3.707,96</w:t>
            </w:r>
          </w:p>
        </w:tc>
        <w:tc>
          <w:tcPr>
            <w:tcW w:w="461" w:type="pct"/>
            <w:tcBorders>
              <w:top w:val="nil"/>
              <w:left w:val="nil"/>
              <w:bottom w:val="single" w:sz="4" w:space="0" w:color="auto"/>
              <w:right w:val="single" w:sz="4" w:space="0" w:color="auto"/>
            </w:tcBorders>
            <w:shd w:val="clear" w:color="auto" w:fill="auto"/>
            <w:noWrap/>
            <w:vAlign w:val="center"/>
            <w:hideMark/>
          </w:tcPr>
          <w:p w14:paraId="1E32801B"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$1.750,00</w:t>
            </w:r>
          </w:p>
        </w:tc>
        <w:tc>
          <w:tcPr>
            <w:tcW w:w="496" w:type="pct"/>
            <w:tcBorders>
              <w:top w:val="nil"/>
              <w:left w:val="nil"/>
              <w:bottom w:val="single" w:sz="4" w:space="0" w:color="auto"/>
              <w:right w:val="single" w:sz="4" w:space="0" w:color="auto"/>
            </w:tcBorders>
            <w:shd w:val="clear" w:color="auto" w:fill="auto"/>
            <w:noWrap/>
            <w:vAlign w:val="center"/>
            <w:hideMark/>
          </w:tcPr>
          <w:p w14:paraId="126953E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$1.750,00</w:t>
            </w:r>
          </w:p>
        </w:tc>
      </w:tr>
      <w:tr w:rsidR="001A38D5" w:rsidRPr="001A38D5" w14:paraId="3D33EE27"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184AE220"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OTROS SGP RECURSOS ASIGNADOS POR SGP DIFERENTES A SGP - ALIMENTACION ESCOLAR </w:t>
            </w:r>
          </w:p>
        </w:tc>
        <w:tc>
          <w:tcPr>
            <w:tcW w:w="150" w:type="pct"/>
            <w:tcBorders>
              <w:top w:val="nil"/>
              <w:left w:val="nil"/>
              <w:bottom w:val="single" w:sz="4" w:space="0" w:color="auto"/>
              <w:right w:val="single" w:sz="4" w:space="0" w:color="auto"/>
            </w:tcBorders>
            <w:shd w:val="clear" w:color="auto" w:fill="auto"/>
            <w:noWrap/>
            <w:vAlign w:val="center"/>
            <w:hideMark/>
          </w:tcPr>
          <w:p w14:paraId="0BD1A7C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$405,00</w:t>
            </w:r>
          </w:p>
        </w:tc>
        <w:tc>
          <w:tcPr>
            <w:tcW w:w="496" w:type="pct"/>
            <w:tcBorders>
              <w:top w:val="nil"/>
              <w:left w:val="nil"/>
              <w:bottom w:val="single" w:sz="4" w:space="0" w:color="auto"/>
              <w:right w:val="single" w:sz="4" w:space="0" w:color="auto"/>
            </w:tcBorders>
            <w:shd w:val="clear" w:color="auto" w:fill="auto"/>
            <w:noWrap/>
            <w:vAlign w:val="center"/>
            <w:hideMark/>
          </w:tcPr>
          <w:p w14:paraId="051EB2C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$405,00</w:t>
            </w:r>
          </w:p>
        </w:tc>
        <w:tc>
          <w:tcPr>
            <w:tcW w:w="418" w:type="pct"/>
            <w:tcBorders>
              <w:top w:val="nil"/>
              <w:left w:val="nil"/>
              <w:bottom w:val="single" w:sz="4" w:space="0" w:color="auto"/>
              <w:right w:val="single" w:sz="4" w:space="0" w:color="auto"/>
            </w:tcBorders>
            <w:shd w:val="clear" w:color="auto" w:fill="auto"/>
            <w:noWrap/>
            <w:vAlign w:val="center"/>
            <w:hideMark/>
          </w:tcPr>
          <w:p w14:paraId="05BD06DD"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FBCF0D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4E70A73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$1.575,52</w:t>
            </w:r>
          </w:p>
        </w:tc>
        <w:tc>
          <w:tcPr>
            <w:tcW w:w="496" w:type="pct"/>
            <w:tcBorders>
              <w:top w:val="nil"/>
              <w:left w:val="nil"/>
              <w:bottom w:val="single" w:sz="4" w:space="0" w:color="auto"/>
              <w:right w:val="single" w:sz="4" w:space="0" w:color="auto"/>
            </w:tcBorders>
            <w:shd w:val="clear" w:color="auto" w:fill="auto"/>
            <w:noWrap/>
            <w:vAlign w:val="center"/>
            <w:hideMark/>
          </w:tcPr>
          <w:p w14:paraId="52CD03BD"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$1.575,52</w:t>
            </w:r>
          </w:p>
        </w:tc>
        <w:tc>
          <w:tcPr>
            <w:tcW w:w="461" w:type="pct"/>
            <w:tcBorders>
              <w:top w:val="nil"/>
              <w:left w:val="nil"/>
              <w:bottom w:val="single" w:sz="4" w:space="0" w:color="auto"/>
              <w:right w:val="single" w:sz="4" w:space="0" w:color="auto"/>
            </w:tcBorders>
            <w:shd w:val="clear" w:color="auto" w:fill="auto"/>
            <w:noWrap/>
            <w:vAlign w:val="center"/>
            <w:hideMark/>
          </w:tcPr>
          <w:p w14:paraId="1E153A1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$1.472,09</w:t>
            </w:r>
          </w:p>
        </w:tc>
        <w:tc>
          <w:tcPr>
            <w:tcW w:w="496" w:type="pct"/>
            <w:tcBorders>
              <w:top w:val="nil"/>
              <w:left w:val="nil"/>
              <w:bottom w:val="single" w:sz="4" w:space="0" w:color="auto"/>
              <w:right w:val="single" w:sz="4" w:space="0" w:color="auto"/>
            </w:tcBorders>
            <w:shd w:val="clear" w:color="auto" w:fill="auto"/>
            <w:noWrap/>
            <w:vAlign w:val="center"/>
            <w:hideMark/>
          </w:tcPr>
          <w:p w14:paraId="2F612778"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$1.472,09</w:t>
            </w:r>
          </w:p>
        </w:tc>
      </w:tr>
      <w:tr w:rsidR="001A38D5" w:rsidRPr="001A38D5" w14:paraId="1157FFDE"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0C44138E"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RECURSOS ASIGNADOS POR EL DEPARTAMENTO </w:t>
            </w:r>
          </w:p>
        </w:tc>
        <w:tc>
          <w:tcPr>
            <w:tcW w:w="150" w:type="pct"/>
            <w:tcBorders>
              <w:top w:val="nil"/>
              <w:left w:val="nil"/>
              <w:bottom w:val="single" w:sz="4" w:space="0" w:color="auto"/>
              <w:right w:val="single" w:sz="4" w:space="0" w:color="auto"/>
            </w:tcBorders>
            <w:shd w:val="clear" w:color="auto" w:fill="auto"/>
            <w:noWrap/>
            <w:vAlign w:val="center"/>
            <w:hideMark/>
          </w:tcPr>
          <w:p w14:paraId="2AAEE9B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1348844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18" w:type="pct"/>
            <w:tcBorders>
              <w:top w:val="nil"/>
              <w:left w:val="nil"/>
              <w:bottom w:val="single" w:sz="4" w:space="0" w:color="auto"/>
              <w:right w:val="single" w:sz="4" w:space="0" w:color="auto"/>
            </w:tcBorders>
            <w:shd w:val="clear" w:color="auto" w:fill="auto"/>
            <w:noWrap/>
            <w:vAlign w:val="center"/>
            <w:hideMark/>
          </w:tcPr>
          <w:p w14:paraId="60080C48"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2FCC1A9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44251D6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$547,93</w:t>
            </w:r>
          </w:p>
        </w:tc>
        <w:tc>
          <w:tcPr>
            <w:tcW w:w="496" w:type="pct"/>
            <w:tcBorders>
              <w:top w:val="nil"/>
              <w:left w:val="nil"/>
              <w:bottom w:val="single" w:sz="4" w:space="0" w:color="auto"/>
              <w:right w:val="single" w:sz="4" w:space="0" w:color="auto"/>
            </w:tcBorders>
            <w:shd w:val="clear" w:color="auto" w:fill="auto"/>
            <w:noWrap/>
            <w:vAlign w:val="center"/>
            <w:hideMark/>
          </w:tcPr>
          <w:p w14:paraId="5EE5A646"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2B28AB9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$108,77</w:t>
            </w:r>
          </w:p>
        </w:tc>
        <w:tc>
          <w:tcPr>
            <w:tcW w:w="496" w:type="pct"/>
            <w:tcBorders>
              <w:top w:val="nil"/>
              <w:left w:val="nil"/>
              <w:bottom w:val="single" w:sz="4" w:space="0" w:color="auto"/>
              <w:right w:val="single" w:sz="4" w:space="0" w:color="auto"/>
            </w:tcBorders>
            <w:shd w:val="clear" w:color="auto" w:fill="auto"/>
            <w:noWrap/>
            <w:vAlign w:val="center"/>
            <w:hideMark/>
          </w:tcPr>
          <w:p w14:paraId="524A8EE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1A38D5" w:rsidRPr="001A38D5" w14:paraId="15FE6A36"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77FFAEFA"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OTROS SGP RECURSOS ASIGNADOS POR SGP DIFERENTES A SGP - ALIMENTACION ESCOLAR </w:t>
            </w:r>
          </w:p>
        </w:tc>
        <w:tc>
          <w:tcPr>
            <w:tcW w:w="150" w:type="pct"/>
            <w:tcBorders>
              <w:top w:val="nil"/>
              <w:left w:val="nil"/>
              <w:bottom w:val="single" w:sz="4" w:space="0" w:color="auto"/>
              <w:right w:val="single" w:sz="4" w:space="0" w:color="auto"/>
            </w:tcBorders>
            <w:shd w:val="clear" w:color="auto" w:fill="auto"/>
            <w:noWrap/>
            <w:vAlign w:val="center"/>
            <w:hideMark/>
          </w:tcPr>
          <w:p w14:paraId="26E8AA07"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46CF961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18" w:type="pct"/>
            <w:tcBorders>
              <w:top w:val="nil"/>
              <w:left w:val="nil"/>
              <w:bottom w:val="single" w:sz="4" w:space="0" w:color="auto"/>
              <w:right w:val="single" w:sz="4" w:space="0" w:color="auto"/>
            </w:tcBorders>
            <w:shd w:val="clear" w:color="auto" w:fill="auto"/>
            <w:noWrap/>
            <w:vAlign w:val="center"/>
            <w:hideMark/>
          </w:tcPr>
          <w:p w14:paraId="24BE28D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2E312E80"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2FD1A40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188EEEAC"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$432,85</w:t>
            </w:r>
          </w:p>
        </w:tc>
        <w:tc>
          <w:tcPr>
            <w:tcW w:w="461" w:type="pct"/>
            <w:tcBorders>
              <w:top w:val="nil"/>
              <w:left w:val="nil"/>
              <w:bottom w:val="single" w:sz="4" w:space="0" w:color="auto"/>
              <w:right w:val="single" w:sz="4" w:space="0" w:color="auto"/>
            </w:tcBorders>
            <w:shd w:val="clear" w:color="auto" w:fill="auto"/>
            <w:noWrap/>
            <w:vAlign w:val="center"/>
            <w:hideMark/>
          </w:tcPr>
          <w:p w14:paraId="3E670A8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120CF42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1A38D5" w:rsidRPr="001A38D5" w14:paraId="5BFA5154"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5C3D5363"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OTROS RECURSOS POR SGP DIFERENTES A ALIMENTACION ESCOLAR </w:t>
            </w:r>
          </w:p>
        </w:tc>
        <w:tc>
          <w:tcPr>
            <w:tcW w:w="150" w:type="pct"/>
            <w:tcBorders>
              <w:top w:val="nil"/>
              <w:left w:val="nil"/>
              <w:bottom w:val="single" w:sz="4" w:space="0" w:color="auto"/>
              <w:right w:val="single" w:sz="4" w:space="0" w:color="auto"/>
            </w:tcBorders>
            <w:shd w:val="clear" w:color="auto" w:fill="auto"/>
            <w:noWrap/>
            <w:vAlign w:val="center"/>
            <w:hideMark/>
          </w:tcPr>
          <w:p w14:paraId="37B4D887"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2FE38B8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18" w:type="pct"/>
            <w:tcBorders>
              <w:top w:val="nil"/>
              <w:left w:val="nil"/>
              <w:bottom w:val="single" w:sz="4" w:space="0" w:color="auto"/>
              <w:right w:val="single" w:sz="4" w:space="0" w:color="auto"/>
            </w:tcBorders>
            <w:shd w:val="clear" w:color="auto" w:fill="auto"/>
            <w:noWrap/>
            <w:vAlign w:val="center"/>
            <w:hideMark/>
          </w:tcPr>
          <w:p w14:paraId="476CCE1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42B924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0697E85E"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$1.204,00</w:t>
            </w:r>
          </w:p>
        </w:tc>
        <w:tc>
          <w:tcPr>
            <w:tcW w:w="496" w:type="pct"/>
            <w:tcBorders>
              <w:top w:val="nil"/>
              <w:left w:val="nil"/>
              <w:bottom w:val="single" w:sz="4" w:space="0" w:color="auto"/>
              <w:right w:val="single" w:sz="4" w:space="0" w:color="auto"/>
            </w:tcBorders>
            <w:shd w:val="clear" w:color="auto" w:fill="auto"/>
            <w:noWrap/>
            <w:vAlign w:val="center"/>
            <w:hideMark/>
          </w:tcPr>
          <w:p w14:paraId="0CBA1C91"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$650,00</w:t>
            </w:r>
          </w:p>
        </w:tc>
        <w:tc>
          <w:tcPr>
            <w:tcW w:w="461" w:type="pct"/>
            <w:tcBorders>
              <w:top w:val="nil"/>
              <w:left w:val="nil"/>
              <w:bottom w:val="single" w:sz="4" w:space="0" w:color="auto"/>
              <w:right w:val="single" w:sz="4" w:space="0" w:color="auto"/>
            </w:tcBorders>
            <w:shd w:val="clear" w:color="auto" w:fill="auto"/>
            <w:noWrap/>
            <w:vAlign w:val="center"/>
            <w:hideMark/>
          </w:tcPr>
          <w:p w14:paraId="5AE6A5EA"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$650,00</w:t>
            </w:r>
          </w:p>
        </w:tc>
        <w:tc>
          <w:tcPr>
            <w:tcW w:w="496" w:type="pct"/>
            <w:tcBorders>
              <w:top w:val="nil"/>
              <w:left w:val="nil"/>
              <w:bottom w:val="single" w:sz="4" w:space="0" w:color="auto"/>
              <w:right w:val="single" w:sz="4" w:space="0" w:color="auto"/>
            </w:tcBorders>
            <w:shd w:val="clear" w:color="auto" w:fill="auto"/>
            <w:noWrap/>
            <w:vAlign w:val="center"/>
            <w:hideMark/>
          </w:tcPr>
          <w:p w14:paraId="5D77E78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$650,00</w:t>
            </w:r>
          </w:p>
        </w:tc>
      </w:tr>
      <w:tr w:rsidR="001A38D5" w:rsidRPr="001A38D5" w14:paraId="525AA1EA" w14:textId="77777777" w:rsidTr="00A20990">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2D0EE633"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OTROS RECURSOS POR SGP DIFERENTES A ALIMENTACION ESCOLAR </w:t>
            </w:r>
          </w:p>
        </w:tc>
        <w:tc>
          <w:tcPr>
            <w:tcW w:w="150" w:type="pct"/>
            <w:tcBorders>
              <w:top w:val="nil"/>
              <w:left w:val="nil"/>
              <w:bottom w:val="single" w:sz="4" w:space="0" w:color="auto"/>
              <w:right w:val="single" w:sz="4" w:space="0" w:color="auto"/>
            </w:tcBorders>
            <w:shd w:val="clear" w:color="auto" w:fill="auto"/>
            <w:noWrap/>
            <w:vAlign w:val="center"/>
            <w:hideMark/>
          </w:tcPr>
          <w:p w14:paraId="2FA1EE7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7246576B"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18" w:type="pct"/>
            <w:tcBorders>
              <w:top w:val="nil"/>
              <w:left w:val="nil"/>
              <w:bottom w:val="single" w:sz="4" w:space="0" w:color="auto"/>
              <w:right w:val="single" w:sz="4" w:space="0" w:color="auto"/>
            </w:tcBorders>
            <w:shd w:val="clear" w:color="auto" w:fill="auto"/>
            <w:noWrap/>
            <w:vAlign w:val="center"/>
            <w:hideMark/>
          </w:tcPr>
          <w:p w14:paraId="0F949E4F"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5389E8AE"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6CB04CF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4284FC2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$554,00</w:t>
            </w:r>
          </w:p>
        </w:tc>
        <w:tc>
          <w:tcPr>
            <w:tcW w:w="461" w:type="pct"/>
            <w:tcBorders>
              <w:top w:val="nil"/>
              <w:left w:val="nil"/>
              <w:bottom w:val="single" w:sz="4" w:space="0" w:color="auto"/>
              <w:right w:val="single" w:sz="4" w:space="0" w:color="auto"/>
            </w:tcBorders>
            <w:shd w:val="clear" w:color="auto" w:fill="auto"/>
            <w:noWrap/>
            <w:vAlign w:val="center"/>
            <w:hideMark/>
          </w:tcPr>
          <w:p w14:paraId="02C9C048"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10E23D69"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1A38D5" w:rsidRPr="001A38D5" w14:paraId="678823C3" w14:textId="77777777" w:rsidTr="00B23E6E">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7A026466" w14:textId="77777777" w:rsidR="00A20990" w:rsidRPr="001A38D5" w:rsidRDefault="00A20990"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RECURSOS DEL SISTEMA GENERAL DE REGALIAS </w:t>
            </w:r>
          </w:p>
        </w:tc>
        <w:tc>
          <w:tcPr>
            <w:tcW w:w="150" w:type="pct"/>
            <w:tcBorders>
              <w:top w:val="nil"/>
              <w:left w:val="nil"/>
              <w:bottom w:val="single" w:sz="4" w:space="0" w:color="auto"/>
              <w:right w:val="single" w:sz="4" w:space="0" w:color="auto"/>
            </w:tcBorders>
            <w:shd w:val="clear" w:color="auto" w:fill="auto"/>
            <w:noWrap/>
            <w:vAlign w:val="center"/>
            <w:hideMark/>
          </w:tcPr>
          <w:p w14:paraId="48D2877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4FA34448"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18" w:type="pct"/>
            <w:tcBorders>
              <w:top w:val="nil"/>
              <w:left w:val="nil"/>
              <w:bottom w:val="single" w:sz="4" w:space="0" w:color="auto"/>
              <w:right w:val="single" w:sz="4" w:space="0" w:color="auto"/>
            </w:tcBorders>
            <w:shd w:val="clear" w:color="auto" w:fill="auto"/>
            <w:noWrap/>
            <w:vAlign w:val="center"/>
            <w:hideMark/>
          </w:tcPr>
          <w:p w14:paraId="457F618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42CCB2E2"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41F76F34"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$6.840,76</w:t>
            </w:r>
          </w:p>
        </w:tc>
        <w:tc>
          <w:tcPr>
            <w:tcW w:w="496" w:type="pct"/>
            <w:tcBorders>
              <w:top w:val="nil"/>
              <w:left w:val="nil"/>
              <w:bottom w:val="single" w:sz="4" w:space="0" w:color="auto"/>
              <w:right w:val="single" w:sz="4" w:space="0" w:color="auto"/>
            </w:tcBorders>
            <w:shd w:val="clear" w:color="auto" w:fill="auto"/>
            <w:noWrap/>
            <w:vAlign w:val="center"/>
            <w:hideMark/>
          </w:tcPr>
          <w:p w14:paraId="4C71F555"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$6.840,76</w:t>
            </w:r>
          </w:p>
        </w:tc>
        <w:tc>
          <w:tcPr>
            <w:tcW w:w="461" w:type="pct"/>
            <w:tcBorders>
              <w:top w:val="nil"/>
              <w:left w:val="nil"/>
              <w:bottom w:val="single" w:sz="4" w:space="0" w:color="auto"/>
              <w:right w:val="single" w:sz="4" w:space="0" w:color="auto"/>
            </w:tcBorders>
            <w:shd w:val="clear" w:color="auto" w:fill="auto"/>
            <w:noWrap/>
            <w:vAlign w:val="center"/>
            <w:hideMark/>
          </w:tcPr>
          <w:p w14:paraId="4ADD96BE"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1ECE133" w14:textId="77777777" w:rsidR="00A20990" w:rsidRPr="001A38D5" w:rsidRDefault="00A20990"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1A38D5" w:rsidRPr="001A38D5" w14:paraId="6F9EB34D" w14:textId="77777777" w:rsidTr="00B23E6E">
        <w:trPr>
          <w:trHeight w:val="20"/>
          <w:jc w:val="center"/>
        </w:trPr>
        <w:tc>
          <w:tcPr>
            <w:tcW w:w="152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CD0DF8E"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Total general</w:t>
            </w:r>
          </w:p>
        </w:tc>
        <w:tc>
          <w:tcPr>
            <w:tcW w:w="150" w:type="pct"/>
            <w:tcBorders>
              <w:top w:val="single" w:sz="4" w:space="0" w:color="auto"/>
              <w:left w:val="nil"/>
              <w:bottom w:val="single" w:sz="4" w:space="0" w:color="auto"/>
              <w:right w:val="single" w:sz="4" w:space="0" w:color="auto"/>
            </w:tcBorders>
            <w:shd w:val="clear" w:color="000000" w:fill="FFC000"/>
            <w:noWrap/>
            <w:vAlign w:val="center"/>
            <w:hideMark/>
          </w:tcPr>
          <w:p w14:paraId="241D441F"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$16.595,34</w:t>
            </w:r>
          </w:p>
        </w:tc>
        <w:tc>
          <w:tcPr>
            <w:tcW w:w="496" w:type="pct"/>
            <w:tcBorders>
              <w:top w:val="single" w:sz="4" w:space="0" w:color="auto"/>
              <w:left w:val="nil"/>
              <w:bottom w:val="single" w:sz="4" w:space="0" w:color="auto"/>
              <w:right w:val="single" w:sz="4" w:space="0" w:color="auto"/>
            </w:tcBorders>
            <w:shd w:val="clear" w:color="000000" w:fill="FFC000"/>
            <w:noWrap/>
            <w:vAlign w:val="center"/>
            <w:hideMark/>
          </w:tcPr>
          <w:p w14:paraId="11CB24B8"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$16.595,34</w:t>
            </w:r>
          </w:p>
        </w:tc>
        <w:tc>
          <w:tcPr>
            <w:tcW w:w="418" w:type="pct"/>
            <w:tcBorders>
              <w:top w:val="single" w:sz="4" w:space="0" w:color="auto"/>
              <w:left w:val="nil"/>
              <w:bottom w:val="single" w:sz="4" w:space="0" w:color="auto"/>
              <w:right w:val="single" w:sz="4" w:space="0" w:color="auto"/>
            </w:tcBorders>
            <w:shd w:val="clear" w:color="000000" w:fill="FFC000"/>
            <w:noWrap/>
            <w:vAlign w:val="center"/>
            <w:hideMark/>
          </w:tcPr>
          <w:p w14:paraId="394C56F3"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$4.878,62</w:t>
            </w:r>
          </w:p>
        </w:tc>
        <w:tc>
          <w:tcPr>
            <w:tcW w:w="496" w:type="pct"/>
            <w:tcBorders>
              <w:top w:val="single" w:sz="4" w:space="0" w:color="auto"/>
              <w:left w:val="nil"/>
              <w:bottom w:val="single" w:sz="4" w:space="0" w:color="auto"/>
              <w:right w:val="single" w:sz="4" w:space="0" w:color="auto"/>
            </w:tcBorders>
            <w:shd w:val="clear" w:color="000000" w:fill="FFC000"/>
            <w:noWrap/>
            <w:vAlign w:val="center"/>
            <w:hideMark/>
          </w:tcPr>
          <w:p w14:paraId="40B07348"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$4.878,62</w:t>
            </w:r>
          </w:p>
        </w:tc>
        <w:tc>
          <w:tcPr>
            <w:tcW w:w="461" w:type="pct"/>
            <w:tcBorders>
              <w:top w:val="single" w:sz="4" w:space="0" w:color="auto"/>
              <w:left w:val="nil"/>
              <w:bottom w:val="single" w:sz="4" w:space="0" w:color="auto"/>
              <w:right w:val="single" w:sz="4" w:space="0" w:color="auto"/>
            </w:tcBorders>
            <w:shd w:val="clear" w:color="000000" w:fill="FFC000"/>
            <w:noWrap/>
            <w:vAlign w:val="center"/>
            <w:hideMark/>
          </w:tcPr>
          <w:p w14:paraId="4C43642D"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$25.933,75</w:t>
            </w:r>
          </w:p>
        </w:tc>
        <w:tc>
          <w:tcPr>
            <w:tcW w:w="496" w:type="pct"/>
            <w:tcBorders>
              <w:top w:val="single" w:sz="4" w:space="0" w:color="auto"/>
              <w:left w:val="nil"/>
              <w:bottom w:val="single" w:sz="4" w:space="0" w:color="auto"/>
              <w:right w:val="single" w:sz="4" w:space="0" w:color="auto"/>
            </w:tcBorders>
            <w:shd w:val="clear" w:color="000000" w:fill="FFC000"/>
            <w:noWrap/>
            <w:vAlign w:val="center"/>
            <w:hideMark/>
          </w:tcPr>
          <w:p w14:paraId="5066F614"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$25.933,75</w:t>
            </w:r>
          </w:p>
        </w:tc>
        <w:tc>
          <w:tcPr>
            <w:tcW w:w="461" w:type="pct"/>
            <w:tcBorders>
              <w:top w:val="single" w:sz="4" w:space="0" w:color="auto"/>
              <w:left w:val="nil"/>
              <w:bottom w:val="single" w:sz="4" w:space="0" w:color="auto"/>
              <w:right w:val="single" w:sz="4" w:space="0" w:color="auto"/>
            </w:tcBorders>
            <w:shd w:val="clear" w:color="000000" w:fill="FFC000"/>
            <w:noWrap/>
            <w:vAlign w:val="center"/>
            <w:hideMark/>
          </w:tcPr>
          <w:p w14:paraId="18FB2E0B"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$12.633,85</w:t>
            </w:r>
          </w:p>
        </w:tc>
        <w:tc>
          <w:tcPr>
            <w:tcW w:w="496" w:type="pct"/>
            <w:tcBorders>
              <w:top w:val="single" w:sz="4" w:space="0" w:color="auto"/>
              <w:left w:val="nil"/>
              <w:bottom w:val="single" w:sz="4" w:space="0" w:color="auto"/>
              <w:right w:val="single" w:sz="4" w:space="0" w:color="auto"/>
            </w:tcBorders>
            <w:shd w:val="clear" w:color="000000" w:fill="FFC000"/>
            <w:noWrap/>
            <w:vAlign w:val="center"/>
            <w:hideMark/>
          </w:tcPr>
          <w:p w14:paraId="77220820"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$12.622,85</w:t>
            </w:r>
          </w:p>
        </w:tc>
      </w:tr>
    </w:tbl>
    <w:p w14:paraId="36517E98" w14:textId="77777777" w:rsidR="00A20990" w:rsidRPr="007A412F" w:rsidRDefault="00A20990" w:rsidP="005140E1">
      <w:pPr>
        <w:contextualSpacing/>
        <w:jc w:val="center"/>
        <w:rPr>
          <w:rFonts w:cs="Arial"/>
          <w:bCs/>
          <w:sz w:val="16"/>
          <w:szCs w:val="21"/>
        </w:rPr>
      </w:pPr>
      <w:r w:rsidRPr="007A412F">
        <w:rPr>
          <w:rFonts w:cs="Arial"/>
          <w:bCs/>
          <w:sz w:val="16"/>
          <w:szCs w:val="21"/>
        </w:rPr>
        <w:t>Fuente: Elaboración DAF con base en el reporte en la Categoría UAPA PAE del CHIP y ejecuciones presupuestales de gastos.</w:t>
      </w:r>
    </w:p>
    <w:p w14:paraId="6F725D2A" w14:textId="77777777" w:rsidR="00A20990" w:rsidRPr="007A412F" w:rsidRDefault="00A20990" w:rsidP="005140E1">
      <w:pPr>
        <w:contextualSpacing/>
        <w:rPr>
          <w:rFonts w:cs="Arial"/>
          <w:szCs w:val="28"/>
          <w:lang w:val="es-CO"/>
        </w:rPr>
      </w:pPr>
    </w:p>
    <w:p w14:paraId="116D0D32" w14:textId="77777777" w:rsidR="00A20990" w:rsidRPr="001A38D5" w:rsidRDefault="00A20990" w:rsidP="005140E1">
      <w:pPr>
        <w:pStyle w:val="Ttulo3"/>
        <w:contextualSpacing/>
        <w:rPr>
          <w:rFonts w:ascii="Verdana" w:hAnsi="Verdana"/>
        </w:rPr>
      </w:pPr>
      <w:r w:rsidRPr="001A38D5">
        <w:rPr>
          <w:rFonts w:ascii="Verdana" w:hAnsi="Verdana"/>
        </w:rPr>
        <w:t>Diagnóstico situacional</w:t>
      </w:r>
      <w:r w:rsidR="000E7496">
        <w:rPr>
          <w:rFonts w:ascii="Verdana" w:hAnsi="Verdana"/>
        </w:rPr>
        <w:t>.</w:t>
      </w:r>
    </w:p>
    <w:p w14:paraId="1F9FF13C" w14:textId="77777777" w:rsidR="00A20990" w:rsidRPr="001A38D5" w:rsidRDefault="00A20990" w:rsidP="005140E1">
      <w:pPr>
        <w:contextualSpacing/>
        <w:rPr>
          <w:rFonts w:cs="Arial"/>
          <w:lang w:val="es-CO"/>
        </w:rPr>
      </w:pPr>
    </w:p>
    <w:p w14:paraId="55F65BDE" w14:textId="77777777" w:rsidR="00A20990" w:rsidRPr="001A38D5" w:rsidRDefault="00A20990" w:rsidP="005140E1">
      <w:pPr>
        <w:pStyle w:val="Default"/>
        <w:contextualSpacing/>
        <w:jc w:val="both"/>
        <w:rPr>
          <w:rFonts w:ascii="Verdana" w:eastAsia="Calibri" w:hAnsi="Verdana"/>
          <w:color w:val="auto"/>
          <w:sz w:val="22"/>
          <w:szCs w:val="22"/>
          <w:lang w:val="es-CO"/>
        </w:rPr>
      </w:pPr>
      <w:r w:rsidRPr="001A38D5">
        <w:rPr>
          <w:rFonts w:ascii="Verdana" w:eastAsia="Calibri" w:hAnsi="Verdana"/>
          <w:color w:val="auto"/>
          <w:sz w:val="22"/>
          <w:szCs w:val="22"/>
          <w:lang w:val="es-CO"/>
        </w:rPr>
        <w:t>Según la Resolución No. 29452 de 2017 expedida por el Ministerio de Educación Nacional (MEN), un Diagnóstico Situacional para garantizar el Servicio de Alimentación Escolar debe contener la recopilación, consolidación y análisis, como mínimo, de la siguiente información de cada Municipio:</w:t>
      </w:r>
    </w:p>
    <w:p w14:paraId="672F4204" w14:textId="77777777" w:rsidR="00A20990" w:rsidRPr="001A38D5" w:rsidRDefault="00A20990" w:rsidP="005140E1">
      <w:pPr>
        <w:pStyle w:val="Default"/>
        <w:contextualSpacing/>
        <w:jc w:val="both"/>
        <w:rPr>
          <w:rFonts w:ascii="Verdana" w:eastAsia="Calibri" w:hAnsi="Verdana"/>
          <w:color w:val="auto"/>
          <w:sz w:val="22"/>
          <w:szCs w:val="22"/>
          <w:lang w:val="es-CO"/>
        </w:rPr>
      </w:pPr>
    </w:p>
    <w:p w14:paraId="1B0482A6" w14:textId="77777777" w:rsidR="00A20990" w:rsidRPr="001A38D5" w:rsidRDefault="00A20990" w:rsidP="005140E1">
      <w:pPr>
        <w:pStyle w:val="Default"/>
        <w:ind w:left="708"/>
        <w:contextualSpacing/>
        <w:jc w:val="both"/>
        <w:rPr>
          <w:rFonts w:ascii="Verdana" w:eastAsia="Calibri" w:hAnsi="Verdana"/>
          <w:i/>
          <w:color w:val="auto"/>
          <w:sz w:val="18"/>
          <w:szCs w:val="22"/>
          <w:lang w:val="es-CO"/>
        </w:rPr>
      </w:pPr>
      <w:r w:rsidRPr="001A38D5">
        <w:rPr>
          <w:rFonts w:ascii="Verdana" w:eastAsia="Calibri" w:hAnsi="Verdana"/>
          <w:color w:val="auto"/>
          <w:sz w:val="18"/>
          <w:szCs w:val="22"/>
          <w:lang w:val="es-CO"/>
        </w:rPr>
        <w:t>“</w:t>
      </w:r>
      <w:r w:rsidRPr="001A38D5">
        <w:rPr>
          <w:rFonts w:ascii="Verdana" w:eastAsia="Calibri" w:hAnsi="Verdana"/>
          <w:i/>
          <w:color w:val="auto"/>
          <w:sz w:val="18"/>
          <w:szCs w:val="22"/>
          <w:lang w:val="es-CO"/>
        </w:rPr>
        <w:t>a) número y porcentaje de niños, niñas, adolescentes y jóvenes, b) condiciones geográficas (zonas urbanas y rurales), c) ubicación de los establecimientos educativos por área urbana y rural, d) condiciones de accesibilidad a los establecimientos educativos, e) jornadas escolares por establecimiento educativo, f) establecimientos educativos con jornada única, g) población víctima del conflicto armado, h) población con pertenencia étnica, i) población en situación de discapacidad, j) total matrícula escolar por grados, k) tasas de ausentismo y deserción rurales/urbanas, l) niños, niñas, adolescentes y jóvenes que se encuentran fuera del sistema educativo”.</w:t>
      </w:r>
    </w:p>
    <w:p w14:paraId="1714E310" w14:textId="77777777" w:rsidR="00A20990" w:rsidRPr="001A38D5" w:rsidRDefault="00A20990" w:rsidP="005140E1">
      <w:pPr>
        <w:pStyle w:val="Default"/>
        <w:contextualSpacing/>
        <w:jc w:val="both"/>
        <w:rPr>
          <w:rFonts w:ascii="Verdana" w:eastAsia="Calibri" w:hAnsi="Verdana"/>
          <w:i/>
          <w:color w:val="auto"/>
          <w:sz w:val="22"/>
          <w:szCs w:val="22"/>
          <w:lang w:val="es-CO"/>
        </w:rPr>
      </w:pPr>
    </w:p>
    <w:p w14:paraId="17579E9A" w14:textId="77777777" w:rsidR="00A20990" w:rsidRPr="001A38D5" w:rsidRDefault="00A20990" w:rsidP="005140E1">
      <w:pPr>
        <w:pStyle w:val="Default"/>
        <w:contextualSpacing/>
        <w:jc w:val="both"/>
        <w:rPr>
          <w:rFonts w:ascii="Verdana" w:eastAsia="Calibri" w:hAnsi="Verdana"/>
          <w:color w:val="auto"/>
          <w:sz w:val="22"/>
          <w:szCs w:val="22"/>
          <w:lang w:val="es-CO"/>
        </w:rPr>
      </w:pPr>
      <w:r w:rsidRPr="001A38D5">
        <w:rPr>
          <w:rFonts w:ascii="Verdana" w:eastAsia="Calibri" w:hAnsi="Verdana"/>
          <w:color w:val="auto"/>
          <w:sz w:val="22"/>
          <w:szCs w:val="22"/>
          <w:lang w:val="es-CO"/>
        </w:rPr>
        <w:t>Adicionalmente, la mencionada Resolución indica:</w:t>
      </w:r>
    </w:p>
    <w:p w14:paraId="176C3FDB" w14:textId="77777777" w:rsidR="00A20990" w:rsidRPr="001A38D5" w:rsidRDefault="00A20990" w:rsidP="005140E1">
      <w:pPr>
        <w:pStyle w:val="Default"/>
        <w:contextualSpacing/>
        <w:jc w:val="both"/>
        <w:rPr>
          <w:rFonts w:ascii="Verdana" w:eastAsia="Calibri" w:hAnsi="Verdana"/>
          <w:color w:val="auto"/>
          <w:sz w:val="22"/>
          <w:szCs w:val="22"/>
          <w:lang w:val="es-CO"/>
        </w:rPr>
      </w:pPr>
    </w:p>
    <w:p w14:paraId="2EDA7A18" w14:textId="77777777" w:rsidR="00A20990" w:rsidRPr="001A38D5" w:rsidRDefault="00A20990" w:rsidP="005140E1">
      <w:pPr>
        <w:pStyle w:val="Default"/>
        <w:ind w:left="708"/>
        <w:contextualSpacing/>
        <w:jc w:val="both"/>
        <w:rPr>
          <w:rFonts w:ascii="Verdana" w:eastAsia="Calibri" w:hAnsi="Verdana"/>
          <w:i/>
          <w:color w:val="auto"/>
          <w:sz w:val="18"/>
          <w:szCs w:val="22"/>
          <w:lang w:val="es-CO"/>
        </w:rPr>
      </w:pPr>
      <w:r w:rsidRPr="001A38D5">
        <w:rPr>
          <w:rFonts w:ascii="Verdana" w:eastAsia="Calibri" w:hAnsi="Verdana"/>
          <w:color w:val="auto"/>
          <w:sz w:val="18"/>
          <w:szCs w:val="22"/>
          <w:lang w:val="es-CO"/>
        </w:rPr>
        <w:t>“</w:t>
      </w:r>
      <w:r w:rsidR="000E7496" w:rsidRPr="007A412F">
        <w:rPr>
          <w:rFonts w:ascii="Verdana" w:eastAsia="Calibri" w:hAnsi="Verdana"/>
          <w:i/>
          <w:iCs/>
          <w:color w:val="auto"/>
          <w:sz w:val="18"/>
          <w:szCs w:val="22"/>
          <w:lang w:val="es-CO"/>
        </w:rPr>
        <w:t>[</w:t>
      </w:r>
      <w:r w:rsidRPr="007A412F">
        <w:rPr>
          <w:rFonts w:ascii="Verdana" w:eastAsia="Calibri" w:hAnsi="Verdana"/>
          <w:i/>
          <w:iCs/>
          <w:color w:val="auto"/>
          <w:sz w:val="18"/>
          <w:szCs w:val="22"/>
          <w:lang w:val="es-CO"/>
        </w:rPr>
        <w:t>…</w:t>
      </w:r>
      <w:r w:rsidR="000E7496" w:rsidRPr="007A412F">
        <w:rPr>
          <w:rFonts w:ascii="Verdana" w:eastAsia="Calibri" w:hAnsi="Verdana"/>
          <w:i/>
          <w:iCs/>
          <w:color w:val="auto"/>
          <w:sz w:val="18"/>
          <w:szCs w:val="22"/>
          <w:lang w:val="es-CO"/>
        </w:rPr>
        <w:t>]</w:t>
      </w:r>
      <w:r w:rsidRPr="001A38D5">
        <w:rPr>
          <w:rFonts w:ascii="Verdana" w:eastAsia="Calibri" w:hAnsi="Verdana"/>
          <w:color w:val="auto"/>
          <w:sz w:val="18"/>
          <w:szCs w:val="22"/>
          <w:lang w:val="es-CO"/>
        </w:rPr>
        <w:t xml:space="preserve"> </w:t>
      </w:r>
      <w:r w:rsidRPr="001A38D5">
        <w:rPr>
          <w:rFonts w:ascii="Verdana" w:eastAsia="Calibri" w:hAnsi="Verdana"/>
          <w:i/>
          <w:color w:val="auto"/>
          <w:sz w:val="18"/>
          <w:szCs w:val="22"/>
          <w:lang w:val="es-CO"/>
        </w:rPr>
        <w:t>es importante analizar los resultados del diagnóstico de infraestructura, frente a la existencia, calidad y acceso a los servicios públicos y condiciones de dotación de equipos y menaje en los comedores escolares donde se prestará el servicio de alimentación, ya que, con base en estos resultados, se determina el tipo de complemento alimentario a suministrar, igualmente, esta información permite analizar los posibles recursos necesarios para la cofinanciación del PAE”.</w:t>
      </w:r>
    </w:p>
    <w:p w14:paraId="0E8AB3C7" w14:textId="77777777" w:rsidR="00A20990" w:rsidRPr="001A38D5" w:rsidRDefault="00A20990" w:rsidP="005140E1">
      <w:pPr>
        <w:pStyle w:val="Sinespaciado"/>
        <w:contextualSpacing/>
        <w:jc w:val="both"/>
        <w:rPr>
          <w:rFonts w:ascii="Verdana" w:hAnsi="Verdana" w:cs="Arial"/>
        </w:rPr>
      </w:pPr>
    </w:p>
    <w:p w14:paraId="7A1F9096" w14:textId="77777777" w:rsidR="00A20990" w:rsidRPr="001A38D5" w:rsidRDefault="00A20990" w:rsidP="005140E1">
      <w:pPr>
        <w:pStyle w:val="Sinespaciado"/>
        <w:contextualSpacing/>
        <w:jc w:val="both"/>
        <w:rPr>
          <w:rFonts w:ascii="Verdana" w:eastAsia="Calibri" w:hAnsi="Verdana" w:cs="Arial"/>
        </w:rPr>
      </w:pPr>
      <w:r w:rsidRPr="001A38D5">
        <w:rPr>
          <w:rFonts w:ascii="Verdana" w:hAnsi="Verdana" w:cs="Arial"/>
        </w:rPr>
        <w:t>La Entidad Territorial remitió a esta Dirección el Diagnóstico Situacional realizado para las vigencias 2019, 2020 y 2021 en el marco de la planeación de la prestación del Servicio a población mayoritaria y del Plan Alimentario Indígena Propio. Para 2019 y 2020 los documentos cumplen con los requerimientos establecidos en la Resolución 29452 de 2017 del MEN</w:t>
      </w:r>
      <w:r w:rsidRPr="001A38D5">
        <w:rPr>
          <w:rFonts w:ascii="Verdana" w:eastAsia="Calibri" w:hAnsi="Verdana" w:cs="Arial"/>
        </w:rPr>
        <w:t>. Para la vigencia 2021 el documento no incluye información sobre tasas de ausentismo, la calidad y acceso a los servicios públicos, condiciones de dotación de equipos y menaje en los comedores escolares, el diagnóstico de infraestructura y los conceptos sanitarios favorables expedidos por la autoridad en salud competente.</w:t>
      </w:r>
    </w:p>
    <w:p w14:paraId="27FACCA5" w14:textId="77777777" w:rsidR="00A20990" w:rsidRPr="001A38D5" w:rsidRDefault="00A20990" w:rsidP="005140E1">
      <w:pPr>
        <w:pStyle w:val="Sinespaciado"/>
        <w:contextualSpacing/>
        <w:jc w:val="both"/>
        <w:rPr>
          <w:rFonts w:ascii="Verdana" w:eastAsia="Calibri" w:hAnsi="Verdana" w:cs="Arial"/>
        </w:rPr>
      </w:pPr>
    </w:p>
    <w:p w14:paraId="5B899D0C"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18</w:t>
      </w:r>
      <w:r w:rsidRPr="007A412F">
        <w:rPr>
          <w:rFonts w:ascii="Verdana" w:hAnsi="Verdana"/>
          <w:color w:val="auto"/>
          <w:sz w:val="20"/>
          <w:szCs w:val="20"/>
        </w:rPr>
        <w:fldChar w:fldCharType="end"/>
      </w:r>
      <w:r w:rsidRPr="007A412F">
        <w:rPr>
          <w:rFonts w:ascii="Verdana" w:hAnsi="Verdana"/>
          <w:color w:val="auto"/>
          <w:sz w:val="20"/>
          <w:szCs w:val="20"/>
        </w:rPr>
        <w:t xml:space="preserve"> Diagnóstico Situacional Municipio de Villavicencio, vigencias 2019, 2020 y 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4"/>
        <w:gridCol w:w="650"/>
        <w:gridCol w:w="652"/>
        <w:gridCol w:w="650"/>
        <w:gridCol w:w="652"/>
        <w:gridCol w:w="1208"/>
        <w:gridCol w:w="458"/>
      </w:tblGrid>
      <w:tr w:rsidR="001A38D5" w:rsidRPr="001A38D5" w14:paraId="46FD3A8D" w14:textId="77777777" w:rsidTr="00B23E6E">
        <w:trPr>
          <w:trHeight w:val="20"/>
          <w:tblHeader/>
          <w:jc w:val="center"/>
        </w:trPr>
        <w:tc>
          <w:tcPr>
            <w:tcW w:w="2727" w:type="pct"/>
            <w:vMerge w:val="restart"/>
            <w:shd w:val="clear" w:color="auto" w:fill="FFC000"/>
            <w:vAlign w:val="center"/>
            <w:hideMark/>
          </w:tcPr>
          <w:p w14:paraId="495ABDA9" w14:textId="77777777" w:rsidR="00A20990" w:rsidRPr="001A38D5" w:rsidRDefault="00A20990" w:rsidP="005140E1">
            <w:pPr>
              <w:contextualSpacing/>
              <w:rPr>
                <w:rFonts w:eastAsia="Times New Roman" w:cs="Arial"/>
                <w:b/>
                <w:bCs/>
                <w:sz w:val="16"/>
                <w:szCs w:val="16"/>
                <w:lang w:val="es-CO" w:eastAsia="es-CO"/>
              </w:rPr>
            </w:pPr>
            <w:r w:rsidRPr="001A38D5">
              <w:rPr>
                <w:rFonts w:eastAsia="Times New Roman" w:cs="Arial"/>
                <w:b/>
                <w:bCs/>
                <w:sz w:val="16"/>
                <w:szCs w:val="16"/>
                <w:lang w:val="es-CO" w:eastAsia="es-CO"/>
              </w:rPr>
              <w:t xml:space="preserve">Numeral 4.1.1.2 de la Resolución 29452 de 2017 </w:t>
            </w:r>
          </w:p>
        </w:tc>
        <w:tc>
          <w:tcPr>
            <w:tcW w:w="693" w:type="pct"/>
            <w:gridSpan w:val="2"/>
            <w:shd w:val="clear" w:color="auto" w:fill="FFC000"/>
            <w:vAlign w:val="center"/>
            <w:hideMark/>
          </w:tcPr>
          <w:p w14:paraId="392AD03D"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2019</w:t>
            </w:r>
          </w:p>
        </w:tc>
        <w:tc>
          <w:tcPr>
            <w:tcW w:w="693" w:type="pct"/>
            <w:gridSpan w:val="2"/>
            <w:shd w:val="clear" w:color="auto" w:fill="FFC000"/>
            <w:vAlign w:val="center"/>
            <w:hideMark/>
          </w:tcPr>
          <w:p w14:paraId="3A8397D1"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2020</w:t>
            </w:r>
          </w:p>
        </w:tc>
        <w:tc>
          <w:tcPr>
            <w:tcW w:w="887" w:type="pct"/>
            <w:gridSpan w:val="2"/>
            <w:shd w:val="clear" w:color="auto" w:fill="FFC000"/>
            <w:vAlign w:val="center"/>
            <w:hideMark/>
          </w:tcPr>
          <w:p w14:paraId="6563F6BA"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2021</w:t>
            </w:r>
          </w:p>
        </w:tc>
      </w:tr>
      <w:tr w:rsidR="001A38D5" w:rsidRPr="001A38D5" w14:paraId="35C2A7E6" w14:textId="77777777" w:rsidTr="00B23E6E">
        <w:trPr>
          <w:trHeight w:val="20"/>
          <w:tblHeader/>
          <w:jc w:val="center"/>
        </w:trPr>
        <w:tc>
          <w:tcPr>
            <w:tcW w:w="2727" w:type="pct"/>
            <w:vMerge/>
            <w:shd w:val="clear" w:color="auto" w:fill="FFC000"/>
            <w:vAlign w:val="center"/>
            <w:hideMark/>
          </w:tcPr>
          <w:p w14:paraId="7BBC0C29" w14:textId="77777777" w:rsidR="00A20990" w:rsidRPr="001A38D5" w:rsidRDefault="00A20990" w:rsidP="005140E1">
            <w:pPr>
              <w:contextualSpacing/>
              <w:rPr>
                <w:rFonts w:eastAsia="Times New Roman" w:cs="Arial"/>
                <w:b/>
                <w:bCs/>
                <w:sz w:val="16"/>
                <w:szCs w:val="16"/>
                <w:lang w:val="es-CO" w:eastAsia="es-CO"/>
              </w:rPr>
            </w:pPr>
          </w:p>
        </w:tc>
        <w:tc>
          <w:tcPr>
            <w:tcW w:w="2273" w:type="pct"/>
            <w:gridSpan w:val="6"/>
            <w:shd w:val="clear" w:color="auto" w:fill="FFC000"/>
            <w:vAlign w:val="center"/>
            <w:hideMark/>
          </w:tcPr>
          <w:p w14:paraId="782B7208"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CUMPLE</w:t>
            </w:r>
          </w:p>
        </w:tc>
      </w:tr>
      <w:tr w:rsidR="001A38D5" w:rsidRPr="001A38D5" w14:paraId="740C22EB" w14:textId="77777777" w:rsidTr="00B23E6E">
        <w:trPr>
          <w:trHeight w:val="20"/>
          <w:tblHeader/>
          <w:jc w:val="center"/>
        </w:trPr>
        <w:tc>
          <w:tcPr>
            <w:tcW w:w="2727" w:type="pct"/>
            <w:vMerge/>
            <w:shd w:val="clear" w:color="auto" w:fill="FFC000"/>
            <w:vAlign w:val="center"/>
            <w:hideMark/>
          </w:tcPr>
          <w:p w14:paraId="07AFFA4D" w14:textId="77777777" w:rsidR="00A20990" w:rsidRPr="001A38D5" w:rsidRDefault="00A20990" w:rsidP="005140E1">
            <w:pPr>
              <w:contextualSpacing/>
              <w:rPr>
                <w:rFonts w:eastAsia="Times New Roman" w:cs="Arial"/>
                <w:b/>
                <w:bCs/>
                <w:sz w:val="16"/>
                <w:szCs w:val="16"/>
                <w:lang w:val="es-CO" w:eastAsia="es-CO"/>
              </w:rPr>
            </w:pPr>
          </w:p>
        </w:tc>
        <w:tc>
          <w:tcPr>
            <w:tcW w:w="346" w:type="pct"/>
            <w:shd w:val="clear" w:color="auto" w:fill="FFC000"/>
            <w:vAlign w:val="center"/>
            <w:hideMark/>
          </w:tcPr>
          <w:p w14:paraId="052203FD"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SI</w:t>
            </w:r>
          </w:p>
        </w:tc>
        <w:tc>
          <w:tcPr>
            <w:tcW w:w="347" w:type="pct"/>
            <w:shd w:val="clear" w:color="auto" w:fill="FFC000"/>
            <w:vAlign w:val="center"/>
            <w:hideMark/>
          </w:tcPr>
          <w:p w14:paraId="04FFB43D"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NO</w:t>
            </w:r>
          </w:p>
        </w:tc>
        <w:tc>
          <w:tcPr>
            <w:tcW w:w="346" w:type="pct"/>
            <w:shd w:val="clear" w:color="auto" w:fill="FFC000"/>
            <w:vAlign w:val="center"/>
            <w:hideMark/>
          </w:tcPr>
          <w:p w14:paraId="60B24BE5"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SI</w:t>
            </w:r>
          </w:p>
        </w:tc>
        <w:tc>
          <w:tcPr>
            <w:tcW w:w="347" w:type="pct"/>
            <w:shd w:val="clear" w:color="auto" w:fill="FFC000"/>
            <w:vAlign w:val="center"/>
            <w:hideMark/>
          </w:tcPr>
          <w:p w14:paraId="331671D3"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NO</w:t>
            </w:r>
          </w:p>
        </w:tc>
        <w:tc>
          <w:tcPr>
            <w:tcW w:w="643" w:type="pct"/>
            <w:shd w:val="clear" w:color="auto" w:fill="FFC000"/>
            <w:vAlign w:val="center"/>
            <w:hideMark/>
          </w:tcPr>
          <w:p w14:paraId="7F197920"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SI</w:t>
            </w:r>
          </w:p>
        </w:tc>
        <w:tc>
          <w:tcPr>
            <w:tcW w:w="244" w:type="pct"/>
            <w:shd w:val="clear" w:color="auto" w:fill="FFC000"/>
            <w:vAlign w:val="center"/>
            <w:hideMark/>
          </w:tcPr>
          <w:p w14:paraId="0F48B9CA"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NO</w:t>
            </w:r>
          </w:p>
        </w:tc>
      </w:tr>
      <w:tr w:rsidR="001A38D5" w:rsidRPr="001A38D5" w14:paraId="60E90D2B" w14:textId="77777777" w:rsidTr="00A20990">
        <w:trPr>
          <w:trHeight w:val="20"/>
          <w:jc w:val="center"/>
        </w:trPr>
        <w:tc>
          <w:tcPr>
            <w:tcW w:w="2727" w:type="pct"/>
            <w:shd w:val="clear" w:color="auto" w:fill="auto"/>
            <w:vAlign w:val="center"/>
            <w:hideMark/>
          </w:tcPr>
          <w:p w14:paraId="10A4757A"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 xml:space="preserve">Número y porcentaje de niños, niñas y adolescentes y jóvenes. </w:t>
            </w:r>
          </w:p>
        </w:tc>
        <w:tc>
          <w:tcPr>
            <w:tcW w:w="346" w:type="pct"/>
            <w:shd w:val="clear" w:color="auto" w:fill="auto"/>
            <w:vAlign w:val="center"/>
            <w:hideMark/>
          </w:tcPr>
          <w:p w14:paraId="103B969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590C434B"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467E6F6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7B85D155"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57BCAC2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244" w:type="pct"/>
            <w:shd w:val="clear" w:color="auto" w:fill="auto"/>
            <w:vAlign w:val="center"/>
            <w:hideMark/>
          </w:tcPr>
          <w:p w14:paraId="7C2635C0" w14:textId="77777777" w:rsidR="00A20990" w:rsidRPr="001A38D5" w:rsidRDefault="00A20990" w:rsidP="005140E1">
            <w:pPr>
              <w:contextualSpacing/>
              <w:jc w:val="center"/>
              <w:rPr>
                <w:rFonts w:eastAsia="Times New Roman" w:cs="Arial"/>
                <w:sz w:val="16"/>
                <w:szCs w:val="16"/>
                <w:lang w:val="es-CO" w:eastAsia="es-CO"/>
              </w:rPr>
            </w:pPr>
          </w:p>
        </w:tc>
      </w:tr>
      <w:tr w:rsidR="001A38D5" w:rsidRPr="001A38D5" w14:paraId="7187DF04" w14:textId="77777777" w:rsidTr="00A20990">
        <w:trPr>
          <w:trHeight w:val="20"/>
          <w:jc w:val="center"/>
        </w:trPr>
        <w:tc>
          <w:tcPr>
            <w:tcW w:w="2727" w:type="pct"/>
            <w:shd w:val="clear" w:color="auto" w:fill="auto"/>
            <w:vAlign w:val="center"/>
            <w:hideMark/>
          </w:tcPr>
          <w:p w14:paraId="67AB25BA"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 xml:space="preserve">Condiciones geográficas (zonas urbanas y rurales) </w:t>
            </w:r>
          </w:p>
        </w:tc>
        <w:tc>
          <w:tcPr>
            <w:tcW w:w="346" w:type="pct"/>
            <w:shd w:val="clear" w:color="auto" w:fill="auto"/>
            <w:vAlign w:val="center"/>
            <w:hideMark/>
          </w:tcPr>
          <w:p w14:paraId="2BD33B1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618FD2FA"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659D9BE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6A73F4DE"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7D85C8B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244" w:type="pct"/>
            <w:shd w:val="clear" w:color="auto" w:fill="auto"/>
            <w:vAlign w:val="center"/>
            <w:hideMark/>
          </w:tcPr>
          <w:p w14:paraId="10719C5A" w14:textId="77777777" w:rsidR="00A20990" w:rsidRPr="001A38D5" w:rsidRDefault="00A20990" w:rsidP="005140E1">
            <w:pPr>
              <w:contextualSpacing/>
              <w:jc w:val="center"/>
              <w:rPr>
                <w:rFonts w:eastAsia="Times New Roman" w:cs="Arial"/>
                <w:sz w:val="16"/>
                <w:szCs w:val="16"/>
                <w:lang w:val="es-CO" w:eastAsia="es-CO"/>
              </w:rPr>
            </w:pPr>
          </w:p>
        </w:tc>
      </w:tr>
      <w:tr w:rsidR="001A38D5" w:rsidRPr="001A38D5" w14:paraId="73577869" w14:textId="77777777" w:rsidTr="00A20990">
        <w:trPr>
          <w:trHeight w:val="20"/>
          <w:jc w:val="center"/>
        </w:trPr>
        <w:tc>
          <w:tcPr>
            <w:tcW w:w="2727" w:type="pct"/>
            <w:shd w:val="clear" w:color="auto" w:fill="auto"/>
            <w:vAlign w:val="center"/>
            <w:hideMark/>
          </w:tcPr>
          <w:p w14:paraId="048390BF"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 xml:space="preserve">Ubicación de los establecimientos educativos por área urbana y rural </w:t>
            </w:r>
          </w:p>
        </w:tc>
        <w:tc>
          <w:tcPr>
            <w:tcW w:w="346" w:type="pct"/>
            <w:shd w:val="clear" w:color="auto" w:fill="auto"/>
            <w:vAlign w:val="center"/>
            <w:hideMark/>
          </w:tcPr>
          <w:p w14:paraId="46549F4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376ED02A"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3134BAA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4EE9082F"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5CEBCE6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244" w:type="pct"/>
            <w:shd w:val="clear" w:color="auto" w:fill="auto"/>
            <w:vAlign w:val="center"/>
            <w:hideMark/>
          </w:tcPr>
          <w:p w14:paraId="5D5A7C17" w14:textId="77777777" w:rsidR="00A20990" w:rsidRPr="001A38D5" w:rsidRDefault="00A20990" w:rsidP="005140E1">
            <w:pPr>
              <w:contextualSpacing/>
              <w:jc w:val="center"/>
              <w:rPr>
                <w:rFonts w:eastAsia="Times New Roman" w:cs="Arial"/>
                <w:sz w:val="16"/>
                <w:szCs w:val="16"/>
                <w:lang w:val="es-CO" w:eastAsia="es-CO"/>
              </w:rPr>
            </w:pPr>
          </w:p>
        </w:tc>
      </w:tr>
      <w:tr w:rsidR="001A38D5" w:rsidRPr="001A38D5" w14:paraId="1635ABD8" w14:textId="77777777" w:rsidTr="00A20990">
        <w:trPr>
          <w:trHeight w:val="20"/>
          <w:jc w:val="center"/>
        </w:trPr>
        <w:tc>
          <w:tcPr>
            <w:tcW w:w="2727" w:type="pct"/>
            <w:shd w:val="clear" w:color="auto" w:fill="auto"/>
            <w:vAlign w:val="center"/>
            <w:hideMark/>
          </w:tcPr>
          <w:p w14:paraId="7DB35039"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 xml:space="preserve">Condiciones de accesibilidad a los establecimientos educativos </w:t>
            </w:r>
          </w:p>
        </w:tc>
        <w:tc>
          <w:tcPr>
            <w:tcW w:w="346" w:type="pct"/>
            <w:shd w:val="clear" w:color="auto" w:fill="auto"/>
            <w:vAlign w:val="center"/>
            <w:hideMark/>
          </w:tcPr>
          <w:p w14:paraId="6319931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672DBBD7"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608C0E0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78041EF3"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512457B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244" w:type="pct"/>
            <w:shd w:val="clear" w:color="auto" w:fill="auto"/>
            <w:vAlign w:val="center"/>
            <w:hideMark/>
          </w:tcPr>
          <w:p w14:paraId="7A4723CF" w14:textId="77777777" w:rsidR="00A20990" w:rsidRPr="001A38D5" w:rsidRDefault="00A20990" w:rsidP="005140E1">
            <w:pPr>
              <w:contextualSpacing/>
              <w:jc w:val="center"/>
              <w:rPr>
                <w:rFonts w:eastAsia="Times New Roman" w:cs="Arial"/>
                <w:sz w:val="16"/>
                <w:szCs w:val="16"/>
                <w:lang w:val="es-CO" w:eastAsia="es-CO"/>
              </w:rPr>
            </w:pPr>
          </w:p>
        </w:tc>
      </w:tr>
      <w:tr w:rsidR="001A38D5" w:rsidRPr="001A38D5" w14:paraId="438921BA" w14:textId="77777777" w:rsidTr="00A20990">
        <w:trPr>
          <w:trHeight w:val="20"/>
          <w:jc w:val="center"/>
        </w:trPr>
        <w:tc>
          <w:tcPr>
            <w:tcW w:w="2727" w:type="pct"/>
            <w:shd w:val="clear" w:color="auto" w:fill="auto"/>
            <w:vAlign w:val="center"/>
            <w:hideMark/>
          </w:tcPr>
          <w:p w14:paraId="240E49D3"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 xml:space="preserve">Jornadas escolares por establecimiento educativo </w:t>
            </w:r>
          </w:p>
        </w:tc>
        <w:tc>
          <w:tcPr>
            <w:tcW w:w="346" w:type="pct"/>
            <w:shd w:val="clear" w:color="auto" w:fill="auto"/>
            <w:vAlign w:val="center"/>
            <w:hideMark/>
          </w:tcPr>
          <w:p w14:paraId="5332DAA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60FAF895"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171F43A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2572F0C7"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458BC1F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244" w:type="pct"/>
            <w:shd w:val="clear" w:color="auto" w:fill="auto"/>
            <w:vAlign w:val="center"/>
            <w:hideMark/>
          </w:tcPr>
          <w:p w14:paraId="1D9DA329" w14:textId="77777777" w:rsidR="00A20990" w:rsidRPr="001A38D5" w:rsidRDefault="00A20990" w:rsidP="005140E1">
            <w:pPr>
              <w:contextualSpacing/>
              <w:jc w:val="center"/>
              <w:rPr>
                <w:rFonts w:eastAsia="Times New Roman" w:cs="Arial"/>
                <w:sz w:val="16"/>
                <w:szCs w:val="16"/>
                <w:lang w:val="es-CO" w:eastAsia="es-CO"/>
              </w:rPr>
            </w:pPr>
          </w:p>
        </w:tc>
      </w:tr>
      <w:tr w:rsidR="001A38D5" w:rsidRPr="001A38D5" w14:paraId="056205E4" w14:textId="77777777" w:rsidTr="00A20990">
        <w:trPr>
          <w:trHeight w:val="20"/>
          <w:jc w:val="center"/>
        </w:trPr>
        <w:tc>
          <w:tcPr>
            <w:tcW w:w="2727" w:type="pct"/>
            <w:shd w:val="clear" w:color="auto" w:fill="auto"/>
            <w:vAlign w:val="center"/>
            <w:hideMark/>
          </w:tcPr>
          <w:p w14:paraId="7EDFC17F"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Establecimientos educativos con jornada única</w:t>
            </w:r>
          </w:p>
        </w:tc>
        <w:tc>
          <w:tcPr>
            <w:tcW w:w="346" w:type="pct"/>
            <w:shd w:val="clear" w:color="auto" w:fill="auto"/>
            <w:vAlign w:val="center"/>
            <w:hideMark/>
          </w:tcPr>
          <w:p w14:paraId="690F18A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0332824A"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43BCF16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4285CFD1"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228255C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244" w:type="pct"/>
            <w:shd w:val="clear" w:color="auto" w:fill="auto"/>
            <w:vAlign w:val="center"/>
            <w:hideMark/>
          </w:tcPr>
          <w:p w14:paraId="7D216664" w14:textId="77777777" w:rsidR="00A20990" w:rsidRPr="001A38D5" w:rsidRDefault="00A20990" w:rsidP="005140E1">
            <w:pPr>
              <w:contextualSpacing/>
              <w:jc w:val="center"/>
              <w:rPr>
                <w:rFonts w:eastAsia="Times New Roman" w:cs="Arial"/>
                <w:sz w:val="16"/>
                <w:szCs w:val="16"/>
                <w:lang w:val="es-CO" w:eastAsia="es-CO"/>
              </w:rPr>
            </w:pPr>
          </w:p>
        </w:tc>
      </w:tr>
      <w:tr w:rsidR="001A38D5" w:rsidRPr="001A38D5" w14:paraId="0F6E296B" w14:textId="77777777" w:rsidTr="00A20990">
        <w:trPr>
          <w:trHeight w:val="20"/>
          <w:jc w:val="center"/>
        </w:trPr>
        <w:tc>
          <w:tcPr>
            <w:tcW w:w="2727" w:type="pct"/>
            <w:shd w:val="clear" w:color="auto" w:fill="auto"/>
            <w:vAlign w:val="center"/>
            <w:hideMark/>
          </w:tcPr>
          <w:p w14:paraId="1C889D2C"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Población víctima del conflicto armado</w:t>
            </w:r>
          </w:p>
        </w:tc>
        <w:tc>
          <w:tcPr>
            <w:tcW w:w="346" w:type="pct"/>
            <w:shd w:val="clear" w:color="auto" w:fill="auto"/>
            <w:vAlign w:val="center"/>
            <w:hideMark/>
          </w:tcPr>
          <w:p w14:paraId="4002744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3934AD94"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34F3C70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07283816"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2CFC48D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244" w:type="pct"/>
            <w:shd w:val="clear" w:color="auto" w:fill="auto"/>
            <w:vAlign w:val="center"/>
            <w:hideMark/>
          </w:tcPr>
          <w:p w14:paraId="6583E17B" w14:textId="77777777" w:rsidR="00A20990" w:rsidRPr="001A38D5" w:rsidRDefault="00A20990" w:rsidP="005140E1">
            <w:pPr>
              <w:contextualSpacing/>
              <w:jc w:val="center"/>
              <w:rPr>
                <w:rFonts w:eastAsia="Times New Roman" w:cs="Arial"/>
                <w:sz w:val="16"/>
                <w:szCs w:val="16"/>
                <w:lang w:val="es-CO" w:eastAsia="es-CO"/>
              </w:rPr>
            </w:pPr>
          </w:p>
        </w:tc>
      </w:tr>
      <w:tr w:rsidR="001A38D5" w:rsidRPr="001A38D5" w14:paraId="324D46DC" w14:textId="77777777" w:rsidTr="00A20990">
        <w:trPr>
          <w:trHeight w:val="20"/>
          <w:jc w:val="center"/>
        </w:trPr>
        <w:tc>
          <w:tcPr>
            <w:tcW w:w="2727" w:type="pct"/>
            <w:shd w:val="clear" w:color="auto" w:fill="auto"/>
            <w:vAlign w:val="center"/>
            <w:hideMark/>
          </w:tcPr>
          <w:p w14:paraId="10379968"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 xml:space="preserve">Población con pertenencia étnica (indígenas, negros, afrocolombianos, raizales, palenqueros y ROM) </w:t>
            </w:r>
          </w:p>
        </w:tc>
        <w:tc>
          <w:tcPr>
            <w:tcW w:w="346" w:type="pct"/>
            <w:shd w:val="clear" w:color="auto" w:fill="auto"/>
            <w:vAlign w:val="center"/>
            <w:hideMark/>
          </w:tcPr>
          <w:p w14:paraId="4004F2B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18E01858"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6812B4D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30B0AA3F"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047FFC5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244" w:type="pct"/>
            <w:shd w:val="clear" w:color="auto" w:fill="auto"/>
            <w:vAlign w:val="center"/>
            <w:hideMark/>
          </w:tcPr>
          <w:p w14:paraId="3CFF8991" w14:textId="77777777" w:rsidR="00A20990" w:rsidRPr="001A38D5" w:rsidRDefault="00A20990" w:rsidP="005140E1">
            <w:pPr>
              <w:contextualSpacing/>
              <w:jc w:val="center"/>
              <w:rPr>
                <w:rFonts w:eastAsia="Times New Roman" w:cs="Arial"/>
                <w:sz w:val="16"/>
                <w:szCs w:val="16"/>
                <w:lang w:val="es-CO" w:eastAsia="es-CO"/>
              </w:rPr>
            </w:pPr>
          </w:p>
        </w:tc>
      </w:tr>
      <w:tr w:rsidR="001A38D5" w:rsidRPr="001A38D5" w14:paraId="7B30E936" w14:textId="77777777" w:rsidTr="00A20990">
        <w:trPr>
          <w:trHeight w:val="20"/>
          <w:jc w:val="center"/>
        </w:trPr>
        <w:tc>
          <w:tcPr>
            <w:tcW w:w="2727" w:type="pct"/>
            <w:shd w:val="clear" w:color="auto" w:fill="auto"/>
            <w:vAlign w:val="center"/>
            <w:hideMark/>
          </w:tcPr>
          <w:p w14:paraId="59A42ED3"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 xml:space="preserve">Población en situación de discapacidad </w:t>
            </w:r>
          </w:p>
        </w:tc>
        <w:tc>
          <w:tcPr>
            <w:tcW w:w="346" w:type="pct"/>
            <w:shd w:val="clear" w:color="auto" w:fill="auto"/>
            <w:vAlign w:val="center"/>
            <w:hideMark/>
          </w:tcPr>
          <w:p w14:paraId="0AA54AB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023118B2"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308D049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2CF5B082"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688136A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244" w:type="pct"/>
            <w:shd w:val="clear" w:color="auto" w:fill="auto"/>
            <w:vAlign w:val="center"/>
            <w:hideMark/>
          </w:tcPr>
          <w:p w14:paraId="401B87AE" w14:textId="77777777" w:rsidR="00A20990" w:rsidRPr="001A38D5" w:rsidRDefault="00A20990" w:rsidP="005140E1">
            <w:pPr>
              <w:contextualSpacing/>
              <w:jc w:val="center"/>
              <w:rPr>
                <w:rFonts w:eastAsia="Times New Roman" w:cs="Arial"/>
                <w:sz w:val="16"/>
                <w:szCs w:val="16"/>
                <w:lang w:val="es-CO" w:eastAsia="es-CO"/>
              </w:rPr>
            </w:pPr>
          </w:p>
        </w:tc>
      </w:tr>
      <w:tr w:rsidR="001A38D5" w:rsidRPr="001A38D5" w14:paraId="5006EEC8" w14:textId="77777777" w:rsidTr="00A20990">
        <w:trPr>
          <w:trHeight w:val="20"/>
          <w:jc w:val="center"/>
        </w:trPr>
        <w:tc>
          <w:tcPr>
            <w:tcW w:w="2727" w:type="pct"/>
            <w:shd w:val="clear" w:color="auto" w:fill="auto"/>
            <w:vAlign w:val="center"/>
            <w:hideMark/>
          </w:tcPr>
          <w:p w14:paraId="1E6FB601"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 xml:space="preserve">Total matrícula escolar por grados </w:t>
            </w:r>
          </w:p>
        </w:tc>
        <w:tc>
          <w:tcPr>
            <w:tcW w:w="346" w:type="pct"/>
            <w:shd w:val="clear" w:color="auto" w:fill="auto"/>
            <w:vAlign w:val="center"/>
            <w:hideMark/>
          </w:tcPr>
          <w:p w14:paraId="3EA601B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019D33B6"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06D5794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46996591"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05DA3E70"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Matrícula por niveles</w:t>
            </w:r>
          </w:p>
        </w:tc>
        <w:tc>
          <w:tcPr>
            <w:tcW w:w="244" w:type="pct"/>
            <w:shd w:val="clear" w:color="auto" w:fill="auto"/>
            <w:vAlign w:val="center"/>
            <w:hideMark/>
          </w:tcPr>
          <w:p w14:paraId="209A06E3" w14:textId="77777777" w:rsidR="00A20990" w:rsidRPr="001A38D5" w:rsidRDefault="00A20990" w:rsidP="005140E1">
            <w:pPr>
              <w:contextualSpacing/>
              <w:jc w:val="center"/>
              <w:rPr>
                <w:rFonts w:eastAsia="Times New Roman" w:cs="Arial"/>
                <w:sz w:val="16"/>
                <w:szCs w:val="16"/>
                <w:lang w:val="es-CO" w:eastAsia="es-CO"/>
              </w:rPr>
            </w:pPr>
          </w:p>
        </w:tc>
      </w:tr>
      <w:tr w:rsidR="001A38D5" w:rsidRPr="001A38D5" w14:paraId="6EFFA522" w14:textId="77777777" w:rsidTr="00A20990">
        <w:trPr>
          <w:trHeight w:val="20"/>
          <w:jc w:val="center"/>
        </w:trPr>
        <w:tc>
          <w:tcPr>
            <w:tcW w:w="2727" w:type="pct"/>
            <w:shd w:val="clear" w:color="auto" w:fill="auto"/>
            <w:vAlign w:val="center"/>
            <w:hideMark/>
          </w:tcPr>
          <w:p w14:paraId="350350F7"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 xml:space="preserve">Tasas de ausentismo y deserción rurales urbanas </w:t>
            </w:r>
          </w:p>
        </w:tc>
        <w:tc>
          <w:tcPr>
            <w:tcW w:w="346" w:type="pct"/>
            <w:shd w:val="clear" w:color="auto" w:fill="auto"/>
            <w:vAlign w:val="center"/>
            <w:hideMark/>
          </w:tcPr>
          <w:p w14:paraId="5B45D33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20C3F93C"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193D44F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5E8CA814"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5518DF01" w14:textId="77777777" w:rsidR="00A20990" w:rsidRPr="001A38D5" w:rsidRDefault="00A20990" w:rsidP="005140E1">
            <w:pPr>
              <w:contextualSpacing/>
              <w:jc w:val="center"/>
              <w:rPr>
                <w:rFonts w:eastAsia="Times New Roman" w:cs="Arial"/>
                <w:sz w:val="12"/>
                <w:szCs w:val="16"/>
                <w:lang w:val="es-CO" w:eastAsia="es-CO"/>
              </w:rPr>
            </w:pPr>
            <w:r w:rsidRPr="001A38D5">
              <w:rPr>
                <w:rFonts w:eastAsia="Times New Roman" w:cs="Arial"/>
                <w:sz w:val="12"/>
                <w:szCs w:val="16"/>
                <w:lang w:val="es-CO" w:eastAsia="es-CO"/>
              </w:rPr>
              <w:t>No hay información sobre ausentismo</w:t>
            </w:r>
          </w:p>
        </w:tc>
        <w:tc>
          <w:tcPr>
            <w:tcW w:w="244" w:type="pct"/>
            <w:shd w:val="clear" w:color="auto" w:fill="auto"/>
            <w:vAlign w:val="center"/>
            <w:hideMark/>
          </w:tcPr>
          <w:p w14:paraId="36301E1A" w14:textId="77777777" w:rsidR="00A20990" w:rsidRPr="001A38D5" w:rsidRDefault="00A20990" w:rsidP="005140E1">
            <w:pPr>
              <w:contextualSpacing/>
              <w:jc w:val="center"/>
              <w:rPr>
                <w:rFonts w:eastAsia="Times New Roman" w:cs="Arial"/>
                <w:sz w:val="16"/>
                <w:szCs w:val="16"/>
                <w:lang w:val="es-CO" w:eastAsia="es-CO"/>
              </w:rPr>
            </w:pPr>
          </w:p>
        </w:tc>
      </w:tr>
      <w:tr w:rsidR="001A38D5" w:rsidRPr="001A38D5" w14:paraId="0CEE83BE" w14:textId="77777777" w:rsidTr="00A20990">
        <w:trPr>
          <w:trHeight w:val="20"/>
          <w:jc w:val="center"/>
        </w:trPr>
        <w:tc>
          <w:tcPr>
            <w:tcW w:w="2727" w:type="pct"/>
            <w:shd w:val="clear" w:color="auto" w:fill="auto"/>
            <w:vAlign w:val="center"/>
            <w:hideMark/>
          </w:tcPr>
          <w:p w14:paraId="606EF373"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 xml:space="preserve">Calidad y acceso a los servicios públicos y condiciones de dotación de equipos y menaje en los comedores escolares </w:t>
            </w:r>
          </w:p>
        </w:tc>
        <w:tc>
          <w:tcPr>
            <w:tcW w:w="346" w:type="pct"/>
            <w:shd w:val="clear" w:color="auto" w:fill="auto"/>
            <w:vAlign w:val="center"/>
            <w:hideMark/>
          </w:tcPr>
          <w:p w14:paraId="1B7E646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5ADEDD9E"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32E8EF8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2D3B0FC6"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4DD8FC11" w14:textId="77777777" w:rsidR="00A20990" w:rsidRPr="001A38D5" w:rsidRDefault="00A20990" w:rsidP="005140E1">
            <w:pPr>
              <w:contextualSpacing/>
              <w:jc w:val="center"/>
              <w:rPr>
                <w:rFonts w:eastAsia="Times New Roman" w:cs="Arial"/>
                <w:sz w:val="16"/>
                <w:szCs w:val="16"/>
                <w:lang w:val="es-CO" w:eastAsia="es-CO"/>
              </w:rPr>
            </w:pPr>
          </w:p>
        </w:tc>
        <w:tc>
          <w:tcPr>
            <w:tcW w:w="244" w:type="pct"/>
            <w:shd w:val="clear" w:color="auto" w:fill="F2DBDB" w:themeFill="accent2" w:themeFillTint="33"/>
            <w:vAlign w:val="center"/>
            <w:hideMark/>
          </w:tcPr>
          <w:p w14:paraId="184AE98D" w14:textId="77777777" w:rsidR="00A20990" w:rsidRPr="001A38D5" w:rsidRDefault="00A20990" w:rsidP="005140E1">
            <w:pPr>
              <w:contextualSpacing/>
              <w:jc w:val="center"/>
              <w:rPr>
                <w:rFonts w:eastAsia="Times New Roman" w:cs="Arial"/>
                <w:b/>
                <w:sz w:val="16"/>
                <w:szCs w:val="16"/>
                <w:lang w:val="es-CO" w:eastAsia="es-CO"/>
              </w:rPr>
            </w:pPr>
            <w:r w:rsidRPr="001A38D5">
              <w:rPr>
                <w:rFonts w:eastAsia="Times New Roman" w:cs="Arial"/>
                <w:b/>
                <w:sz w:val="16"/>
                <w:szCs w:val="16"/>
                <w:lang w:val="es-CO" w:eastAsia="es-CO"/>
              </w:rPr>
              <w:t>X</w:t>
            </w:r>
          </w:p>
        </w:tc>
      </w:tr>
      <w:tr w:rsidR="001A38D5" w:rsidRPr="001A38D5" w14:paraId="038F9F10" w14:textId="77777777" w:rsidTr="00A20990">
        <w:trPr>
          <w:trHeight w:val="20"/>
          <w:jc w:val="center"/>
        </w:trPr>
        <w:tc>
          <w:tcPr>
            <w:tcW w:w="2727" w:type="pct"/>
            <w:shd w:val="clear" w:color="auto" w:fill="auto"/>
            <w:vAlign w:val="center"/>
            <w:hideMark/>
          </w:tcPr>
          <w:p w14:paraId="3540C85F"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Diagnóstico de infraestructura</w:t>
            </w:r>
          </w:p>
        </w:tc>
        <w:tc>
          <w:tcPr>
            <w:tcW w:w="346" w:type="pct"/>
            <w:shd w:val="clear" w:color="auto" w:fill="auto"/>
            <w:vAlign w:val="center"/>
            <w:hideMark/>
          </w:tcPr>
          <w:p w14:paraId="1153AEC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52646F44"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720D6A4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07B31930"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7CD9EF6B" w14:textId="77777777" w:rsidR="00A20990" w:rsidRPr="001A38D5" w:rsidRDefault="00A20990" w:rsidP="005140E1">
            <w:pPr>
              <w:contextualSpacing/>
              <w:jc w:val="center"/>
              <w:rPr>
                <w:rFonts w:eastAsia="Times New Roman" w:cs="Arial"/>
                <w:sz w:val="16"/>
                <w:szCs w:val="16"/>
                <w:lang w:val="es-CO" w:eastAsia="es-CO"/>
              </w:rPr>
            </w:pPr>
          </w:p>
        </w:tc>
        <w:tc>
          <w:tcPr>
            <w:tcW w:w="244" w:type="pct"/>
            <w:shd w:val="clear" w:color="auto" w:fill="F2DBDB" w:themeFill="accent2" w:themeFillTint="33"/>
            <w:vAlign w:val="center"/>
            <w:hideMark/>
          </w:tcPr>
          <w:p w14:paraId="4FC2E9C9" w14:textId="77777777" w:rsidR="00A20990" w:rsidRPr="001A38D5" w:rsidRDefault="00A20990" w:rsidP="005140E1">
            <w:pPr>
              <w:contextualSpacing/>
              <w:jc w:val="center"/>
              <w:rPr>
                <w:rFonts w:eastAsia="Times New Roman" w:cs="Arial"/>
                <w:b/>
                <w:sz w:val="16"/>
                <w:szCs w:val="16"/>
                <w:lang w:val="es-CO" w:eastAsia="es-CO"/>
              </w:rPr>
            </w:pPr>
            <w:r w:rsidRPr="001A38D5">
              <w:rPr>
                <w:rFonts w:eastAsia="Times New Roman" w:cs="Arial"/>
                <w:b/>
                <w:sz w:val="16"/>
                <w:szCs w:val="16"/>
                <w:lang w:val="es-CO" w:eastAsia="es-CO"/>
              </w:rPr>
              <w:t>X</w:t>
            </w:r>
          </w:p>
        </w:tc>
      </w:tr>
      <w:tr w:rsidR="001A38D5" w:rsidRPr="001A38D5" w14:paraId="63D9088C" w14:textId="77777777" w:rsidTr="00A20990">
        <w:trPr>
          <w:trHeight w:val="20"/>
          <w:jc w:val="center"/>
        </w:trPr>
        <w:tc>
          <w:tcPr>
            <w:tcW w:w="2727" w:type="pct"/>
            <w:shd w:val="clear" w:color="auto" w:fill="auto"/>
            <w:vAlign w:val="center"/>
            <w:hideMark/>
          </w:tcPr>
          <w:p w14:paraId="37D5D086"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Conceptos sanitarios</w:t>
            </w:r>
          </w:p>
        </w:tc>
        <w:tc>
          <w:tcPr>
            <w:tcW w:w="346" w:type="pct"/>
            <w:shd w:val="clear" w:color="auto" w:fill="auto"/>
            <w:vAlign w:val="center"/>
            <w:hideMark/>
          </w:tcPr>
          <w:p w14:paraId="20AD88D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3C683424" w14:textId="77777777" w:rsidR="00A20990" w:rsidRPr="001A38D5" w:rsidRDefault="00A20990" w:rsidP="005140E1">
            <w:pPr>
              <w:contextualSpacing/>
              <w:jc w:val="center"/>
              <w:rPr>
                <w:rFonts w:eastAsia="Times New Roman" w:cs="Arial"/>
                <w:sz w:val="16"/>
                <w:szCs w:val="16"/>
                <w:lang w:val="es-CO" w:eastAsia="es-CO"/>
              </w:rPr>
            </w:pPr>
          </w:p>
        </w:tc>
        <w:tc>
          <w:tcPr>
            <w:tcW w:w="346" w:type="pct"/>
            <w:shd w:val="clear" w:color="auto" w:fill="auto"/>
            <w:vAlign w:val="center"/>
            <w:hideMark/>
          </w:tcPr>
          <w:p w14:paraId="04A5293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X</w:t>
            </w:r>
          </w:p>
        </w:tc>
        <w:tc>
          <w:tcPr>
            <w:tcW w:w="347" w:type="pct"/>
            <w:shd w:val="clear" w:color="auto" w:fill="auto"/>
            <w:vAlign w:val="center"/>
            <w:hideMark/>
          </w:tcPr>
          <w:p w14:paraId="4F2AD82E" w14:textId="77777777" w:rsidR="00A20990" w:rsidRPr="001A38D5" w:rsidRDefault="00A20990" w:rsidP="005140E1">
            <w:pPr>
              <w:contextualSpacing/>
              <w:jc w:val="center"/>
              <w:rPr>
                <w:rFonts w:eastAsia="Times New Roman" w:cs="Arial"/>
                <w:sz w:val="16"/>
                <w:szCs w:val="16"/>
                <w:lang w:val="es-CO" w:eastAsia="es-CO"/>
              </w:rPr>
            </w:pPr>
          </w:p>
        </w:tc>
        <w:tc>
          <w:tcPr>
            <w:tcW w:w="643" w:type="pct"/>
            <w:shd w:val="clear" w:color="auto" w:fill="auto"/>
            <w:vAlign w:val="center"/>
            <w:hideMark/>
          </w:tcPr>
          <w:p w14:paraId="39B43534" w14:textId="77777777" w:rsidR="00A20990" w:rsidRPr="001A38D5" w:rsidRDefault="00A20990" w:rsidP="005140E1">
            <w:pPr>
              <w:contextualSpacing/>
              <w:jc w:val="center"/>
              <w:rPr>
                <w:rFonts w:eastAsia="Times New Roman" w:cs="Arial"/>
                <w:sz w:val="16"/>
                <w:szCs w:val="16"/>
                <w:lang w:val="es-CO" w:eastAsia="es-CO"/>
              </w:rPr>
            </w:pPr>
          </w:p>
        </w:tc>
        <w:tc>
          <w:tcPr>
            <w:tcW w:w="244" w:type="pct"/>
            <w:shd w:val="clear" w:color="auto" w:fill="F2DBDB" w:themeFill="accent2" w:themeFillTint="33"/>
            <w:vAlign w:val="center"/>
            <w:hideMark/>
          </w:tcPr>
          <w:p w14:paraId="5169D339" w14:textId="77777777" w:rsidR="00A20990" w:rsidRPr="001A38D5" w:rsidRDefault="00A20990" w:rsidP="005140E1">
            <w:pPr>
              <w:contextualSpacing/>
              <w:jc w:val="center"/>
              <w:rPr>
                <w:rFonts w:eastAsia="Times New Roman" w:cs="Arial"/>
                <w:b/>
                <w:sz w:val="16"/>
                <w:szCs w:val="16"/>
                <w:lang w:val="es-CO" w:eastAsia="es-CO"/>
              </w:rPr>
            </w:pPr>
            <w:r w:rsidRPr="001A38D5">
              <w:rPr>
                <w:rFonts w:eastAsia="Times New Roman" w:cs="Arial"/>
                <w:b/>
                <w:sz w:val="16"/>
                <w:szCs w:val="16"/>
                <w:lang w:val="es-CO" w:eastAsia="es-CO"/>
              </w:rPr>
              <w:t>X</w:t>
            </w:r>
          </w:p>
        </w:tc>
      </w:tr>
    </w:tbl>
    <w:p w14:paraId="1829D0B5" w14:textId="77777777" w:rsidR="00A20990" w:rsidRPr="001A38D5" w:rsidRDefault="00A20990" w:rsidP="005140E1">
      <w:pPr>
        <w:contextualSpacing/>
        <w:jc w:val="center"/>
        <w:rPr>
          <w:rFonts w:eastAsia="Calibri" w:cs="Arial"/>
          <w:sz w:val="16"/>
          <w:szCs w:val="16"/>
          <w:lang w:val="es-CO"/>
        </w:rPr>
      </w:pPr>
      <w:r w:rsidRPr="001A38D5">
        <w:rPr>
          <w:rFonts w:eastAsia="Calibri" w:cs="Arial"/>
          <w:sz w:val="16"/>
          <w:szCs w:val="16"/>
          <w:lang w:val="es-CO"/>
        </w:rPr>
        <w:t>Fuente: Análisis Situacional del Municipio de Villavicencio para la ejecución del Programa de Alimentación Escolar vigencias 2019, 2020 y 2021 entregados por la Entidad Territorial.</w:t>
      </w:r>
    </w:p>
    <w:p w14:paraId="17386E2C" w14:textId="77777777" w:rsidR="00A20990" w:rsidRPr="007A412F" w:rsidRDefault="00A20990" w:rsidP="005140E1">
      <w:pPr>
        <w:contextualSpacing/>
        <w:rPr>
          <w:rFonts w:cs="Arial"/>
          <w:szCs w:val="28"/>
          <w:lang w:val="es-CO"/>
        </w:rPr>
      </w:pPr>
    </w:p>
    <w:p w14:paraId="6AE74D39" w14:textId="77777777" w:rsidR="00A20990" w:rsidRPr="001A38D5" w:rsidRDefault="00A20990" w:rsidP="005140E1">
      <w:pPr>
        <w:pStyle w:val="Ttulo3"/>
        <w:contextualSpacing/>
        <w:rPr>
          <w:rFonts w:ascii="Verdana" w:hAnsi="Verdana"/>
        </w:rPr>
      </w:pPr>
      <w:r w:rsidRPr="001A38D5">
        <w:rPr>
          <w:rFonts w:ascii="Verdana" w:hAnsi="Verdana"/>
        </w:rPr>
        <w:t>Participación ciudadana</w:t>
      </w:r>
      <w:r w:rsidR="000E7496">
        <w:rPr>
          <w:rFonts w:ascii="Verdana" w:hAnsi="Verdana"/>
        </w:rPr>
        <w:t>.</w:t>
      </w:r>
    </w:p>
    <w:p w14:paraId="468A693C" w14:textId="77777777" w:rsidR="00A20990" w:rsidRPr="001A38D5" w:rsidRDefault="00A20990" w:rsidP="005140E1">
      <w:pPr>
        <w:contextualSpacing/>
        <w:jc w:val="both"/>
        <w:rPr>
          <w:rFonts w:cs="Arial"/>
          <w:lang w:val="es-CO"/>
        </w:rPr>
      </w:pPr>
    </w:p>
    <w:p w14:paraId="46F4016E" w14:textId="77777777" w:rsidR="00A20990" w:rsidRPr="001A38D5" w:rsidRDefault="00A20990" w:rsidP="005140E1">
      <w:pPr>
        <w:contextualSpacing/>
        <w:jc w:val="both"/>
        <w:rPr>
          <w:rFonts w:cs="Arial"/>
          <w:lang w:val="es-CO"/>
        </w:rPr>
      </w:pPr>
      <w:r w:rsidRPr="001A38D5">
        <w:rPr>
          <w:rFonts w:cs="Arial"/>
          <w:lang w:val="es-CO"/>
        </w:rPr>
        <w:t xml:space="preserve">Sobre la realización de mesas públicas, durante la vigencia 2020 la Entidad solo realizó una mesa pública el 22 de octubre </w:t>
      </w:r>
      <w:r w:rsidR="00217F13">
        <w:rPr>
          <w:rFonts w:cs="Arial"/>
          <w:lang w:val="es-CO"/>
        </w:rPr>
        <w:t xml:space="preserve">por lo que </w:t>
      </w:r>
      <w:r w:rsidRPr="001A38D5">
        <w:rPr>
          <w:rFonts w:cs="Arial"/>
          <w:lang w:val="es-CO"/>
        </w:rPr>
        <w:t xml:space="preserve">no se cumple con la cantidad de espacios establecidos en la normatividad (mínimo 2). La mesa no se realizó en el tiempo establecido la cual debe ser al inicio del programa o máximo tres meses de haber iniciado. Tampoco se logró verificar la asistencia de todos los integrantes de acuerdo con la normatividad ni la presencia de las autoridades, comunidad y beneficiarios de la comunidad indígena objeto de atención por parte del PAE. </w:t>
      </w:r>
    </w:p>
    <w:p w14:paraId="19E7C29D" w14:textId="77777777" w:rsidR="00A20990" w:rsidRPr="001A38D5" w:rsidRDefault="00A20990" w:rsidP="005140E1">
      <w:pPr>
        <w:contextualSpacing/>
        <w:jc w:val="both"/>
        <w:rPr>
          <w:rFonts w:cs="Arial"/>
          <w:lang w:val="es-CO"/>
        </w:rPr>
      </w:pPr>
    </w:p>
    <w:p w14:paraId="6B21B8DB" w14:textId="77777777" w:rsidR="00A20990" w:rsidRPr="001A38D5" w:rsidRDefault="00A20990" w:rsidP="005140E1">
      <w:pPr>
        <w:contextualSpacing/>
        <w:jc w:val="both"/>
        <w:rPr>
          <w:rFonts w:cs="Arial"/>
          <w:lang w:val="es-CO"/>
        </w:rPr>
      </w:pPr>
      <w:r w:rsidRPr="001A38D5">
        <w:rPr>
          <w:rFonts w:cs="Arial"/>
          <w:lang w:val="es-CO"/>
        </w:rPr>
        <w:t xml:space="preserve">Durante la vigencia 2021 se realizaron dos mesas publicas: la primera el día 21 de mayo y la segunda el 28 de octubre de 2021. </w:t>
      </w:r>
    </w:p>
    <w:p w14:paraId="07BD8FC4" w14:textId="77777777" w:rsidR="00A20990" w:rsidRPr="001A38D5" w:rsidRDefault="00A20990" w:rsidP="005140E1">
      <w:pPr>
        <w:contextualSpacing/>
        <w:jc w:val="both"/>
        <w:rPr>
          <w:rFonts w:cs="Arial"/>
          <w:lang w:val="es-CO"/>
        </w:rPr>
      </w:pPr>
    </w:p>
    <w:p w14:paraId="0E40FC64" w14:textId="77777777" w:rsidR="00A20990" w:rsidRPr="001A38D5" w:rsidRDefault="00A20990" w:rsidP="005140E1">
      <w:pPr>
        <w:contextualSpacing/>
        <w:jc w:val="both"/>
        <w:rPr>
          <w:rFonts w:cs="Arial"/>
          <w:lang w:val="es-CO"/>
        </w:rPr>
      </w:pPr>
      <w:r w:rsidRPr="001A38D5">
        <w:rPr>
          <w:rFonts w:cs="Arial"/>
          <w:lang w:val="es-CO"/>
        </w:rPr>
        <w:t xml:space="preserve">Sobre la participación y control comunitario conforme a las estructuras de Gobierno Propio de cada pueblo indígena, la UAPA mediante </w:t>
      </w:r>
      <w:r w:rsidR="000E7496">
        <w:rPr>
          <w:rFonts w:cs="Arial"/>
          <w:lang w:val="es-CO"/>
        </w:rPr>
        <w:t xml:space="preserve">el oficio con </w:t>
      </w:r>
      <w:r w:rsidRPr="001A38D5">
        <w:rPr>
          <w:rFonts w:cs="Arial"/>
          <w:lang w:val="es-CO"/>
        </w:rPr>
        <w:t xml:space="preserve">radicado </w:t>
      </w:r>
      <w:r w:rsidR="000E7496">
        <w:rPr>
          <w:rFonts w:cs="Arial"/>
          <w:lang w:val="es-CO"/>
        </w:rPr>
        <w:t xml:space="preserve">No. </w:t>
      </w:r>
      <w:r w:rsidRPr="001A38D5">
        <w:rPr>
          <w:rFonts w:cs="Arial"/>
          <w:lang w:val="es-CO"/>
        </w:rPr>
        <w:t xml:space="preserve">1-2022-067382 del 19 de agosto de 2022, señala que en la auditoría realizada al Programa en la Entidad para las vigencias 2020 y 2021 no se visualizan ni se documentan los mecanismos por parte de la ETC para promover la participación y el control comunitario conforme a las estructuras de gobierno propio de cada pueblo indígena. </w:t>
      </w:r>
    </w:p>
    <w:p w14:paraId="6E1F45EB" w14:textId="77777777" w:rsidR="00A20990" w:rsidRPr="001A38D5" w:rsidRDefault="00A20990" w:rsidP="005140E1">
      <w:pPr>
        <w:contextualSpacing/>
        <w:jc w:val="both"/>
        <w:rPr>
          <w:rFonts w:cs="Arial"/>
          <w:lang w:val="es-CO"/>
        </w:rPr>
      </w:pPr>
    </w:p>
    <w:p w14:paraId="40CA2E0D" w14:textId="77777777" w:rsidR="00A20990" w:rsidRPr="001A38D5" w:rsidRDefault="00A20990" w:rsidP="005140E1">
      <w:pPr>
        <w:contextualSpacing/>
        <w:jc w:val="both"/>
        <w:rPr>
          <w:rFonts w:cs="Arial"/>
          <w:lang w:val="es-CO"/>
        </w:rPr>
      </w:pPr>
      <w:r w:rsidRPr="001A38D5">
        <w:rPr>
          <w:rFonts w:cs="Arial"/>
          <w:lang w:val="es-CO"/>
        </w:rPr>
        <w:t>Asimismo, sobre el Comité de seguimiento operativo departamental o municipal, la UAPA señala que la ETC no documentó la realización de reuniones del Comité de Seguimiento Operativo Municipal al PAE en la forma descrita en la Resolución 29452 de 2017.</w:t>
      </w:r>
    </w:p>
    <w:p w14:paraId="27556EEF" w14:textId="77777777" w:rsidR="00A20990" w:rsidRPr="001A38D5" w:rsidRDefault="00A20990" w:rsidP="005140E1">
      <w:pPr>
        <w:contextualSpacing/>
        <w:jc w:val="both"/>
        <w:rPr>
          <w:rFonts w:cs="Arial"/>
          <w:lang w:val="es-CO"/>
        </w:rPr>
      </w:pPr>
    </w:p>
    <w:p w14:paraId="138D81DF" w14:textId="77777777" w:rsidR="00A20990" w:rsidRPr="001A38D5" w:rsidRDefault="00A20990" w:rsidP="005140E1">
      <w:pPr>
        <w:contextualSpacing/>
        <w:jc w:val="both"/>
        <w:rPr>
          <w:rFonts w:cs="Arial"/>
          <w:lang w:val="es-CO"/>
        </w:rPr>
      </w:pPr>
      <w:r w:rsidRPr="001A38D5">
        <w:rPr>
          <w:rFonts w:cs="Arial"/>
          <w:lang w:val="es-CO"/>
        </w:rPr>
        <w:t>En cuanto a las Veedurías Ciudadanas la Entidad remitió la relación de</w:t>
      </w:r>
      <w:r w:rsidRPr="001A38D5">
        <w:rPr>
          <w:rFonts w:cs="Arial"/>
        </w:rPr>
        <w:t xml:space="preserve"> las veedurías ciudadanas para los años 2018 y 2019 inscritas en la </w:t>
      </w:r>
      <w:r w:rsidRPr="001A38D5">
        <w:rPr>
          <w:rFonts w:cs="Arial"/>
          <w:lang w:val="es-CO"/>
        </w:rPr>
        <w:t xml:space="preserve">Personería Municipal de Villavicencio, verificándose la conformación de 6 veedurías PAE en la ETC durante la vigencia 2018: </w:t>
      </w:r>
    </w:p>
    <w:p w14:paraId="36BC0095" w14:textId="77777777" w:rsidR="00A20990" w:rsidRPr="001A38D5" w:rsidRDefault="00A20990" w:rsidP="005140E1">
      <w:pPr>
        <w:contextualSpacing/>
        <w:jc w:val="both"/>
        <w:rPr>
          <w:rFonts w:cs="Arial"/>
          <w:sz w:val="24"/>
          <w:szCs w:val="32"/>
          <w:lang w:val="es-CO"/>
        </w:rPr>
      </w:pPr>
    </w:p>
    <w:p w14:paraId="656F3349"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19</w:t>
      </w:r>
      <w:r w:rsidRPr="007A412F">
        <w:rPr>
          <w:rFonts w:ascii="Verdana" w:hAnsi="Verdana"/>
          <w:color w:val="auto"/>
          <w:sz w:val="20"/>
          <w:szCs w:val="20"/>
        </w:rPr>
        <w:fldChar w:fldCharType="end"/>
      </w:r>
      <w:r w:rsidRPr="007A412F">
        <w:rPr>
          <w:rFonts w:ascii="Verdana" w:hAnsi="Verdana"/>
          <w:color w:val="auto"/>
          <w:sz w:val="20"/>
          <w:szCs w:val="20"/>
        </w:rPr>
        <w:t xml:space="preserve"> Veedurías Ciudadanas PAE inscritas en la Personería Municipal de Villavicencio</w:t>
      </w:r>
    </w:p>
    <w:tbl>
      <w:tblPr>
        <w:tblW w:w="5000" w:type="pct"/>
        <w:tblCellMar>
          <w:left w:w="70" w:type="dxa"/>
          <w:right w:w="70" w:type="dxa"/>
        </w:tblCellMar>
        <w:tblLook w:val="04A0" w:firstRow="1" w:lastRow="0" w:firstColumn="1" w:lastColumn="0" w:noHBand="0" w:noVBand="1"/>
      </w:tblPr>
      <w:tblGrid>
        <w:gridCol w:w="2833"/>
        <w:gridCol w:w="4097"/>
        <w:gridCol w:w="1364"/>
        <w:gridCol w:w="1100"/>
      </w:tblGrid>
      <w:tr w:rsidR="001A38D5" w:rsidRPr="001A38D5" w14:paraId="35F831F5" w14:textId="77777777" w:rsidTr="00B23E6E">
        <w:trPr>
          <w:trHeight w:val="20"/>
          <w:tblHeader/>
        </w:trPr>
        <w:tc>
          <w:tcPr>
            <w:tcW w:w="1509"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60F6B95"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Nombre veeduría PAE</w:t>
            </w:r>
          </w:p>
        </w:tc>
        <w:tc>
          <w:tcPr>
            <w:tcW w:w="2181" w:type="pct"/>
            <w:tcBorders>
              <w:top w:val="single" w:sz="4" w:space="0" w:color="auto"/>
              <w:left w:val="nil"/>
              <w:bottom w:val="single" w:sz="4" w:space="0" w:color="auto"/>
              <w:right w:val="single" w:sz="4" w:space="0" w:color="auto"/>
            </w:tcBorders>
            <w:shd w:val="clear" w:color="auto" w:fill="FFC000"/>
            <w:vAlign w:val="center"/>
            <w:hideMark/>
          </w:tcPr>
          <w:p w14:paraId="489F1AD4"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OBJETO</w:t>
            </w:r>
          </w:p>
        </w:tc>
        <w:tc>
          <w:tcPr>
            <w:tcW w:w="723" w:type="pct"/>
            <w:tcBorders>
              <w:top w:val="single" w:sz="4" w:space="0" w:color="auto"/>
              <w:left w:val="nil"/>
              <w:bottom w:val="single" w:sz="4" w:space="0" w:color="auto"/>
              <w:right w:val="single" w:sz="4" w:space="0" w:color="auto"/>
            </w:tcBorders>
            <w:shd w:val="clear" w:color="auto" w:fill="FFC000"/>
            <w:vAlign w:val="center"/>
            <w:hideMark/>
          </w:tcPr>
          <w:p w14:paraId="1AD51FD8"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Fecha de conformación</w:t>
            </w:r>
          </w:p>
        </w:tc>
        <w:tc>
          <w:tcPr>
            <w:tcW w:w="586" w:type="pct"/>
            <w:tcBorders>
              <w:top w:val="single" w:sz="4" w:space="0" w:color="auto"/>
              <w:left w:val="nil"/>
              <w:bottom w:val="single" w:sz="4" w:space="0" w:color="auto"/>
              <w:right w:val="single" w:sz="4" w:space="0" w:color="auto"/>
            </w:tcBorders>
            <w:shd w:val="clear" w:color="auto" w:fill="FFC000"/>
            <w:vAlign w:val="center"/>
            <w:hideMark/>
          </w:tcPr>
          <w:p w14:paraId="7D33595D" w14:textId="77777777" w:rsidR="00A20990" w:rsidRPr="001A38D5" w:rsidRDefault="00A20990"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Registro</w:t>
            </w:r>
          </w:p>
        </w:tc>
      </w:tr>
      <w:tr w:rsidR="001A38D5" w:rsidRPr="001A38D5" w14:paraId="78FE1FD2" w14:textId="77777777" w:rsidTr="00A20990">
        <w:trPr>
          <w:trHeight w:val="20"/>
        </w:trPr>
        <w:tc>
          <w:tcPr>
            <w:tcW w:w="1509" w:type="pct"/>
            <w:tcBorders>
              <w:top w:val="nil"/>
              <w:left w:val="single" w:sz="4" w:space="0" w:color="auto"/>
              <w:bottom w:val="single" w:sz="4" w:space="0" w:color="auto"/>
              <w:right w:val="single" w:sz="4" w:space="0" w:color="auto"/>
            </w:tcBorders>
            <w:shd w:val="clear" w:color="auto" w:fill="auto"/>
            <w:vAlign w:val="center"/>
            <w:hideMark/>
          </w:tcPr>
          <w:p w14:paraId="0DA15082"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Veeduría estudiantil Las Águilas</w:t>
            </w:r>
          </w:p>
        </w:tc>
        <w:tc>
          <w:tcPr>
            <w:tcW w:w="2181" w:type="pct"/>
            <w:tcBorders>
              <w:top w:val="nil"/>
              <w:left w:val="nil"/>
              <w:bottom w:val="single" w:sz="4" w:space="0" w:color="auto"/>
              <w:right w:val="single" w:sz="4" w:space="0" w:color="auto"/>
            </w:tcBorders>
            <w:shd w:val="clear" w:color="auto" w:fill="auto"/>
            <w:vAlign w:val="center"/>
            <w:hideMark/>
          </w:tcPr>
          <w:p w14:paraId="009A502A"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Ejercer control y vigilancia al programa PAE en el colegio nacionalizado femenino de Villavicencio</w:t>
            </w:r>
          </w:p>
        </w:tc>
        <w:tc>
          <w:tcPr>
            <w:tcW w:w="723" w:type="pct"/>
            <w:tcBorders>
              <w:top w:val="nil"/>
              <w:left w:val="nil"/>
              <w:bottom w:val="single" w:sz="4" w:space="0" w:color="auto"/>
              <w:right w:val="single" w:sz="4" w:space="0" w:color="auto"/>
            </w:tcBorders>
            <w:shd w:val="clear" w:color="auto" w:fill="auto"/>
            <w:vAlign w:val="center"/>
            <w:hideMark/>
          </w:tcPr>
          <w:p w14:paraId="3B0212E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20/03/2018</w:t>
            </w:r>
          </w:p>
        </w:tc>
        <w:tc>
          <w:tcPr>
            <w:tcW w:w="586" w:type="pct"/>
            <w:tcBorders>
              <w:top w:val="nil"/>
              <w:left w:val="nil"/>
              <w:bottom w:val="single" w:sz="4" w:space="0" w:color="auto"/>
              <w:right w:val="single" w:sz="4" w:space="0" w:color="auto"/>
            </w:tcBorders>
            <w:shd w:val="clear" w:color="auto" w:fill="auto"/>
            <w:vAlign w:val="center"/>
            <w:hideMark/>
          </w:tcPr>
          <w:p w14:paraId="599D0CB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225 abril 16/2018</w:t>
            </w:r>
          </w:p>
        </w:tc>
      </w:tr>
      <w:tr w:rsidR="001A38D5" w:rsidRPr="001A38D5" w14:paraId="017F876A" w14:textId="77777777" w:rsidTr="00A20990">
        <w:trPr>
          <w:trHeight w:val="20"/>
        </w:trPr>
        <w:tc>
          <w:tcPr>
            <w:tcW w:w="1509" w:type="pct"/>
            <w:tcBorders>
              <w:top w:val="nil"/>
              <w:left w:val="single" w:sz="4" w:space="0" w:color="auto"/>
              <w:bottom w:val="single" w:sz="4" w:space="0" w:color="auto"/>
              <w:right w:val="single" w:sz="4" w:space="0" w:color="auto"/>
            </w:tcBorders>
            <w:shd w:val="clear" w:color="auto" w:fill="auto"/>
            <w:vAlign w:val="center"/>
            <w:hideMark/>
          </w:tcPr>
          <w:p w14:paraId="4817BCD7"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Veeduría estudiantil los Vae-tistas</w:t>
            </w:r>
          </w:p>
        </w:tc>
        <w:tc>
          <w:tcPr>
            <w:tcW w:w="2181" w:type="pct"/>
            <w:tcBorders>
              <w:top w:val="nil"/>
              <w:left w:val="nil"/>
              <w:bottom w:val="single" w:sz="4" w:space="0" w:color="auto"/>
              <w:right w:val="single" w:sz="4" w:space="0" w:color="auto"/>
            </w:tcBorders>
            <w:shd w:val="clear" w:color="auto" w:fill="auto"/>
            <w:vAlign w:val="center"/>
            <w:hideMark/>
          </w:tcPr>
          <w:p w14:paraId="51B46031"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Ejercer control y vigilancia al programa de alimentación escolar -PAE- en el colegio industrial</w:t>
            </w:r>
          </w:p>
        </w:tc>
        <w:tc>
          <w:tcPr>
            <w:tcW w:w="723" w:type="pct"/>
            <w:tcBorders>
              <w:top w:val="nil"/>
              <w:left w:val="nil"/>
              <w:bottom w:val="single" w:sz="4" w:space="0" w:color="auto"/>
              <w:right w:val="single" w:sz="4" w:space="0" w:color="auto"/>
            </w:tcBorders>
            <w:shd w:val="clear" w:color="auto" w:fill="auto"/>
            <w:vAlign w:val="center"/>
            <w:hideMark/>
          </w:tcPr>
          <w:p w14:paraId="0FDB1AB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20/03/2018</w:t>
            </w:r>
          </w:p>
        </w:tc>
        <w:tc>
          <w:tcPr>
            <w:tcW w:w="586" w:type="pct"/>
            <w:tcBorders>
              <w:top w:val="nil"/>
              <w:left w:val="nil"/>
              <w:bottom w:val="single" w:sz="4" w:space="0" w:color="auto"/>
              <w:right w:val="single" w:sz="4" w:space="0" w:color="auto"/>
            </w:tcBorders>
            <w:shd w:val="clear" w:color="auto" w:fill="auto"/>
            <w:vAlign w:val="center"/>
            <w:hideMark/>
          </w:tcPr>
          <w:p w14:paraId="639C629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226 abril 16/2018</w:t>
            </w:r>
          </w:p>
        </w:tc>
      </w:tr>
      <w:tr w:rsidR="001A38D5" w:rsidRPr="001A38D5" w14:paraId="70FCE5B4" w14:textId="77777777" w:rsidTr="00A20990">
        <w:trPr>
          <w:trHeight w:val="20"/>
        </w:trPr>
        <w:tc>
          <w:tcPr>
            <w:tcW w:w="1509" w:type="pct"/>
            <w:tcBorders>
              <w:top w:val="nil"/>
              <w:left w:val="single" w:sz="4" w:space="0" w:color="auto"/>
              <w:bottom w:val="single" w:sz="4" w:space="0" w:color="auto"/>
              <w:right w:val="single" w:sz="4" w:space="0" w:color="auto"/>
            </w:tcBorders>
            <w:shd w:val="clear" w:color="auto" w:fill="auto"/>
            <w:vAlign w:val="center"/>
            <w:hideMark/>
          </w:tcPr>
          <w:p w14:paraId="147A9C57"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Veeduría estudiantil CASD Unidos</w:t>
            </w:r>
          </w:p>
        </w:tc>
        <w:tc>
          <w:tcPr>
            <w:tcW w:w="2181" w:type="pct"/>
            <w:tcBorders>
              <w:top w:val="nil"/>
              <w:left w:val="nil"/>
              <w:bottom w:val="single" w:sz="4" w:space="0" w:color="auto"/>
              <w:right w:val="single" w:sz="4" w:space="0" w:color="auto"/>
            </w:tcBorders>
            <w:shd w:val="clear" w:color="auto" w:fill="auto"/>
            <w:vAlign w:val="center"/>
            <w:hideMark/>
          </w:tcPr>
          <w:p w14:paraId="3ECC7D3D"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Ejercer control y vigilancia al programa de alimentación escolar -PAE- en el colegio Antonio Ricaurte CASD</w:t>
            </w:r>
          </w:p>
        </w:tc>
        <w:tc>
          <w:tcPr>
            <w:tcW w:w="723" w:type="pct"/>
            <w:tcBorders>
              <w:top w:val="nil"/>
              <w:left w:val="nil"/>
              <w:bottom w:val="single" w:sz="4" w:space="0" w:color="auto"/>
              <w:right w:val="single" w:sz="4" w:space="0" w:color="auto"/>
            </w:tcBorders>
            <w:shd w:val="clear" w:color="auto" w:fill="auto"/>
            <w:vAlign w:val="center"/>
            <w:hideMark/>
          </w:tcPr>
          <w:p w14:paraId="45ED650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23/03/2018</w:t>
            </w:r>
          </w:p>
        </w:tc>
        <w:tc>
          <w:tcPr>
            <w:tcW w:w="586" w:type="pct"/>
            <w:tcBorders>
              <w:top w:val="nil"/>
              <w:left w:val="nil"/>
              <w:bottom w:val="single" w:sz="4" w:space="0" w:color="auto"/>
              <w:right w:val="single" w:sz="4" w:space="0" w:color="auto"/>
            </w:tcBorders>
            <w:shd w:val="clear" w:color="auto" w:fill="auto"/>
            <w:vAlign w:val="center"/>
            <w:hideMark/>
          </w:tcPr>
          <w:p w14:paraId="3F49102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227 abril 16/2018</w:t>
            </w:r>
          </w:p>
        </w:tc>
      </w:tr>
      <w:tr w:rsidR="001A38D5" w:rsidRPr="001A38D5" w14:paraId="119D9A19" w14:textId="77777777" w:rsidTr="00A20990">
        <w:trPr>
          <w:trHeight w:val="20"/>
        </w:trPr>
        <w:tc>
          <w:tcPr>
            <w:tcW w:w="1509" w:type="pct"/>
            <w:tcBorders>
              <w:top w:val="nil"/>
              <w:left w:val="single" w:sz="4" w:space="0" w:color="auto"/>
              <w:bottom w:val="single" w:sz="4" w:space="0" w:color="auto"/>
              <w:right w:val="single" w:sz="4" w:space="0" w:color="auto"/>
            </w:tcBorders>
            <w:shd w:val="clear" w:color="auto" w:fill="auto"/>
            <w:vAlign w:val="center"/>
            <w:hideMark/>
          </w:tcPr>
          <w:p w14:paraId="3105262C"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Veeduría estudiantil Germanistas</w:t>
            </w:r>
          </w:p>
        </w:tc>
        <w:tc>
          <w:tcPr>
            <w:tcW w:w="2181" w:type="pct"/>
            <w:tcBorders>
              <w:top w:val="nil"/>
              <w:left w:val="nil"/>
              <w:bottom w:val="single" w:sz="4" w:space="0" w:color="auto"/>
              <w:right w:val="single" w:sz="4" w:space="0" w:color="auto"/>
            </w:tcBorders>
            <w:shd w:val="clear" w:color="auto" w:fill="auto"/>
            <w:vAlign w:val="center"/>
            <w:hideMark/>
          </w:tcPr>
          <w:p w14:paraId="2D964286"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Ejercer control y vigilancia al programa de alimentación escolar -PAE- en el colegio German Arciniegas</w:t>
            </w:r>
          </w:p>
        </w:tc>
        <w:tc>
          <w:tcPr>
            <w:tcW w:w="723" w:type="pct"/>
            <w:tcBorders>
              <w:top w:val="nil"/>
              <w:left w:val="nil"/>
              <w:bottom w:val="single" w:sz="4" w:space="0" w:color="auto"/>
              <w:right w:val="single" w:sz="4" w:space="0" w:color="auto"/>
            </w:tcBorders>
            <w:shd w:val="clear" w:color="auto" w:fill="auto"/>
            <w:vAlign w:val="center"/>
            <w:hideMark/>
          </w:tcPr>
          <w:p w14:paraId="7882CEA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22/03/2018</w:t>
            </w:r>
          </w:p>
        </w:tc>
        <w:tc>
          <w:tcPr>
            <w:tcW w:w="586" w:type="pct"/>
            <w:tcBorders>
              <w:top w:val="nil"/>
              <w:left w:val="nil"/>
              <w:bottom w:val="single" w:sz="4" w:space="0" w:color="auto"/>
              <w:right w:val="single" w:sz="4" w:space="0" w:color="auto"/>
            </w:tcBorders>
            <w:shd w:val="clear" w:color="auto" w:fill="auto"/>
            <w:vAlign w:val="center"/>
            <w:hideMark/>
          </w:tcPr>
          <w:p w14:paraId="4D3F549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228 abril 16/2018</w:t>
            </w:r>
          </w:p>
        </w:tc>
      </w:tr>
      <w:tr w:rsidR="001A38D5" w:rsidRPr="001A38D5" w14:paraId="523A437E" w14:textId="77777777" w:rsidTr="00A20990">
        <w:trPr>
          <w:trHeight w:val="20"/>
        </w:trPr>
        <w:tc>
          <w:tcPr>
            <w:tcW w:w="1509" w:type="pct"/>
            <w:tcBorders>
              <w:top w:val="nil"/>
              <w:left w:val="single" w:sz="4" w:space="0" w:color="auto"/>
              <w:bottom w:val="single" w:sz="4" w:space="0" w:color="auto"/>
              <w:right w:val="single" w:sz="4" w:space="0" w:color="auto"/>
            </w:tcBorders>
            <w:shd w:val="clear" w:color="auto" w:fill="auto"/>
            <w:vAlign w:val="center"/>
            <w:hideMark/>
          </w:tcPr>
          <w:p w14:paraId="662D781D"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Veedores Aranguistas</w:t>
            </w:r>
          </w:p>
        </w:tc>
        <w:tc>
          <w:tcPr>
            <w:tcW w:w="2181" w:type="pct"/>
            <w:tcBorders>
              <w:top w:val="nil"/>
              <w:left w:val="nil"/>
              <w:bottom w:val="single" w:sz="4" w:space="0" w:color="auto"/>
              <w:right w:val="single" w:sz="4" w:space="0" w:color="auto"/>
            </w:tcBorders>
            <w:shd w:val="clear" w:color="auto" w:fill="auto"/>
            <w:vAlign w:val="center"/>
            <w:hideMark/>
          </w:tcPr>
          <w:p w14:paraId="7965D1DD"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Control y vigilancia al programa PAE institución educativa Francisco Arango</w:t>
            </w:r>
          </w:p>
        </w:tc>
        <w:tc>
          <w:tcPr>
            <w:tcW w:w="723" w:type="pct"/>
            <w:tcBorders>
              <w:top w:val="nil"/>
              <w:left w:val="nil"/>
              <w:bottom w:val="single" w:sz="4" w:space="0" w:color="auto"/>
              <w:right w:val="single" w:sz="4" w:space="0" w:color="auto"/>
            </w:tcBorders>
            <w:shd w:val="clear" w:color="auto" w:fill="auto"/>
            <w:vAlign w:val="center"/>
            <w:hideMark/>
          </w:tcPr>
          <w:p w14:paraId="5231099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12/07/2018</w:t>
            </w:r>
          </w:p>
        </w:tc>
        <w:tc>
          <w:tcPr>
            <w:tcW w:w="586" w:type="pct"/>
            <w:tcBorders>
              <w:top w:val="nil"/>
              <w:left w:val="nil"/>
              <w:bottom w:val="single" w:sz="4" w:space="0" w:color="auto"/>
              <w:right w:val="single" w:sz="4" w:space="0" w:color="auto"/>
            </w:tcBorders>
            <w:shd w:val="clear" w:color="auto" w:fill="auto"/>
            <w:vAlign w:val="center"/>
            <w:hideMark/>
          </w:tcPr>
          <w:p w14:paraId="3E4AAF7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235 Julio 25/2018</w:t>
            </w:r>
          </w:p>
        </w:tc>
      </w:tr>
      <w:tr w:rsidR="001A38D5" w:rsidRPr="001A38D5" w14:paraId="1FA34EE5" w14:textId="77777777" w:rsidTr="00A20990">
        <w:trPr>
          <w:trHeight w:val="20"/>
        </w:trPr>
        <w:tc>
          <w:tcPr>
            <w:tcW w:w="1509" w:type="pct"/>
            <w:tcBorders>
              <w:top w:val="nil"/>
              <w:left w:val="single" w:sz="4" w:space="0" w:color="auto"/>
              <w:bottom w:val="single" w:sz="4" w:space="0" w:color="auto"/>
              <w:right w:val="single" w:sz="4" w:space="0" w:color="auto"/>
            </w:tcBorders>
            <w:shd w:val="clear" w:color="auto" w:fill="auto"/>
            <w:vAlign w:val="center"/>
            <w:hideMark/>
          </w:tcPr>
          <w:p w14:paraId="203C1BC2"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REDVEEPAE</w:t>
            </w:r>
          </w:p>
        </w:tc>
        <w:tc>
          <w:tcPr>
            <w:tcW w:w="2181" w:type="pct"/>
            <w:tcBorders>
              <w:top w:val="nil"/>
              <w:left w:val="nil"/>
              <w:bottom w:val="single" w:sz="4" w:space="0" w:color="auto"/>
              <w:right w:val="single" w:sz="4" w:space="0" w:color="auto"/>
            </w:tcBorders>
            <w:shd w:val="clear" w:color="auto" w:fill="auto"/>
            <w:vAlign w:val="center"/>
            <w:hideMark/>
          </w:tcPr>
          <w:p w14:paraId="3D0192EE" w14:textId="77777777" w:rsidR="00A20990" w:rsidRPr="001A38D5" w:rsidRDefault="00A20990" w:rsidP="005140E1">
            <w:pPr>
              <w:contextualSpacing/>
              <w:rPr>
                <w:rFonts w:eastAsia="Times New Roman" w:cs="Arial"/>
                <w:sz w:val="16"/>
                <w:szCs w:val="16"/>
                <w:lang w:val="es-CO" w:eastAsia="es-CO"/>
              </w:rPr>
            </w:pPr>
            <w:r w:rsidRPr="001A38D5">
              <w:rPr>
                <w:rFonts w:eastAsia="Times New Roman" w:cs="Arial"/>
                <w:sz w:val="16"/>
                <w:szCs w:val="16"/>
                <w:lang w:val="es-CO" w:eastAsia="es-CO"/>
              </w:rPr>
              <w:t xml:space="preserve">Ejercer vigilancia a los recursos públicos asignados al programa de alimentación escolar- PAE en el Meta. </w:t>
            </w:r>
          </w:p>
        </w:tc>
        <w:tc>
          <w:tcPr>
            <w:tcW w:w="723" w:type="pct"/>
            <w:tcBorders>
              <w:top w:val="nil"/>
              <w:left w:val="nil"/>
              <w:bottom w:val="single" w:sz="4" w:space="0" w:color="auto"/>
              <w:right w:val="single" w:sz="4" w:space="0" w:color="auto"/>
            </w:tcBorders>
            <w:shd w:val="clear" w:color="auto" w:fill="auto"/>
            <w:vAlign w:val="center"/>
            <w:hideMark/>
          </w:tcPr>
          <w:p w14:paraId="006E89C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 </w:t>
            </w:r>
          </w:p>
        </w:tc>
        <w:tc>
          <w:tcPr>
            <w:tcW w:w="586" w:type="pct"/>
            <w:tcBorders>
              <w:top w:val="nil"/>
              <w:left w:val="nil"/>
              <w:bottom w:val="single" w:sz="4" w:space="0" w:color="auto"/>
              <w:right w:val="single" w:sz="4" w:space="0" w:color="auto"/>
            </w:tcBorders>
            <w:shd w:val="clear" w:color="auto" w:fill="auto"/>
            <w:vAlign w:val="center"/>
            <w:hideMark/>
          </w:tcPr>
          <w:p w14:paraId="2BA9796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238 sept3/2018</w:t>
            </w:r>
          </w:p>
        </w:tc>
      </w:tr>
    </w:tbl>
    <w:p w14:paraId="57166A70" w14:textId="77777777" w:rsidR="00A20990" w:rsidRPr="001A38D5" w:rsidRDefault="00A20990" w:rsidP="005140E1">
      <w:pPr>
        <w:contextualSpacing/>
        <w:jc w:val="center"/>
        <w:rPr>
          <w:rFonts w:eastAsia="Calibri" w:cs="Arial"/>
          <w:sz w:val="16"/>
          <w:szCs w:val="16"/>
          <w:lang w:val="es-CO"/>
        </w:rPr>
      </w:pPr>
      <w:r w:rsidRPr="001A38D5">
        <w:rPr>
          <w:rFonts w:eastAsia="Calibri" w:cs="Arial"/>
          <w:sz w:val="16"/>
          <w:szCs w:val="16"/>
          <w:lang w:val="es-CO"/>
        </w:rPr>
        <w:t>Fuente: Inscripción de veedurías PAE en la Personería Municipal de Villavicencio entregados por la Entidad Territorial.</w:t>
      </w:r>
    </w:p>
    <w:p w14:paraId="11FE3893" w14:textId="77777777" w:rsidR="00A20990" w:rsidRPr="001A38D5" w:rsidRDefault="00A20990" w:rsidP="005140E1">
      <w:pPr>
        <w:contextualSpacing/>
        <w:jc w:val="both"/>
        <w:rPr>
          <w:rFonts w:cs="Arial"/>
          <w:lang w:val="es-CO"/>
        </w:rPr>
      </w:pPr>
    </w:p>
    <w:p w14:paraId="60CD0E28" w14:textId="77777777" w:rsidR="00A20990" w:rsidRPr="001A38D5" w:rsidRDefault="00A20990" w:rsidP="005140E1">
      <w:pPr>
        <w:contextualSpacing/>
        <w:jc w:val="both"/>
        <w:rPr>
          <w:rFonts w:cs="Arial"/>
          <w:lang w:val="es-CO"/>
        </w:rPr>
      </w:pPr>
      <w:r w:rsidRPr="001A38D5">
        <w:rPr>
          <w:rFonts w:cs="Arial"/>
          <w:lang w:val="es-CO"/>
        </w:rPr>
        <w:t xml:space="preserve">Para las demás vigencias analizadas no se visualiza la promoción para la conformación de veeduría ciudadana del PAE de acuerdo con la Ley 850 de 2013. </w:t>
      </w:r>
    </w:p>
    <w:p w14:paraId="35A4FB8F" w14:textId="77777777" w:rsidR="00A20990" w:rsidRPr="001A38D5" w:rsidRDefault="00A20990" w:rsidP="005140E1">
      <w:pPr>
        <w:contextualSpacing/>
        <w:jc w:val="both"/>
        <w:rPr>
          <w:rFonts w:cs="Arial"/>
          <w:lang w:val="es-CO"/>
        </w:rPr>
      </w:pPr>
    </w:p>
    <w:p w14:paraId="15536D6D" w14:textId="77777777" w:rsidR="00A20990" w:rsidRPr="001A38D5" w:rsidRDefault="00A20990" w:rsidP="005140E1">
      <w:pPr>
        <w:contextualSpacing/>
        <w:jc w:val="both"/>
        <w:rPr>
          <w:rFonts w:cs="Arial"/>
          <w:lang w:val="es-CO"/>
        </w:rPr>
      </w:pPr>
      <w:r w:rsidRPr="001A38D5">
        <w:rPr>
          <w:rFonts w:cs="Arial"/>
          <w:lang w:val="es-CO"/>
        </w:rPr>
        <w:t>Finalmente, sobre la gestión para la promoción de la conformación de los Comités de Alimentación Escolar, para la vigencia 2020 la Entidad remitió las Circulares 1502-19.18/511 del 4 de agosto y 150012.02/127 del 18 de septiembre de 2020, en las que se relacionan aspectos de vigilancia del PAE en el marco de la corresponsabilidad de los actores y se solicita a los rectores de las IEO remitir las actas de conformación de los Comités. Para la vigencia 2021, la Entidad remitió la circular 1502-19.18/569 del 23 de agosto, en la que se solicita la información sobre la conformación de los CAE en las IEO a los directivos docentes en el marco de la operación del PAE.</w:t>
      </w:r>
    </w:p>
    <w:p w14:paraId="3C99A539" w14:textId="77777777" w:rsidR="00A20990" w:rsidRPr="001A38D5" w:rsidRDefault="00A20990" w:rsidP="005140E1">
      <w:pPr>
        <w:contextualSpacing/>
        <w:jc w:val="both"/>
        <w:rPr>
          <w:rFonts w:cs="Arial"/>
          <w:lang w:val="es-CO"/>
        </w:rPr>
      </w:pPr>
    </w:p>
    <w:p w14:paraId="6D643F24" w14:textId="77777777" w:rsidR="00A20990" w:rsidRPr="001A38D5" w:rsidRDefault="00A20990" w:rsidP="005140E1">
      <w:pPr>
        <w:pStyle w:val="Ttulo1"/>
        <w:contextualSpacing/>
        <w:rPr>
          <w:rFonts w:ascii="Verdana" w:hAnsi="Verdana"/>
          <w:color w:val="auto"/>
        </w:rPr>
      </w:pPr>
      <w:r w:rsidRPr="001A38D5">
        <w:rPr>
          <w:rFonts w:ascii="Verdana" w:hAnsi="Verdana"/>
          <w:color w:val="auto"/>
        </w:rPr>
        <w:t>EVENTOS DE RIESGO IDENTIFICADOS</w:t>
      </w:r>
      <w:r w:rsidR="00575B9C">
        <w:rPr>
          <w:rFonts w:ascii="Verdana" w:hAnsi="Verdana"/>
          <w:color w:val="auto"/>
        </w:rPr>
        <w:t>.</w:t>
      </w:r>
    </w:p>
    <w:p w14:paraId="39D73433" w14:textId="77777777" w:rsidR="00A20990" w:rsidRPr="001A38D5" w:rsidRDefault="00A20990" w:rsidP="005140E1">
      <w:pPr>
        <w:pStyle w:val="Sinespaciado"/>
        <w:contextualSpacing/>
        <w:jc w:val="both"/>
        <w:rPr>
          <w:rFonts w:ascii="Verdana" w:hAnsi="Verdana" w:cs="Arial"/>
        </w:rPr>
      </w:pPr>
    </w:p>
    <w:p w14:paraId="0FFA6691" w14:textId="77777777" w:rsidR="00A20990" w:rsidRPr="001A38D5" w:rsidRDefault="00A20990" w:rsidP="005140E1">
      <w:pPr>
        <w:contextualSpacing/>
        <w:jc w:val="both"/>
        <w:rPr>
          <w:rFonts w:cs="Arial"/>
          <w:lang w:val="es-CO"/>
        </w:rPr>
      </w:pPr>
      <w:r w:rsidRPr="001A38D5">
        <w:rPr>
          <w:rFonts w:cs="Arial"/>
          <w:lang w:val="es-CO"/>
        </w:rPr>
        <w:t>En cumplimiento de las funciones enmarcadas en el Decreto 028 de 2008, la Dirección General de Apoyo Fiscal, luego del análisis de la información del Municipio determinó la existencia de los siguientes eventos de riesgo, definidos en el artículo 9 del Decreto 028 de 2008, en relación con el uso de los recursos de la Asignación Especial para Alimentación Escolar del Sistema General de Participaciones.</w:t>
      </w:r>
    </w:p>
    <w:p w14:paraId="143D7A95" w14:textId="77777777" w:rsidR="00A20990" w:rsidRPr="001A38D5" w:rsidRDefault="00A20990" w:rsidP="005140E1">
      <w:pPr>
        <w:contextualSpacing/>
        <w:jc w:val="both"/>
        <w:rPr>
          <w:rFonts w:cs="Arial"/>
          <w:lang w:val="es-CO"/>
        </w:rPr>
      </w:pPr>
    </w:p>
    <w:p w14:paraId="1594588F" w14:textId="77777777" w:rsidR="00A20990" w:rsidRPr="007A412F" w:rsidRDefault="00A20990" w:rsidP="005140E1">
      <w:pPr>
        <w:pStyle w:val="Ttulo2"/>
        <w:numPr>
          <w:ilvl w:val="0"/>
          <w:numId w:val="0"/>
        </w:numPr>
        <w:contextualSpacing/>
        <w:jc w:val="both"/>
        <w:rPr>
          <w:rFonts w:ascii="Verdana" w:hAnsi="Verdana"/>
          <w:u w:val="none"/>
        </w:rPr>
      </w:pPr>
      <w:r w:rsidRPr="007A412F">
        <w:rPr>
          <w:rFonts w:ascii="Verdana" w:hAnsi="Verdana"/>
          <w:u w:val="none"/>
        </w:rPr>
        <w:t xml:space="preserve">EVENTO DE RIESGO 9.1. </w:t>
      </w:r>
      <w:r w:rsidRPr="007A412F">
        <w:rPr>
          <w:rFonts w:ascii="Verdana" w:hAnsi="Verdana"/>
          <w:b w:val="0"/>
          <w:bCs w:val="0"/>
          <w:u w:val="none"/>
        </w:rPr>
        <w:t>“</w:t>
      </w:r>
      <w:r w:rsidRPr="007A412F">
        <w:rPr>
          <w:rFonts w:ascii="Verdana" w:hAnsi="Verdana"/>
          <w:b w:val="0"/>
          <w:bCs w:val="0"/>
          <w:i/>
          <w:iCs/>
          <w:u w:val="none"/>
        </w:rPr>
        <w:t>No envío de información conforme a los plazos, condiciones y formatos indicados por el Gobierno Nacional, y/o haber remitido o entregado información incompleta o errónea</w:t>
      </w:r>
      <w:r w:rsidRPr="007A412F">
        <w:rPr>
          <w:rFonts w:ascii="Verdana" w:hAnsi="Verdana"/>
          <w:b w:val="0"/>
          <w:bCs w:val="0"/>
          <w:u w:val="none"/>
        </w:rPr>
        <w:t>”.</w:t>
      </w:r>
    </w:p>
    <w:p w14:paraId="771622CA" w14:textId="77777777" w:rsidR="00A20990" w:rsidRPr="001A38D5" w:rsidRDefault="00A20990" w:rsidP="005140E1">
      <w:pPr>
        <w:contextualSpacing/>
        <w:jc w:val="both"/>
        <w:rPr>
          <w:rFonts w:cs="Arial"/>
          <w:lang w:val="es-CO" w:eastAsia="es-CO"/>
        </w:rPr>
      </w:pPr>
    </w:p>
    <w:p w14:paraId="27418C1B" w14:textId="77777777" w:rsidR="00A20990" w:rsidRPr="007A412F" w:rsidRDefault="00A20990" w:rsidP="005140E1">
      <w:pPr>
        <w:contextualSpacing/>
        <w:jc w:val="both"/>
        <w:rPr>
          <w:rFonts w:cs="Arial"/>
          <w:b/>
        </w:rPr>
      </w:pPr>
      <w:r w:rsidRPr="007A412F">
        <w:rPr>
          <w:rFonts w:cs="Arial"/>
          <w:b/>
        </w:rPr>
        <w:t>1. Incumplimiento en la calidad del reporte de información de la ejecución de los recursos de la Asignación Especial para Alimentación Escolar en el Formulario Único Territorial y de la Categoría Única de Información del Presupuesto Ordinario para las vigencias 2019 a 2022.</w:t>
      </w:r>
    </w:p>
    <w:p w14:paraId="18A8B0DE" w14:textId="77777777" w:rsidR="00A20990" w:rsidRPr="001A38D5" w:rsidRDefault="00A20990" w:rsidP="005140E1">
      <w:pPr>
        <w:contextualSpacing/>
        <w:jc w:val="both"/>
        <w:rPr>
          <w:rFonts w:cs="Arial"/>
        </w:rPr>
      </w:pPr>
    </w:p>
    <w:p w14:paraId="1A95EBF3" w14:textId="77777777" w:rsidR="00A20990" w:rsidRPr="001A38D5" w:rsidRDefault="00A20990" w:rsidP="005140E1">
      <w:pPr>
        <w:contextualSpacing/>
        <w:jc w:val="both"/>
        <w:rPr>
          <w:rFonts w:eastAsia="Arial" w:cs="Arial"/>
          <w:i/>
          <w:iCs/>
          <w:lang w:val="es-CO"/>
        </w:rPr>
      </w:pPr>
      <w:r w:rsidRPr="001A38D5">
        <w:rPr>
          <w:rFonts w:cs="Arial"/>
        </w:rPr>
        <w:t xml:space="preserve">El artículo 188 de la Ley 1753 de 2015, modificado por el artículo 308 de la Ley 2294 de 2023, establece el reporte de toda la información del orden territorial sobre la ejecución presupuestal de ingresos y gastos a través de la Categoría Única de Información Presupuestal Ordinaria – CUIPO y del Formulario Único Territorial – FUT, como mecanismo de reporte de información con fines de monitoreo, seguimiento, evaluación y control. Asimismo, el artículo 2.6.4.2 del Decreto 1068 de 2015, modificado por el artículo 1 del Decreto 1536 de 2016, </w:t>
      </w:r>
      <w:r w:rsidRPr="001A38D5">
        <w:rPr>
          <w:rFonts w:eastAsia="Arial" w:cs="Arial"/>
          <w:lang w:val="es-CO"/>
        </w:rPr>
        <w:t xml:space="preserve">indicó que </w:t>
      </w:r>
      <w:r w:rsidRPr="001A38D5">
        <w:rPr>
          <w:rFonts w:eastAsia="Arial" w:cs="Arial"/>
          <w:i/>
          <w:iCs/>
          <w:lang w:val="es-CO"/>
        </w:rPr>
        <w:t xml:space="preserve">“El FUT será de obligatorio diligenciamiento y presentación por el sector central de los Departamentos, Distritos y municipios […]”. </w:t>
      </w:r>
      <w:r w:rsidRPr="001A38D5">
        <w:rPr>
          <w:rFonts w:eastAsia="Arial" w:cs="Arial"/>
          <w:lang w:val="es-CO"/>
        </w:rPr>
        <w:t>Además, el mismo artículo señala</w:t>
      </w:r>
      <w:r w:rsidRPr="001A38D5">
        <w:rPr>
          <w:rFonts w:eastAsia="Arial" w:cs="Arial"/>
          <w:sz w:val="23"/>
          <w:szCs w:val="23"/>
          <w:lang w:val="es-CO"/>
        </w:rPr>
        <w:t>: “</w:t>
      </w:r>
      <w:r w:rsidRPr="001A38D5">
        <w:rPr>
          <w:rFonts w:eastAsia="Arial" w:cs="Arial"/>
          <w:i/>
          <w:iCs/>
          <w:lang w:val="es-CO"/>
        </w:rPr>
        <w:t>La información de ejecución presupuestal de ingresos y gastos reportada a través del FUT. deberá ser consistente y coherente con la información contable reconocida y revelada en los términos definidos en el Régimen de Contabilidad Pública”.</w:t>
      </w:r>
    </w:p>
    <w:p w14:paraId="04897EB5" w14:textId="77777777" w:rsidR="00A20990" w:rsidRPr="001A38D5" w:rsidRDefault="00A20990" w:rsidP="005140E1">
      <w:pPr>
        <w:contextualSpacing/>
        <w:jc w:val="both"/>
        <w:rPr>
          <w:rFonts w:cs="Arial"/>
        </w:rPr>
      </w:pPr>
    </w:p>
    <w:p w14:paraId="29CE866D"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De igual manera, el Ministerio de Hacienda y Crédito Público en uso de sus facultades legales expidió la Resolución No. 3832 del 18 de octubre de 2019 mediante la cual se expide el Catálogo de Clasificación Presupuestal para las Entidades Territoriales y sus Descentralizadas - CCPET, el cual deberá aplicarse en todas las etapas del ciclo presupuestal según la definición y composición del clasificador presupuestal establecido. Así mismo la Contraloría General de la República puso a disposición en el CHIP la Categoría Única de Información del Presupuesto Ordinario – CUIPO a través del cual se reporta la información presupuestal </w:t>
      </w:r>
      <w:r w:rsidR="005B6F65" w:rsidRPr="001A38D5">
        <w:rPr>
          <w:rFonts w:eastAsia="Arial" w:cs="Arial"/>
          <w:lang w:val="es-CO"/>
        </w:rPr>
        <w:t xml:space="preserve">de acuerdo con lo </w:t>
      </w:r>
      <w:r w:rsidRPr="001A38D5">
        <w:rPr>
          <w:rFonts w:eastAsia="Arial" w:cs="Arial"/>
          <w:lang w:val="es-CO"/>
        </w:rPr>
        <w:t>dispuest</w:t>
      </w:r>
      <w:r w:rsidR="005B6F65" w:rsidRPr="001A38D5">
        <w:rPr>
          <w:rFonts w:eastAsia="Arial" w:cs="Arial"/>
          <w:lang w:val="es-CO"/>
        </w:rPr>
        <w:t>o</w:t>
      </w:r>
      <w:r w:rsidRPr="001A38D5">
        <w:rPr>
          <w:rFonts w:eastAsia="Arial" w:cs="Arial"/>
          <w:lang w:val="es-CO"/>
        </w:rPr>
        <w:t xml:space="preserve"> en el CCPET </w:t>
      </w:r>
      <w:r w:rsidR="00517440" w:rsidRPr="001A38D5">
        <w:rPr>
          <w:rFonts w:eastAsia="Arial" w:cs="Arial"/>
          <w:lang w:val="es-CO"/>
        </w:rPr>
        <w:t>y</w:t>
      </w:r>
      <w:r w:rsidR="005C15FE">
        <w:rPr>
          <w:rFonts w:eastAsia="Arial" w:cs="Arial"/>
          <w:lang w:val="es-CO"/>
        </w:rPr>
        <w:t xml:space="preserve"> sus catálogos complementarios </w:t>
      </w:r>
      <w:r w:rsidR="00517440" w:rsidRPr="001A38D5">
        <w:rPr>
          <w:rFonts w:eastAsia="Arial" w:cs="Arial"/>
          <w:lang w:val="es-CO"/>
        </w:rPr>
        <w:t xml:space="preserve">para </w:t>
      </w:r>
      <w:r w:rsidRPr="001A38D5">
        <w:rPr>
          <w:rFonts w:eastAsia="Arial" w:cs="Arial"/>
          <w:lang w:val="es-CO"/>
        </w:rPr>
        <w:t>cada Entidad Territorial.</w:t>
      </w:r>
    </w:p>
    <w:p w14:paraId="7307BE90" w14:textId="77777777" w:rsidR="00A20990" w:rsidRPr="001A38D5" w:rsidRDefault="00A20990" w:rsidP="005140E1">
      <w:pPr>
        <w:contextualSpacing/>
        <w:jc w:val="both"/>
        <w:rPr>
          <w:rFonts w:eastAsia="Arial" w:cs="Arial"/>
          <w:lang w:val="es-CO"/>
        </w:rPr>
      </w:pPr>
    </w:p>
    <w:p w14:paraId="0B2698A5" w14:textId="77777777" w:rsidR="0003175E" w:rsidRPr="001A38D5" w:rsidRDefault="0003175E" w:rsidP="005140E1">
      <w:pPr>
        <w:contextualSpacing/>
        <w:jc w:val="both"/>
        <w:rPr>
          <w:rFonts w:eastAsia="Arial" w:cs="Arial"/>
          <w:lang w:val="es-CO"/>
        </w:rPr>
      </w:pPr>
      <w:r w:rsidRPr="001A38D5">
        <w:rPr>
          <w:rFonts w:eastAsia="Arial" w:cs="Arial"/>
          <w:lang w:val="es-CO"/>
        </w:rPr>
        <w:t xml:space="preserve">De este modo, para las vigencias 2019 a 2021 se toma la información de ingresos y gastos reportada por la Entidad Territorial en el Formulario Único Territorial – FUT y para la vigencia 2022 se toma la información de ejecución de ingresos y gastos de la Categoría Única de Información Presupuestal Ordinaria – CUIPO del CHIP. </w:t>
      </w:r>
    </w:p>
    <w:p w14:paraId="62BAAF02" w14:textId="77777777" w:rsidR="0003175E" w:rsidRPr="001A38D5" w:rsidRDefault="0003175E" w:rsidP="005140E1">
      <w:pPr>
        <w:contextualSpacing/>
        <w:jc w:val="both"/>
        <w:rPr>
          <w:rFonts w:eastAsia="Arial" w:cs="Arial"/>
          <w:lang w:val="es-CO"/>
        </w:rPr>
      </w:pPr>
    </w:p>
    <w:p w14:paraId="2ED8BAFE" w14:textId="77777777" w:rsidR="00A20990" w:rsidRPr="001A38D5" w:rsidRDefault="00A20990" w:rsidP="005140E1">
      <w:pPr>
        <w:contextualSpacing/>
        <w:jc w:val="both"/>
        <w:rPr>
          <w:rFonts w:eastAsia="Arial" w:cs="Arial"/>
          <w:lang w:val="es-CO"/>
        </w:rPr>
      </w:pPr>
      <w:r w:rsidRPr="001A38D5">
        <w:rPr>
          <w:rFonts w:eastAsia="Arial" w:cs="Arial"/>
          <w:lang w:val="es-CO"/>
        </w:rPr>
        <w:t>Al realizar un análisis comparativo entre las ejecuciones presupuestales del Municipio y el reporte realizado en el Formulario Único Territorial – FUT y en la Categoría Única de Información del Presupuesto Ordinario – CUIPO, se evidencia</w:t>
      </w:r>
      <w:r w:rsidR="00FD6F06">
        <w:rPr>
          <w:rFonts w:eastAsia="Arial" w:cs="Arial"/>
          <w:lang w:val="es-CO"/>
        </w:rPr>
        <w:t>n</w:t>
      </w:r>
      <w:r w:rsidRPr="001A38D5">
        <w:rPr>
          <w:rFonts w:eastAsia="Arial" w:cs="Arial"/>
          <w:lang w:val="es-CO"/>
        </w:rPr>
        <w:t xml:space="preserve"> una serie de inconsistencias frente a la información presupuestal, las cuales se listan a continuación:</w:t>
      </w:r>
    </w:p>
    <w:p w14:paraId="4B8A5EE4" w14:textId="77777777" w:rsidR="00A20990" w:rsidRPr="001A38D5" w:rsidRDefault="00A20990" w:rsidP="005140E1">
      <w:pPr>
        <w:contextualSpacing/>
        <w:jc w:val="both"/>
        <w:rPr>
          <w:rFonts w:eastAsia="Arial" w:cs="Arial"/>
          <w:lang w:val="es-CO"/>
        </w:rPr>
      </w:pPr>
    </w:p>
    <w:p w14:paraId="166728A6" w14:textId="77777777" w:rsidR="00A20990" w:rsidRPr="001A38D5" w:rsidRDefault="00A20990" w:rsidP="005140E1">
      <w:pPr>
        <w:contextualSpacing/>
        <w:jc w:val="both"/>
        <w:rPr>
          <w:rFonts w:eastAsia="Arial" w:cs="Arial"/>
          <w:lang w:val="es-CO"/>
        </w:rPr>
      </w:pPr>
      <w:r w:rsidRPr="001A38D5">
        <w:rPr>
          <w:rFonts w:eastAsia="Arial" w:cs="Arial"/>
          <w:lang w:val="es-CO"/>
        </w:rPr>
        <w:t>Al cierre de la vigencia 2019, la Entidad reportó un recaudo de $9,7 millones por rendimientos financieros, mientras que en su ejecución presupuestal reporta recursos por este concepto por $39 millones. Frente a los recursos del balance, se evidencia que la Entidad incorporó recursos por $331,03 millones, mientras que en el FUT se reportó un recaudo de $360,30</w:t>
      </w:r>
      <w:r w:rsidR="008B52AA">
        <w:rPr>
          <w:rFonts w:eastAsia="Arial" w:cs="Arial"/>
          <w:lang w:val="es-CO"/>
        </w:rPr>
        <w:t xml:space="preserve"> millones</w:t>
      </w:r>
      <w:r w:rsidRPr="001A38D5">
        <w:rPr>
          <w:rFonts w:eastAsia="Arial" w:cs="Arial"/>
          <w:lang w:val="es-CO"/>
        </w:rPr>
        <w:t>. Lo anterior contrasta con el resultado fiscal de la vigencia 2018, en la que se presentó superávit por $360,2 millones, según lo reportado en la Categoría de Cierre Fiscal de 2018. Asimismo, el Decreto No. 1000-21/153 del 1 de abril de 2019 “</w:t>
      </w:r>
      <w:r w:rsidRPr="001A38D5">
        <w:rPr>
          <w:rFonts w:eastAsia="Arial" w:cs="Arial"/>
          <w:i/>
          <w:lang w:val="es-CO"/>
        </w:rPr>
        <w:t>Por medio del cual se modifica el Decreto No. 442 del 17 de diciembre de 2018, mediante el cual se liquida el Presupuesto de Rentas, Recursos de capital y apropiaciones de Gastos para el Municipio de Villavicencio - Vigencia fiscal 2019</w:t>
      </w:r>
      <w:r w:rsidRPr="001A38D5">
        <w:rPr>
          <w:rFonts w:eastAsia="Arial" w:cs="Arial"/>
          <w:lang w:val="es-CO"/>
        </w:rPr>
        <w:t>”, adiciona el presupuesto de ingresos de la vigencia 2019, como sigue: $331 millones correspondientes a recursos del balance del SGP - Alimentación Escolar y $29,4 millones de rendimientos financieros de la AESGPAE.</w:t>
      </w:r>
    </w:p>
    <w:p w14:paraId="0E8F174A" w14:textId="77777777" w:rsidR="00A20990" w:rsidRPr="001A38D5" w:rsidRDefault="00A20990" w:rsidP="005140E1">
      <w:pPr>
        <w:contextualSpacing/>
        <w:jc w:val="both"/>
        <w:rPr>
          <w:rFonts w:eastAsia="Arial" w:cs="Arial"/>
          <w:lang w:val="es-CO"/>
        </w:rPr>
      </w:pPr>
    </w:p>
    <w:p w14:paraId="227D2117" w14:textId="77777777" w:rsidR="00A20990" w:rsidRPr="001A38D5" w:rsidRDefault="00A20990" w:rsidP="005140E1">
      <w:pPr>
        <w:contextualSpacing/>
        <w:jc w:val="both"/>
        <w:rPr>
          <w:rFonts w:eastAsia="Arial" w:cs="Arial"/>
          <w:lang w:val="es-CO"/>
        </w:rPr>
      </w:pPr>
      <w:r w:rsidRPr="001A38D5">
        <w:rPr>
          <w:rFonts w:eastAsia="Arial" w:cs="Arial"/>
          <w:lang w:val="es-CO"/>
        </w:rPr>
        <w:t>A partir de las ejecuciones presupuestales de ingresos y gastos, el resultado del ejercicio presupuestal para la vigencia 2019 fue superavitario por $249,08 millones</w:t>
      </w:r>
      <w:r w:rsidR="002D13E2">
        <w:rPr>
          <w:rFonts w:eastAsia="Arial" w:cs="Arial"/>
          <w:lang w:val="es-CO"/>
        </w:rPr>
        <w:t>;</w:t>
      </w:r>
      <w:r w:rsidRPr="001A38D5">
        <w:rPr>
          <w:rFonts w:eastAsia="Arial" w:cs="Arial"/>
          <w:lang w:val="es-CO"/>
        </w:rPr>
        <w:t xml:space="preserve"> sin embargo, la Entidad reportó en la Categoría Cierre Fiscal del FUT un superávit por $1.648,16 millones, con una diferencia de $1.399 millones. No se constituyeron reservas presupuestales ni cuentas por pagar, por lo que a partir de las ejecuciones presupuestales de ingresos y gasto se tendría un saldo en caja y bancos de $249,08</w:t>
      </w:r>
      <w:r w:rsidR="008B52AA">
        <w:rPr>
          <w:rFonts w:eastAsia="Arial" w:cs="Arial"/>
          <w:lang w:val="es-CO"/>
        </w:rPr>
        <w:t xml:space="preserve"> millones</w:t>
      </w:r>
      <w:r w:rsidR="002D13E2">
        <w:rPr>
          <w:rFonts w:eastAsia="Arial" w:cs="Arial"/>
          <w:lang w:val="es-CO"/>
        </w:rPr>
        <w:t>;</w:t>
      </w:r>
      <w:r w:rsidRPr="001A38D5">
        <w:rPr>
          <w:rFonts w:eastAsia="Arial" w:cs="Arial"/>
          <w:lang w:val="es-CO"/>
        </w:rPr>
        <w:t xml:space="preserve"> no obstante, la Entidad reportó $1.648,16 millones por este concepto en la Categoría Cierre Fiscal del FUT.</w:t>
      </w:r>
    </w:p>
    <w:p w14:paraId="356B3377" w14:textId="77777777" w:rsidR="00A20990" w:rsidRPr="001A38D5" w:rsidRDefault="00A20990" w:rsidP="005140E1">
      <w:pPr>
        <w:contextualSpacing/>
        <w:jc w:val="both"/>
        <w:rPr>
          <w:rFonts w:eastAsia="Arial" w:cs="Arial"/>
          <w:lang w:val="es-CO"/>
        </w:rPr>
      </w:pPr>
    </w:p>
    <w:p w14:paraId="6CA23A57"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Para la vigencia 2020, se presentan diferencias en la información de los ingresos de capital, toda vez que la ejecución presupuestal muestra recaudo por concepto de recursos no ejecutados de vigencias anteriores por $405,45 millones, mientras que el reporte de la Categoría de Ingresos del FUT registra un recaudo por $406,73 millones. Asimismo, el reporte no coincide con el resultado evidenciado en la vigencia 2019 ($249,08 millones). Asimismo, para los rendimientos financieros de la AESPGAE, la Entidad reporta $21,7 millones en la Categoría de Ingresos del FUT, mientras que en su </w:t>
      </w:r>
      <w:r w:rsidR="002D13E2">
        <w:rPr>
          <w:rFonts w:eastAsia="Arial" w:cs="Arial"/>
          <w:lang w:val="es-CO"/>
        </w:rPr>
        <w:t>e</w:t>
      </w:r>
      <w:r w:rsidRPr="001A38D5">
        <w:rPr>
          <w:rFonts w:eastAsia="Arial" w:cs="Arial"/>
          <w:lang w:val="es-CO"/>
        </w:rPr>
        <w:t xml:space="preserve">jecución se registran $22,98 millones. </w:t>
      </w:r>
    </w:p>
    <w:p w14:paraId="26A4FAD7" w14:textId="77777777" w:rsidR="00A20990" w:rsidRPr="001A38D5" w:rsidRDefault="00A20990" w:rsidP="005140E1">
      <w:pPr>
        <w:contextualSpacing/>
        <w:jc w:val="both"/>
        <w:rPr>
          <w:rFonts w:eastAsia="Arial" w:cs="Arial"/>
          <w:lang w:val="es-CO"/>
        </w:rPr>
      </w:pPr>
    </w:p>
    <w:p w14:paraId="2237DEDA" w14:textId="77777777" w:rsidR="00A20990" w:rsidRPr="001A38D5" w:rsidRDefault="00A20990" w:rsidP="005140E1">
      <w:pPr>
        <w:contextualSpacing/>
        <w:jc w:val="both"/>
        <w:rPr>
          <w:rFonts w:eastAsia="Arial" w:cs="Arial"/>
          <w:lang w:val="es-CO"/>
        </w:rPr>
      </w:pPr>
      <w:r w:rsidRPr="001A38D5">
        <w:rPr>
          <w:rFonts w:eastAsia="Arial" w:cs="Arial"/>
          <w:lang w:val="es-CO"/>
        </w:rPr>
        <w:t>En lo referente a los gastos, para la vigencia 2020 la Entidad destinó recursos por $12.671 millones para la contratación con terceros para la provisión integral del Servicio de Alimentación Escolar, de los cuales $1.167,49 millones correspondían a recursos corrientes de la AESGPAE y $449,2</w:t>
      </w:r>
      <w:r w:rsidR="005E36AD">
        <w:rPr>
          <w:rFonts w:eastAsia="Arial" w:cs="Arial"/>
          <w:lang w:val="es-CO"/>
        </w:rPr>
        <w:t xml:space="preserve"> millones</w:t>
      </w:r>
      <w:r w:rsidRPr="001A38D5">
        <w:rPr>
          <w:rFonts w:eastAsia="Arial" w:cs="Arial"/>
          <w:lang w:val="es-CO"/>
        </w:rPr>
        <w:t xml:space="preserve"> a recursos de capital. Pese a que lo registrado en la ejecución presupuestal y la Categoría de Gastos del FUT coincide, los CDP y RP expedidos para la ejecución de los Contratos 049, 594 de 2020 y 1961 del 13 de 2020 </w:t>
      </w:r>
      <w:r w:rsidR="001574AF">
        <w:rPr>
          <w:rFonts w:eastAsia="Arial" w:cs="Arial"/>
          <w:lang w:val="es-CO"/>
        </w:rPr>
        <w:t xml:space="preserve">que </w:t>
      </w:r>
      <w:r w:rsidRPr="001A38D5">
        <w:rPr>
          <w:rFonts w:eastAsia="Arial" w:cs="Arial"/>
          <w:lang w:val="es-CO"/>
        </w:rPr>
        <w:t>dan cuenta de compromisos por $1.167,49</w:t>
      </w:r>
      <w:r w:rsidR="005E36AD">
        <w:rPr>
          <w:rFonts w:eastAsia="Arial" w:cs="Arial"/>
          <w:lang w:val="es-CO"/>
        </w:rPr>
        <w:t xml:space="preserve"> millones</w:t>
      </w:r>
      <w:r w:rsidRPr="001A38D5">
        <w:rPr>
          <w:rFonts w:eastAsia="Arial" w:cs="Arial"/>
          <w:lang w:val="es-CO"/>
        </w:rPr>
        <w:t xml:space="preserve"> de recursos corrientes de la Asignación y $459,14 </w:t>
      </w:r>
      <w:r w:rsidR="005E36AD">
        <w:rPr>
          <w:rFonts w:eastAsia="Arial" w:cs="Arial"/>
          <w:lang w:val="es-CO"/>
        </w:rPr>
        <w:t xml:space="preserve">millones </w:t>
      </w:r>
      <w:r w:rsidRPr="001A38D5">
        <w:rPr>
          <w:rFonts w:eastAsia="Arial" w:cs="Arial"/>
          <w:lang w:val="es-CO"/>
        </w:rPr>
        <w:t>de recursos de capital.</w:t>
      </w:r>
    </w:p>
    <w:p w14:paraId="546D1561" w14:textId="77777777" w:rsidR="00A20990" w:rsidRPr="001A38D5" w:rsidRDefault="00A20990" w:rsidP="005140E1">
      <w:pPr>
        <w:contextualSpacing/>
        <w:jc w:val="both"/>
        <w:rPr>
          <w:rFonts w:eastAsia="Arial" w:cs="Arial"/>
          <w:lang w:val="es-CO"/>
        </w:rPr>
      </w:pPr>
    </w:p>
    <w:p w14:paraId="77DA0F50" w14:textId="77777777" w:rsidR="00A20990" w:rsidRPr="001A38D5" w:rsidRDefault="00A20990" w:rsidP="005140E1">
      <w:pPr>
        <w:contextualSpacing/>
        <w:jc w:val="both"/>
        <w:rPr>
          <w:rFonts w:eastAsia="Arial" w:cs="Arial"/>
          <w:lang w:val="es-CO"/>
        </w:rPr>
      </w:pPr>
      <w:r w:rsidRPr="001A38D5">
        <w:rPr>
          <w:rFonts w:eastAsia="Arial" w:cs="Arial"/>
          <w:lang w:val="es-CO"/>
        </w:rPr>
        <w:t>Al cierre de la vigencia 2020, la Entidad Territorial obligó el 65 %</w:t>
      </w:r>
      <w:r w:rsidR="005E36AD">
        <w:rPr>
          <w:rFonts w:eastAsia="Arial" w:cs="Arial"/>
          <w:lang w:val="es-CO"/>
        </w:rPr>
        <w:t xml:space="preserve"> (</w:t>
      </w:r>
      <w:r w:rsidR="005E36AD" w:rsidRPr="005E36AD">
        <w:rPr>
          <w:rFonts w:eastAsia="Arial" w:cs="Arial"/>
          <w:lang w:val="es-CO"/>
        </w:rPr>
        <w:t>$1.049,83</w:t>
      </w:r>
      <w:r w:rsidR="005E36AD">
        <w:rPr>
          <w:rFonts w:eastAsia="Arial" w:cs="Arial"/>
          <w:lang w:val="es-CO"/>
        </w:rPr>
        <w:t xml:space="preserve"> millones)</w:t>
      </w:r>
      <w:r w:rsidRPr="001A38D5">
        <w:rPr>
          <w:rFonts w:eastAsia="Arial" w:cs="Arial"/>
          <w:lang w:val="es-CO"/>
        </w:rPr>
        <w:t xml:space="preserve"> de los recursos comprometidos</w:t>
      </w:r>
      <w:r w:rsidR="005E36AD">
        <w:rPr>
          <w:rFonts w:eastAsia="Arial" w:cs="Arial"/>
          <w:lang w:val="es-CO"/>
        </w:rPr>
        <w:t xml:space="preserve"> ($</w:t>
      </w:r>
      <w:r w:rsidR="005E36AD" w:rsidRPr="005E36AD">
        <w:rPr>
          <w:rFonts w:eastAsia="Arial" w:cs="Arial"/>
          <w:lang w:val="es-CO"/>
        </w:rPr>
        <w:t>1.616,67</w:t>
      </w:r>
      <w:r w:rsidR="005E36AD">
        <w:rPr>
          <w:rFonts w:eastAsia="Arial" w:cs="Arial"/>
          <w:lang w:val="es-CO"/>
        </w:rPr>
        <w:t xml:space="preserve"> millones)</w:t>
      </w:r>
      <w:r w:rsidRPr="001A38D5">
        <w:rPr>
          <w:rFonts w:eastAsia="Arial" w:cs="Arial"/>
          <w:lang w:val="es-CO"/>
        </w:rPr>
        <w:t>. No obstante, los documentos de ejecución de los contratos financiados con recursos de la AEGPAE dan cuenta de la ejecución de recursos por $1.586,97 millones, lo que representa una diferencia de $537,14</w:t>
      </w:r>
      <w:r w:rsidR="005E36AD">
        <w:rPr>
          <w:rFonts w:eastAsia="Arial" w:cs="Arial"/>
          <w:lang w:val="es-CO"/>
        </w:rPr>
        <w:t xml:space="preserve"> millones</w:t>
      </w:r>
      <w:r w:rsidRPr="001A38D5">
        <w:rPr>
          <w:rFonts w:eastAsia="Arial" w:cs="Arial"/>
          <w:lang w:val="es-CO"/>
        </w:rPr>
        <w:t xml:space="preserve"> con lo reportado en la ejecución presupuestal y en la Categoría de Gastos del FUT. En lo que respecta a los pagos, la Entidad reporta pagos por $1.005,31</w:t>
      </w:r>
      <w:r w:rsidR="005E36AD">
        <w:rPr>
          <w:rFonts w:eastAsia="Arial" w:cs="Arial"/>
          <w:lang w:val="es-CO"/>
        </w:rPr>
        <w:t xml:space="preserve"> millones</w:t>
      </w:r>
      <w:r w:rsidRPr="001A38D5">
        <w:rPr>
          <w:rFonts w:eastAsia="Arial" w:cs="Arial"/>
          <w:lang w:val="es-CO"/>
        </w:rPr>
        <w:t xml:space="preserve">, tanto en su ejecución presupuestal, como en la Categoría de Gastos del FUT. No obstante, las </w:t>
      </w:r>
      <w:r w:rsidR="001574AF">
        <w:rPr>
          <w:rFonts w:eastAsia="Arial" w:cs="Arial"/>
          <w:lang w:val="es-CO"/>
        </w:rPr>
        <w:t>Ó</w:t>
      </w:r>
      <w:r w:rsidRPr="001A38D5">
        <w:rPr>
          <w:rFonts w:eastAsia="Arial" w:cs="Arial"/>
          <w:lang w:val="es-CO"/>
        </w:rPr>
        <w:t xml:space="preserve">rdenes de </w:t>
      </w:r>
      <w:r w:rsidR="001574AF">
        <w:rPr>
          <w:rFonts w:eastAsia="Arial" w:cs="Arial"/>
          <w:lang w:val="es-CO"/>
        </w:rPr>
        <w:t>P</w:t>
      </w:r>
      <w:r w:rsidRPr="001A38D5">
        <w:rPr>
          <w:rFonts w:eastAsia="Arial" w:cs="Arial"/>
          <w:lang w:val="es-CO"/>
        </w:rPr>
        <w:t xml:space="preserve">ago 3205, 6210, 10355, 11324 y 11326, dan cuenta de la autorización de pagos por $1.816,68 millones con cargo a la AESGPAE (imputación presupuestal 0402-3-2432111-86) y la </w:t>
      </w:r>
      <w:r w:rsidR="001574AF">
        <w:rPr>
          <w:rFonts w:eastAsia="Arial" w:cs="Arial"/>
          <w:lang w:val="es-CO"/>
        </w:rPr>
        <w:t>O</w:t>
      </w:r>
      <w:r w:rsidRPr="001A38D5">
        <w:rPr>
          <w:rFonts w:eastAsia="Arial" w:cs="Arial"/>
          <w:lang w:val="es-CO"/>
        </w:rPr>
        <w:t>rden</w:t>
      </w:r>
      <w:r w:rsidR="00FD6F06">
        <w:rPr>
          <w:rFonts w:eastAsia="Arial" w:cs="Arial"/>
          <w:lang w:val="es-CO"/>
        </w:rPr>
        <w:t xml:space="preserve"> de Pago</w:t>
      </w:r>
      <w:r w:rsidRPr="001A38D5">
        <w:rPr>
          <w:rFonts w:eastAsia="Arial" w:cs="Arial"/>
          <w:lang w:val="es-CO"/>
        </w:rPr>
        <w:t xml:space="preserve"> 10357 de 2020 de $9,95 millones de rendimientos financieros de la Asignación (imputación presupuestal 0402-3-2432111-866).</w:t>
      </w:r>
    </w:p>
    <w:p w14:paraId="038A718B" w14:textId="77777777" w:rsidR="00A20990" w:rsidRPr="001A38D5" w:rsidRDefault="00A20990" w:rsidP="005140E1">
      <w:pPr>
        <w:contextualSpacing/>
        <w:jc w:val="both"/>
        <w:rPr>
          <w:rFonts w:eastAsia="Arial" w:cs="Arial"/>
          <w:lang w:val="es-CO"/>
        </w:rPr>
      </w:pPr>
    </w:p>
    <w:p w14:paraId="7132902C"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El superávit fiscal de la vigencia 2020 difiere </w:t>
      </w:r>
      <w:r w:rsidR="0003175E" w:rsidRPr="001A38D5">
        <w:rPr>
          <w:rFonts w:eastAsia="Arial" w:cs="Arial"/>
          <w:lang w:val="es-CO"/>
        </w:rPr>
        <w:t xml:space="preserve">entre el resultado de las ejecuciones presupuestales de ingresos y gastos y lo reportado en </w:t>
      </w:r>
      <w:r w:rsidRPr="001A38D5">
        <w:rPr>
          <w:rFonts w:eastAsia="Arial" w:cs="Arial"/>
          <w:lang w:val="es-CO"/>
        </w:rPr>
        <w:t>la Categoría de Cierre Fiscal del FUT ($65,06 millones, frente a $1.478,11 millones). Asimismo, según lo registrado en las ejecuciones presupuestales de ingresos y gastos, se debían constituir reservas por $566,85 millones</w:t>
      </w:r>
      <w:r w:rsidR="00FD6F06">
        <w:rPr>
          <w:rFonts w:eastAsia="Arial" w:cs="Arial"/>
          <w:lang w:val="es-CO"/>
        </w:rPr>
        <w:t>;</w:t>
      </w:r>
      <w:r w:rsidRPr="001A38D5">
        <w:rPr>
          <w:rFonts w:eastAsia="Arial" w:cs="Arial"/>
          <w:lang w:val="es-CO"/>
        </w:rPr>
        <w:t xml:space="preserve"> </w:t>
      </w:r>
      <w:r w:rsidR="00FD6F06">
        <w:rPr>
          <w:rFonts w:eastAsia="Arial" w:cs="Arial"/>
          <w:lang w:val="es-CO"/>
        </w:rPr>
        <w:t>p</w:t>
      </w:r>
      <w:r w:rsidRPr="001A38D5">
        <w:rPr>
          <w:rFonts w:eastAsia="Arial" w:cs="Arial"/>
          <w:lang w:val="es-CO"/>
        </w:rPr>
        <w:t xml:space="preserve">or su parte, la Resolución No. 1650-67.13/06 del 20 de enero de 2021 </w:t>
      </w:r>
      <w:r w:rsidRPr="001A38D5">
        <w:rPr>
          <w:rFonts w:eastAsia="Arial" w:cs="Arial"/>
          <w:i/>
          <w:lang w:val="es-CO"/>
        </w:rPr>
        <w:t>“Por medio del cual se constituye en reservas presupuestales vigencia 2020 y se dictan otras disposiciones”</w:t>
      </w:r>
      <w:r w:rsidRPr="001A38D5">
        <w:rPr>
          <w:rFonts w:eastAsia="Arial" w:cs="Arial"/>
          <w:lang w:val="es-CO"/>
        </w:rPr>
        <w:t xml:space="preserve"> resuelve la constitución de reservas de la AESGPAE por $566,85 millones, así: recursos corrientes por $127,62 millones, de recursos del balance por $405,44 millones y de rendimientos financieros por $33,78 millones</w:t>
      </w:r>
      <w:r w:rsidR="00FD6F06">
        <w:rPr>
          <w:rFonts w:eastAsia="Arial" w:cs="Arial"/>
          <w:lang w:val="es-CO"/>
        </w:rPr>
        <w:t>,</w:t>
      </w:r>
      <w:r w:rsidRPr="001A38D5">
        <w:rPr>
          <w:rFonts w:eastAsia="Arial" w:cs="Arial"/>
          <w:lang w:val="es-CO"/>
        </w:rPr>
        <w:t xml:space="preserve"> </w:t>
      </w:r>
      <w:r w:rsidR="00FD6F06">
        <w:rPr>
          <w:rFonts w:eastAsia="Arial" w:cs="Arial"/>
          <w:lang w:val="es-CO"/>
        </w:rPr>
        <w:t>e</w:t>
      </w:r>
      <w:r w:rsidRPr="001A38D5">
        <w:rPr>
          <w:rFonts w:eastAsia="Arial" w:cs="Arial"/>
          <w:lang w:val="es-CO"/>
        </w:rPr>
        <w:t>sta información coincide con la consignada por la Entidad en el Reporte Reservas Presupuestales del FUT</w:t>
      </w:r>
      <w:r w:rsidR="00FD6F06">
        <w:rPr>
          <w:rFonts w:eastAsia="Arial" w:cs="Arial"/>
          <w:lang w:val="es-CO"/>
        </w:rPr>
        <w:t>; s</w:t>
      </w:r>
      <w:r w:rsidRPr="001A38D5">
        <w:rPr>
          <w:rFonts w:eastAsia="Arial" w:cs="Arial"/>
          <w:lang w:val="es-CO"/>
        </w:rPr>
        <w:t>in embargo, en la Categoría Cierre Fiscal del FUT se reportan reservas por $1.734,77 millones para la AESGPAE.</w:t>
      </w:r>
    </w:p>
    <w:p w14:paraId="3BD1EE68" w14:textId="77777777" w:rsidR="00A20990" w:rsidRPr="001A38D5" w:rsidRDefault="00A20990" w:rsidP="005140E1">
      <w:pPr>
        <w:contextualSpacing/>
        <w:jc w:val="both"/>
        <w:rPr>
          <w:rFonts w:eastAsia="Arial" w:cs="Arial"/>
          <w:lang w:val="es-CO"/>
        </w:rPr>
      </w:pPr>
    </w:p>
    <w:p w14:paraId="7FB3E086" w14:textId="77777777" w:rsidR="00A20990" w:rsidRPr="001A38D5" w:rsidRDefault="00A20990" w:rsidP="005140E1">
      <w:pPr>
        <w:contextualSpacing/>
        <w:jc w:val="both"/>
        <w:rPr>
          <w:rFonts w:eastAsia="Arial" w:cs="Arial"/>
          <w:lang w:val="es-CO"/>
        </w:rPr>
      </w:pPr>
      <w:r w:rsidRPr="001A38D5">
        <w:rPr>
          <w:rFonts w:eastAsia="Arial" w:cs="Arial"/>
          <w:lang w:val="es-CO"/>
        </w:rPr>
        <w:t>Al tiempo, según lo registrado en las ejecuciones presupuestales de ingresos y gastos, se debían constituir cuentas por pagar por $44,52 millones, lo que se corresponde con la Resolución No. 1650-67.13/001 del 12 de enero de 2021 “</w:t>
      </w:r>
      <w:r w:rsidRPr="001A38D5">
        <w:rPr>
          <w:rFonts w:eastAsia="Arial" w:cs="Arial"/>
          <w:i/>
          <w:lang w:val="es-CO"/>
        </w:rPr>
        <w:t>Por medio de la cual se constituyen las cuentas por pagar de la vigencia 2020"</w:t>
      </w:r>
      <w:r w:rsidRPr="001A38D5">
        <w:rPr>
          <w:rFonts w:eastAsia="Arial" w:cs="Arial"/>
          <w:lang w:val="es-CO"/>
        </w:rPr>
        <w:t>, la cual advierte de la constitución de cuentas por pagar de recursos corrientes de la AESGPAE por $34,56 millones y de rendimientos financieros de la Asignación por $9,96 millones, para un total de $44,52</w:t>
      </w:r>
      <w:r w:rsidR="005E36AD">
        <w:rPr>
          <w:rFonts w:eastAsia="Arial" w:cs="Arial"/>
          <w:lang w:val="es-CO"/>
        </w:rPr>
        <w:t xml:space="preserve"> millones</w:t>
      </w:r>
      <w:r w:rsidR="00FD6F06">
        <w:rPr>
          <w:rFonts w:eastAsia="Arial" w:cs="Arial"/>
          <w:lang w:val="es-CO"/>
        </w:rPr>
        <w:t>; m</w:t>
      </w:r>
      <w:r w:rsidRPr="001A38D5">
        <w:rPr>
          <w:rFonts w:eastAsia="Arial" w:cs="Arial"/>
          <w:lang w:val="es-CO"/>
        </w:rPr>
        <w:t>ientras tanto, en la Categoría Cierre Fiscal del FUT se reportaron cuentas por pagar por $336,37</w:t>
      </w:r>
      <w:r w:rsidR="005E36AD">
        <w:rPr>
          <w:rFonts w:eastAsia="Arial" w:cs="Arial"/>
          <w:lang w:val="es-CO"/>
        </w:rPr>
        <w:t xml:space="preserve"> millones</w:t>
      </w:r>
      <w:r w:rsidR="00FD6F06">
        <w:rPr>
          <w:rFonts w:eastAsia="Arial" w:cs="Arial"/>
          <w:lang w:val="es-CO"/>
        </w:rPr>
        <w:t>,</w:t>
      </w:r>
      <w:r w:rsidRPr="001A38D5">
        <w:rPr>
          <w:rFonts w:eastAsia="Arial" w:cs="Arial"/>
          <w:lang w:val="es-CO"/>
        </w:rPr>
        <w:t xml:space="preserve"> </w:t>
      </w:r>
      <w:r w:rsidR="00FD6F06">
        <w:rPr>
          <w:rFonts w:eastAsia="Arial" w:cs="Arial"/>
          <w:lang w:val="es-CO"/>
        </w:rPr>
        <w:t>a</w:t>
      </w:r>
      <w:r w:rsidRPr="001A38D5">
        <w:rPr>
          <w:rFonts w:eastAsia="Arial" w:cs="Arial"/>
          <w:lang w:val="es-CO"/>
        </w:rPr>
        <w:t xml:space="preserve">demás, en el reporte de Cuentas por Pagar del FUT la Entidad registró cuentas por pagar contraídas con recursos de la AESGPAE por $243,24 millones. </w:t>
      </w:r>
    </w:p>
    <w:p w14:paraId="32B95F3B" w14:textId="77777777" w:rsidR="00A20990" w:rsidRPr="001A38D5" w:rsidRDefault="00A20990" w:rsidP="005140E1">
      <w:pPr>
        <w:contextualSpacing/>
        <w:jc w:val="both"/>
        <w:rPr>
          <w:rFonts w:eastAsia="Arial" w:cs="Arial"/>
          <w:lang w:val="es-CO"/>
        </w:rPr>
      </w:pPr>
    </w:p>
    <w:p w14:paraId="0C87194D" w14:textId="77777777" w:rsidR="00A20990" w:rsidRPr="001A38D5" w:rsidRDefault="00A20990" w:rsidP="005140E1">
      <w:pPr>
        <w:contextualSpacing/>
        <w:jc w:val="both"/>
        <w:rPr>
          <w:rFonts w:eastAsia="Arial" w:cs="Arial"/>
          <w:lang w:val="es-CO"/>
        </w:rPr>
      </w:pPr>
      <w:r w:rsidRPr="001A38D5">
        <w:rPr>
          <w:rFonts w:eastAsia="Arial" w:cs="Arial"/>
          <w:lang w:val="es-CO"/>
        </w:rPr>
        <w:t>Al cierre de 2020 se observa una diferencia de $2.872,83 millones en el saldo en caja y bancos entre lo reportado en la Categoría Cierre Fiscal</w:t>
      </w:r>
      <w:r w:rsidR="001E3454">
        <w:rPr>
          <w:rFonts w:eastAsia="Arial" w:cs="Arial"/>
          <w:lang w:val="es-CO"/>
        </w:rPr>
        <w:t xml:space="preserve"> (</w:t>
      </w:r>
      <w:r w:rsidR="001E3454" w:rsidRPr="001E3454">
        <w:rPr>
          <w:rFonts w:eastAsia="Arial" w:cs="Arial"/>
          <w:lang w:val="es-CO"/>
        </w:rPr>
        <w:t>$3.549,25</w:t>
      </w:r>
      <w:r w:rsidR="001E3454">
        <w:rPr>
          <w:rFonts w:eastAsia="Arial" w:cs="Arial"/>
          <w:lang w:val="es-CO"/>
        </w:rPr>
        <w:t xml:space="preserve"> millones)</w:t>
      </w:r>
      <w:r w:rsidRPr="001A38D5">
        <w:rPr>
          <w:rFonts w:eastAsia="Arial" w:cs="Arial"/>
          <w:lang w:val="es-CO"/>
        </w:rPr>
        <w:t xml:space="preserve"> y el resultado de las ejecuciones presupuestales de ingresos y gastos</w:t>
      </w:r>
      <w:r w:rsidR="001E3454">
        <w:rPr>
          <w:rFonts w:eastAsia="Arial" w:cs="Arial"/>
          <w:lang w:val="es-CO"/>
        </w:rPr>
        <w:t xml:space="preserve"> (</w:t>
      </w:r>
      <w:r w:rsidR="001E3454" w:rsidRPr="001E3454">
        <w:rPr>
          <w:rFonts w:eastAsia="Arial" w:cs="Arial"/>
          <w:lang w:val="es-CO"/>
        </w:rPr>
        <w:t>$676,43</w:t>
      </w:r>
      <w:r w:rsidR="001E3454">
        <w:rPr>
          <w:rFonts w:eastAsia="Arial" w:cs="Arial"/>
          <w:lang w:val="es-CO"/>
        </w:rPr>
        <w:t xml:space="preserve"> millones)</w:t>
      </w:r>
      <w:r w:rsidRPr="001A38D5">
        <w:rPr>
          <w:rFonts w:eastAsia="Arial" w:cs="Arial"/>
          <w:lang w:val="es-CO"/>
        </w:rPr>
        <w:t>.</w:t>
      </w:r>
    </w:p>
    <w:p w14:paraId="35E261A9" w14:textId="77777777" w:rsidR="00A20990" w:rsidRPr="001A38D5" w:rsidRDefault="00A20990" w:rsidP="005140E1">
      <w:pPr>
        <w:contextualSpacing/>
        <w:jc w:val="both"/>
        <w:rPr>
          <w:rFonts w:eastAsia="Arial" w:cs="Arial"/>
          <w:lang w:val="es-CO"/>
        </w:rPr>
      </w:pPr>
    </w:p>
    <w:p w14:paraId="48C95D32" w14:textId="77777777" w:rsidR="00A20990" w:rsidRPr="001A38D5" w:rsidRDefault="00A20990" w:rsidP="005140E1">
      <w:pPr>
        <w:contextualSpacing/>
        <w:jc w:val="both"/>
        <w:rPr>
          <w:rFonts w:eastAsia="Arial" w:cs="Arial"/>
          <w:lang w:val="es-CO"/>
        </w:rPr>
      </w:pPr>
      <w:r w:rsidRPr="001A38D5">
        <w:rPr>
          <w:rFonts w:eastAsia="Arial" w:cs="Arial"/>
          <w:lang w:val="es-CO"/>
        </w:rPr>
        <w:t>Para la vigencia 2021, para los recursos de capital se presentan diferencias, toda vez que la ejecución presupuestal muestra recaudo por concepto de rendimientos financieros de la AESPGAE por $29,08 millones, mientras que el reporte en la Categoría de Ingresos del FUT muestra un recaudo total de $29,71 millones. En cuanto a los recursos no ejecutados de vigencias anteriores, si bien los reportes son consistentes, estos no guardan relación con el resultado evidenciado en la vigencia 2020.</w:t>
      </w:r>
    </w:p>
    <w:p w14:paraId="700927F8" w14:textId="77777777" w:rsidR="00A20990" w:rsidRPr="001A38D5" w:rsidRDefault="00A20990" w:rsidP="005140E1">
      <w:pPr>
        <w:contextualSpacing/>
        <w:jc w:val="both"/>
        <w:rPr>
          <w:rFonts w:eastAsia="Arial" w:cs="Arial"/>
          <w:lang w:val="es-CO"/>
        </w:rPr>
      </w:pPr>
    </w:p>
    <w:p w14:paraId="2A4F4902" w14:textId="77777777" w:rsidR="00A20990" w:rsidRPr="001A38D5" w:rsidRDefault="00703407" w:rsidP="005140E1">
      <w:pPr>
        <w:contextualSpacing/>
        <w:jc w:val="both"/>
        <w:rPr>
          <w:rFonts w:eastAsia="Arial" w:cs="Arial"/>
          <w:lang w:val="es-CO"/>
        </w:rPr>
      </w:pPr>
      <w:r>
        <w:rPr>
          <w:rFonts w:eastAsia="Arial" w:cs="Arial"/>
          <w:lang w:val="es-CO"/>
        </w:rPr>
        <w:t>A</w:t>
      </w:r>
      <w:r w:rsidR="00A20990" w:rsidRPr="001A38D5">
        <w:rPr>
          <w:rFonts w:eastAsia="Arial" w:cs="Arial"/>
          <w:lang w:val="es-CO"/>
        </w:rPr>
        <w:t xml:space="preserve"> partir de las ejecuciones presupuestales de ingresos y gastos la Entidad Territorial resultado superavitario por $13,08 millones</w:t>
      </w:r>
      <w:r w:rsidR="001574AF">
        <w:rPr>
          <w:rFonts w:eastAsia="Arial" w:cs="Arial"/>
          <w:lang w:val="es-CO"/>
        </w:rPr>
        <w:t>;</w:t>
      </w:r>
      <w:r w:rsidR="00A20990" w:rsidRPr="001A38D5">
        <w:rPr>
          <w:rFonts w:eastAsia="Arial" w:cs="Arial"/>
          <w:lang w:val="es-CO"/>
        </w:rPr>
        <w:t xml:space="preserve"> sin embargo, en la Categoría Cierre Fiscal del FUT se reportó superávit por </w:t>
      </w:r>
      <w:r w:rsidR="00436384" w:rsidRPr="001A38D5">
        <w:rPr>
          <w:rFonts w:eastAsia="Arial" w:cs="Arial"/>
          <w:lang w:val="es-CO"/>
        </w:rPr>
        <w:t>$</w:t>
      </w:r>
      <w:r w:rsidR="00A20990" w:rsidRPr="001A38D5">
        <w:rPr>
          <w:rFonts w:eastAsia="Arial" w:cs="Arial"/>
          <w:lang w:val="es-CO"/>
        </w:rPr>
        <w:t>525,83 millones. Adicionalmente, se debía constituir reservas presupuestales por $1.125,8 millones</w:t>
      </w:r>
      <w:r w:rsidR="001574AF">
        <w:rPr>
          <w:rFonts w:eastAsia="Arial" w:cs="Arial"/>
          <w:lang w:val="es-CO"/>
        </w:rPr>
        <w:t>;</w:t>
      </w:r>
      <w:r w:rsidR="00A20990" w:rsidRPr="001A38D5">
        <w:rPr>
          <w:rFonts w:eastAsia="Arial" w:cs="Arial"/>
          <w:lang w:val="es-CO"/>
        </w:rPr>
        <w:t xml:space="preserve"> no obstante, la Entidad reportó reservas por $9.196,42 millones de la Asignación Especial en la Categoría Cierre Fiscal del FUT. Del mismo modo, a partir del análisis de las ejecuciones presupuestales de ingresos y gastos la Entidad Territorial se evidencia que no se debía constituir cuentas por pagar</w:t>
      </w:r>
      <w:r w:rsidR="001574AF">
        <w:rPr>
          <w:rFonts w:eastAsia="Arial" w:cs="Arial"/>
          <w:lang w:val="es-CO"/>
        </w:rPr>
        <w:t>;</w:t>
      </w:r>
      <w:r w:rsidR="00A20990" w:rsidRPr="001A38D5">
        <w:rPr>
          <w:rFonts w:eastAsia="Arial" w:cs="Arial"/>
          <w:lang w:val="es-CO"/>
        </w:rPr>
        <w:t xml:space="preserve"> sin embargo, en la Categoría de Cierre Fiscal del FUT se registran cuentas por pagar de la AESPAE por $15,30 millones. Por último, se observa una diferencia de $8.768,51 millones en saldo en caja y bancos entre lo reportado en la Categoría Cierre Fiscal</w:t>
      </w:r>
      <w:r>
        <w:rPr>
          <w:rFonts w:eastAsia="Arial" w:cs="Arial"/>
          <w:lang w:val="es-CO"/>
        </w:rPr>
        <w:t xml:space="preserve"> (</w:t>
      </w:r>
      <w:r w:rsidRPr="00703407">
        <w:rPr>
          <w:rFonts w:eastAsia="Arial" w:cs="Arial"/>
          <w:lang w:val="es-CO"/>
        </w:rPr>
        <w:t>$9.907,39</w:t>
      </w:r>
      <w:r>
        <w:rPr>
          <w:rFonts w:eastAsia="Arial" w:cs="Arial"/>
          <w:lang w:val="es-CO"/>
        </w:rPr>
        <w:t xml:space="preserve"> millones)</w:t>
      </w:r>
      <w:r w:rsidR="00A20990" w:rsidRPr="001A38D5">
        <w:rPr>
          <w:rFonts w:eastAsia="Arial" w:cs="Arial"/>
          <w:lang w:val="es-CO"/>
        </w:rPr>
        <w:t xml:space="preserve"> y el resultado de las ejecuciones presupuestales de ingresos y gastos</w:t>
      </w:r>
      <w:r>
        <w:rPr>
          <w:rFonts w:eastAsia="Arial" w:cs="Arial"/>
          <w:lang w:val="es-CO"/>
        </w:rPr>
        <w:t xml:space="preserve"> (</w:t>
      </w:r>
      <w:r w:rsidRPr="00703407">
        <w:rPr>
          <w:rFonts w:eastAsia="Arial" w:cs="Arial"/>
          <w:lang w:val="es-CO"/>
        </w:rPr>
        <w:t>$1.138,88</w:t>
      </w:r>
      <w:r>
        <w:rPr>
          <w:rFonts w:eastAsia="Arial" w:cs="Arial"/>
          <w:lang w:val="es-CO"/>
        </w:rPr>
        <w:t xml:space="preserve"> millones)</w:t>
      </w:r>
      <w:r w:rsidR="00A20990" w:rsidRPr="001A38D5">
        <w:rPr>
          <w:rFonts w:eastAsia="Arial" w:cs="Arial"/>
          <w:lang w:val="es-CO"/>
        </w:rPr>
        <w:t>.</w:t>
      </w:r>
    </w:p>
    <w:p w14:paraId="3EB0AB91" w14:textId="77777777" w:rsidR="00A20990" w:rsidRPr="001A38D5" w:rsidRDefault="00A20990" w:rsidP="005140E1">
      <w:pPr>
        <w:contextualSpacing/>
        <w:jc w:val="both"/>
        <w:rPr>
          <w:rFonts w:eastAsia="Arial" w:cs="Arial"/>
          <w:lang w:val="es-CO"/>
        </w:rPr>
      </w:pPr>
    </w:p>
    <w:p w14:paraId="1AB2AB5A"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Finalmente, para la vigencia 2022 la Entidad Territorial reportó en el Formulario de </w:t>
      </w:r>
      <w:r w:rsidR="00F83952">
        <w:rPr>
          <w:rFonts w:eastAsia="Arial" w:cs="Arial"/>
          <w:lang w:val="es-CO"/>
        </w:rPr>
        <w:t>E</w:t>
      </w:r>
      <w:r w:rsidRPr="001A38D5">
        <w:rPr>
          <w:rFonts w:eastAsia="Arial" w:cs="Arial"/>
          <w:lang w:val="es-CO"/>
        </w:rPr>
        <w:t xml:space="preserve">jecución de </w:t>
      </w:r>
      <w:r w:rsidR="00F83952">
        <w:rPr>
          <w:rFonts w:eastAsia="Arial" w:cs="Arial"/>
          <w:lang w:val="es-CO"/>
        </w:rPr>
        <w:t>I</w:t>
      </w:r>
      <w:r w:rsidRPr="001A38D5">
        <w:rPr>
          <w:rFonts w:eastAsia="Arial" w:cs="Arial"/>
          <w:lang w:val="es-CO"/>
        </w:rPr>
        <w:t>ngresos de la Categoría CUIPO un recaudo $1.777,16 millones, $1.103,49 millones por ingresos corrientes y $671,67 millones por recursos de capital</w:t>
      </w:r>
      <w:r w:rsidR="001E56EA">
        <w:rPr>
          <w:rFonts w:eastAsia="Arial" w:cs="Arial"/>
          <w:lang w:val="es-CO"/>
        </w:rPr>
        <w:t>,</w:t>
      </w:r>
      <w:r w:rsidRPr="001A38D5">
        <w:rPr>
          <w:rFonts w:eastAsia="Arial" w:cs="Arial"/>
          <w:lang w:val="es-CO"/>
        </w:rPr>
        <w:t xml:space="preserve"> </w:t>
      </w:r>
      <w:r w:rsidR="001E56EA">
        <w:rPr>
          <w:rFonts w:eastAsia="Arial" w:cs="Arial"/>
          <w:lang w:val="es-CO"/>
        </w:rPr>
        <w:t>e</w:t>
      </w:r>
      <w:r w:rsidRPr="001A38D5">
        <w:rPr>
          <w:rFonts w:eastAsia="Arial" w:cs="Arial"/>
          <w:lang w:val="es-CO"/>
        </w:rPr>
        <w:t>n contraste, en la ejecución presupuestal de ingresos se registra un recaudo total de $1.131,7 millones por concepto de recursos corrientes de la Asignación Especial para Alimentación Escolar</w:t>
      </w:r>
      <w:r w:rsidR="00AA6A91">
        <w:rPr>
          <w:rFonts w:eastAsia="Arial" w:cs="Arial"/>
          <w:lang w:val="es-CO"/>
        </w:rPr>
        <w:t xml:space="preserve"> (</w:t>
      </w:r>
      <w:r w:rsidR="00AA6A91" w:rsidRPr="00AA6A91">
        <w:rPr>
          <w:rFonts w:eastAsia="Arial" w:cs="Arial"/>
          <w:lang w:val="es-CO"/>
        </w:rPr>
        <w:t>$1.103,49</w:t>
      </w:r>
      <w:r w:rsidR="00AA6A91">
        <w:rPr>
          <w:rFonts w:eastAsia="Arial" w:cs="Arial"/>
          <w:lang w:val="es-CO"/>
        </w:rPr>
        <w:t xml:space="preserve"> millones) </w:t>
      </w:r>
      <w:r w:rsidRPr="001A38D5">
        <w:rPr>
          <w:rFonts w:eastAsia="Arial" w:cs="Arial"/>
          <w:lang w:val="es-CO"/>
        </w:rPr>
        <w:t>y de recursos de capital</w:t>
      </w:r>
      <w:r w:rsidR="00AA6A91">
        <w:rPr>
          <w:rFonts w:eastAsia="Arial" w:cs="Arial"/>
          <w:lang w:val="es-CO"/>
        </w:rPr>
        <w:t xml:space="preserve"> (</w:t>
      </w:r>
      <w:r w:rsidR="00AA6A91" w:rsidRPr="00AA6A91">
        <w:rPr>
          <w:rFonts w:eastAsia="Arial" w:cs="Arial"/>
          <w:lang w:val="es-CO"/>
        </w:rPr>
        <w:t>$28,21</w:t>
      </w:r>
      <w:r w:rsidR="00AA6A91">
        <w:rPr>
          <w:rFonts w:eastAsia="Arial" w:cs="Arial"/>
          <w:lang w:val="es-CO"/>
        </w:rPr>
        <w:t xml:space="preserve"> millones)</w:t>
      </w:r>
      <w:r w:rsidRPr="001A38D5">
        <w:rPr>
          <w:rFonts w:eastAsia="Arial" w:cs="Arial"/>
          <w:lang w:val="es-CO"/>
        </w:rPr>
        <w:t xml:space="preserve">. Sobre el particular, por un lado, se identifican diferencias en el valor de los rendimientos financieros, con la incorporación de rendimientos financieros por $14,5 millones en la ejecución presupuestal y de $255,24 millones en el Formulario de </w:t>
      </w:r>
      <w:r w:rsidR="001574AF">
        <w:rPr>
          <w:rFonts w:eastAsia="Arial" w:cs="Arial"/>
          <w:lang w:val="es-CO"/>
        </w:rPr>
        <w:t>E</w:t>
      </w:r>
      <w:r w:rsidRPr="001A38D5">
        <w:rPr>
          <w:rFonts w:eastAsia="Arial" w:cs="Arial"/>
          <w:lang w:val="es-CO"/>
        </w:rPr>
        <w:t xml:space="preserve">jecución de </w:t>
      </w:r>
      <w:r w:rsidR="001574AF">
        <w:rPr>
          <w:rFonts w:eastAsia="Arial" w:cs="Arial"/>
          <w:lang w:val="es-CO"/>
        </w:rPr>
        <w:t>I</w:t>
      </w:r>
      <w:r w:rsidRPr="001A38D5">
        <w:rPr>
          <w:rFonts w:eastAsia="Arial" w:cs="Arial"/>
          <w:lang w:val="es-CO"/>
        </w:rPr>
        <w:t xml:space="preserve">ngresos de la Categoría CUIPO. Por otro lado, se identifican diferencias en el valor de superávit entre el monto recaudado en la ejecución presupuestal de ingresos respecto a lo reportado como recaudado en el Formulario de </w:t>
      </w:r>
      <w:r w:rsidR="001574AF">
        <w:rPr>
          <w:rFonts w:eastAsia="Arial" w:cs="Arial"/>
          <w:lang w:val="es-CO"/>
        </w:rPr>
        <w:t>E</w:t>
      </w:r>
      <w:r w:rsidRPr="001A38D5">
        <w:rPr>
          <w:rFonts w:eastAsia="Arial" w:cs="Arial"/>
          <w:lang w:val="es-CO"/>
        </w:rPr>
        <w:t xml:space="preserve">jecución de </w:t>
      </w:r>
      <w:r w:rsidR="001574AF">
        <w:rPr>
          <w:rFonts w:eastAsia="Arial" w:cs="Arial"/>
          <w:lang w:val="es-CO"/>
        </w:rPr>
        <w:t>I</w:t>
      </w:r>
      <w:r w:rsidRPr="001A38D5">
        <w:rPr>
          <w:rFonts w:eastAsia="Arial" w:cs="Arial"/>
          <w:lang w:val="es-CO"/>
        </w:rPr>
        <w:t>ngresos de la Categoría CUIPO, toda vez que en la primera es $13,71 millones y en la última $416,42 millones. Asimismo, los valores no coinciden con el cierre fiscal calculado para la vigencia 2021</w:t>
      </w:r>
      <w:r w:rsidR="00AA6A91">
        <w:rPr>
          <w:rFonts w:eastAsia="Arial" w:cs="Arial"/>
          <w:lang w:val="es-CO"/>
        </w:rPr>
        <w:t xml:space="preserve">, que según ejecuciones presupuestales de ingresos y gastos era un resultado superavitario por $13,08 millones y según el </w:t>
      </w:r>
      <w:r w:rsidR="00F83952">
        <w:rPr>
          <w:rFonts w:eastAsia="Arial" w:cs="Arial"/>
          <w:lang w:val="es-CO"/>
        </w:rPr>
        <w:t>F</w:t>
      </w:r>
      <w:r w:rsidR="00AA6A91">
        <w:rPr>
          <w:rFonts w:eastAsia="Arial" w:cs="Arial"/>
          <w:lang w:val="es-CO"/>
        </w:rPr>
        <w:t xml:space="preserve">ormulario de Cierre Fiscal del FUT era de </w:t>
      </w:r>
      <w:r w:rsidR="00AA6A91" w:rsidRPr="00AA6A91">
        <w:rPr>
          <w:rFonts w:eastAsia="Arial" w:cs="Arial"/>
          <w:lang w:val="es-CO"/>
        </w:rPr>
        <w:t>$525,83</w:t>
      </w:r>
      <w:r w:rsidR="00AA6A91">
        <w:rPr>
          <w:rFonts w:eastAsia="Arial" w:cs="Arial"/>
          <w:lang w:val="es-CO"/>
        </w:rPr>
        <w:t xml:space="preserve"> millones</w:t>
      </w:r>
      <w:r w:rsidRPr="001A38D5">
        <w:rPr>
          <w:rFonts w:eastAsia="Arial" w:cs="Arial"/>
          <w:lang w:val="es-CO"/>
        </w:rPr>
        <w:t>.</w:t>
      </w:r>
    </w:p>
    <w:p w14:paraId="53644EB8" w14:textId="77777777" w:rsidR="00A20990" w:rsidRPr="001A38D5" w:rsidRDefault="00A20990" w:rsidP="005140E1">
      <w:pPr>
        <w:contextualSpacing/>
        <w:jc w:val="both"/>
        <w:rPr>
          <w:rFonts w:eastAsia="Arial" w:cs="Arial"/>
          <w:lang w:val="es-CO"/>
        </w:rPr>
      </w:pPr>
    </w:p>
    <w:p w14:paraId="4A2CDD6F" w14:textId="77777777" w:rsidR="00A20990" w:rsidRPr="001A38D5" w:rsidRDefault="00A20990" w:rsidP="005140E1">
      <w:pPr>
        <w:contextualSpacing/>
        <w:jc w:val="both"/>
        <w:rPr>
          <w:rFonts w:eastAsia="Arial" w:cs="Arial"/>
          <w:lang w:val="es-CO"/>
        </w:rPr>
      </w:pPr>
      <w:r w:rsidRPr="001A38D5">
        <w:rPr>
          <w:rFonts w:eastAsia="Arial" w:cs="Arial"/>
          <w:lang w:val="es-CO"/>
        </w:rPr>
        <w:t>Al 31 de diciembre de 2022, el gasto ejecutado por el Municipio con los recursos correspondientes a la AESGPAE ascendió a $1.117,2 millones, de los cuales se obligaron y pagaron $1.116,57 millones</w:t>
      </w:r>
      <w:r w:rsidR="001E56EA">
        <w:rPr>
          <w:rFonts w:eastAsia="Arial" w:cs="Arial"/>
          <w:lang w:val="es-CO"/>
        </w:rPr>
        <w:t>;</w:t>
      </w:r>
      <w:r w:rsidRPr="001A38D5">
        <w:rPr>
          <w:rFonts w:eastAsia="Arial" w:cs="Arial"/>
          <w:lang w:val="es-CO"/>
        </w:rPr>
        <w:t xml:space="preserve"> </w:t>
      </w:r>
      <w:r w:rsidR="001E56EA">
        <w:rPr>
          <w:rFonts w:eastAsia="Arial" w:cs="Arial"/>
          <w:lang w:val="es-CO"/>
        </w:rPr>
        <w:t>c</w:t>
      </w:r>
      <w:r w:rsidRPr="001A38D5">
        <w:rPr>
          <w:rFonts w:eastAsia="Arial" w:cs="Arial"/>
          <w:lang w:val="es-CO"/>
        </w:rPr>
        <w:t>on esto, según las ejecuciones presupuestales de ingresos y gastos, al cierre de la vigencia fiscal 2022 se recaudaron $1.131,70 millones, de los cuales se comprometieron $1.117,2 millones, lo que generó un superávit presupuestal de $14,5</w:t>
      </w:r>
      <w:r w:rsidR="001574AF">
        <w:rPr>
          <w:rFonts w:eastAsia="Arial" w:cs="Arial"/>
          <w:lang w:val="es-CO"/>
        </w:rPr>
        <w:t xml:space="preserve"> </w:t>
      </w:r>
      <w:r w:rsidRPr="001A38D5">
        <w:rPr>
          <w:rFonts w:eastAsia="Arial" w:cs="Arial"/>
          <w:lang w:val="es-CO"/>
        </w:rPr>
        <w:t>millones</w:t>
      </w:r>
      <w:r w:rsidR="001E56EA">
        <w:rPr>
          <w:rFonts w:eastAsia="Arial" w:cs="Arial"/>
          <w:lang w:val="es-CO"/>
        </w:rPr>
        <w:t>;</w:t>
      </w:r>
      <w:r w:rsidRPr="001A38D5">
        <w:rPr>
          <w:rFonts w:eastAsia="Arial" w:cs="Arial"/>
          <w:lang w:val="es-CO"/>
        </w:rPr>
        <w:t xml:space="preserve"> </w:t>
      </w:r>
      <w:r w:rsidR="001E56EA">
        <w:rPr>
          <w:rFonts w:eastAsia="Arial" w:cs="Arial"/>
          <w:lang w:val="es-CO"/>
        </w:rPr>
        <w:t>s</w:t>
      </w:r>
      <w:r w:rsidRPr="001A38D5">
        <w:rPr>
          <w:rFonts w:eastAsia="Arial" w:cs="Arial"/>
          <w:lang w:val="es-CO"/>
        </w:rPr>
        <w:t>in embargo, la información reportada en la Categoría Cierre Fiscal del Formulario Único Territorial no coincide con lo reportado en las Categorías de Ingresos y Gastos de</w:t>
      </w:r>
      <w:r w:rsidR="000E3AED" w:rsidRPr="001A38D5">
        <w:rPr>
          <w:rFonts w:eastAsia="Arial" w:cs="Arial"/>
          <w:lang w:val="es-CO"/>
        </w:rPr>
        <w:t xml:space="preserve"> CUIPO, </w:t>
      </w:r>
      <w:r w:rsidRPr="001A38D5">
        <w:rPr>
          <w:rFonts w:eastAsia="Arial" w:cs="Arial"/>
          <w:lang w:val="es-CO"/>
        </w:rPr>
        <w:t>ni con lo calculado según ejecuciones presupuestales (déficit de $0,63 millones).</w:t>
      </w:r>
    </w:p>
    <w:p w14:paraId="3637B714" w14:textId="77777777" w:rsidR="00A20990" w:rsidRPr="001A38D5" w:rsidRDefault="00A20990" w:rsidP="005140E1">
      <w:pPr>
        <w:contextualSpacing/>
        <w:jc w:val="both"/>
        <w:rPr>
          <w:rFonts w:eastAsia="Arial" w:cs="Arial"/>
          <w:lang w:val="es-CO"/>
        </w:rPr>
      </w:pPr>
    </w:p>
    <w:p w14:paraId="1277463F" w14:textId="77777777" w:rsidR="00A20990" w:rsidRPr="001A38D5" w:rsidRDefault="00A20990" w:rsidP="005140E1">
      <w:pPr>
        <w:contextualSpacing/>
        <w:jc w:val="both"/>
        <w:rPr>
          <w:rFonts w:eastAsia="Arial" w:cs="Arial"/>
          <w:lang w:val="es-CO"/>
        </w:rPr>
      </w:pPr>
      <w:r w:rsidRPr="001A38D5">
        <w:rPr>
          <w:rFonts w:eastAsia="Arial" w:cs="Arial"/>
          <w:lang w:val="es-CO"/>
        </w:rPr>
        <w:t>Asimismo, se observa que se generaron reservas presupuestales por $0,63 millones. No obstante, en la Categoría Cierre Fiscal del Formulario Único Territorial no se reportaron reservas de la AESGPAE, ni en la Resolución No. 1650.67.13/05 del 18 de enero de</w:t>
      </w:r>
      <w:r w:rsidR="00EC6E0D">
        <w:rPr>
          <w:rFonts w:eastAsia="Arial" w:cs="Arial"/>
          <w:lang w:val="es-CO"/>
        </w:rPr>
        <w:t xml:space="preserve"> </w:t>
      </w:r>
      <w:r w:rsidRPr="001A38D5">
        <w:rPr>
          <w:rFonts w:eastAsia="Arial" w:cs="Arial"/>
          <w:lang w:val="es-CO"/>
        </w:rPr>
        <w:t xml:space="preserve">2023 </w:t>
      </w:r>
      <w:r w:rsidRPr="001A38D5">
        <w:rPr>
          <w:rFonts w:eastAsia="Arial" w:cs="Arial"/>
          <w:i/>
          <w:lang w:val="es-CO"/>
        </w:rPr>
        <w:t>“Por medio de la cual se constituyen reservas presupuestales vigencia 2022 y se dictan otras disposiciones”</w:t>
      </w:r>
      <w:r w:rsidRPr="001A38D5">
        <w:rPr>
          <w:rFonts w:eastAsia="Arial" w:cs="Arial"/>
          <w:lang w:val="es-CO"/>
        </w:rPr>
        <w:t xml:space="preserve"> no incluye reservas de la AESGPAE. Finalmente, el saldo en caja y bancos no coincide entre lo calculado según ejecuciones presupuestales</w:t>
      </w:r>
      <w:r w:rsidR="000776DA">
        <w:rPr>
          <w:rFonts w:eastAsia="Arial" w:cs="Arial"/>
          <w:lang w:val="es-CO"/>
        </w:rPr>
        <w:t xml:space="preserve"> ($15,13 millones)</w:t>
      </w:r>
      <w:r w:rsidRPr="001A38D5">
        <w:rPr>
          <w:rFonts w:eastAsia="Arial" w:cs="Arial"/>
          <w:lang w:val="es-CO"/>
        </w:rPr>
        <w:t xml:space="preserve"> y lo reportado en la Categoría Cierre Fiscal del Formulario Único Territorial </w:t>
      </w:r>
      <w:r w:rsidR="000776DA">
        <w:rPr>
          <w:rFonts w:eastAsia="Arial" w:cs="Arial"/>
          <w:lang w:val="es-CO"/>
        </w:rPr>
        <w:t>($0) al 31 de diciembre de</w:t>
      </w:r>
      <w:r w:rsidRPr="001A38D5">
        <w:rPr>
          <w:rFonts w:eastAsia="Arial" w:cs="Arial"/>
          <w:lang w:val="es-CO"/>
        </w:rPr>
        <w:t xml:space="preserve"> 2022.</w:t>
      </w:r>
    </w:p>
    <w:p w14:paraId="04CE9969" w14:textId="77777777" w:rsidR="00A20990" w:rsidRPr="001A38D5" w:rsidRDefault="00A20990" w:rsidP="005140E1">
      <w:pPr>
        <w:contextualSpacing/>
        <w:jc w:val="both"/>
        <w:rPr>
          <w:rFonts w:eastAsia="Arial" w:cs="Arial"/>
          <w:lang w:val="es-CO"/>
        </w:rPr>
      </w:pPr>
    </w:p>
    <w:p w14:paraId="04DFFF4E" w14:textId="77777777" w:rsidR="00A20990" w:rsidRPr="001A38D5" w:rsidRDefault="00A20990" w:rsidP="005140E1">
      <w:pPr>
        <w:contextualSpacing/>
        <w:jc w:val="both"/>
        <w:rPr>
          <w:rFonts w:eastAsia="Arial" w:cs="Arial"/>
          <w:b/>
          <w:lang w:val="es-CO"/>
        </w:rPr>
      </w:pPr>
      <w:r w:rsidRPr="001A38D5">
        <w:rPr>
          <w:rFonts w:eastAsia="Arial" w:cs="Arial"/>
          <w:b/>
          <w:lang w:val="es-CO"/>
        </w:rPr>
        <w:t>Evidencias:</w:t>
      </w:r>
    </w:p>
    <w:p w14:paraId="2052029E" w14:textId="77777777" w:rsidR="00A20990" w:rsidRPr="001A38D5" w:rsidRDefault="00A20990" w:rsidP="005140E1">
      <w:pPr>
        <w:contextualSpacing/>
        <w:jc w:val="both"/>
        <w:rPr>
          <w:rFonts w:eastAsia="Arial" w:cs="Arial"/>
          <w:b/>
          <w:bCs/>
          <w:lang w:val="es-CO"/>
        </w:rPr>
      </w:pPr>
    </w:p>
    <w:p w14:paraId="053B327B" w14:textId="77777777" w:rsidR="00A20990" w:rsidRPr="001A38D5" w:rsidRDefault="00A20990" w:rsidP="005140E1">
      <w:pPr>
        <w:contextualSpacing/>
        <w:jc w:val="both"/>
        <w:rPr>
          <w:rFonts w:eastAsia="Arial" w:cs="Arial"/>
          <w:lang w:val="es-CO"/>
        </w:rPr>
      </w:pPr>
      <w:r w:rsidRPr="001A38D5">
        <w:rPr>
          <w:rFonts w:eastAsia="Arial" w:cs="Arial"/>
          <w:lang w:val="es-CO"/>
        </w:rPr>
        <w:t>Obra en el expediente virtual el siguiente material probatorio:</w:t>
      </w:r>
    </w:p>
    <w:p w14:paraId="4B0C4C4F" w14:textId="77777777" w:rsidR="00A20990" w:rsidRPr="001A38D5" w:rsidRDefault="00A20990" w:rsidP="005140E1">
      <w:pPr>
        <w:contextualSpacing/>
        <w:jc w:val="both"/>
        <w:rPr>
          <w:rFonts w:eastAsia="Arial" w:cs="Arial"/>
          <w:b/>
          <w:bCs/>
          <w:lang w:val="es-CO"/>
        </w:rPr>
      </w:pPr>
    </w:p>
    <w:p w14:paraId="31D8524F" w14:textId="77777777" w:rsidR="005C15FE" w:rsidRPr="00B92779" w:rsidRDefault="005C15FE" w:rsidP="005140E1">
      <w:pPr>
        <w:widowControl/>
        <w:numPr>
          <w:ilvl w:val="0"/>
          <w:numId w:val="13"/>
        </w:numPr>
        <w:autoSpaceDE/>
        <w:autoSpaceDN/>
        <w:contextualSpacing/>
        <w:jc w:val="both"/>
        <w:rPr>
          <w:rFonts w:eastAsia="Arial" w:cs="Arial"/>
          <w:sz w:val="20"/>
          <w:szCs w:val="18"/>
          <w:lang w:val="es-CO"/>
        </w:rPr>
      </w:pPr>
      <w:r w:rsidRPr="00B92779">
        <w:rPr>
          <w:rFonts w:eastAsia="Arial" w:cs="Arial"/>
          <w:sz w:val="20"/>
          <w:szCs w:val="18"/>
          <w:lang w:val="es-CO"/>
        </w:rPr>
        <w:t>Reporte al Consolidador de Hacienda e Información Pública - CHIP del Municipio de Villavicencio - Formulario Único Territorial – FUT y CUIPO. Vigencias 2019, 2020, 2021 y 2022. Municipio de Villavicencio, Meta – Sector Alimentación Escolar. Serie: “</w:t>
      </w:r>
      <w:r w:rsidRPr="00B92779">
        <w:rPr>
          <w:rFonts w:eastAsia="Arial" w:cs="Arial"/>
          <w:i/>
          <w:sz w:val="20"/>
          <w:szCs w:val="18"/>
          <w:lang w:val="es-CO"/>
        </w:rPr>
        <w:t>Historial de Seguimiento y Control a los Recursos del Sistema General de Participaciones</w:t>
      </w:r>
      <w:r w:rsidRPr="00B92779">
        <w:rPr>
          <w:rFonts w:eastAsia="Arial" w:cs="Arial"/>
          <w:sz w:val="20"/>
          <w:szCs w:val="18"/>
          <w:lang w:val="es-CO"/>
        </w:rPr>
        <w:t xml:space="preserve"> – </w:t>
      </w:r>
      <w:r w:rsidRPr="00B92779">
        <w:rPr>
          <w:rFonts w:eastAsia="Arial" w:cs="Arial"/>
          <w:i/>
          <w:sz w:val="20"/>
          <w:szCs w:val="18"/>
          <w:lang w:val="es-CO"/>
        </w:rPr>
        <w:t>Antecedentes</w:t>
      </w:r>
      <w:r w:rsidRPr="00B92779">
        <w:rPr>
          <w:rFonts w:eastAsia="Arial" w:cs="Arial"/>
          <w:sz w:val="20"/>
          <w:szCs w:val="18"/>
          <w:lang w:val="es-CO"/>
        </w:rPr>
        <w:t>”. Expediente digital No. 52/2018/D028-PREDI.</w:t>
      </w:r>
    </w:p>
    <w:p w14:paraId="52DA71D9" w14:textId="77777777" w:rsidR="005C15FE" w:rsidRPr="00B92779" w:rsidRDefault="00425319" w:rsidP="005140E1">
      <w:pPr>
        <w:widowControl/>
        <w:autoSpaceDE/>
        <w:autoSpaceDN/>
        <w:ind w:left="360"/>
        <w:contextualSpacing/>
        <w:jc w:val="both"/>
        <w:rPr>
          <w:rFonts w:eastAsia="Arial" w:cs="Arial"/>
          <w:sz w:val="16"/>
          <w:szCs w:val="18"/>
          <w:lang w:val="es-CO"/>
        </w:rPr>
      </w:pPr>
      <w:hyperlink r:id="rId37" w:history="1">
        <w:r w:rsidR="005C15FE" w:rsidRPr="00B92779">
          <w:rPr>
            <w:rStyle w:val="Hipervnculo"/>
            <w:rFonts w:eastAsia="Arial" w:cs="Arial"/>
            <w:sz w:val="16"/>
            <w:szCs w:val="18"/>
            <w:lang w:val="es-CO"/>
          </w:rPr>
          <w:t>http://portalgestiondoc.minhacienda.red/PortalEmpleado/viewer.jsp?config=/9cjVomUs0nd5l7xgTmsfzbfbtGgfe3YnUiR06pLFav8FWubuKFhHgD77jirscpGu42NoUE0aj3S4tse8BP40V/hOHwM3NbNxJU5JdzU0DdcO+wN57Ai9MamniAPXUNx5X7arWMF3Sf4Q4jIC9fPfkA2Cl68gA3UaQmoBSmpdzcJQc/RmmtL17GiANZo6sMO&amp;guid=5b8a275118abdcc9f534b2f&amp;idrepository=879</w:t>
        </w:r>
      </w:hyperlink>
      <w:r w:rsidR="005C15FE" w:rsidRPr="00B92779">
        <w:rPr>
          <w:rFonts w:eastAsia="Arial" w:cs="Arial"/>
          <w:sz w:val="16"/>
          <w:szCs w:val="18"/>
          <w:lang w:val="es-CO"/>
        </w:rPr>
        <w:t xml:space="preserve"> </w:t>
      </w:r>
    </w:p>
    <w:p w14:paraId="214E60CF" w14:textId="77777777" w:rsidR="005C15FE" w:rsidRPr="00B92779" w:rsidRDefault="005C15FE" w:rsidP="005140E1">
      <w:pPr>
        <w:widowControl/>
        <w:numPr>
          <w:ilvl w:val="0"/>
          <w:numId w:val="13"/>
        </w:numPr>
        <w:autoSpaceDE/>
        <w:autoSpaceDN/>
        <w:contextualSpacing/>
        <w:jc w:val="both"/>
        <w:rPr>
          <w:rFonts w:eastAsia="Arial" w:cs="Arial"/>
          <w:sz w:val="20"/>
          <w:szCs w:val="18"/>
          <w:lang w:val="es-CO"/>
        </w:rPr>
      </w:pPr>
      <w:r w:rsidRPr="00B92779">
        <w:rPr>
          <w:rFonts w:eastAsia="Arial" w:cs="Arial"/>
          <w:sz w:val="20"/>
          <w:szCs w:val="18"/>
          <w:lang w:val="es-CO"/>
        </w:rPr>
        <w:t>Ejecuciones presupuestales de ingresos y gastos del Municipio de Villavicencio, Meta. Vigencias 2019, 2020, 2021 y 2022. Municipio de Villavicencio, Meta – Sector Alimentación Escolar. Serie: “</w:t>
      </w:r>
      <w:r w:rsidRPr="00B92779">
        <w:rPr>
          <w:rFonts w:eastAsia="Arial" w:cs="Arial"/>
          <w:i/>
          <w:sz w:val="20"/>
          <w:szCs w:val="18"/>
          <w:lang w:val="es-CO"/>
        </w:rPr>
        <w:t>Historial de Seguimiento y Control a los Recursos del Sistema General de Participaciones</w:t>
      </w:r>
      <w:r w:rsidRPr="00B92779">
        <w:rPr>
          <w:rFonts w:eastAsia="Arial" w:cs="Arial"/>
          <w:sz w:val="20"/>
          <w:szCs w:val="18"/>
          <w:lang w:val="es-CO"/>
        </w:rPr>
        <w:t xml:space="preserve"> – </w:t>
      </w:r>
      <w:r w:rsidRPr="00B92779">
        <w:rPr>
          <w:rFonts w:eastAsia="Arial" w:cs="Arial"/>
          <w:i/>
          <w:sz w:val="20"/>
          <w:szCs w:val="18"/>
          <w:lang w:val="es-CO"/>
        </w:rPr>
        <w:t>Antecedentes</w:t>
      </w:r>
      <w:r w:rsidRPr="00B92779">
        <w:rPr>
          <w:rFonts w:eastAsia="Arial" w:cs="Arial"/>
          <w:sz w:val="20"/>
          <w:szCs w:val="18"/>
          <w:lang w:val="es-CO"/>
        </w:rPr>
        <w:t>”. Expediente digital No. 52/2018/D028-PREDI.</w:t>
      </w:r>
    </w:p>
    <w:p w14:paraId="56E4A9E8" w14:textId="77777777" w:rsidR="005C15FE" w:rsidRPr="00B92779" w:rsidRDefault="005C15FE" w:rsidP="005140E1">
      <w:pPr>
        <w:widowControl/>
        <w:autoSpaceDE/>
        <w:autoSpaceDN/>
        <w:ind w:left="360"/>
        <w:contextualSpacing/>
        <w:jc w:val="both"/>
        <w:rPr>
          <w:rStyle w:val="Hipervnculo"/>
          <w:rFonts w:cs="Arial"/>
          <w:sz w:val="16"/>
          <w:szCs w:val="18"/>
        </w:rPr>
      </w:pPr>
      <w:r w:rsidRPr="00B92779">
        <w:rPr>
          <w:rStyle w:val="Hipervnculo"/>
          <w:rFonts w:cs="Arial"/>
          <w:sz w:val="16"/>
          <w:szCs w:val="18"/>
          <w:lang w:val="es-CO"/>
        </w:rPr>
        <w:t>http://portalgestiondoc.minhacienda.red/PortalEmpleado/viewer.jsp?config=GCanxtFYFC8nLIpuW9t235w6iz05UUwWIL2fdmzYygSDJMW0srILLXIzT5s15aqhOGlr3/fxnlHphtHPNnnVmzMJOlnhwlh0utwdrDOF7txFTYjKkFCpls3TnSmfSjKyCX6ZENuOJXB6MgKqOOY7GxAir52kD4CxNeWEvbm5KGOp3Bi1t+wNZwTePiXRVQCc&amp;guid=5b8a275118abdcc9f535625&amp;idrepository=879</w:t>
      </w:r>
    </w:p>
    <w:p w14:paraId="1D5718C7" w14:textId="77777777" w:rsidR="005C15FE" w:rsidRPr="00B92779" w:rsidRDefault="005C15FE" w:rsidP="005140E1">
      <w:pPr>
        <w:widowControl/>
        <w:numPr>
          <w:ilvl w:val="0"/>
          <w:numId w:val="13"/>
        </w:numPr>
        <w:autoSpaceDE/>
        <w:autoSpaceDN/>
        <w:contextualSpacing/>
        <w:jc w:val="both"/>
        <w:rPr>
          <w:rFonts w:eastAsia="Arial" w:cs="Arial"/>
          <w:sz w:val="20"/>
          <w:szCs w:val="18"/>
          <w:lang w:val="es-CO"/>
        </w:rPr>
      </w:pPr>
      <w:r w:rsidRPr="00B92779">
        <w:rPr>
          <w:rFonts w:eastAsia="Arial" w:cs="Arial"/>
          <w:sz w:val="20"/>
          <w:szCs w:val="18"/>
          <w:lang w:val="es-CO"/>
        </w:rPr>
        <w:t>Decreto No. 1000-21/153 del 1 de abril de 2019 del Municipio de Villavicencio, Meta. Municipio de Villavicencio, Meta – Sector Alimentación Escolar. Serie: “</w:t>
      </w:r>
      <w:r w:rsidRPr="00B92779">
        <w:rPr>
          <w:rFonts w:eastAsia="Arial" w:cs="Arial"/>
          <w:i/>
          <w:sz w:val="20"/>
          <w:szCs w:val="18"/>
          <w:lang w:val="es-CO"/>
        </w:rPr>
        <w:t>Historial de Seguimiento y Control a los Recursos del Sistema General de Participaciones</w:t>
      </w:r>
      <w:r w:rsidRPr="00B92779">
        <w:rPr>
          <w:rFonts w:eastAsia="Arial" w:cs="Arial"/>
          <w:sz w:val="20"/>
          <w:szCs w:val="18"/>
          <w:lang w:val="es-CO"/>
        </w:rPr>
        <w:t xml:space="preserve"> – </w:t>
      </w:r>
      <w:r w:rsidRPr="00B92779">
        <w:rPr>
          <w:rFonts w:eastAsia="Arial" w:cs="Arial"/>
          <w:i/>
          <w:sz w:val="20"/>
          <w:szCs w:val="18"/>
          <w:lang w:val="es-CO"/>
        </w:rPr>
        <w:t>Antecedentes</w:t>
      </w:r>
      <w:r w:rsidRPr="00B92779">
        <w:rPr>
          <w:rFonts w:eastAsia="Arial" w:cs="Arial"/>
          <w:sz w:val="20"/>
          <w:szCs w:val="18"/>
          <w:lang w:val="es-CO"/>
        </w:rPr>
        <w:t xml:space="preserve">”. Expediente digital No. 52/2018/D028-PREDI. </w:t>
      </w:r>
      <w:r w:rsidRPr="00B92779">
        <w:rPr>
          <w:rStyle w:val="Hipervnculo"/>
          <w:rFonts w:cs="Arial"/>
          <w:sz w:val="16"/>
          <w:szCs w:val="18"/>
          <w:lang w:val="es-CO"/>
        </w:rPr>
        <w:t>http://portalgestiondoc.minhacienda.red/PortalEmpleado/viewer.jsp?config=T1cxn5p2oSTtIUaW4onp7qiIeZbDokR/wBWd/Vy6w7VzC8MOg2msl65clcYM9kkfhXUq96x5tMd2dbuXXUktehT+m/gEBSqC6PgGe/YGrQp3SK2xefGPH9jwDz/ZyLIj4m0B1SfEI0vtNABplOoMHjr1G9WUm41yQ3jnDzU8fQE6GkpNWwNfdaeQWin4Gulx&amp;guid=5b8a275118abdcc9f535dfb&amp;idrepository=879</w:t>
      </w:r>
    </w:p>
    <w:p w14:paraId="315E488F" w14:textId="77777777" w:rsidR="005C15FE" w:rsidRPr="00B92779" w:rsidRDefault="005C15FE" w:rsidP="005140E1">
      <w:pPr>
        <w:widowControl/>
        <w:numPr>
          <w:ilvl w:val="0"/>
          <w:numId w:val="13"/>
        </w:numPr>
        <w:autoSpaceDE/>
        <w:autoSpaceDN/>
        <w:contextualSpacing/>
        <w:jc w:val="both"/>
        <w:rPr>
          <w:rFonts w:eastAsia="Arial" w:cs="Arial"/>
          <w:sz w:val="20"/>
          <w:szCs w:val="18"/>
          <w:lang w:val="es-CO"/>
        </w:rPr>
      </w:pPr>
      <w:r w:rsidRPr="00B92779">
        <w:rPr>
          <w:rFonts w:eastAsia="Arial" w:cs="Arial"/>
          <w:sz w:val="20"/>
          <w:szCs w:val="18"/>
          <w:lang w:val="es-CO"/>
        </w:rPr>
        <w:t>CDP 95 del 17 de enero de 2020 - RDP 265 del 7 de febrero de 2020, CDP 804 del 10 de marzo de 2020 - RP 1306 del 15 de mayo de 2020, CDP 1778 del 7 de septiembre de 2020 y RP 1701 del 9 de junio de 2020, CDP 2256 del 21 de agosto de 2020 - RP 2291 del 28 de agosto de 2020, CDP 2982 del 5 de octubre de 2020 - RP 4240 del 13 de diciembre de 2020 y</w:t>
      </w:r>
      <w:r w:rsidRPr="00B92779">
        <w:rPr>
          <w:rFonts w:cs="Arial"/>
          <w:sz w:val="20"/>
          <w:szCs w:val="18"/>
        </w:rPr>
        <w:t xml:space="preserve"> </w:t>
      </w:r>
      <w:r w:rsidRPr="00B92779">
        <w:rPr>
          <w:rFonts w:eastAsia="Arial" w:cs="Arial"/>
          <w:sz w:val="20"/>
          <w:szCs w:val="18"/>
          <w:lang w:val="es-CO"/>
        </w:rPr>
        <w:t>Acta modificatoria No. 01 al Contrato de prestación de servicios No. 1961 del 13 de diciembre de 2020. Municipio de Villavicencio, Meta – Sector Alimentación Escolar. Serie: “</w:t>
      </w:r>
      <w:r w:rsidRPr="00B92779">
        <w:rPr>
          <w:rFonts w:eastAsia="Arial" w:cs="Arial"/>
          <w:i/>
          <w:sz w:val="20"/>
          <w:szCs w:val="18"/>
          <w:lang w:val="es-CO"/>
        </w:rPr>
        <w:t>Historial de Seguimiento y Control a los Recursos del Sistema General de Participaciones</w:t>
      </w:r>
      <w:r w:rsidRPr="00B92779">
        <w:rPr>
          <w:rFonts w:eastAsia="Arial" w:cs="Arial"/>
          <w:sz w:val="20"/>
          <w:szCs w:val="18"/>
          <w:lang w:val="es-CO"/>
        </w:rPr>
        <w:t xml:space="preserve"> – </w:t>
      </w:r>
      <w:r w:rsidRPr="00B92779">
        <w:rPr>
          <w:rFonts w:eastAsia="Arial" w:cs="Arial"/>
          <w:i/>
          <w:sz w:val="20"/>
          <w:szCs w:val="18"/>
          <w:lang w:val="es-CO"/>
        </w:rPr>
        <w:t>Antecedentes</w:t>
      </w:r>
      <w:r w:rsidRPr="00B92779">
        <w:rPr>
          <w:rFonts w:eastAsia="Arial" w:cs="Arial"/>
          <w:sz w:val="20"/>
          <w:szCs w:val="18"/>
          <w:lang w:val="es-CO"/>
        </w:rPr>
        <w:t>”. Expediente digital No. 52/2018/D028-PREDI.</w:t>
      </w:r>
    </w:p>
    <w:p w14:paraId="09126D9E" w14:textId="77777777" w:rsidR="005C15FE" w:rsidRPr="00B92779" w:rsidRDefault="005C15FE" w:rsidP="005140E1">
      <w:pPr>
        <w:widowControl/>
        <w:autoSpaceDE/>
        <w:autoSpaceDN/>
        <w:ind w:left="360"/>
        <w:contextualSpacing/>
        <w:jc w:val="both"/>
        <w:rPr>
          <w:rStyle w:val="Hipervnculo"/>
          <w:rFonts w:cs="Arial"/>
          <w:sz w:val="16"/>
          <w:szCs w:val="18"/>
        </w:rPr>
      </w:pPr>
      <w:r w:rsidRPr="00B92779">
        <w:rPr>
          <w:rStyle w:val="Hipervnculo"/>
          <w:rFonts w:cs="Arial"/>
          <w:sz w:val="16"/>
          <w:szCs w:val="18"/>
          <w:lang w:val="es-CO"/>
        </w:rPr>
        <w:t>http://portalgestiondoc.minhacienda.red/PortalEmpleado/viewer.jsp?config=N/u3ZSgjJ/tQjsszd5rJdpshYnrjc7GizchR4t+dH7uby2WID98sVmXSPuQFD0/xr60E1Fl/sJiMgDLMAbDI0Jv9nlQULl1/Wapy9HREgNaMiL8H/JuIXTygTtbj+FR0zhHG6aZ/6PFV6gemfE2o/VfcPqLpU6xtOXX1UfJXJUey9Qunzxnfy2hhZkDmrnax&amp;guid=5b8a275118abdcc9f5365f8&amp;idrepository=879</w:t>
      </w:r>
    </w:p>
    <w:p w14:paraId="23040DCF" w14:textId="77777777" w:rsidR="005C15FE" w:rsidRPr="00B92779" w:rsidRDefault="005C15FE" w:rsidP="005140E1">
      <w:pPr>
        <w:widowControl/>
        <w:numPr>
          <w:ilvl w:val="0"/>
          <w:numId w:val="13"/>
        </w:numPr>
        <w:autoSpaceDE/>
        <w:autoSpaceDN/>
        <w:contextualSpacing/>
        <w:jc w:val="both"/>
        <w:rPr>
          <w:rFonts w:eastAsia="Arial" w:cs="Arial"/>
          <w:sz w:val="20"/>
          <w:szCs w:val="18"/>
          <w:lang w:val="es-CO"/>
        </w:rPr>
      </w:pPr>
      <w:r w:rsidRPr="00B92779">
        <w:rPr>
          <w:rFonts w:eastAsia="Arial" w:cs="Arial"/>
          <w:sz w:val="20"/>
          <w:szCs w:val="18"/>
          <w:lang w:val="es-CO"/>
        </w:rPr>
        <w:t xml:space="preserve">Órdenes de </w:t>
      </w:r>
      <w:r w:rsidR="00DB7A04">
        <w:rPr>
          <w:rFonts w:eastAsia="Arial" w:cs="Arial"/>
          <w:sz w:val="20"/>
          <w:szCs w:val="18"/>
          <w:lang w:val="es-CO"/>
        </w:rPr>
        <w:t>P</w:t>
      </w:r>
      <w:r w:rsidRPr="00B92779">
        <w:rPr>
          <w:rFonts w:eastAsia="Arial" w:cs="Arial"/>
          <w:sz w:val="20"/>
          <w:szCs w:val="18"/>
          <w:lang w:val="es-CO"/>
        </w:rPr>
        <w:t>ago 3205, 6210, 10355, 10357 y 11324 y 11326 de 2020. Municipio de Villavicencio, Meta – Sector Alimentación Escolar. Serie: “</w:t>
      </w:r>
      <w:r w:rsidRPr="00B92779">
        <w:rPr>
          <w:rFonts w:eastAsia="Arial" w:cs="Arial"/>
          <w:i/>
          <w:sz w:val="20"/>
          <w:szCs w:val="18"/>
          <w:lang w:val="es-CO"/>
        </w:rPr>
        <w:t>Historial de Seguimiento y Control a los Recursos del Sistema General de Participaciones</w:t>
      </w:r>
      <w:r w:rsidRPr="00B92779">
        <w:rPr>
          <w:rFonts w:eastAsia="Arial" w:cs="Arial"/>
          <w:sz w:val="20"/>
          <w:szCs w:val="18"/>
          <w:lang w:val="es-CO"/>
        </w:rPr>
        <w:t xml:space="preserve"> – </w:t>
      </w:r>
      <w:r w:rsidRPr="00B92779">
        <w:rPr>
          <w:rFonts w:eastAsia="Arial" w:cs="Arial"/>
          <w:i/>
          <w:sz w:val="20"/>
          <w:szCs w:val="18"/>
          <w:lang w:val="es-CO"/>
        </w:rPr>
        <w:t>Antecedentes</w:t>
      </w:r>
      <w:r w:rsidRPr="00B92779">
        <w:rPr>
          <w:rFonts w:eastAsia="Arial" w:cs="Arial"/>
          <w:sz w:val="20"/>
          <w:szCs w:val="18"/>
          <w:lang w:val="es-CO"/>
        </w:rPr>
        <w:t>”. Expediente digital No. 52/2018/D028-PREDI.</w:t>
      </w:r>
    </w:p>
    <w:p w14:paraId="6D9275A5" w14:textId="77777777" w:rsidR="005C15FE" w:rsidRPr="00B92779" w:rsidRDefault="005C15FE" w:rsidP="005140E1">
      <w:pPr>
        <w:widowControl/>
        <w:autoSpaceDE/>
        <w:autoSpaceDN/>
        <w:ind w:left="360"/>
        <w:contextualSpacing/>
        <w:jc w:val="both"/>
        <w:rPr>
          <w:rStyle w:val="Hipervnculo"/>
          <w:rFonts w:cs="Arial"/>
          <w:sz w:val="16"/>
          <w:szCs w:val="18"/>
        </w:rPr>
      </w:pPr>
      <w:r w:rsidRPr="00B92779">
        <w:rPr>
          <w:rStyle w:val="Hipervnculo"/>
          <w:rFonts w:cs="Arial"/>
          <w:sz w:val="16"/>
          <w:szCs w:val="18"/>
          <w:lang w:val="es-CO"/>
        </w:rPr>
        <w:t>http://portalgestiondoc.minhacienda.red/PortalEmpleado/viewer.jsp?config=QIpK5mXdQLQmTzOHIDjDw90qS0JvlUFaRX2A7/y9CRrhEdACXl90Q/pjVLcLhzTu5lK3zwKKIgy17bGU9BiX3IAuftSmPXqxsiT8ZCR4Nf+NKX4SSH6CeFqWplNfVSIqJ0vHBACJtOrn486q2LAJxf7vQTlS8xXnRvV8JE4mJw4MOvdNtkYT6QkSjtlc04vy&amp;guid=5b8a275118abdcc9f5368d8&amp;idrepository=879</w:t>
      </w:r>
    </w:p>
    <w:p w14:paraId="26B824AB" w14:textId="77777777" w:rsidR="005C15FE" w:rsidRPr="00B92779" w:rsidRDefault="005C15FE" w:rsidP="005140E1">
      <w:pPr>
        <w:widowControl/>
        <w:numPr>
          <w:ilvl w:val="0"/>
          <w:numId w:val="13"/>
        </w:numPr>
        <w:autoSpaceDE/>
        <w:autoSpaceDN/>
        <w:contextualSpacing/>
        <w:jc w:val="both"/>
        <w:rPr>
          <w:rFonts w:eastAsia="Arial" w:cs="Arial"/>
          <w:sz w:val="20"/>
          <w:szCs w:val="18"/>
          <w:lang w:val="es-CO"/>
        </w:rPr>
      </w:pPr>
      <w:r w:rsidRPr="00B92779">
        <w:rPr>
          <w:rFonts w:eastAsia="Arial" w:cs="Arial"/>
          <w:sz w:val="20"/>
          <w:szCs w:val="18"/>
          <w:lang w:val="es-CO"/>
        </w:rPr>
        <w:t xml:space="preserve">Resolución No. 1650-67.13/06 del 20 de enero de 2021 </w:t>
      </w:r>
      <w:r w:rsidRPr="00B92779">
        <w:rPr>
          <w:rFonts w:eastAsia="Arial" w:cs="Arial"/>
          <w:i/>
          <w:sz w:val="20"/>
          <w:szCs w:val="18"/>
          <w:lang w:val="es-CO"/>
        </w:rPr>
        <w:t xml:space="preserve">“Por medio del cual se constituye en reservas presupuestales vigencia 2020 y se dictan otras disposiciones. </w:t>
      </w:r>
      <w:r w:rsidRPr="00B92779">
        <w:rPr>
          <w:rFonts w:eastAsia="Arial" w:cs="Arial"/>
          <w:sz w:val="20"/>
          <w:szCs w:val="18"/>
          <w:lang w:val="es-CO"/>
        </w:rPr>
        <w:t>Municipio de Villavicencio, Meta – Sector Alimentación Escolar. Serie: “</w:t>
      </w:r>
      <w:r w:rsidRPr="00B92779">
        <w:rPr>
          <w:rFonts w:eastAsia="Arial" w:cs="Arial"/>
          <w:i/>
          <w:sz w:val="20"/>
          <w:szCs w:val="18"/>
          <w:lang w:val="es-CO"/>
        </w:rPr>
        <w:t>Historial de Seguimiento y Control a los Recursos del Sistema General de Participaciones</w:t>
      </w:r>
      <w:r w:rsidRPr="00B92779">
        <w:rPr>
          <w:rFonts w:eastAsia="Arial" w:cs="Arial"/>
          <w:sz w:val="20"/>
          <w:szCs w:val="18"/>
          <w:lang w:val="es-CO"/>
        </w:rPr>
        <w:t xml:space="preserve"> – </w:t>
      </w:r>
      <w:r w:rsidRPr="00B92779">
        <w:rPr>
          <w:rFonts w:eastAsia="Arial" w:cs="Arial"/>
          <w:i/>
          <w:sz w:val="20"/>
          <w:szCs w:val="18"/>
          <w:lang w:val="es-CO"/>
        </w:rPr>
        <w:t>Antecedentes</w:t>
      </w:r>
      <w:r w:rsidRPr="00B92779">
        <w:rPr>
          <w:rFonts w:eastAsia="Arial" w:cs="Arial"/>
          <w:sz w:val="20"/>
          <w:szCs w:val="18"/>
          <w:lang w:val="es-CO"/>
        </w:rPr>
        <w:t>”. Expediente digital No. 52/2018/D028-PREDI.</w:t>
      </w:r>
    </w:p>
    <w:p w14:paraId="016372FD" w14:textId="77777777" w:rsidR="005C15FE" w:rsidRPr="00B92779" w:rsidRDefault="00425319" w:rsidP="005140E1">
      <w:pPr>
        <w:widowControl/>
        <w:autoSpaceDE/>
        <w:autoSpaceDN/>
        <w:ind w:left="360"/>
        <w:contextualSpacing/>
        <w:jc w:val="both"/>
        <w:rPr>
          <w:rStyle w:val="Hipervnculo"/>
          <w:rFonts w:cs="Arial"/>
          <w:sz w:val="16"/>
          <w:szCs w:val="18"/>
          <w:lang w:val="es-CO"/>
        </w:rPr>
      </w:pPr>
      <w:hyperlink r:id="rId38" w:history="1">
        <w:r w:rsidR="005C15FE" w:rsidRPr="00B92779">
          <w:rPr>
            <w:rStyle w:val="Hipervnculo"/>
            <w:rFonts w:cs="Arial"/>
            <w:sz w:val="16"/>
            <w:szCs w:val="18"/>
            <w:lang w:val="es-CO"/>
          </w:rPr>
          <w:t>http://portalgestiondoc.minhacienda.red/PortalEmpleado/viewer.jsp?config=iK2SGFTjw4BzJVAzCTtHJ5t8uwhRF7c0onTNsO1ltU1L1jotFDT7xHb+vIUMg+ucBZbfVpCa7sVqpR+xlZFCOwl37vEOrNBpzFcqREJfs0MJp1sh1peDOuldARf5yzvX7et9FN9uqqYD6576nJiElf94i5iPBY+hcS+UShwJstmay7Ii6QJy/Eml8e9accur&amp;guid=5b8a275118abe006696-72e7&amp;idrepository=879</w:t>
        </w:r>
      </w:hyperlink>
    </w:p>
    <w:p w14:paraId="5F3F1698" w14:textId="77777777" w:rsidR="005C15FE" w:rsidRPr="00B92779" w:rsidRDefault="005C15FE" w:rsidP="005140E1">
      <w:pPr>
        <w:widowControl/>
        <w:numPr>
          <w:ilvl w:val="0"/>
          <w:numId w:val="13"/>
        </w:numPr>
        <w:autoSpaceDE/>
        <w:autoSpaceDN/>
        <w:contextualSpacing/>
        <w:jc w:val="both"/>
        <w:rPr>
          <w:rFonts w:eastAsia="Arial" w:cs="Arial"/>
          <w:sz w:val="20"/>
          <w:szCs w:val="18"/>
          <w:lang w:val="es-CO"/>
        </w:rPr>
      </w:pPr>
      <w:r w:rsidRPr="00B92779">
        <w:rPr>
          <w:rFonts w:eastAsia="Arial" w:cs="Arial"/>
          <w:sz w:val="20"/>
          <w:szCs w:val="18"/>
          <w:lang w:val="es-CO"/>
        </w:rPr>
        <w:t>Resolución No. 1650-67.13/001 del 12 de enero de 2021 “</w:t>
      </w:r>
      <w:r w:rsidRPr="00B92779">
        <w:rPr>
          <w:rFonts w:eastAsia="Arial" w:cs="Arial"/>
          <w:i/>
          <w:sz w:val="20"/>
          <w:szCs w:val="18"/>
          <w:lang w:val="es-CO"/>
        </w:rPr>
        <w:t xml:space="preserve">Por medio de la cual se constituyen las cuentas por pagar de la vigencia 2020". </w:t>
      </w:r>
      <w:r w:rsidRPr="00B92779">
        <w:rPr>
          <w:rFonts w:eastAsia="Arial" w:cs="Arial"/>
          <w:sz w:val="20"/>
          <w:szCs w:val="18"/>
          <w:lang w:val="es-CO"/>
        </w:rPr>
        <w:t>Municipio de Villavicencio, Meta – Sector Alimentación Escolar. Serie: “</w:t>
      </w:r>
      <w:r w:rsidRPr="00B92779">
        <w:rPr>
          <w:rFonts w:eastAsia="Arial" w:cs="Arial"/>
          <w:i/>
          <w:sz w:val="20"/>
          <w:szCs w:val="18"/>
          <w:lang w:val="es-CO"/>
        </w:rPr>
        <w:t>Historial de Seguimiento y Control a los Recursos del Sistema General de Participaciones</w:t>
      </w:r>
      <w:r w:rsidRPr="00B92779">
        <w:rPr>
          <w:rFonts w:eastAsia="Arial" w:cs="Arial"/>
          <w:sz w:val="20"/>
          <w:szCs w:val="18"/>
          <w:lang w:val="es-CO"/>
        </w:rPr>
        <w:t xml:space="preserve"> – </w:t>
      </w:r>
      <w:r w:rsidRPr="00B92779">
        <w:rPr>
          <w:rFonts w:eastAsia="Arial" w:cs="Arial"/>
          <w:i/>
          <w:sz w:val="20"/>
          <w:szCs w:val="18"/>
          <w:lang w:val="es-CO"/>
        </w:rPr>
        <w:t>Antecedentes</w:t>
      </w:r>
      <w:r w:rsidRPr="00B92779">
        <w:rPr>
          <w:rFonts w:eastAsia="Arial" w:cs="Arial"/>
          <w:sz w:val="20"/>
          <w:szCs w:val="18"/>
          <w:lang w:val="es-CO"/>
        </w:rPr>
        <w:t>”. Expediente digital No. 52/2018/D028-PREDI.</w:t>
      </w:r>
    </w:p>
    <w:p w14:paraId="1252B863" w14:textId="77777777" w:rsidR="005C15FE" w:rsidRPr="00B92779" w:rsidRDefault="005C15FE" w:rsidP="005140E1">
      <w:pPr>
        <w:widowControl/>
        <w:autoSpaceDE/>
        <w:autoSpaceDN/>
        <w:ind w:left="360"/>
        <w:contextualSpacing/>
        <w:jc w:val="both"/>
        <w:rPr>
          <w:rStyle w:val="Hipervnculo"/>
          <w:rFonts w:cs="Arial"/>
          <w:sz w:val="16"/>
          <w:szCs w:val="18"/>
        </w:rPr>
      </w:pPr>
      <w:r w:rsidRPr="00B92779">
        <w:rPr>
          <w:rStyle w:val="Hipervnculo"/>
          <w:rFonts w:cs="Arial"/>
          <w:sz w:val="16"/>
          <w:szCs w:val="18"/>
          <w:lang w:val="es-CO"/>
        </w:rPr>
        <w:t>http://portalgestiondoc.minhacienda.red/PortalEmpleado/viewer.jsp?config=OLT7PbXs5mb6EYEy47mDNCCCUqN+uNihc8kQG+RbM33w9YxtijHVP3ykfH2WY43r2YJ0sJ5RsOOXYdwpInO+Xy9wSdWAgCxGQzZ0AnzuEUN73sT2+N/hMi6RihXsjONb52IORlbtMgF+/nANmmzA7yLrs9b1x6VSJmIp9d9AZgMTgN0m73Wr8uthXdJ2u8k2&amp;guid=5b8a275118abe006696-7450&amp;idrepository=879</w:t>
      </w:r>
    </w:p>
    <w:p w14:paraId="0A7873E0" w14:textId="77777777" w:rsidR="005C15FE" w:rsidRPr="00B92779" w:rsidRDefault="005C15FE" w:rsidP="005140E1">
      <w:pPr>
        <w:widowControl/>
        <w:numPr>
          <w:ilvl w:val="0"/>
          <w:numId w:val="13"/>
        </w:numPr>
        <w:autoSpaceDE/>
        <w:autoSpaceDN/>
        <w:contextualSpacing/>
        <w:jc w:val="both"/>
        <w:rPr>
          <w:rFonts w:eastAsia="Arial" w:cs="Arial"/>
          <w:sz w:val="20"/>
          <w:szCs w:val="18"/>
          <w:lang w:val="es-CO"/>
        </w:rPr>
      </w:pPr>
      <w:r w:rsidRPr="00B92779">
        <w:rPr>
          <w:rFonts w:eastAsia="Arial" w:cs="Arial"/>
          <w:sz w:val="20"/>
          <w:szCs w:val="18"/>
          <w:lang w:val="es-CO"/>
        </w:rPr>
        <w:t xml:space="preserve">Resolución No. 1650.67.13/05 del 18 de enero de2023 </w:t>
      </w:r>
      <w:r w:rsidRPr="00B92779">
        <w:rPr>
          <w:rFonts w:eastAsia="Arial" w:cs="Arial"/>
          <w:i/>
          <w:sz w:val="20"/>
          <w:szCs w:val="18"/>
          <w:lang w:val="es-CO"/>
        </w:rPr>
        <w:t xml:space="preserve">“Por medio de la cual se constituyen reservas presupuestales vigencia 2022 y se dictan otras disposiciones”. </w:t>
      </w:r>
      <w:r w:rsidRPr="00B92779">
        <w:rPr>
          <w:rFonts w:eastAsia="Arial" w:cs="Arial"/>
          <w:sz w:val="20"/>
          <w:szCs w:val="18"/>
          <w:lang w:val="es-CO"/>
        </w:rPr>
        <w:t>Municipio de Villavicencio, Meta – Sector Alimentación Escolar. Serie: “</w:t>
      </w:r>
      <w:r w:rsidRPr="00B92779">
        <w:rPr>
          <w:rFonts w:eastAsia="Arial" w:cs="Arial"/>
          <w:i/>
          <w:sz w:val="20"/>
          <w:szCs w:val="18"/>
          <w:lang w:val="es-CO"/>
        </w:rPr>
        <w:t>Historial de Seguimiento y Control a los Recursos del Sistema General de Participaciones</w:t>
      </w:r>
      <w:r w:rsidRPr="00B92779">
        <w:rPr>
          <w:rFonts w:eastAsia="Arial" w:cs="Arial"/>
          <w:sz w:val="20"/>
          <w:szCs w:val="18"/>
          <w:lang w:val="es-CO"/>
        </w:rPr>
        <w:t xml:space="preserve"> – </w:t>
      </w:r>
      <w:r w:rsidRPr="00B92779">
        <w:rPr>
          <w:rFonts w:eastAsia="Arial" w:cs="Arial"/>
          <w:i/>
          <w:sz w:val="20"/>
          <w:szCs w:val="18"/>
          <w:lang w:val="es-CO"/>
        </w:rPr>
        <w:t>Antecedentes</w:t>
      </w:r>
      <w:r w:rsidRPr="00B92779">
        <w:rPr>
          <w:rFonts w:eastAsia="Arial" w:cs="Arial"/>
          <w:sz w:val="20"/>
          <w:szCs w:val="18"/>
          <w:lang w:val="es-CO"/>
        </w:rPr>
        <w:t>”. Expediente digital No. 52/2018/D028-PREDI.</w:t>
      </w:r>
    </w:p>
    <w:p w14:paraId="4A021DE8" w14:textId="77777777" w:rsidR="00324928" w:rsidRPr="00B92779" w:rsidRDefault="005C15FE" w:rsidP="005140E1">
      <w:pPr>
        <w:widowControl/>
        <w:autoSpaceDE/>
        <w:autoSpaceDN/>
        <w:ind w:left="360"/>
        <w:contextualSpacing/>
        <w:jc w:val="both"/>
        <w:rPr>
          <w:rStyle w:val="Hipervnculo"/>
          <w:rFonts w:cs="Arial"/>
          <w:color w:val="auto"/>
          <w:sz w:val="16"/>
          <w:szCs w:val="18"/>
        </w:rPr>
      </w:pPr>
      <w:r w:rsidRPr="00B92779">
        <w:rPr>
          <w:rStyle w:val="Hipervnculo"/>
          <w:rFonts w:cs="Arial"/>
          <w:sz w:val="16"/>
          <w:szCs w:val="18"/>
          <w:lang w:val="es-CO"/>
        </w:rPr>
        <w:t>http://portalgestiondoc.minhacienda.red/PortalEmpleado/viewer.jsp?config=Lk+JaaXISX//xeBNS9dNfrAdbVM4igIeMTyJPbe7YnMuHPjVNA9YRmcPpKJPLSY0MxWxQWzMk6ERwCMsjv8UPFfzStDGAq8n6Rrd2OuGr1m47UnJOASDneIOUFWN8D2xoyP5I3L+D6+VgzAeLbtEMQr7SQWpgMe3oCji5hDL0y7BJyZ7BUZ0wPtq2/r7HnN6&amp;guid=5b8a275118abe006696-72ec&amp;idrepository=879</w:t>
      </w:r>
    </w:p>
    <w:p w14:paraId="4E423CB3" w14:textId="77777777" w:rsidR="001574AF" w:rsidRDefault="001574AF" w:rsidP="005140E1">
      <w:pPr>
        <w:spacing w:before="100" w:beforeAutospacing="1"/>
        <w:contextualSpacing/>
        <w:jc w:val="both"/>
        <w:rPr>
          <w:rFonts w:eastAsia="Times New Roman" w:cs="Arial"/>
          <w:b/>
          <w:bCs/>
          <w:u w:val="single"/>
          <w:lang w:val="es-CO" w:eastAsia="es-CO"/>
        </w:rPr>
      </w:pPr>
    </w:p>
    <w:p w14:paraId="5E1F7CB0" w14:textId="77777777" w:rsidR="00A20990" w:rsidRPr="007A412F" w:rsidRDefault="00A20990" w:rsidP="005140E1">
      <w:pPr>
        <w:spacing w:before="100" w:beforeAutospacing="1"/>
        <w:contextualSpacing/>
        <w:jc w:val="both"/>
        <w:rPr>
          <w:rFonts w:eastAsia="Times New Roman" w:cs="Arial"/>
          <w:b/>
          <w:bCs/>
          <w:lang w:val="es-CO" w:eastAsia="es-CO"/>
        </w:rPr>
      </w:pPr>
      <w:r w:rsidRPr="007A412F">
        <w:rPr>
          <w:rFonts w:eastAsia="Times New Roman" w:cs="Arial"/>
          <w:b/>
          <w:bCs/>
          <w:lang w:val="es-CO" w:eastAsia="es-CO"/>
        </w:rPr>
        <w:t xml:space="preserve">2. </w:t>
      </w:r>
      <w:r w:rsidRPr="007A412F">
        <w:rPr>
          <w:rFonts w:cs="Arial"/>
          <w:b/>
        </w:rPr>
        <w:t>Incumplimiento en la calidad del reporte de información de la ejecución de los recursos de la Asignación Especial para Alimentación Escolar</w:t>
      </w:r>
      <w:r w:rsidRPr="007A412F">
        <w:rPr>
          <w:rFonts w:eastAsia="Times New Roman" w:cs="Arial"/>
          <w:b/>
          <w:bCs/>
          <w:lang w:val="es-CO" w:eastAsia="es-CO"/>
        </w:rPr>
        <w:t xml:space="preserve"> en la</w:t>
      </w:r>
      <w:r w:rsidR="008E15C7" w:rsidRPr="007A412F">
        <w:rPr>
          <w:rFonts w:eastAsia="Times New Roman" w:cs="Arial"/>
          <w:b/>
          <w:bCs/>
          <w:lang w:val="es-CO" w:eastAsia="es-CO"/>
        </w:rPr>
        <w:t>s</w:t>
      </w:r>
      <w:r w:rsidRPr="007A412F">
        <w:rPr>
          <w:rFonts w:eastAsia="Times New Roman" w:cs="Arial"/>
          <w:b/>
          <w:bCs/>
          <w:lang w:val="es-CO" w:eastAsia="es-CO"/>
        </w:rPr>
        <w:t xml:space="preserve"> Categoría</w:t>
      </w:r>
      <w:r w:rsidR="008E15C7" w:rsidRPr="007A412F">
        <w:rPr>
          <w:rFonts w:eastAsia="Times New Roman" w:cs="Arial"/>
          <w:b/>
          <w:bCs/>
          <w:lang w:val="es-CO" w:eastAsia="es-CO"/>
        </w:rPr>
        <w:t>s</w:t>
      </w:r>
      <w:r w:rsidRPr="007A412F">
        <w:rPr>
          <w:rFonts w:eastAsia="Times New Roman" w:cs="Arial"/>
          <w:b/>
          <w:bCs/>
          <w:lang w:val="es-CO" w:eastAsia="es-CO"/>
        </w:rPr>
        <w:t xml:space="preserve"> MEN-PAE y UAPA-PAE del CHIP.</w:t>
      </w:r>
    </w:p>
    <w:p w14:paraId="78FF47B9" w14:textId="77777777" w:rsidR="00A20990" w:rsidRPr="001A38D5" w:rsidRDefault="00A20990" w:rsidP="005140E1">
      <w:pPr>
        <w:pStyle w:val="Sinespaciado"/>
        <w:contextualSpacing/>
        <w:jc w:val="both"/>
        <w:rPr>
          <w:rFonts w:ascii="Verdana" w:hAnsi="Verdana" w:cs="Arial"/>
        </w:rPr>
      </w:pPr>
    </w:p>
    <w:p w14:paraId="746F7199" w14:textId="77777777" w:rsidR="00A20990" w:rsidRPr="001A38D5" w:rsidRDefault="00A20990" w:rsidP="005140E1">
      <w:pPr>
        <w:contextualSpacing/>
        <w:jc w:val="both"/>
        <w:rPr>
          <w:rFonts w:cs="Arial"/>
          <w:lang w:val="es-CO"/>
        </w:rPr>
      </w:pPr>
      <w:r w:rsidRPr="001A38D5">
        <w:rPr>
          <w:rFonts w:cs="Arial"/>
          <w:lang w:val="es-CO"/>
        </w:rPr>
        <w:t xml:space="preserve">Según la Resolución No. 7591 de 2014, el Ministerio de Educación Nacional previa revisión de la información reportada en el Formulario Único Territorial — FUT, consideró necesario implementar una </w:t>
      </w:r>
      <w:r w:rsidR="00EC2194">
        <w:rPr>
          <w:rFonts w:cs="Arial"/>
          <w:lang w:val="es-CO"/>
        </w:rPr>
        <w:t>c</w:t>
      </w:r>
      <w:r w:rsidRPr="001A38D5">
        <w:rPr>
          <w:rFonts w:cs="Arial"/>
          <w:lang w:val="es-CO"/>
        </w:rPr>
        <w:t xml:space="preserve">ategoría que complemente la información reportada por todas las </w:t>
      </w:r>
      <w:r w:rsidR="00EC2194">
        <w:rPr>
          <w:rFonts w:cs="Arial"/>
          <w:lang w:val="es-CO"/>
        </w:rPr>
        <w:t>e</w:t>
      </w:r>
      <w:r w:rsidRPr="001A38D5">
        <w:rPr>
          <w:rFonts w:cs="Arial"/>
          <w:lang w:val="es-CO"/>
        </w:rPr>
        <w:t>ntidades territoriales, que permita controlar los recursos destinados a Alimentación Escolar en el Sistema Consolidador de Hacienda e Información Pública — CHIP, por lo cual establece en el artículo 4º literal c) que “</w:t>
      </w:r>
      <w:r w:rsidRPr="001A38D5">
        <w:rPr>
          <w:rFonts w:cs="Arial"/>
          <w:i/>
          <w:lang w:val="es-CO"/>
        </w:rPr>
        <w:t>La información de ejecución presupuestal de ingresos y gastos reportada en la categoría MEN</w:t>
      </w:r>
      <w:r w:rsidR="00EC2194">
        <w:rPr>
          <w:rFonts w:cs="Arial"/>
          <w:i/>
          <w:lang w:val="es-CO"/>
        </w:rPr>
        <w:t>-</w:t>
      </w:r>
      <w:r w:rsidRPr="001A38D5">
        <w:rPr>
          <w:rFonts w:cs="Arial"/>
          <w:i/>
          <w:lang w:val="es-CO"/>
        </w:rPr>
        <w:t>PAE, deberá ser correspondiente y complementaria a la reportada en las diferentes categorías del Formulario Único Territorial - FUT</w:t>
      </w:r>
      <w:r w:rsidRPr="001A38D5">
        <w:rPr>
          <w:rFonts w:cs="Arial"/>
          <w:lang w:val="es-CO"/>
        </w:rPr>
        <w:t>”.</w:t>
      </w:r>
    </w:p>
    <w:p w14:paraId="72660246" w14:textId="77777777" w:rsidR="00A20990" w:rsidRPr="001A38D5" w:rsidRDefault="00A20990" w:rsidP="005140E1">
      <w:pPr>
        <w:contextualSpacing/>
        <w:jc w:val="both"/>
        <w:rPr>
          <w:rFonts w:cs="Arial"/>
          <w:lang w:val="es-CO"/>
        </w:rPr>
      </w:pPr>
    </w:p>
    <w:p w14:paraId="4E7235D5" w14:textId="77777777" w:rsidR="00A20990" w:rsidRPr="001A38D5" w:rsidRDefault="00A20990" w:rsidP="005140E1">
      <w:pPr>
        <w:contextualSpacing/>
        <w:jc w:val="both"/>
        <w:rPr>
          <w:rFonts w:cs="Arial"/>
          <w:i/>
          <w:iCs/>
          <w:lang w:val="es-CO"/>
        </w:rPr>
      </w:pPr>
      <w:r w:rsidRPr="001A38D5">
        <w:rPr>
          <w:rFonts w:cs="Arial"/>
          <w:lang w:val="es-CO"/>
        </w:rPr>
        <w:t>De igual manera, según la Resolución No.</w:t>
      </w:r>
      <w:r w:rsidR="00EC2194">
        <w:rPr>
          <w:rFonts w:cs="Arial"/>
          <w:lang w:val="es-CO"/>
        </w:rPr>
        <w:t xml:space="preserve"> </w:t>
      </w:r>
      <w:r w:rsidRPr="001A38D5">
        <w:rPr>
          <w:rFonts w:cs="Arial"/>
          <w:lang w:val="es-CO"/>
        </w:rPr>
        <w:t>19530 de 2016, del Ministerio de Educación Nacional, determinó en su artículo 6 que “</w:t>
      </w:r>
      <w:r w:rsidRPr="001A38D5">
        <w:rPr>
          <w:rFonts w:cs="Arial"/>
          <w:i/>
          <w:iCs/>
          <w:lang w:val="es-CO"/>
        </w:rPr>
        <w:t>El reporte de la información solicitada debe ser confiable, veraz, oportuno y preciso. El no envío de información conforme a los plazos, condiciones y formatos indicados por el Gobierno Nacional, y/o haber remitido o entregado información incompleta o errónea, se constituye de acuerdo con el numeral 9.1 del artículo 9 del Decreto 028 de 2008, en un evento de riesgo para la prestación adecuada de los servicios financiados con recursos del Sistema General de Participaciones […]”.</w:t>
      </w:r>
    </w:p>
    <w:p w14:paraId="0E8816B5" w14:textId="77777777" w:rsidR="00A20990" w:rsidRPr="001A38D5" w:rsidRDefault="00A20990" w:rsidP="005140E1">
      <w:pPr>
        <w:contextualSpacing/>
        <w:jc w:val="both"/>
        <w:rPr>
          <w:rFonts w:cs="Arial"/>
          <w:lang w:val="es-CO"/>
        </w:rPr>
      </w:pPr>
    </w:p>
    <w:p w14:paraId="15DBC791" w14:textId="77777777" w:rsidR="00A20990" w:rsidRPr="001A38D5" w:rsidRDefault="00A20990" w:rsidP="005140E1">
      <w:pPr>
        <w:contextualSpacing/>
        <w:jc w:val="both"/>
        <w:rPr>
          <w:rFonts w:cs="Arial"/>
          <w:lang w:val="es-CO"/>
        </w:rPr>
      </w:pPr>
      <w:r w:rsidRPr="001A38D5">
        <w:rPr>
          <w:rFonts w:cs="Arial"/>
          <w:lang w:val="es-CO"/>
        </w:rPr>
        <w:t xml:space="preserve">Posteriormente, el Decreto 218 del 14 de febrero de 2020 </w:t>
      </w:r>
      <w:r w:rsidRPr="001A38D5">
        <w:rPr>
          <w:rFonts w:cs="Arial"/>
          <w:i/>
          <w:iCs/>
          <w:lang w:val="es-CO"/>
        </w:rPr>
        <w:t>“Por el cual se estable la estructura interna de la Unidad Especial de Alimentación Escolar – Alimentos para Aprender</w:t>
      </w:r>
      <w:r w:rsidRPr="001A38D5">
        <w:rPr>
          <w:rFonts w:cs="Arial"/>
          <w:lang w:val="es-CO"/>
        </w:rPr>
        <w:t xml:space="preserve">”, señala como función de la </w:t>
      </w:r>
      <w:r w:rsidR="00EC2194" w:rsidRPr="00EC2194">
        <w:rPr>
          <w:rFonts w:cs="Arial"/>
          <w:lang w:val="es-CO"/>
        </w:rPr>
        <w:t>Unidad Administrativa Especial de Alimentación Escolar</w:t>
      </w:r>
      <w:r w:rsidRPr="001A38D5">
        <w:rPr>
          <w:rFonts w:cs="Arial"/>
          <w:lang w:val="es-CO"/>
        </w:rPr>
        <w:t xml:space="preserve"> – </w:t>
      </w:r>
      <w:r w:rsidR="00EC2194">
        <w:rPr>
          <w:rFonts w:cs="Arial"/>
          <w:lang w:val="es-CO"/>
        </w:rPr>
        <w:t>“</w:t>
      </w:r>
      <w:r w:rsidRPr="007A412F">
        <w:rPr>
          <w:rFonts w:cs="Arial"/>
          <w:i/>
          <w:iCs/>
          <w:lang w:val="es-CO"/>
        </w:rPr>
        <w:t>Alimentos para Aprender</w:t>
      </w:r>
      <w:r w:rsidR="00EC2194">
        <w:rPr>
          <w:rFonts w:cs="Arial"/>
          <w:lang w:val="es-CO"/>
        </w:rPr>
        <w:t>”</w:t>
      </w:r>
      <w:r w:rsidRPr="001A38D5">
        <w:rPr>
          <w:rFonts w:cs="Arial"/>
          <w:lang w:val="es-CO"/>
        </w:rPr>
        <w:t xml:space="preserve"> </w:t>
      </w:r>
      <w:r w:rsidR="00EC2194">
        <w:rPr>
          <w:rFonts w:cs="Arial"/>
          <w:lang w:val="es-CO"/>
        </w:rPr>
        <w:t xml:space="preserve">- </w:t>
      </w:r>
      <w:r w:rsidRPr="001A38D5">
        <w:rPr>
          <w:rFonts w:cs="Arial"/>
          <w:lang w:val="es-CO"/>
        </w:rPr>
        <w:t>UA</w:t>
      </w:r>
      <w:r w:rsidR="00491E58" w:rsidRPr="001A38D5">
        <w:rPr>
          <w:rFonts w:cs="Arial"/>
          <w:lang w:val="es-CO"/>
        </w:rPr>
        <w:t>P</w:t>
      </w:r>
      <w:r w:rsidRPr="001A38D5">
        <w:rPr>
          <w:rFonts w:cs="Arial"/>
          <w:lang w:val="es-CO"/>
        </w:rPr>
        <w:t xml:space="preserve">A el diseño y gestión del sistema de información del Programa de Alimentación Escolar. Este sistema debe estar articulado con los sistemas </w:t>
      </w:r>
      <w:r w:rsidR="00EC2194" w:rsidRPr="001A38D5">
        <w:rPr>
          <w:rFonts w:cs="Arial"/>
          <w:lang w:val="es-CO"/>
        </w:rPr>
        <w:t xml:space="preserve">públicos </w:t>
      </w:r>
      <w:r w:rsidRPr="001A38D5">
        <w:rPr>
          <w:rFonts w:cs="Arial"/>
          <w:lang w:val="es-CO"/>
        </w:rPr>
        <w:t xml:space="preserve">de información que recogen datos relativos a la política de alimentación escolar y su implementación en el territorio. Para ello la Unidad implementó la </w:t>
      </w:r>
      <w:r w:rsidR="00EC2194">
        <w:rPr>
          <w:rFonts w:cs="Arial"/>
          <w:lang w:val="es-CO"/>
        </w:rPr>
        <w:t>C</w:t>
      </w:r>
      <w:r w:rsidRPr="001A38D5">
        <w:rPr>
          <w:rFonts w:cs="Arial"/>
          <w:lang w:val="es-CO"/>
        </w:rPr>
        <w:t>ategoría denominada UA</w:t>
      </w:r>
      <w:r w:rsidR="0065111A" w:rsidRPr="001A38D5">
        <w:rPr>
          <w:rFonts w:cs="Arial"/>
          <w:lang w:val="es-CO"/>
        </w:rPr>
        <w:t>P</w:t>
      </w:r>
      <w:r w:rsidRPr="001A38D5">
        <w:rPr>
          <w:rFonts w:cs="Arial"/>
          <w:lang w:val="es-CO"/>
        </w:rPr>
        <w:t>A-PAE del CHIP, que reemplaz</w:t>
      </w:r>
      <w:r w:rsidR="00EC2194">
        <w:rPr>
          <w:rFonts w:cs="Arial"/>
          <w:lang w:val="es-CO"/>
        </w:rPr>
        <w:t>ó</w:t>
      </w:r>
      <w:r w:rsidRPr="001A38D5">
        <w:rPr>
          <w:rFonts w:cs="Arial"/>
          <w:lang w:val="es-CO"/>
        </w:rPr>
        <w:t xml:space="preserve"> la Categoría MEN-PAE del CHIP a partir de 2021.</w:t>
      </w:r>
    </w:p>
    <w:p w14:paraId="2B83C6CA" w14:textId="77777777" w:rsidR="00A20990" w:rsidRPr="001A38D5" w:rsidRDefault="00A20990" w:rsidP="005140E1">
      <w:pPr>
        <w:contextualSpacing/>
        <w:jc w:val="both"/>
        <w:rPr>
          <w:rFonts w:cs="Arial"/>
          <w:lang w:val="es-CO"/>
        </w:rPr>
      </w:pPr>
    </w:p>
    <w:p w14:paraId="796E074D" w14:textId="77777777" w:rsidR="00A20990" w:rsidRPr="001A38D5" w:rsidRDefault="00A20990" w:rsidP="005140E1">
      <w:pPr>
        <w:contextualSpacing/>
        <w:jc w:val="both"/>
        <w:rPr>
          <w:rFonts w:cs="Arial"/>
          <w:lang w:val="es-CO"/>
        </w:rPr>
      </w:pPr>
      <w:r w:rsidRPr="001A38D5">
        <w:rPr>
          <w:rFonts w:cs="Arial"/>
          <w:lang w:val="es-CO"/>
        </w:rPr>
        <w:t xml:space="preserve">De acuerdo con lo anterior, con el objeto de evaluar la consistencia de la información reportada en las vigencias 2019 a 2022 respecto a la ejecución de la Asignación Especial para Alimentación Escolar del Sistema General de Participaciones, la Dirección General de Apoyo Fiscal - DAF contrastó los reportes realizados por el Municipio, con lo reportado en las demás </w:t>
      </w:r>
      <w:r w:rsidR="00EC2194">
        <w:rPr>
          <w:rFonts w:cs="Arial"/>
          <w:lang w:val="es-CO"/>
        </w:rPr>
        <w:t>c</w:t>
      </w:r>
      <w:r w:rsidRPr="001A38D5">
        <w:rPr>
          <w:rFonts w:cs="Arial"/>
          <w:lang w:val="es-CO"/>
        </w:rPr>
        <w:t>ategorías y con la información enviada y suministrada por la Entidad Territorial, evidenciando que la información reportada es inconsistente entre sí.</w:t>
      </w:r>
    </w:p>
    <w:p w14:paraId="0D1AFF99" w14:textId="77777777" w:rsidR="00A20990" w:rsidRPr="001A38D5" w:rsidRDefault="00A20990" w:rsidP="005140E1">
      <w:pPr>
        <w:contextualSpacing/>
        <w:jc w:val="both"/>
        <w:rPr>
          <w:rFonts w:eastAsia="Arial" w:cs="Arial"/>
          <w:lang w:val="es-CO"/>
        </w:rPr>
      </w:pPr>
    </w:p>
    <w:p w14:paraId="5FCC5657"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Para la vigencia 2019, la Entidad reportó en el Formulario de Prestación del Servicio de la Categoría MEN-PAE los </w:t>
      </w:r>
      <w:r w:rsidR="00EC2194">
        <w:rPr>
          <w:rFonts w:eastAsia="Arial" w:cs="Arial"/>
          <w:lang w:val="es-CO"/>
        </w:rPr>
        <w:t>C</w:t>
      </w:r>
      <w:r w:rsidRPr="001A38D5">
        <w:rPr>
          <w:rFonts w:eastAsia="Arial" w:cs="Arial"/>
          <w:lang w:val="es-CO"/>
        </w:rPr>
        <w:t xml:space="preserve">ontratos No. 077 y 1198 de 2019 por un valor total de $11.828,88 millones, lo que coincide con los documentos de los citados </w:t>
      </w:r>
      <w:r w:rsidR="00EC2194">
        <w:rPr>
          <w:rFonts w:eastAsia="Arial" w:cs="Arial"/>
          <w:lang w:val="es-CO"/>
        </w:rPr>
        <w:t>C</w:t>
      </w:r>
      <w:r w:rsidRPr="001A38D5">
        <w:rPr>
          <w:rFonts w:eastAsia="Arial" w:cs="Arial"/>
          <w:lang w:val="es-CO"/>
        </w:rPr>
        <w:t xml:space="preserve">ontratos. No obstante, se observan diferencias entre el valor ejecutado reportado y lo consignado tanto en la ejecución presupuestal de gastos, como en los documentos de ejecución de los </w:t>
      </w:r>
      <w:r w:rsidR="00EC2194">
        <w:rPr>
          <w:rFonts w:eastAsia="Arial" w:cs="Arial"/>
          <w:lang w:val="es-CO"/>
        </w:rPr>
        <w:t>C</w:t>
      </w:r>
      <w:r w:rsidRPr="001A38D5">
        <w:rPr>
          <w:rFonts w:eastAsia="Arial" w:cs="Arial"/>
          <w:lang w:val="es-CO"/>
        </w:rPr>
        <w:t xml:space="preserve">ontratos ($11.566,53 y $11.592,54, respectivamente). </w:t>
      </w:r>
    </w:p>
    <w:p w14:paraId="3D192591" w14:textId="77777777" w:rsidR="00A20990" w:rsidRPr="001A38D5" w:rsidRDefault="00A20990" w:rsidP="005140E1">
      <w:pPr>
        <w:contextualSpacing/>
        <w:jc w:val="both"/>
        <w:rPr>
          <w:rFonts w:eastAsia="Arial" w:cs="Arial"/>
          <w:lang w:val="es-CO"/>
        </w:rPr>
      </w:pPr>
    </w:p>
    <w:p w14:paraId="08C2FCFA"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Sobre el Formulario de Flujo de Pagos de la Categoría MEN-PAE Ejecución de Recursos del CHIP, para el Contrato de </w:t>
      </w:r>
      <w:r w:rsidR="00EC2194">
        <w:rPr>
          <w:rFonts w:eastAsia="Arial" w:cs="Arial"/>
          <w:lang w:val="es-CO"/>
        </w:rPr>
        <w:t>P</w:t>
      </w:r>
      <w:r w:rsidRPr="001A38D5">
        <w:rPr>
          <w:rFonts w:eastAsia="Arial" w:cs="Arial"/>
          <w:lang w:val="es-CO"/>
        </w:rPr>
        <w:t xml:space="preserve">restación de </w:t>
      </w:r>
      <w:r w:rsidR="00EC2194">
        <w:rPr>
          <w:rFonts w:eastAsia="Arial" w:cs="Arial"/>
          <w:lang w:val="es-CO"/>
        </w:rPr>
        <w:t>S</w:t>
      </w:r>
      <w:r w:rsidRPr="001A38D5">
        <w:rPr>
          <w:rFonts w:eastAsia="Arial" w:cs="Arial"/>
          <w:lang w:val="es-CO"/>
        </w:rPr>
        <w:t>ervicios No. 077 de 2019 el valor contratado reportado en el Formulario</w:t>
      </w:r>
      <w:r w:rsidR="000776DA">
        <w:rPr>
          <w:rFonts w:eastAsia="Arial" w:cs="Arial"/>
          <w:lang w:val="es-CO"/>
        </w:rPr>
        <w:t xml:space="preserve"> ($</w:t>
      </w:r>
      <w:r w:rsidR="000776DA" w:rsidRPr="000776DA">
        <w:rPr>
          <w:rFonts w:eastAsia="Arial" w:cs="Arial"/>
          <w:lang w:val="es-CO"/>
        </w:rPr>
        <w:t>3.839,93</w:t>
      </w:r>
      <w:r w:rsidR="000776DA">
        <w:rPr>
          <w:rFonts w:eastAsia="Arial" w:cs="Arial"/>
          <w:lang w:val="es-CO"/>
        </w:rPr>
        <w:t xml:space="preserve"> millones) </w:t>
      </w:r>
      <w:r w:rsidRPr="001A38D5">
        <w:rPr>
          <w:rFonts w:eastAsia="Arial" w:cs="Arial"/>
          <w:lang w:val="es-CO"/>
        </w:rPr>
        <w:t>difiere del señalado en los RP 244 del 31 de enero y 2031 del 11 de abril de 2019</w:t>
      </w:r>
      <w:r w:rsidR="000776DA">
        <w:rPr>
          <w:rFonts w:eastAsia="Arial" w:cs="Arial"/>
          <w:lang w:val="es-CO"/>
        </w:rPr>
        <w:t xml:space="preserve"> ($</w:t>
      </w:r>
      <w:r w:rsidR="000776DA" w:rsidRPr="000776DA">
        <w:rPr>
          <w:rFonts w:eastAsia="Arial" w:cs="Arial"/>
          <w:lang w:val="es-CO"/>
        </w:rPr>
        <w:t>3.867,63</w:t>
      </w:r>
      <w:r w:rsidR="000776DA">
        <w:rPr>
          <w:rFonts w:eastAsia="Arial" w:cs="Arial"/>
          <w:lang w:val="es-CO"/>
        </w:rPr>
        <w:t xml:space="preserve"> millones)</w:t>
      </w:r>
      <w:r w:rsidRPr="001A38D5">
        <w:rPr>
          <w:rFonts w:eastAsia="Arial" w:cs="Arial"/>
          <w:lang w:val="es-CO"/>
        </w:rPr>
        <w:t xml:space="preserve"> en $27,69 millones. Asimismo, del Contrato de </w:t>
      </w:r>
      <w:r w:rsidR="00EC2194">
        <w:rPr>
          <w:rFonts w:eastAsia="Arial" w:cs="Arial"/>
          <w:lang w:val="es-CO"/>
        </w:rPr>
        <w:t>P</w:t>
      </w:r>
      <w:r w:rsidRPr="001A38D5">
        <w:rPr>
          <w:rFonts w:eastAsia="Arial" w:cs="Arial"/>
          <w:lang w:val="es-CO"/>
        </w:rPr>
        <w:t xml:space="preserve">restación de </w:t>
      </w:r>
      <w:r w:rsidR="00EC2194">
        <w:rPr>
          <w:rFonts w:eastAsia="Arial" w:cs="Arial"/>
          <w:lang w:val="es-CO"/>
        </w:rPr>
        <w:t>S</w:t>
      </w:r>
      <w:r w:rsidRPr="001A38D5">
        <w:rPr>
          <w:rFonts w:eastAsia="Arial" w:cs="Arial"/>
          <w:lang w:val="es-CO"/>
        </w:rPr>
        <w:t>ervicios No. 1198 de 2019, la Entidad comprometió recursos de transferencias para la Alimentación Escolar Ley 1450 2011 por un total de $5.256,62</w:t>
      </w:r>
      <w:r w:rsidR="00B22004">
        <w:rPr>
          <w:rFonts w:eastAsia="Arial" w:cs="Arial"/>
          <w:lang w:val="es-CO"/>
        </w:rPr>
        <w:t xml:space="preserve"> millones</w:t>
      </w:r>
      <w:r w:rsidRPr="001A38D5">
        <w:rPr>
          <w:rFonts w:eastAsia="Arial" w:cs="Arial"/>
          <w:lang w:val="es-CO"/>
        </w:rPr>
        <w:t xml:space="preserve"> y autorizó pagos con cargo a esta fuente por $5.054,96 millones, mientras que en este Formulario se registraron compromisos por $2.819,52 millones y pagos por $2.819,52 millones, lo que revela inconsistencias en el reporte de la información en el formato de ejecución de recursos de esta Categoría.</w:t>
      </w:r>
    </w:p>
    <w:p w14:paraId="3B6FB95E" w14:textId="77777777" w:rsidR="00A20990" w:rsidRPr="001A38D5" w:rsidRDefault="00A20990" w:rsidP="005140E1">
      <w:pPr>
        <w:contextualSpacing/>
        <w:jc w:val="both"/>
        <w:rPr>
          <w:rFonts w:eastAsia="Arial" w:cs="Arial"/>
          <w:lang w:val="es-CO"/>
        </w:rPr>
      </w:pPr>
    </w:p>
    <w:p w14:paraId="48272DFB" w14:textId="77777777" w:rsidR="00A20990" w:rsidRPr="001A38D5" w:rsidRDefault="00A20990" w:rsidP="005140E1">
      <w:pPr>
        <w:contextualSpacing/>
        <w:jc w:val="both"/>
        <w:rPr>
          <w:rFonts w:eastAsia="Arial" w:cs="Arial"/>
          <w:lang w:val="es-CO"/>
        </w:rPr>
      </w:pPr>
      <w:r w:rsidRPr="001A38D5">
        <w:rPr>
          <w:rFonts w:eastAsia="Arial" w:cs="Arial"/>
          <w:lang w:val="es-CO"/>
        </w:rPr>
        <w:t>Para la vigencia 2020, la Entidad no reportó el Contrato No. 594 del 14 de mayo de 2020 suscrito con el Resguardo Indígena Maguare en los Formularios de la Categoría MEN-PAE. En el Formulario de Dat</w:t>
      </w:r>
      <w:r w:rsidR="00C672D9">
        <w:rPr>
          <w:rFonts w:eastAsia="Arial" w:cs="Arial"/>
          <w:lang w:val="es-CO"/>
        </w:rPr>
        <w:t>os Contrato</w:t>
      </w:r>
      <w:r w:rsidRPr="001A38D5">
        <w:rPr>
          <w:rFonts w:eastAsia="Arial" w:cs="Arial"/>
          <w:lang w:val="es-CO"/>
        </w:rPr>
        <w:t xml:space="preserve">, de los contratos reportados se establecieron compromisos por $12.616,7 millones, lo que difiere de lo certificado en la ejecución presupuestal de gastos de la vigencia 2020, en donde se reportan compromisos por $12.671,79 millones. Por fuentes de financiación se encuentran diferencias en: i) los ingresos corrientes con destinación </w:t>
      </w:r>
      <w:r w:rsidR="0087132C" w:rsidRPr="001A38D5">
        <w:rPr>
          <w:rFonts w:eastAsia="Arial" w:cs="Arial"/>
          <w:lang w:val="es-CO"/>
        </w:rPr>
        <w:t>específica</w:t>
      </w:r>
      <w:r w:rsidRPr="001A38D5">
        <w:rPr>
          <w:rFonts w:eastAsia="Arial" w:cs="Arial"/>
          <w:lang w:val="es-CO"/>
        </w:rPr>
        <w:t xml:space="preserve"> de la Entidad Territorial ($1.388,06 en MEN</w:t>
      </w:r>
      <w:r w:rsidR="00EC2194">
        <w:rPr>
          <w:rFonts w:eastAsia="Arial" w:cs="Arial"/>
          <w:lang w:val="es-CO"/>
        </w:rPr>
        <w:t>-</w:t>
      </w:r>
      <w:r w:rsidRPr="001A38D5">
        <w:rPr>
          <w:rFonts w:eastAsia="Arial" w:cs="Arial"/>
          <w:lang w:val="es-CO"/>
        </w:rPr>
        <w:t>PAE frente a $1.376,48 millones en la ejecución presupuestal de gastos); ii) los ingresos corrientes del SGP Alimentación Escolar ($1.101,22 millones en el Formulario A_MEN_PAE_DATOS_CONTRATO frente a $1.167,49 millones en la ejecución presupuestal)</w:t>
      </w:r>
      <w:r w:rsidR="00C672D9">
        <w:rPr>
          <w:rFonts w:eastAsia="Arial" w:cs="Arial"/>
          <w:lang w:val="es-CO"/>
        </w:rPr>
        <w:t>;</w:t>
      </w:r>
      <w:r w:rsidRPr="001A38D5">
        <w:rPr>
          <w:rFonts w:eastAsia="Arial" w:cs="Arial"/>
          <w:lang w:val="es-CO"/>
        </w:rPr>
        <w:t xml:space="preserve"> y iii) en los recursos del PGN Transferencias para Alimentación Escolar Ley 1450 de 2011 ya que en el Formulario en cuestión se agruparon los recursos corrientes ($5.680,29 millones) y los recursos de capital ($1.085,63 millones de vigencias anteriores y $119,37 millones de rendimientos financieros) en la fuente 540 TRANSFENCIAS PARA ALIMENTACION ESCOLAR LEY 1450 DE 2011 MEN</w:t>
      </w:r>
      <w:r w:rsidR="004F5425">
        <w:rPr>
          <w:rFonts w:eastAsia="Arial" w:cs="Arial"/>
          <w:lang w:val="es-CO"/>
        </w:rPr>
        <w:t>;</w:t>
      </w:r>
      <w:r w:rsidR="0087132C">
        <w:rPr>
          <w:rFonts w:eastAsia="Arial" w:cs="Arial"/>
          <w:lang w:val="es-CO"/>
        </w:rPr>
        <w:t xml:space="preserve"> sin embargo, </w:t>
      </w:r>
      <w:r w:rsidR="00C672D9">
        <w:rPr>
          <w:rFonts w:eastAsia="Arial" w:cs="Arial"/>
          <w:lang w:val="es-CO"/>
        </w:rPr>
        <w:t xml:space="preserve">en el caso de los recursos del balance se debían reportar en la fuente 541 </w:t>
      </w:r>
      <w:r w:rsidR="00C672D9" w:rsidRPr="00C672D9">
        <w:rPr>
          <w:rFonts w:eastAsia="Arial" w:cs="Arial"/>
          <w:lang w:val="es-CO"/>
        </w:rPr>
        <w:t>TRANSFERENCIAS PARA LA</w:t>
      </w:r>
      <w:r w:rsidR="00C672D9">
        <w:rPr>
          <w:rFonts w:eastAsia="Arial" w:cs="Arial"/>
          <w:lang w:val="es-CO"/>
        </w:rPr>
        <w:t xml:space="preserve"> </w:t>
      </w:r>
      <w:r w:rsidR="00C672D9" w:rsidRPr="00C672D9">
        <w:rPr>
          <w:rFonts w:eastAsia="Arial" w:cs="Arial"/>
          <w:lang w:val="es-CO"/>
        </w:rPr>
        <w:t>ALIMENTACIÓN ESCOLAR LEY 1450 DE 2011. MEN VIGENCIAS ANTERIORES</w:t>
      </w:r>
      <w:r w:rsidRPr="001A38D5">
        <w:rPr>
          <w:rFonts w:eastAsia="Arial" w:cs="Arial"/>
          <w:lang w:val="es-CO"/>
        </w:rPr>
        <w:t>.</w:t>
      </w:r>
    </w:p>
    <w:p w14:paraId="221BC011" w14:textId="77777777" w:rsidR="00A20990" w:rsidRPr="001A38D5" w:rsidRDefault="00A20990" w:rsidP="005140E1">
      <w:pPr>
        <w:contextualSpacing/>
        <w:jc w:val="both"/>
        <w:rPr>
          <w:rFonts w:eastAsia="Arial" w:cs="Arial"/>
          <w:lang w:val="es-CO"/>
        </w:rPr>
      </w:pPr>
    </w:p>
    <w:p w14:paraId="1DA40366" w14:textId="77777777" w:rsidR="00A20990" w:rsidRDefault="00A20990" w:rsidP="005140E1">
      <w:pPr>
        <w:contextualSpacing/>
        <w:jc w:val="both"/>
        <w:rPr>
          <w:rFonts w:eastAsia="Arial" w:cs="Arial"/>
          <w:lang w:val="es-CO"/>
        </w:rPr>
      </w:pPr>
      <w:r w:rsidRPr="001A38D5">
        <w:rPr>
          <w:rFonts w:eastAsia="Arial" w:cs="Arial"/>
          <w:lang w:val="es-CO"/>
        </w:rPr>
        <w:t xml:space="preserve">Sobre el Contrato de </w:t>
      </w:r>
      <w:r w:rsidR="00EC2194">
        <w:rPr>
          <w:rFonts w:eastAsia="Arial" w:cs="Arial"/>
          <w:lang w:val="es-CO"/>
        </w:rPr>
        <w:t>P</w:t>
      </w:r>
      <w:r w:rsidRPr="001A38D5">
        <w:rPr>
          <w:rFonts w:eastAsia="Arial" w:cs="Arial"/>
          <w:lang w:val="es-CO"/>
        </w:rPr>
        <w:t xml:space="preserve">restación de </w:t>
      </w:r>
      <w:r w:rsidR="00EC2194">
        <w:rPr>
          <w:rFonts w:eastAsia="Arial" w:cs="Arial"/>
          <w:lang w:val="es-CO"/>
        </w:rPr>
        <w:t>S</w:t>
      </w:r>
      <w:r w:rsidRPr="001A38D5">
        <w:rPr>
          <w:rFonts w:eastAsia="Arial" w:cs="Arial"/>
          <w:lang w:val="es-CO"/>
        </w:rPr>
        <w:t>ervicios No. 049 del 7 de febrero de 2020, en el registro de la Adición No. 1 no se hace diferenciación de Transferencias para Alimentación Escolar Ley 1450 de 2011 MEN entre recursos corrientes y recursos de capital de rendimientos financieros ($155,86 millones y $30 millones, respectivamente). En cuanto a la Adición No. 2 del Contrato No. 049, los $33,13 señalados como Transferencias para Alimentación Escolar Ley 1450 de 2011 MEN, corresponde a recursos no ejecutados de vigencias anteriores.</w:t>
      </w:r>
      <w:r w:rsidR="00C672D9">
        <w:rPr>
          <w:rFonts w:eastAsia="Arial" w:cs="Arial"/>
          <w:lang w:val="es-CO"/>
        </w:rPr>
        <w:t xml:space="preserve"> Lo anterior se constituye en inadecuado reporte de la fuente de financiación en </w:t>
      </w:r>
      <w:r w:rsidR="00C672D9" w:rsidRPr="00C672D9">
        <w:rPr>
          <w:rFonts w:eastAsia="Arial" w:cs="Arial"/>
          <w:lang w:val="es-CO"/>
        </w:rPr>
        <w:t>el Formulario de Datos Contrato</w:t>
      </w:r>
      <w:r w:rsidR="00C672D9">
        <w:rPr>
          <w:rFonts w:eastAsia="Arial" w:cs="Arial"/>
          <w:lang w:val="es-CO"/>
        </w:rPr>
        <w:t xml:space="preserve">, al no seguir la denominación asignada a cada una de ellas. </w:t>
      </w:r>
    </w:p>
    <w:p w14:paraId="382334E0" w14:textId="77777777" w:rsidR="00C672D9" w:rsidRPr="001A38D5" w:rsidRDefault="00C672D9" w:rsidP="005140E1">
      <w:pPr>
        <w:contextualSpacing/>
        <w:jc w:val="both"/>
        <w:rPr>
          <w:rFonts w:eastAsia="Arial" w:cs="Arial"/>
          <w:lang w:val="es-CO"/>
        </w:rPr>
      </w:pPr>
    </w:p>
    <w:p w14:paraId="39B04087"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Frente al Formulario de Servicio Contratado se observa que en 2020 la Entidad reportó un valor total contratado de $18.755,20 millones de los contratos suscritos para la prestación del </w:t>
      </w:r>
      <w:r w:rsidR="00EC2194">
        <w:rPr>
          <w:rFonts w:eastAsia="Arial" w:cs="Arial"/>
          <w:lang w:val="es-CO"/>
        </w:rPr>
        <w:t>S</w:t>
      </w:r>
      <w:r w:rsidRPr="001A38D5">
        <w:rPr>
          <w:rFonts w:eastAsia="Arial" w:cs="Arial"/>
          <w:lang w:val="es-CO"/>
        </w:rPr>
        <w:t>ervicio de Alimentación Escolar y $12.437,05</w:t>
      </w:r>
      <w:r w:rsidR="000776DA">
        <w:rPr>
          <w:rFonts w:eastAsia="Arial" w:cs="Arial"/>
          <w:lang w:val="es-CO"/>
        </w:rPr>
        <w:t xml:space="preserve"> millones</w:t>
      </w:r>
      <w:r w:rsidRPr="001A38D5">
        <w:rPr>
          <w:rFonts w:eastAsia="Arial" w:cs="Arial"/>
          <w:lang w:val="es-CO"/>
        </w:rPr>
        <w:t xml:space="preserve"> como valor ejecutado de </w:t>
      </w:r>
      <w:r w:rsidR="00EC2194">
        <w:rPr>
          <w:rFonts w:eastAsia="Arial" w:cs="Arial"/>
          <w:lang w:val="es-CO"/>
        </w:rPr>
        <w:t>estos</w:t>
      </w:r>
      <w:r w:rsidRPr="001A38D5">
        <w:rPr>
          <w:rFonts w:eastAsia="Arial" w:cs="Arial"/>
          <w:lang w:val="es-CO"/>
        </w:rPr>
        <w:t xml:space="preserve">. A partir de lo anterior, resulta preciso señalar que la ejecución presupuestal de gastos da cuenta de compromisos por $12.671,36 millones para el proyecto de implementación del Programa de Alimentación Escolar (incluyendo Equipo PAE) y obligaciones por $10.368,78 millones para este. Al tiempo, los documentos contractuales muestran que el valor total de los contratos ascendió a $12.489,99 millones y su ejecución a $12.270,74 millones. </w:t>
      </w:r>
    </w:p>
    <w:p w14:paraId="39A85C00" w14:textId="77777777" w:rsidR="00A20990" w:rsidRPr="001A38D5" w:rsidRDefault="00A20990" w:rsidP="005140E1">
      <w:pPr>
        <w:contextualSpacing/>
        <w:jc w:val="both"/>
        <w:rPr>
          <w:rFonts w:eastAsia="Arial" w:cs="Arial"/>
          <w:lang w:val="es-CO"/>
        </w:rPr>
      </w:pPr>
    </w:p>
    <w:p w14:paraId="0ADE477E"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Sobre el flujo de pagos en 2020, del Contrato de </w:t>
      </w:r>
      <w:r w:rsidR="00EC2194">
        <w:rPr>
          <w:rFonts w:eastAsia="Arial" w:cs="Arial"/>
          <w:lang w:val="es-CO"/>
        </w:rPr>
        <w:t>P</w:t>
      </w:r>
      <w:r w:rsidRPr="001A38D5">
        <w:rPr>
          <w:rFonts w:eastAsia="Arial" w:cs="Arial"/>
          <w:lang w:val="es-CO"/>
        </w:rPr>
        <w:t xml:space="preserve">restación de </w:t>
      </w:r>
      <w:r w:rsidR="00EC2194">
        <w:rPr>
          <w:rFonts w:eastAsia="Arial" w:cs="Arial"/>
          <w:lang w:val="es-CO"/>
        </w:rPr>
        <w:t>S</w:t>
      </w:r>
      <w:r w:rsidRPr="001A38D5">
        <w:rPr>
          <w:rFonts w:eastAsia="Arial" w:cs="Arial"/>
          <w:lang w:val="es-CO"/>
        </w:rPr>
        <w:t xml:space="preserve">ervicios No. 049 de 2020 se reporta el valor del </w:t>
      </w:r>
      <w:r w:rsidR="00C8002A">
        <w:rPr>
          <w:rFonts w:eastAsia="Arial" w:cs="Arial"/>
          <w:lang w:val="es-CO"/>
        </w:rPr>
        <w:t>C</w:t>
      </w:r>
      <w:r w:rsidRPr="001A38D5">
        <w:rPr>
          <w:rFonts w:eastAsia="Arial" w:cs="Arial"/>
          <w:lang w:val="es-CO"/>
        </w:rPr>
        <w:t>ontrato y pagos por $5.577,27</w:t>
      </w:r>
      <w:r w:rsidR="00B377EF">
        <w:rPr>
          <w:rFonts w:eastAsia="Arial" w:cs="Arial"/>
          <w:lang w:val="es-CO"/>
        </w:rPr>
        <w:t xml:space="preserve"> millones</w:t>
      </w:r>
      <w:r w:rsidR="000276CF">
        <w:rPr>
          <w:rFonts w:eastAsia="Arial" w:cs="Arial"/>
          <w:lang w:val="es-CO"/>
        </w:rPr>
        <w:t>;</w:t>
      </w:r>
      <w:r w:rsidRPr="001A38D5">
        <w:rPr>
          <w:rFonts w:eastAsia="Arial" w:cs="Arial"/>
          <w:lang w:val="es-CO"/>
        </w:rPr>
        <w:t xml:space="preserve"> </w:t>
      </w:r>
      <w:r w:rsidR="000276CF">
        <w:rPr>
          <w:rFonts w:eastAsia="Arial" w:cs="Arial"/>
          <w:lang w:val="es-CO"/>
        </w:rPr>
        <w:t>n</w:t>
      </w:r>
      <w:r w:rsidRPr="001A38D5">
        <w:rPr>
          <w:rFonts w:eastAsia="Arial" w:cs="Arial"/>
          <w:lang w:val="es-CO"/>
        </w:rPr>
        <w:t>o obstante</w:t>
      </w:r>
      <w:r w:rsidR="000276CF">
        <w:rPr>
          <w:rFonts w:eastAsia="Arial" w:cs="Arial"/>
          <w:lang w:val="es-CO"/>
        </w:rPr>
        <w:t xml:space="preserve"> lo anterior</w:t>
      </w:r>
      <w:r w:rsidRPr="001A38D5">
        <w:rPr>
          <w:rFonts w:eastAsia="Arial" w:cs="Arial"/>
          <w:lang w:val="es-CO"/>
        </w:rPr>
        <w:t>, el Contrato en mención tuvo un valor final de $10.270,6 millones, de los cuales $5.610,39</w:t>
      </w:r>
      <w:r w:rsidR="001A19B7">
        <w:rPr>
          <w:rFonts w:eastAsia="Arial" w:cs="Arial"/>
          <w:lang w:val="es-CO"/>
        </w:rPr>
        <w:t xml:space="preserve"> millones</w:t>
      </w:r>
      <w:r w:rsidRPr="001A38D5">
        <w:rPr>
          <w:rFonts w:eastAsia="Arial" w:cs="Arial"/>
          <w:lang w:val="es-CO"/>
        </w:rPr>
        <w:t xml:space="preserve"> se financiaron con cargo a recursos de </w:t>
      </w:r>
      <w:r w:rsidR="00C8002A">
        <w:rPr>
          <w:rFonts w:eastAsia="Arial" w:cs="Arial"/>
          <w:lang w:val="es-CO"/>
        </w:rPr>
        <w:t>T</w:t>
      </w:r>
      <w:r w:rsidRPr="001A38D5">
        <w:rPr>
          <w:rFonts w:eastAsia="Arial" w:cs="Arial"/>
          <w:lang w:val="es-CO"/>
        </w:rPr>
        <w:t xml:space="preserve">ransferencias para </w:t>
      </w:r>
      <w:r w:rsidR="00C8002A">
        <w:rPr>
          <w:rFonts w:eastAsia="Arial" w:cs="Arial"/>
          <w:lang w:val="es-CO"/>
        </w:rPr>
        <w:t>A</w:t>
      </w:r>
      <w:r w:rsidRPr="001A38D5">
        <w:rPr>
          <w:rFonts w:eastAsia="Arial" w:cs="Arial"/>
          <w:lang w:val="es-CO"/>
        </w:rPr>
        <w:t xml:space="preserve">limentación </w:t>
      </w:r>
      <w:r w:rsidR="00C8002A">
        <w:rPr>
          <w:rFonts w:eastAsia="Arial" w:cs="Arial"/>
          <w:lang w:val="es-CO"/>
        </w:rPr>
        <w:t>E</w:t>
      </w:r>
      <w:r w:rsidRPr="001A38D5">
        <w:rPr>
          <w:rFonts w:eastAsia="Arial" w:cs="Arial"/>
          <w:lang w:val="es-CO"/>
        </w:rPr>
        <w:t>scolar Ley 1450 de 2011. Al cierre de la vigencia 2020 se ordenaron pagos con esta fuente por $4.800,46 millones</w:t>
      </w:r>
      <w:r w:rsidR="00AE5C56">
        <w:rPr>
          <w:rFonts w:eastAsia="Arial" w:cs="Arial"/>
          <w:lang w:val="es-CO"/>
        </w:rPr>
        <w:t xml:space="preserve"> ($</w:t>
      </w:r>
      <w:r w:rsidR="00AE5C56" w:rsidRPr="00AE5C56">
        <w:rPr>
          <w:rFonts w:eastAsia="Arial" w:cs="Arial"/>
          <w:lang w:val="es-CO"/>
        </w:rPr>
        <w:t>776,81</w:t>
      </w:r>
      <w:r w:rsidR="00AE5C56">
        <w:rPr>
          <w:rFonts w:eastAsia="Arial" w:cs="Arial"/>
          <w:lang w:val="es-CO"/>
        </w:rPr>
        <w:t xml:space="preserve"> millones por debajo de lo reportado como pago en el </w:t>
      </w:r>
      <w:r w:rsidR="00F83952">
        <w:rPr>
          <w:rFonts w:eastAsia="Arial" w:cs="Arial"/>
          <w:lang w:val="es-CO"/>
        </w:rPr>
        <w:t>F</w:t>
      </w:r>
      <w:r w:rsidR="00AE5C56">
        <w:rPr>
          <w:rFonts w:eastAsia="Arial" w:cs="Arial"/>
          <w:lang w:val="es-CO"/>
        </w:rPr>
        <w:t>ormulario de Flujo de Pagos)</w:t>
      </w:r>
      <w:r w:rsidRPr="001A38D5">
        <w:rPr>
          <w:rFonts w:eastAsia="Arial" w:cs="Arial"/>
          <w:lang w:val="es-CO"/>
        </w:rPr>
        <w:t xml:space="preserve">, según las órdenes de pago remitidas por la Entidad mediante </w:t>
      </w:r>
      <w:r w:rsidR="00C8002A">
        <w:rPr>
          <w:rFonts w:eastAsia="Arial" w:cs="Arial"/>
          <w:lang w:val="es-CO"/>
        </w:rPr>
        <w:t xml:space="preserve">el oficio con </w:t>
      </w:r>
      <w:r w:rsidRPr="001A38D5">
        <w:rPr>
          <w:rFonts w:eastAsia="Arial" w:cs="Arial"/>
          <w:lang w:val="es-CO"/>
        </w:rPr>
        <w:t xml:space="preserve">radicado No. 1-2021-091566. Frente al Contrato de </w:t>
      </w:r>
      <w:r w:rsidR="00C8002A">
        <w:rPr>
          <w:rFonts w:eastAsia="Arial" w:cs="Arial"/>
          <w:lang w:val="es-CO"/>
        </w:rPr>
        <w:t>P</w:t>
      </w:r>
      <w:r w:rsidRPr="001A38D5">
        <w:rPr>
          <w:rFonts w:eastAsia="Arial" w:cs="Arial"/>
          <w:lang w:val="es-CO"/>
        </w:rPr>
        <w:t xml:space="preserve">restación de </w:t>
      </w:r>
      <w:r w:rsidR="00C8002A">
        <w:rPr>
          <w:rFonts w:eastAsia="Arial" w:cs="Arial"/>
          <w:lang w:val="es-CO"/>
        </w:rPr>
        <w:t>S</w:t>
      </w:r>
      <w:r w:rsidRPr="001A38D5">
        <w:rPr>
          <w:rFonts w:eastAsia="Arial" w:cs="Arial"/>
          <w:lang w:val="es-CO"/>
        </w:rPr>
        <w:t>ervicios No. 1961 de 2020 se reportó con el concepto de gasto “</w:t>
      </w:r>
      <w:r w:rsidRPr="007A412F">
        <w:rPr>
          <w:rFonts w:eastAsia="Arial" w:cs="Arial"/>
          <w:i/>
          <w:iCs/>
          <w:lang w:val="es-CO"/>
        </w:rPr>
        <w:t>SUPERVISION - INTERVENTORIA - MONITOREO Y CONTROL</w:t>
      </w:r>
      <w:r w:rsidRPr="001A38D5">
        <w:rPr>
          <w:rFonts w:eastAsia="Arial" w:cs="Arial"/>
          <w:lang w:val="es-CO"/>
        </w:rPr>
        <w:t>”</w:t>
      </w:r>
      <w:r w:rsidR="00C8002A">
        <w:rPr>
          <w:rFonts w:eastAsia="Arial" w:cs="Arial"/>
          <w:lang w:val="es-CO"/>
        </w:rPr>
        <w:t>;</w:t>
      </w:r>
      <w:r w:rsidRPr="001A38D5">
        <w:rPr>
          <w:rFonts w:eastAsia="Arial" w:cs="Arial"/>
          <w:lang w:val="es-CO"/>
        </w:rPr>
        <w:t xml:space="preserve"> sin embargo, este Contrato se suscribió con el objeto de operar el Programa de Alimentación Escolar PAE dirigido a los estudiantes registrados con matrícula oficial en el SIMAT del Municipio. Al tiempo, no se reportó el valor comprometido de las </w:t>
      </w:r>
      <w:r w:rsidR="00C8002A">
        <w:rPr>
          <w:rFonts w:eastAsia="Arial" w:cs="Arial"/>
          <w:lang w:val="es-CO"/>
        </w:rPr>
        <w:t>T</w:t>
      </w:r>
      <w:r w:rsidRPr="001A38D5">
        <w:rPr>
          <w:rFonts w:eastAsia="Arial" w:cs="Arial"/>
          <w:lang w:val="es-CO"/>
        </w:rPr>
        <w:t xml:space="preserve">ransferencias para </w:t>
      </w:r>
      <w:r w:rsidR="00C8002A">
        <w:rPr>
          <w:rFonts w:eastAsia="Arial" w:cs="Arial"/>
          <w:lang w:val="es-CO"/>
        </w:rPr>
        <w:t>A</w:t>
      </w:r>
      <w:r w:rsidRPr="001A38D5">
        <w:rPr>
          <w:rFonts w:eastAsia="Arial" w:cs="Arial"/>
          <w:lang w:val="es-CO"/>
        </w:rPr>
        <w:t xml:space="preserve">limentación </w:t>
      </w:r>
      <w:r w:rsidR="00C8002A">
        <w:rPr>
          <w:rFonts w:eastAsia="Arial" w:cs="Arial"/>
          <w:lang w:val="es-CO"/>
        </w:rPr>
        <w:t>E</w:t>
      </w:r>
      <w:r w:rsidRPr="001A38D5">
        <w:rPr>
          <w:rFonts w:eastAsia="Arial" w:cs="Arial"/>
          <w:lang w:val="es-CO"/>
        </w:rPr>
        <w:t xml:space="preserve">scolar Ley 1450 de 2011, que ascendía a $1.116,61 millones. </w:t>
      </w:r>
    </w:p>
    <w:p w14:paraId="0C6957F0" w14:textId="77777777" w:rsidR="00A20990" w:rsidRPr="001A38D5" w:rsidRDefault="00A20990" w:rsidP="005140E1">
      <w:pPr>
        <w:contextualSpacing/>
        <w:rPr>
          <w:rFonts w:cs="Arial"/>
        </w:rPr>
      </w:pPr>
    </w:p>
    <w:p w14:paraId="405F3747" w14:textId="77777777" w:rsidR="00A20990" w:rsidRPr="001A38D5" w:rsidRDefault="00A20990" w:rsidP="005140E1">
      <w:pPr>
        <w:contextualSpacing/>
        <w:jc w:val="both"/>
        <w:rPr>
          <w:rFonts w:eastAsia="Arial" w:cs="Arial"/>
          <w:lang w:val="es-CO"/>
        </w:rPr>
      </w:pPr>
      <w:r w:rsidRPr="001A38D5">
        <w:rPr>
          <w:rFonts w:eastAsia="Arial" w:cs="Arial"/>
          <w:lang w:val="es-CO"/>
        </w:rPr>
        <w:t>Sobre la vigencia 2021, del Formulario Financiación y Bolsa Común la Entidad reportó la financiación del PAE por $17.402,59 millones</w:t>
      </w:r>
      <w:r w:rsidR="006579D3">
        <w:rPr>
          <w:rFonts w:eastAsia="Arial" w:cs="Arial"/>
          <w:lang w:val="es-CO"/>
        </w:rPr>
        <w:t xml:space="preserve"> de todas las fuentes que financiaron el PAE</w:t>
      </w:r>
      <w:r w:rsidRPr="001A38D5">
        <w:rPr>
          <w:rFonts w:eastAsia="Arial" w:cs="Arial"/>
          <w:lang w:val="es-CO"/>
        </w:rPr>
        <w:t>, lo que corresponde a la apropiación definitiva de recursos con destino a la implementación del PAE en Villavicencio</w:t>
      </w:r>
      <w:r w:rsidR="006579D3">
        <w:rPr>
          <w:rFonts w:eastAsia="Arial" w:cs="Arial"/>
          <w:lang w:val="es-CO"/>
        </w:rPr>
        <w:t xml:space="preserve"> según la ejecución presupuestal de ingresos</w:t>
      </w:r>
      <w:r w:rsidRPr="001A38D5">
        <w:rPr>
          <w:rFonts w:eastAsia="Arial" w:cs="Arial"/>
          <w:lang w:val="es-CO"/>
        </w:rPr>
        <w:t xml:space="preserve"> y no al valor efectivamente recaudado de manera acumulada al corte del cuarto trimestre de la vigencia ($16.595,34 millones). </w:t>
      </w:r>
    </w:p>
    <w:p w14:paraId="1FD87543" w14:textId="77777777" w:rsidR="00A20990" w:rsidRPr="001A38D5" w:rsidRDefault="00A20990" w:rsidP="005140E1">
      <w:pPr>
        <w:contextualSpacing/>
        <w:jc w:val="both"/>
        <w:rPr>
          <w:rFonts w:eastAsia="Arial" w:cs="Arial"/>
          <w:lang w:val="es-CO"/>
        </w:rPr>
      </w:pPr>
    </w:p>
    <w:p w14:paraId="4E175658"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En lo correspondiente al Formulario de Contratación, se observa que para el Contrato de </w:t>
      </w:r>
      <w:r w:rsidR="00C8002A">
        <w:rPr>
          <w:rFonts w:eastAsia="Arial" w:cs="Arial"/>
          <w:lang w:val="es-CO"/>
        </w:rPr>
        <w:t>S</w:t>
      </w:r>
      <w:r w:rsidRPr="001A38D5">
        <w:rPr>
          <w:rFonts w:eastAsia="Arial" w:cs="Arial"/>
          <w:lang w:val="es-CO"/>
        </w:rPr>
        <w:t xml:space="preserve">uministro No. 939 del 8 de abril 2021 las fechas de </w:t>
      </w:r>
      <w:r w:rsidR="006579D3">
        <w:rPr>
          <w:rFonts w:eastAsia="Arial" w:cs="Arial"/>
          <w:lang w:val="es-CO"/>
        </w:rPr>
        <w:t>inicio</w:t>
      </w:r>
      <w:r w:rsidRPr="001A38D5">
        <w:rPr>
          <w:rFonts w:eastAsia="Arial" w:cs="Arial"/>
          <w:lang w:val="es-CO"/>
        </w:rPr>
        <w:t xml:space="preserve"> y de finalización de la operación registradas en el Formulario </w:t>
      </w:r>
      <w:r w:rsidR="006579D3">
        <w:rPr>
          <w:rFonts w:eastAsia="Arial" w:cs="Arial"/>
          <w:lang w:val="es-CO"/>
        </w:rPr>
        <w:t xml:space="preserve">(13 de abril en los dos casos) </w:t>
      </w:r>
      <w:r w:rsidRPr="001A38D5">
        <w:rPr>
          <w:rFonts w:eastAsia="Arial" w:cs="Arial"/>
          <w:lang w:val="es-CO"/>
        </w:rPr>
        <w:t xml:space="preserve">no corresponden con las fechas establecidas en los documentos de ejecución del contrato (fecha de la orden 8 de abril y fecha de vencimiento 25 de junio de 2021). De los Contratos de </w:t>
      </w:r>
      <w:r w:rsidR="00C8002A">
        <w:rPr>
          <w:rFonts w:eastAsia="Arial" w:cs="Arial"/>
          <w:lang w:val="es-CO"/>
        </w:rPr>
        <w:t>S</w:t>
      </w:r>
      <w:r w:rsidRPr="001A38D5">
        <w:rPr>
          <w:rFonts w:eastAsia="Arial" w:cs="Arial"/>
          <w:lang w:val="es-CO"/>
        </w:rPr>
        <w:t xml:space="preserve">uministro No. 1346 y 2014 de 2021, las Órdenes de Compra 72682 y 77691 fueron prorrogadas hasta el 20 de octubre y el 3 de diciembre de 2021, respectivamente, mostrando inconsistencias con la fecha de terminación señaladas en el Formulario para estos Contratos (13 de abril y 31 de agosto de 2021). </w:t>
      </w:r>
    </w:p>
    <w:p w14:paraId="705840FD" w14:textId="77777777" w:rsidR="00A20990" w:rsidRPr="001A38D5" w:rsidRDefault="00A20990" w:rsidP="005140E1">
      <w:pPr>
        <w:contextualSpacing/>
        <w:jc w:val="both"/>
        <w:rPr>
          <w:rFonts w:eastAsia="Arial" w:cs="Arial"/>
          <w:lang w:val="es-CO"/>
        </w:rPr>
      </w:pPr>
    </w:p>
    <w:p w14:paraId="04C20DA5"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En lo referente al Formulario de Prestación del Servicio, al cierre de la vigencia 2021 la Entidad Territorial no incluyó en este Formulario los </w:t>
      </w:r>
      <w:r w:rsidR="00677D49" w:rsidRPr="001A38D5">
        <w:rPr>
          <w:rFonts w:eastAsia="Arial" w:cs="Arial"/>
          <w:lang w:val="es-CO"/>
        </w:rPr>
        <w:t>C</w:t>
      </w:r>
      <w:r w:rsidRPr="001A38D5">
        <w:rPr>
          <w:rFonts w:eastAsia="Arial" w:cs="Arial"/>
          <w:lang w:val="es-CO"/>
        </w:rPr>
        <w:t>ontratos 939 y 1346 de 2021. El primero se encuentra reportado en el trimestre de abril a junio y el segundo, en el trimestre de julio a septiembre</w:t>
      </w:r>
      <w:r w:rsidR="009C206A">
        <w:rPr>
          <w:rFonts w:eastAsia="Arial" w:cs="Arial"/>
          <w:lang w:val="es-CO"/>
        </w:rPr>
        <w:t>; s</w:t>
      </w:r>
      <w:r w:rsidRPr="001A38D5">
        <w:rPr>
          <w:rFonts w:eastAsia="Arial" w:cs="Arial"/>
          <w:lang w:val="es-CO"/>
        </w:rPr>
        <w:t>obre el particular</w:t>
      </w:r>
      <w:r w:rsidR="009C206A">
        <w:rPr>
          <w:rFonts w:eastAsia="Arial" w:cs="Arial"/>
          <w:lang w:val="es-CO"/>
        </w:rPr>
        <w:t>,</w:t>
      </w:r>
      <w:r w:rsidR="0087132C">
        <w:rPr>
          <w:rFonts w:eastAsia="Arial" w:cs="Arial"/>
          <w:lang w:val="es-CO"/>
        </w:rPr>
        <w:t xml:space="preserve"> </w:t>
      </w:r>
      <w:r w:rsidRPr="001A38D5">
        <w:rPr>
          <w:rFonts w:eastAsia="Arial" w:cs="Arial"/>
          <w:lang w:val="es-CO"/>
        </w:rPr>
        <w:t>la UAPA ha indicado que este Formulario debe diligenciarse de manera acumulada para cada trimestre.</w:t>
      </w:r>
    </w:p>
    <w:p w14:paraId="23921D6E" w14:textId="77777777" w:rsidR="00A20990" w:rsidRPr="001A38D5" w:rsidRDefault="00A20990" w:rsidP="005140E1">
      <w:pPr>
        <w:contextualSpacing/>
        <w:jc w:val="both"/>
        <w:rPr>
          <w:rFonts w:eastAsia="Arial" w:cs="Arial"/>
          <w:lang w:val="es-CO"/>
        </w:rPr>
      </w:pPr>
    </w:p>
    <w:p w14:paraId="377FB810" w14:textId="77777777" w:rsidR="00A20990" w:rsidRPr="001A0980" w:rsidRDefault="00A20990" w:rsidP="005140E1">
      <w:pPr>
        <w:contextualSpacing/>
        <w:jc w:val="both"/>
        <w:rPr>
          <w:rFonts w:eastAsia="Arial" w:cs="Arial"/>
          <w:lang w:val="es-CO"/>
        </w:rPr>
      </w:pPr>
      <w:r w:rsidRPr="001A38D5">
        <w:rPr>
          <w:rFonts w:eastAsia="Arial" w:cs="Arial"/>
          <w:lang w:val="es-CO"/>
        </w:rPr>
        <w:t>Finalmente, para la vigencia 2022 la Entidad Territorial reportó en el Formulario de Financiación y Bolsa Común un valor asignado para el total de las fuentes por $1.361.889,64 millones y un recaudo acumulado a 31 de diciembre de $660.835,42 millones</w:t>
      </w:r>
      <w:r w:rsidR="001A0980">
        <w:rPr>
          <w:rFonts w:eastAsia="Arial" w:cs="Arial"/>
          <w:lang w:val="es-CO"/>
        </w:rPr>
        <w:t>. D</w:t>
      </w:r>
      <w:r w:rsidRPr="001A38D5">
        <w:rPr>
          <w:rFonts w:eastAsia="Arial" w:cs="Arial"/>
          <w:lang w:val="es-CO"/>
        </w:rPr>
        <w:t>e lo anterior</w:t>
      </w:r>
      <w:r w:rsidR="00EA3ADD">
        <w:rPr>
          <w:rFonts w:eastAsia="Arial" w:cs="Arial"/>
          <w:lang w:val="es-CO"/>
        </w:rPr>
        <w:t>,</w:t>
      </w:r>
      <w:r w:rsidRPr="001A38D5">
        <w:rPr>
          <w:rFonts w:eastAsia="Arial" w:cs="Arial"/>
          <w:lang w:val="es-CO"/>
        </w:rPr>
        <w:t xml:space="preserve"> resulta importante señalar, en primer lugar, que el recaudo acumulado a diciembre de 2022 de recursos del presupuesto ordinario según la ejecución presupuestal para esa vigencia fue de $19.092,99 millones</w:t>
      </w:r>
      <w:r w:rsidR="00EA3ADD">
        <w:rPr>
          <w:rFonts w:eastAsia="Arial" w:cs="Arial"/>
          <w:lang w:val="es-CO"/>
        </w:rPr>
        <w:t>;</w:t>
      </w:r>
      <w:r w:rsidRPr="001A38D5">
        <w:rPr>
          <w:rFonts w:eastAsia="Arial" w:cs="Arial"/>
          <w:lang w:val="es-CO"/>
        </w:rPr>
        <w:t xml:space="preserve"> </w:t>
      </w:r>
      <w:r w:rsidR="00EA3ADD">
        <w:rPr>
          <w:rFonts w:eastAsia="Arial" w:cs="Arial"/>
          <w:lang w:val="es-CO"/>
        </w:rPr>
        <w:t>e</w:t>
      </w:r>
      <w:r w:rsidRPr="001A38D5">
        <w:rPr>
          <w:rFonts w:eastAsia="Arial" w:cs="Arial"/>
          <w:lang w:val="es-CO"/>
        </w:rPr>
        <w:t>n segundo lugar, la apropiación definitiva de los recursos del SGR para la vigencia 2022 asociada al BPIN 20225000010017, que corresponde a la implementación del PAE en Villavicencio ascendió a $7.000 millones, según el reporte de programación de gastos del SGR del CHIP, al tiempo, los compromisos por esta fuente fueron de $6.840,75 millones según la ejecución de gastos del SGR de CHIP.</w:t>
      </w:r>
      <w:r w:rsidR="001A0980">
        <w:rPr>
          <w:rFonts w:eastAsia="Arial" w:cs="Arial"/>
          <w:lang w:val="es-CO"/>
        </w:rPr>
        <w:t xml:space="preserve"> Lo anterior denota diferencias entre lo reportado</w:t>
      </w:r>
      <w:r w:rsidR="001A0980" w:rsidRPr="001A0980">
        <w:t xml:space="preserve"> </w:t>
      </w:r>
      <w:r w:rsidR="001A0980" w:rsidRPr="001A0980">
        <w:rPr>
          <w:rFonts w:eastAsia="Arial" w:cs="Arial"/>
          <w:lang w:val="es-CO"/>
        </w:rPr>
        <w:t>en el Formulario de Financiación y Bolsa Común</w:t>
      </w:r>
      <w:r w:rsidR="001A0980">
        <w:rPr>
          <w:rFonts w:eastAsia="Arial" w:cs="Arial"/>
          <w:lang w:val="es-CO"/>
        </w:rPr>
        <w:t xml:space="preserve"> y lo reportado en la ejecución de gastos del presupuesto ordinario y </w:t>
      </w:r>
      <w:r w:rsidR="001A0980" w:rsidRPr="001A0980">
        <w:rPr>
          <w:rFonts w:eastAsia="Arial" w:cs="Arial"/>
          <w:lang w:val="es-CO"/>
        </w:rPr>
        <w:t>la ejecución de gastos del SGR</w:t>
      </w:r>
      <w:r w:rsidR="001A0980">
        <w:rPr>
          <w:rFonts w:eastAsia="Arial" w:cs="Arial"/>
          <w:lang w:val="es-CO"/>
        </w:rPr>
        <w:t>.</w:t>
      </w:r>
    </w:p>
    <w:p w14:paraId="39C51302" w14:textId="77777777" w:rsidR="00A20990" w:rsidRPr="001A38D5" w:rsidRDefault="00A20990" w:rsidP="005140E1">
      <w:pPr>
        <w:contextualSpacing/>
        <w:jc w:val="both"/>
        <w:rPr>
          <w:rFonts w:eastAsia="Arial" w:cs="Arial"/>
          <w:lang w:val="es-CO"/>
        </w:rPr>
      </w:pPr>
    </w:p>
    <w:p w14:paraId="5876FB5B"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Ahora bien, de la información reportada en el Formulario de Contratación se tiene que para el Contrato de </w:t>
      </w:r>
      <w:r w:rsidR="00C8002A">
        <w:rPr>
          <w:rFonts w:eastAsia="Arial" w:cs="Arial"/>
          <w:lang w:val="es-CO"/>
        </w:rPr>
        <w:t>P</w:t>
      </w:r>
      <w:r w:rsidRPr="001A38D5">
        <w:rPr>
          <w:rFonts w:eastAsia="Arial" w:cs="Arial"/>
          <w:lang w:val="es-CO"/>
        </w:rPr>
        <w:t xml:space="preserve">restación de </w:t>
      </w:r>
      <w:r w:rsidR="00C8002A">
        <w:rPr>
          <w:rFonts w:eastAsia="Arial" w:cs="Arial"/>
          <w:lang w:val="es-CO"/>
        </w:rPr>
        <w:t>S</w:t>
      </w:r>
      <w:r w:rsidRPr="001A38D5">
        <w:rPr>
          <w:rFonts w:eastAsia="Arial" w:cs="Arial"/>
          <w:lang w:val="es-CO"/>
        </w:rPr>
        <w:t xml:space="preserve">ervicios y de </w:t>
      </w:r>
      <w:r w:rsidR="00C8002A">
        <w:rPr>
          <w:rFonts w:eastAsia="Arial" w:cs="Arial"/>
          <w:lang w:val="es-CO"/>
        </w:rPr>
        <w:t>A</w:t>
      </w:r>
      <w:r w:rsidRPr="001A38D5">
        <w:rPr>
          <w:rFonts w:eastAsia="Arial" w:cs="Arial"/>
          <w:lang w:val="es-CO"/>
        </w:rPr>
        <w:t xml:space="preserve">poyo </w:t>
      </w:r>
      <w:r w:rsidR="00C8002A">
        <w:rPr>
          <w:rFonts w:eastAsia="Arial" w:cs="Arial"/>
          <w:lang w:val="es-CO"/>
        </w:rPr>
        <w:t>L</w:t>
      </w:r>
      <w:r w:rsidRPr="001A38D5">
        <w:rPr>
          <w:rFonts w:eastAsia="Arial" w:cs="Arial"/>
          <w:lang w:val="es-CO"/>
        </w:rPr>
        <w:t>ogístico No. 1739 de 2022, según CDP 2706 y RP 2748 del 10 de mayo de 2022, se evidencia inadecuado reporte de las siguientes fuentes de financiación: i) “</w:t>
      </w:r>
      <w:r w:rsidRPr="007A412F">
        <w:rPr>
          <w:rFonts w:eastAsia="Arial" w:cs="Arial"/>
          <w:i/>
          <w:iCs/>
          <w:lang w:val="es-CO"/>
        </w:rPr>
        <w:t>RECURSOS DE INVERSION DEL PGN ASIGNADOS POR UAPA - VIGENCIA ACTUAL</w:t>
      </w:r>
      <w:r w:rsidRPr="001A38D5">
        <w:rPr>
          <w:rFonts w:eastAsia="Arial" w:cs="Arial"/>
          <w:lang w:val="es-CO"/>
        </w:rPr>
        <w:t xml:space="preserve">” por $416,42 millones, corresponden a </w:t>
      </w:r>
      <w:r w:rsidR="00C8002A">
        <w:rPr>
          <w:rFonts w:eastAsia="Arial" w:cs="Arial"/>
          <w:lang w:val="es-CO"/>
        </w:rPr>
        <w:t>T</w:t>
      </w:r>
      <w:r w:rsidRPr="001A38D5">
        <w:rPr>
          <w:rFonts w:eastAsia="Arial" w:cs="Arial"/>
          <w:lang w:val="es-CO"/>
        </w:rPr>
        <w:t>ransferencias para Alimentación Escolar Ley 1450 de 2011 de vigencias anteriores (rubro 0402-2-3.22.01.0700.02.12-864); ii) “</w:t>
      </w:r>
      <w:r w:rsidRPr="007A412F">
        <w:rPr>
          <w:rFonts w:eastAsia="Arial" w:cs="Arial"/>
          <w:i/>
          <w:iCs/>
          <w:lang w:val="es-CO"/>
        </w:rPr>
        <w:t>SGP ALIMENTACION ESCOLAR ONCE DOCEAVAS VIGENCIA ACTUAL MAS ULTIMA DOCEAVA VIGENCIA ANTERIOR</w:t>
      </w:r>
      <w:r w:rsidRPr="001A38D5">
        <w:rPr>
          <w:rFonts w:eastAsia="Arial" w:cs="Arial"/>
          <w:lang w:val="es-CO"/>
        </w:rPr>
        <w:t>” por $961,72 millones, corresponden a SGP EDUCACION CALIDAD SALDOS NO EJECUTADOS VIGENCIAS ANTERIORES Y REINTEGROS (rubro 0402-2-3.22.01.0700.02.12-831).</w:t>
      </w:r>
    </w:p>
    <w:p w14:paraId="6795C4C6" w14:textId="77777777" w:rsidR="00A20990" w:rsidRPr="001A38D5" w:rsidRDefault="00A20990" w:rsidP="005140E1">
      <w:pPr>
        <w:contextualSpacing/>
        <w:jc w:val="both"/>
        <w:rPr>
          <w:rFonts w:eastAsia="Arial" w:cs="Arial"/>
          <w:lang w:val="es-CO"/>
        </w:rPr>
      </w:pPr>
    </w:p>
    <w:p w14:paraId="77AABD4A"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Para la adición del Contrato de </w:t>
      </w:r>
      <w:r w:rsidR="00C8002A">
        <w:rPr>
          <w:rFonts w:eastAsia="Arial" w:cs="Arial"/>
          <w:lang w:val="es-CO"/>
        </w:rPr>
        <w:t>P</w:t>
      </w:r>
      <w:r w:rsidRPr="001A38D5">
        <w:rPr>
          <w:rFonts w:eastAsia="Arial" w:cs="Arial"/>
          <w:lang w:val="es-CO"/>
        </w:rPr>
        <w:t xml:space="preserve">restación de </w:t>
      </w:r>
      <w:r w:rsidR="00C8002A">
        <w:rPr>
          <w:rFonts w:eastAsia="Arial" w:cs="Arial"/>
          <w:lang w:val="es-CO"/>
        </w:rPr>
        <w:t>S</w:t>
      </w:r>
      <w:r w:rsidRPr="001A38D5">
        <w:rPr>
          <w:rFonts w:eastAsia="Arial" w:cs="Arial"/>
          <w:lang w:val="es-CO"/>
        </w:rPr>
        <w:t xml:space="preserve">ervicios y de </w:t>
      </w:r>
      <w:r w:rsidR="00C8002A">
        <w:rPr>
          <w:rFonts w:eastAsia="Arial" w:cs="Arial"/>
          <w:lang w:val="es-CO"/>
        </w:rPr>
        <w:t>A</w:t>
      </w:r>
      <w:r w:rsidRPr="001A38D5">
        <w:rPr>
          <w:rFonts w:eastAsia="Arial" w:cs="Arial"/>
          <w:lang w:val="es-CO"/>
        </w:rPr>
        <w:t xml:space="preserve">poyo </w:t>
      </w:r>
      <w:r w:rsidR="00C8002A">
        <w:rPr>
          <w:rFonts w:eastAsia="Arial" w:cs="Arial"/>
          <w:lang w:val="es-CO"/>
        </w:rPr>
        <w:t>L</w:t>
      </w:r>
      <w:r w:rsidRPr="001A38D5">
        <w:rPr>
          <w:rFonts w:eastAsia="Arial" w:cs="Arial"/>
          <w:lang w:val="es-CO"/>
        </w:rPr>
        <w:t>ogístico No. 1739 de 2022 se evidencia inadecuado reporte de la fuente “</w:t>
      </w:r>
      <w:r w:rsidRPr="007A412F">
        <w:rPr>
          <w:rFonts w:eastAsia="Arial" w:cs="Arial"/>
          <w:i/>
          <w:iCs/>
          <w:lang w:val="es-CO"/>
        </w:rPr>
        <w:t>SGP ALIMENTACION ESCOLAR ONCE DOCEAVAS VIGENCIA ACTUAL MAS ULTIMA DOCEAVA VIGENCIA ANTERIOR</w:t>
      </w:r>
      <w:r w:rsidRPr="001A38D5">
        <w:rPr>
          <w:rFonts w:eastAsia="Arial" w:cs="Arial"/>
          <w:lang w:val="es-CO"/>
        </w:rPr>
        <w:t>” por $79,87 millones, ya que según CDP 3952 y RP 4284 del 13 de julio de 2022 corresponden a recursos de SGP Calidad Matricula (rubro 0402-2-3.22.01.0700.02.12-83).</w:t>
      </w:r>
    </w:p>
    <w:p w14:paraId="6C2CA628" w14:textId="77777777" w:rsidR="00A20990" w:rsidRPr="001A38D5" w:rsidRDefault="00A20990" w:rsidP="005140E1">
      <w:pPr>
        <w:contextualSpacing/>
        <w:jc w:val="both"/>
        <w:rPr>
          <w:rFonts w:eastAsia="Arial" w:cs="Arial"/>
          <w:lang w:val="es-CO"/>
        </w:rPr>
      </w:pPr>
    </w:p>
    <w:p w14:paraId="07EF4A7D"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Para el Contrato de </w:t>
      </w:r>
      <w:r w:rsidR="00C8002A">
        <w:rPr>
          <w:rFonts w:eastAsia="Arial" w:cs="Arial"/>
          <w:lang w:val="es-CO"/>
        </w:rPr>
        <w:t>P</w:t>
      </w:r>
      <w:r w:rsidRPr="001A38D5">
        <w:rPr>
          <w:rFonts w:eastAsia="Arial" w:cs="Arial"/>
          <w:lang w:val="es-CO"/>
        </w:rPr>
        <w:t xml:space="preserve">restación de </w:t>
      </w:r>
      <w:r w:rsidR="00C8002A">
        <w:rPr>
          <w:rFonts w:eastAsia="Arial" w:cs="Arial"/>
          <w:lang w:val="es-CO"/>
        </w:rPr>
        <w:t>S</w:t>
      </w:r>
      <w:r w:rsidRPr="001A38D5">
        <w:rPr>
          <w:rFonts w:eastAsia="Arial" w:cs="Arial"/>
          <w:lang w:val="es-CO"/>
        </w:rPr>
        <w:t>ervicios No. 1825 de 2022 la fecha de finalización no corresponde, ya que el Acta de Adición No. 1 y Pr</w:t>
      </w:r>
      <w:r w:rsidR="00145880" w:rsidRPr="001A38D5">
        <w:rPr>
          <w:rFonts w:eastAsia="Arial" w:cs="Arial"/>
          <w:lang w:val="es-CO"/>
        </w:rPr>
        <w:t>ó</w:t>
      </w:r>
      <w:r w:rsidRPr="001A38D5">
        <w:rPr>
          <w:rFonts w:eastAsia="Arial" w:cs="Arial"/>
          <w:lang w:val="es-CO"/>
        </w:rPr>
        <w:t>rroga No. 2 del 29 de agosto de 2022 establece en la cláusula segunda el término del Contrato hasta el 15 de septiembre de 2022</w:t>
      </w:r>
      <w:r w:rsidR="00730424">
        <w:rPr>
          <w:rFonts w:eastAsia="Arial" w:cs="Arial"/>
          <w:lang w:val="es-CO"/>
        </w:rPr>
        <w:t>, mientras que en el formulario se estableció la terminación de operación el 25 de septiembre de 2022</w:t>
      </w:r>
      <w:r w:rsidRPr="001A38D5">
        <w:rPr>
          <w:rFonts w:eastAsia="Arial" w:cs="Arial"/>
          <w:lang w:val="es-CO"/>
        </w:rPr>
        <w:t>.</w:t>
      </w:r>
    </w:p>
    <w:p w14:paraId="02095DED" w14:textId="77777777" w:rsidR="00A20990" w:rsidRPr="001A38D5" w:rsidRDefault="00A20990" w:rsidP="005140E1">
      <w:pPr>
        <w:contextualSpacing/>
        <w:jc w:val="both"/>
        <w:rPr>
          <w:rFonts w:eastAsia="Arial" w:cs="Arial"/>
          <w:lang w:val="es-CO"/>
        </w:rPr>
      </w:pPr>
    </w:p>
    <w:p w14:paraId="3C650FA2"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Del Contrato de </w:t>
      </w:r>
      <w:r w:rsidR="00C8002A">
        <w:rPr>
          <w:rFonts w:eastAsia="Arial" w:cs="Arial"/>
          <w:lang w:val="es-CO"/>
        </w:rPr>
        <w:t>P</w:t>
      </w:r>
      <w:r w:rsidRPr="001A38D5">
        <w:rPr>
          <w:rFonts w:eastAsia="Arial" w:cs="Arial"/>
          <w:lang w:val="es-CO"/>
        </w:rPr>
        <w:t xml:space="preserve">restación de </w:t>
      </w:r>
      <w:r w:rsidR="00C8002A">
        <w:rPr>
          <w:rFonts w:eastAsia="Arial" w:cs="Arial"/>
          <w:lang w:val="es-CO"/>
        </w:rPr>
        <w:t>S</w:t>
      </w:r>
      <w:r w:rsidRPr="001A38D5">
        <w:rPr>
          <w:rFonts w:eastAsia="Arial" w:cs="Arial"/>
          <w:lang w:val="es-CO"/>
        </w:rPr>
        <w:t>ervicios No.3122 de 2022 se evidencia que la fuente relacionada con la adición no corresponde con la establecida en el CDP 7336 y el RDP 8600 del 22 de diciembre que indican como fuente “</w:t>
      </w:r>
      <w:r w:rsidRPr="007A412F">
        <w:rPr>
          <w:rFonts w:eastAsia="Arial" w:cs="Arial"/>
          <w:i/>
          <w:iCs/>
          <w:lang w:val="es-CO"/>
        </w:rPr>
        <w:t>EXCEDENTES DEL SGP EDUCACIÓN PRESTACIÓN DE SERVICIOS</w:t>
      </w:r>
      <w:r w:rsidRPr="001A38D5">
        <w:rPr>
          <w:rFonts w:eastAsia="Arial" w:cs="Arial"/>
          <w:lang w:val="es-CO"/>
        </w:rPr>
        <w:t>” y no “</w:t>
      </w:r>
      <w:r w:rsidRPr="007A412F">
        <w:rPr>
          <w:rFonts w:eastAsia="Arial" w:cs="Arial"/>
          <w:i/>
          <w:iCs/>
          <w:lang w:val="es-CO"/>
        </w:rPr>
        <w:t>RECURSOS DE INVERSION DEL PGN ASIGNADOS POR UAPA - VIGENCIA ACTUAL</w:t>
      </w:r>
      <w:r w:rsidRPr="001A38D5">
        <w:rPr>
          <w:rFonts w:eastAsia="Arial" w:cs="Arial"/>
          <w:lang w:val="es-CO"/>
        </w:rPr>
        <w:t>”.</w:t>
      </w:r>
    </w:p>
    <w:p w14:paraId="0C159F16" w14:textId="77777777" w:rsidR="00A20990" w:rsidRPr="001A38D5" w:rsidRDefault="00A20990" w:rsidP="005140E1">
      <w:pPr>
        <w:contextualSpacing/>
        <w:jc w:val="both"/>
        <w:rPr>
          <w:rFonts w:eastAsia="Arial" w:cs="Arial"/>
          <w:lang w:val="es-CO"/>
        </w:rPr>
      </w:pPr>
    </w:p>
    <w:p w14:paraId="3484C252"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En cuanto al Formulario de Prestación del Servicio, se observa que lo registrado como raciones contratadas para el Contrato No. 3122 de 2022 (39.762 raciones industrializadas y 6.565 RPS almuerzo) no corresponde con lo señalado en la cláusula decima segunda del </w:t>
      </w:r>
      <w:r w:rsidR="00C8002A">
        <w:rPr>
          <w:rFonts w:eastAsia="Arial" w:cs="Arial"/>
          <w:lang w:val="es-CO"/>
        </w:rPr>
        <w:t>C</w:t>
      </w:r>
      <w:r w:rsidRPr="001A38D5">
        <w:rPr>
          <w:rFonts w:eastAsia="Arial" w:cs="Arial"/>
          <w:lang w:val="es-CO"/>
        </w:rPr>
        <w:t xml:space="preserve">ontrato, que establece la obligación por parte del contratista de suministrar 48.258 raciones industrializadas y 8.726 RPS almuerzo. Asimismo, sobre este </w:t>
      </w:r>
      <w:r w:rsidR="00C8002A">
        <w:rPr>
          <w:rFonts w:eastAsia="Arial" w:cs="Arial"/>
          <w:lang w:val="es-CO"/>
        </w:rPr>
        <w:t>C</w:t>
      </w:r>
      <w:r w:rsidRPr="001A38D5">
        <w:rPr>
          <w:rFonts w:eastAsia="Arial" w:cs="Arial"/>
          <w:lang w:val="es-CO"/>
        </w:rPr>
        <w:t>ontrato se observa</w:t>
      </w:r>
      <w:r w:rsidR="00C8002A">
        <w:rPr>
          <w:rFonts w:eastAsia="Arial" w:cs="Arial"/>
          <w:lang w:val="es-CO"/>
        </w:rPr>
        <w:t>n</w:t>
      </w:r>
      <w:r w:rsidRPr="001A38D5">
        <w:rPr>
          <w:rFonts w:eastAsia="Arial" w:cs="Arial"/>
          <w:lang w:val="es-CO"/>
        </w:rPr>
        <w:t xml:space="preserve"> diferencias entre el valor unitario de las raciones RPS almuerzo y los valores especificados en la cláusula tercera del Contrato 3122 de 2022 que van desde los $4.399 a $5.777, según grupo etario.</w:t>
      </w:r>
    </w:p>
    <w:p w14:paraId="641F8786" w14:textId="77777777" w:rsidR="00A20990" w:rsidRPr="001A38D5" w:rsidRDefault="00A20990" w:rsidP="005140E1">
      <w:pPr>
        <w:contextualSpacing/>
        <w:jc w:val="both"/>
        <w:rPr>
          <w:rFonts w:eastAsia="Arial" w:cs="Arial"/>
          <w:lang w:val="es-CO"/>
        </w:rPr>
      </w:pPr>
    </w:p>
    <w:p w14:paraId="289F0150"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Por </w:t>
      </w:r>
      <w:r w:rsidR="00C8002A">
        <w:rPr>
          <w:rFonts w:eastAsia="Arial" w:cs="Arial"/>
          <w:lang w:val="es-CO"/>
        </w:rPr>
        <w:t>otra parte</w:t>
      </w:r>
      <w:r w:rsidRPr="001A38D5">
        <w:rPr>
          <w:rFonts w:eastAsia="Arial" w:cs="Arial"/>
          <w:lang w:val="es-CO"/>
        </w:rPr>
        <w:t>, del Formulario Ejecución de Recursos se observa que el total contratado reportado en este Formulario asciende a $34.096,8 millones, mientras que el total de los compromisos asociados al suministro de los complementos en esta vigencia fue de $25.522,63 millones</w:t>
      </w:r>
      <w:r w:rsidR="00F50F41">
        <w:rPr>
          <w:rFonts w:eastAsia="Arial" w:cs="Arial"/>
          <w:lang w:val="es-CO"/>
        </w:rPr>
        <w:t>; a</w:t>
      </w:r>
      <w:r w:rsidRPr="001A38D5">
        <w:rPr>
          <w:rFonts w:eastAsia="Arial" w:cs="Arial"/>
          <w:lang w:val="es-CO"/>
        </w:rPr>
        <w:t xml:space="preserve">l tiempo, se reporta una ejecución en la prestación del servicio de $24.126,78 millones, mientras que la ejecución presupuestal de gastos del presupuesto ordinario establece obligaciones por $12.639,25 millones (incluyendo los contratos de prestación de servicios del equipo PAE) y de la </w:t>
      </w:r>
      <w:r w:rsidR="00C8002A">
        <w:rPr>
          <w:rFonts w:eastAsia="Arial" w:cs="Arial"/>
          <w:lang w:val="es-CO"/>
        </w:rPr>
        <w:t>C</w:t>
      </w:r>
      <w:r w:rsidRPr="001A38D5">
        <w:rPr>
          <w:rFonts w:eastAsia="Arial" w:cs="Arial"/>
          <w:lang w:val="es-CO"/>
        </w:rPr>
        <w:t xml:space="preserve">ategoría de </w:t>
      </w:r>
      <w:r w:rsidR="00C8002A">
        <w:rPr>
          <w:rFonts w:eastAsia="Arial" w:cs="Arial"/>
          <w:lang w:val="es-CO"/>
        </w:rPr>
        <w:t>E</w:t>
      </w:r>
      <w:r w:rsidRPr="001A38D5">
        <w:rPr>
          <w:rFonts w:eastAsia="Arial" w:cs="Arial"/>
          <w:lang w:val="es-CO"/>
        </w:rPr>
        <w:t xml:space="preserve">jecución de </w:t>
      </w:r>
      <w:r w:rsidR="00C8002A">
        <w:rPr>
          <w:rFonts w:eastAsia="Arial" w:cs="Arial"/>
          <w:lang w:val="es-CO"/>
        </w:rPr>
        <w:t>G</w:t>
      </w:r>
      <w:r w:rsidRPr="001A38D5">
        <w:rPr>
          <w:rFonts w:eastAsia="Arial" w:cs="Arial"/>
          <w:lang w:val="es-CO"/>
        </w:rPr>
        <w:t>astos del SGR del FUT no se reportan obligaciones</w:t>
      </w:r>
      <w:r w:rsidR="00C8002A">
        <w:rPr>
          <w:rFonts w:eastAsia="Arial" w:cs="Arial"/>
          <w:lang w:val="es-CO"/>
        </w:rPr>
        <w:t>.</w:t>
      </w:r>
    </w:p>
    <w:p w14:paraId="77022789" w14:textId="77777777" w:rsidR="00A20990" w:rsidRPr="001A38D5" w:rsidRDefault="00A20990" w:rsidP="005140E1">
      <w:pPr>
        <w:contextualSpacing/>
        <w:jc w:val="both"/>
        <w:rPr>
          <w:rFonts w:eastAsia="Arial" w:cs="Arial"/>
          <w:lang w:val="es-CO"/>
        </w:rPr>
      </w:pPr>
    </w:p>
    <w:p w14:paraId="28B3ABEE" w14:textId="77777777" w:rsidR="00A20990" w:rsidRDefault="00A20990" w:rsidP="005140E1">
      <w:pPr>
        <w:contextualSpacing/>
        <w:jc w:val="both"/>
        <w:rPr>
          <w:rFonts w:eastAsia="Arial" w:cs="Arial"/>
          <w:lang w:val="es-CO"/>
        </w:rPr>
      </w:pPr>
      <w:r w:rsidRPr="001A38D5">
        <w:rPr>
          <w:rFonts w:eastAsia="Arial" w:cs="Arial"/>
          <w:lang w:val="es-CO"/>
        </w:rPr>
        <w:t>Al cierre de la vigencia 2022 se evidencian inconsistencia en el valor acumulado comprometido, especialmente porque se agrupan las fuentes así: i) como OTROS RECURSOS POR SGP DIFERENTES A ALIMENTACION ESCOLAR</w:t>
      </w:r>
      <w:r w:rsidR="00777248">
        <w:rPr>
          <w:rFonts w:eastAsia="Arial" w:cs="Arial"/>
          <w:lang w:val="es-CO"/>
        </w:rPr>
        <w:t xml:space="preserve"> ($1.204 millones)</w:t>
      </w:r>
      <w:r w:rsidRPr="001A38D5">
        <w:rPr>
          <w:rFonts w:eastAsia="Arial" w:cs="Arial"/>
          <w:lang w:val="es-CO"/>
        </w:rPr>
        <w:t xml:space="preserve"> se agrupan los recursos corrientes del SPG Educación Calidad </w:t>
      </w:r>
      <w:r w:rsidR="00777248">
        <w:rPr>
          <w:rFonts w:eastAsia="Arial" w:cs="Arial"/>
          <w:lang w:val="es-CO"/>
        </w:rPr>
        <w:t>y</w:t>
      </w:r>
      <w:r w:rsidRPr="001A38D5">
        <w:rPr>
          <w:rFonts w:eastAsia="Arial" w:cs="Arial"/>
          <w:lang w:val="es-CO"/>
        </w:rPr>
        <w:t xml:space="preserve"> los de SGP Propósito General Libre inversión</w:t>
      </w:r>
      <w:r w:rsidR="00777248">
        <w:rPr>
          <w:rFonts w:eastAsia="Arial" w:cs="Arial"/>
          <w:lang w:val="es-CO"/>
        </w:rPr>
        <w:t xml:space="preserve">($650 y </w:t>
      </w:r>
      <w:r w:rsidR="00777248" w:rsidRPr="00777248">
        <w:rPr>
          <w:rFonts w:eastAsia="Arial" w:cs="Arial"/>
          <w:lang w:val="es-CO"/>
        </w:rPr>
        <w:t>$ 554</w:t>
      </w:r>
      <w:r w:rsidR="00777248">
        <w:rPr>
          <w:rFonts w:eastAsia="Arial" w:cs="Arial"/>
          <w:lang w:val="es-CO"/>
        </w:rPr>
        <w:t>millones, respectivamente)</w:t>
      </w:r>
      <w:r w:rsidRPr="001A38D5">
        <w:rPr>
          <w:rFonts w:eastAsia="Arial" w:cs="Arial"/>
          <w:lang w:val="es-CO"/>
        </w:rPr>
        <w:t xml:space="preserve">; ii) como RECURSOS ASIGNADOS POR EL DEPARTAMENTO </w:t>
      </w:r>
      <w:r w:rsidR="00777248">
        <w:rPr>
          <w:rFonts w:eastAsia="Arial" w:cs="Arial"/>
          <w:lang w:val="es-CO"/>
        </w:rPr>
        <w:t>($</w:t>
      </w:r>
      <w:r w:rsidR="00777248" w:rsidRPr="00777248">
        <w:rPr>
          <w:rFonts w:eastAsia="Arial" w:cs="Arial"/>
          <w:lang w:val="es-CO"/>
        </w:rPr>
        <w:t>547,93</w:t>
      </w:r>
      <w:r w:rsidR="00777248">
        <w:rPr>
          <w:rFonts w:eastAsia="Arial" w:cs="Arial"/>
          <w:lang w:val="es-CO"/>
        </w:rPr>
        <w:t xml:space="preserve"> millones) </w:t>
      </w:r>
      <w:r w:rsidRPr="001A38D5">
        <w:rPr>
          <w:rFonts w:eastAsia="Arial" w:cs="Arial"/>
          <w:lang w:val="es-CO"/>
        </w:rPr>
        <w:t xml:space="preserve">se suman los correspondientes a rendimientos financieros del CONPES 151 de 2012 </w:t>
      </w:r>
      <w:r w:rsidR="00777248">
        <w:rPr>
          <w:rFonts w:eastAsia="Arial" w:cs="Arial"/>
          <w:lang w:val="es-CO"/>
        </w:rPr>
        <w:t>($</w:t>
      </w:r>
      <w:r w:rsidR="00777248" w:rsidRPr="00777248">
        <w:rPr>
          <w:rFonts w:eastAsia="Arial" w:cs="Arial"/>
          <w:lang w:val="es-CO"/>
        </w:rPr>
        <w:t>13,02</w:t>
      </w:r>
      <w:r w:rsidR="00777248">
        <w:rPr>
          <w:rFonts w:eastAsia="Arial" w:cs="Arial"/>
          <w:lang w:val="es-CO"/>
        </w:rPr>
        <w:t xml:space="preserve"> millones)</w:t>
      </w:r>
      <w:r w:rsidRPr="001A38D5">
        <w:rPr>
          <w:rFonts w:eastAsia="Arial" w:cs="Arial"/>
          <w:lang w:val="es-CO"/>
        </w:rPr>
        <w:t xml:space="preserve">, </w:t>
      </w:r>
      <w:r w:rsidR="00777248">
        <w:rPr>
          <w:rFonts w:eastAsia="Arial" w:cs="Arial"/>
          <w:lang w:val="es-CO"/>
        </w:rPr>
        <w:t>rendimientos financieros de la AESGPAE ($</w:t>
      </w:r>
      <w:r w:rsidR="00777248" w:rsidRPr="00777248">
        <w:rPr>
          <w:rFonts w:eastAsia="Arial" w:cs="Arial"/>
          <w:lang w:val="es-CO"/>
        </w:rPr>
        <w:t>13,71</w:t>
      </w:r>
      <w:r w:rsidR="00777248">
        <w:rPr>
          <w:rFonts w:eastAsia="Arial" w:cs="Arial"/>
          <w:lang w:val="es-CO"/>
        </w:rPr>
        <w:t xml:space="preserve"> millones ), </w:t>
      </w:r>
      <w:r w:rsidRPr="001A38D5">
        <w:rPr>
          <w:rFonts w:eastAsia="Arial" w:cs="Arial"/>
          <w:lang w:val="es-CO"/>
        </w:rPr>
        <w:t xml:space="preserve">recursos del balance del SGP Prestación del Servicio Educativo </w:t>
      </w:r>
      <w:r w:rsidR="00777248">
        <w:rPr>
          <w:rFonts w:eastAsia="Arial" w:cs="Arial"/>
          <w:lang w:val="es-CO"/>
        </w:rPr>
        <w:t>(</w:t>
      </w:r>
      <w:r w:rsidR="00777248" w:rsidRPr="00777248">
        <w:rPr>
          <w:rFonts w:eastAsia="Arial" w:cs="Arial"/>
          <w:lang w:val="es-CO"/>
        </w:rPr>
        <w:t>$432,85</w:t>
      </w:r>
      <w:r w:rsidR="00777248">
        <w:rPr>
          <w:rFonts w:eastAsia="Arial" w:cs="Arial"/>
          <w:lang w:val="es-CO"/>
        </w:rPr>
        <w:t xml:space="preserve"> millones) </w:t>
      </w:r>
      <w:r w:rsidRPr="001A38D5">
        <w:rPr>
          <w:rFonts w:eastAsia="Arial" w:cs="Arial"/>
          <w:lang w:val="es-CO"/>
        </w:rPr>
        <w:t>y rendimientos financieros del PGN Alimentación Escolar</w:t>
      </w:r>
      <w:r w:rsidR="00C8002A">
        <w:rPr>
          <w:rFonts w:eastAsia="Arial" w:cs="Arial"/>
          <w:lang w:val="es-CO"/>
        </w:rPr>
        <w:t xml:space="preserve"> </w:t>
      </w:r>
      <w:r w:rsidRPr="001A38D5">
        <w:rPr>
          <w:rFonts w:eastAsia="Arial" w:cs="Arial"/>
          <w:lang w:val="es-CO"/>
        </w:rPr>
        <w:t>Ley 1450</w:t>
      </w:r>
      <w:r w:rsidR="00C8002A">
        <w:rPr>
          <w:rFonts w:eastAsia="Arial" w:cs="Arial"/>
          <w:lang w:val="es-CO"/>
        </w:rPr>
        <w:t xml:space="preserve"> de </w:t>
      </w:r>
      <w:r w:rsidRPr="001A38D5">
        <w:rPr>
          <w:rFonts w:eastAsia="Arial" w:cs="Arial"/>
          <w:lang w:val="es-CO"/>
        </w:rPr>
        <w:t>2011</w:t>
      </w:r>
      <w:r w:rsidR="00777248">
        <w:rPr>
          <w:rFonts w:eastAsia="Arial" w:cs="Arial"/>
          <w:lang w:val="es-CO"/>
        </w:rPr>
        <w:t xml:space="preserve"> ($</w:t>
      </w:r>
      <w:r w:rsidR="00777248" w:rsidRPr="00777248">
        <w:rPr>
          <w:rFonts w:eastAsia="Arial" w:cs="Arial"/>
          <w:lang w:val="es-CO"/>
        </w:rPr>
        <w:t>88,35</w:t>
      </w:r>
      <w:r w:rsidR="00777248">
        <w:rPr>
          <w:rFonts w:eastAsia="Arial" w:cs="Arial"/>
          <w:lang w:val="es-CO"/>
        </w:rPr>
        <w:t xml:space="preserve"> millones)</w:t>
      </w:r>
      <w:r w:rsidRPr="001A38D5">
        <w:rPr>
          <w:rFonts w:eastAsia="Arial" w:cs="Arial"/>
          <w:lang w:val="es-CO"/>
        </w:rPr>
        <w:t xml:space="preserve">. En cuanto a los pagos efectivamente realizados por fuente de recursos para el PAE, se evidencian inconsistencias frente a lo anotado en la ejecución presupuestal para las fuentes </w:t>
      </w:r>
      <w:r w:rsidR="0097403A" w:rsidRPr="0097403A">
        <w:rPr>
          <w:rFonts w:eastAsia="Arial" w:cs="Arial"/>
          <w:lang w:val="es-CO"/>
        </w:rPr>
        <w:t>RENDIMIENTOS FINANCIEROS CONPES 151, RENDIMIENTOS FINANCIEROS PGN, RENDIMIENTOS FINANCIEROS SGP, RECURSOS DE INVERSION DEL PGN ASIGNADOS POR UAPA - VIGENCIA ACTUAL y RECURSO</w:t>
      </w:r>
      <w:r w:rsidR="0097403A">
        <w:rPr>
          <w:rFonts w:eastAsia="Arial" w:cs="Arial"/>
          <w:lang w:val="es-CO"/>
        </w:rPr>
        <w:t>S ASIGNADOS POR EL DEPARTAMENTO</w:t>
      </w:r>
      <w:r w:rsidR="00777248">
        <w:rPr>
          <w:rFonts w:eastAsia="Arial" w:cs="Arial"/>
          <w:lang w:val="es-CO"/>
        </w:rPr>
        <w:t xml:space="preserve"> (Tabla 20)</w:t>
      </w:r>
      <w:r w:rsidRPr="001A38D5">
        <w:rPr>
          <w:rFonts w:eastAsia="Arial" w:cs="Arial"/>
          <w:lang w:val="es-CO"/>
        </w:rPr>
        <w:t xml:space="preserve">. </w:t>
      </w:r>
    </w:p>
    <w:p w14:paraId="0FD7985D" w14:textId="77777777" w:rsidR="00777248" w:rsidRDefault="00777248" w:rsidP="005140E1">
      <w:pPr>
        <w:contextualSpacing/>
        <w:jc w:val="both"/>
        <w:rPr>
          <w:rFonts w:eastAsia="Arial" w:cs="Arial"/>
          <w:lang w:val="es-CO"/>
        </w:rPr>
      </w:pPr>
    </w:p>
    <w:p w14:paraId="5CFCE586" w14:textId="77777777" w:rsidR="00777248" w:rsidRPr="007A412F" w:rsidRDefault="00777248"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Pr>
          <w:rFonts w:ascii="Verdana" w:hAnsi="Verdana"/>
          <w:noProof/>
          <w:color w:val="auto"/>
          <w:sz w:val="20"/>
          <w:szCs w:val="20"/>
        </w:rPr>
        <w:t>20</w:t>
      </w:r>
      <w:r w:rsidRPr="007A412F">
        <w:rPr>
          <w:rFonts w:ascii="Verdana" w:hAnsi="Verdana"/>
          <w:color w:val="auto"/>
          <w:sz w:val="20"/>
          <w:szCs w:val="20"/>
        </w:rPr>
        <w:fldChar w:fldCharType="end"/>
      </w:r>
      <w:r w:rsidRPr="007A412F">
        <w:rPr>
          <w:rFonts w:ascii="Verdana" w:hAnsi="Verdana"/>
          <w:color w:val="auto"/>
          <w:sz w:val="20"/>
          <w:szCs w:val="20"/>
        </w:rPr>
        <w:t xml:space="preserve"> Ejecución de recursos del Programa de Alimentación Escolar, vigencias 2021 y 2022 (valores en millones de pesos de colombianos).</w:t>
      </w:r>
    </w:p>
    <w:tbl>
      <w:tblPr>
        <w:tblW w:w="5778" w:type="pct"/>
        <w:jc w:val="center"/>
        <w:tblCellMar>
          <w:left w:w="70" w:type="dxa"/>
          <w:right w:w="70" w:type="dxa"/>
        </w:tblCellMar>
        <w:tblLook w:val="04A0" w:firstRow="1" w:lastRow="0" w:firstColumn="1" w:lastColumn="0" w:noHBand="0" w:noVBand="1"/>
      </w:tblPr>
      <w:tblGrid>
        <w:gridCol w:w="1645"/>
        <w:gridCol w:w="1166"/>
        <w:gridCol w:w="1166"/>
        <w:gridCol w:w="1052"/>
        <w:gridCol w:w="1163"/>
        <w:gridCol w:w="1166"/>
        <w:gridCol w:w="1166"/>
        <w:gridCol w:w="1166"/>
        <w:gridCol w:w="1166"/>
      </w:tblGrid>
      <w:tr w:rsidR="00777248" w:rsidRPr="001A38D5" w14:paraId="24F446C5" w14:textId="77777777" w:rsidTr="0077006F">
        <w:trPr>
          <w:trHeight w:val="20"/>
          <w:tblHeader/>
          <w:jc w:val="center"/>
        </w:trPr>
        <w:tc>
          <w:tcPr>
            <w:tcW w:w="1526" w:type="pct"/>
            <w:vMerge w:val="restart"/>
            <w:tcBorders>
              <w:top w:val="single" w:sz="4" w:space="0" w:color="auto"/>
              <w:left w:val="single" w:sz="4" w:space="0" w:color="auto"/>
              <w:right w:val="single" w:sz="4" w:space="0" w:color="auto"/>
            </w:tcBorders>
            <w:shd w:val="clear" w:color="auto" w:fill="FFC000"/>
            <w:vAlign w:val="center"/>
          </w:tcPr>
          <w:p w14:paraId="6CFE394B" w14:textId="77777777" w:rsidR="00777248" w:rsidRPr="001A38D5" w:rsidRDefault="00777248"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FUENTE RECURSOS</w:t>
            </w:r>
          </w:p>
        </w:tc>
        <w:tc>
          <w:tcPr>
            <w:tcW w:w="1559" w:type="pct"/>
            <w:gridSpan w:val="4"/>
            <w:tcBorders>
              <w:top w:val="single" w:sz="4" w:space="0" w:color="auto"/>
              <w:left w:val="nil"/>
              <w:bottom w:val="single" w:sz="4" w:space="0" w:color="auto"/>
              <w:right w:val="single" w:sz="4" w:space="0" w:color="auto"/>
            </w:tcBorders>
            <w:shd w:val="clear" w:color="auto" w:fill="FFC000"/>
            <w:vAlign w:val="center"/>
          </w:tcPr>
          <w:p w14:paraId="6FE8D67F"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2021</w:t>
            </w:r>
          </w:p>
        </w:tc>
        <w:tc>
          <w:tcPr>
            <w:tcW w:w="1914" w:type="pct"/>
            <w:gridSpan w:val="4"/>
            <w:tcBorders>
              <w:top w:val="single" w:sz="4" w:space="0" w:color="auto"/>
              <w:left w:val="nil"/>
              <w:bottom w:val="single" w:sz="4" w:space="0" w:color="auto"/>
              <w:right w:val="single" w:sz="4" w:space="0" w:color="auto"/>
            </w:tcBorders>
            <w:shd w:val="clear" w:color="auto" w:fill="FFC000"/>
            <w:vAlign w:val="center"/>
          </w:tcPr>
          <w:p w14:paraId="5279C7D6"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2022</w:t>
            </w:r>
          </w:p>
        </w:tc>
      </w:tr>
      <w:tr w:rsidR="00777248" w:rsidRPr="001A38D5" w14:paraId="24F08E29" w14:textId="77777777" w:rsidTr="0077006F">
        <w:trPr>
          <w:trHeight w:val="20"/>
          <w:tblHeader/>
          <w:jc w:val="center"/>
        </w:trPr>
        <w:tc>
          <w:tcPr>
            <w:tcW w:w="1526" w:type="pct"/>
            <w:vMerge/>
            <w:tcBorders>
              <w:left w:val="single" w:sz="4" w:space="0" w:color="auto"/>
              <w:right w:val="single" w:sz="4" w:space="0" w:color="auto"/>
            </w:tcBorders>
            <w:shd w:val="clear" w:color="auto" w:fill="FFC000"/>
            <w:vAlign w:val="center"/>
            <w:hideMark/>
          </w:tcPr>
          <w:p w14:paraId="4A4BA7DE" w14:textId="77777777" w:rsidR="00777248" w:rsidRPr="001A38D5" w:rsidRDefault="00777248" w:rsidP="005140E1">
            <w:pPr>
              <w:contextualSpacing/>
              <w:jc w:val="center"/>
              <w:rPr>
                <w:rFonts w:eastAsia="Times New Roman" w:cs="Arial"/>
                <w:b/>
                <w:bCs/>
                <w:sz w:val="16"/>
                <w:szCs w:val="16"/>
                <w:lang w:val="es-CO" w:eastAsia="es-CO"/>
              </w:rPr>
            </w:pPr>
          </w:p>
        </w:tc>
        <w:tc>
          <w:tcPr>
            <w:tcW w:w="646" w:type="pct"/>
            <w:gridSpan w:val="2"/>
            <w:tcBorders>
              <w:top w:val="single" w:sz="4" w:space="0" w:color="auto"/>
              <w:left w:val="nil"/>
              <w:bottom w:val="single" w:sz="4" w:space="0" w:color="auto"/>
              <w:right w:val="single" w:sz="4" w:space="0" w:color="auto"/>
            </w:tcBorders>
            <w:shd w:val="clear" w:color="auto" w:fill="FFC000"/>
            <w:vAlign w:val="center"/>
            <w:hideMark/>
          </w:tcPr>
          <w:p w14:paraId="5373C13F"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COMPROMETIDO ACUM.</w:t>
            </w:r>
          </w:p>
        </w:tc>
        <w:tc>
          <w:tcPr>
            <w:tcW w:w="914" w:type="pct"/>
            <w:gridSpan w:val="2"/>
            <w:tcBorders>
              <w:top w:val="single" w:sz="4" w:space="0" w:color="auto"/>
              <w:left w:val="nil"/>
              <w:bottom w:val="single" w:sz="4" w:space="0" w:color="auto"/>
              <w:right w:val="single" w:sz="4" w:space="0" w:color="auto"/>
            </w:tcBorders>
            <w:shd w:val="clear" w:color="auto" w:fill="FFC000"/>
            <w:vAlign w:val="center"/>
            <w:hideMark/>
          </w:tcPr>
          <w:p w14:paraId="1AC9604F"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PAGADO ACUM.</w:t>
            </w:r>
          </w:p>
        </w:tc>
        <w:tc>
          <w:tcPr>
            <w:tcW w:w="957" w:type="pct"/>
            <w:gridSpan w:val="2"/>
            <w:tcBorders>
              <w:top w:val="single" w:sz="4" w:space="0" w:color="auto"/>
              <w:left w:val="nil"/>
              <w:bottom w:val="single" w:sz="4" w:space="0" w:color="auto"/>
              <w:right w:val="single" w:sz="4" w:space="0" w:color="auto"/>
            </w:tcBorders>
            <w:shd w:val="clear" w:color="auto" w:fill="FFC000"/>
            <w:vAlign w:val="center"/>
            <w:hideMark/>
          </w:tcPr>
          <w:p w14:paraId="3A80890C"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COMPROMETIDO ACUM.</w:t>
            </w:r>
          </w:p>
        </w:tc>
        <w:tc>
          <w:tcPr>
            <w:tcW w:w="957" w:type="pct"/>
            <w:gridSpan w:val="2"/>
            <w:tcBorders>
              <w:top w:val="single" w:sz="4" w:space="0" w:color="auto"/>
              <w:left w:val="nil"/>
              <w:bottom w:val="single" w:sz="4" w:space="0" w:color="auto"/>
              <w:right w:val="single" w:sz="4" w:space="0" w:color="auto"/>
            </w:tcBorders>
            <w:shd w:val="clear" w:color="auto" w:fill="FFC000"/>
            <w:vAlign w:val="center"/>
            <w:hideMark/>
          </w:tcPr>
          <w:p w14:paraId="70165CBC"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VALOR PAGADO ACUM.</w:t>
            </w:r>
          </w:p>
        </w:tc>
      </w:tr>
      <w:tr w:rsidR="00777248" w:rsidRPr="001A38D5" w14:paraId="608792DA" w14:textId="77777777" w:rsidTr="0077006F">
        <w:trPr>
          <w:trHeight w:val="20"/>
          <w:tblHeader/>
          <w:jc w:val="center"/>
        </w:trPr>
        <w:tc>
          <w:tcPr>
            <w:tcW w:w="1526" w:type="pct"/>
            <w:vMerge/>
            <w:tcBorders>
              <w:left w:val="single" w:sz="4" w:space="0" w:color="auto"/>
              <w:bottom w:val="single" w:sz="4" w:space="0" w:color="auto"/>
              <w:right w:val="single" w:sz="4" w:space="0" w:color="auto"/>
            </w:tcBorders>
            <w:shd w:val="clear" w:color="auto" w:fill="FFC000"/>
            <w:vAlign w:val="center"/>
            <w:hideMark/>
          </w:tcPr>
          <w:p w14:paraId="3B8A8A18" w14:textId="77777777" w:rsidR="00777248" w:rsidRPr="001A38D5" w:rsidRDefault="00777248" w:rsidP="005140E1">
            <w:pPr>
              <w:contextualSpacing/>
              <w:rPr>
                <w:rFonts w:eastAsia="Times New Roman" w:cs="Arial"/>
                <w:b/>
                <w:bCs/>
                <w:sz w:val="16"/>
                <w:szCs w:val="16"/>
                <w:lang w:val="es-CO" w:eastAsia="es-CO"/>
              </w:rPr>
            </w:pPr>
          </w:p>
        </w:tc>
        <w:tc>
          <w:tcPr>
            <w:tcW w:w="150" w:type="pct"/>
            <w:tcBorders>
              <w:top w:val="nil"/>
              <w:left w:val="nil"/>
              <w:bottom w:val="single" w:sz="4" w:space="0" w:color="auto"/>
              <w:right w:val="single" w:sz="4" w:space="0" w:color="auto"/>
            </w:tcBorders>
            <w:shd w:val="clear" w:color="auto" w:fill="FFC000"/>
            <w:vAlign w:val="center"/>
            <w:hideMark/>
          </w:tcPr>
          <w:p w14:paraId="4CE09455"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UAPA - PAE </w:t>
            </w:r>
          </w:p>
        </w:tc>
        <w:tc>
          <w:tcPr>
            <w:tcW w:w="496" w:type="pct"/>
            <w:tcBorders>
              <w:top w:val="nil"/>
              <w:left w:val="nil"/>
              <w:bottom w:val="single" w:sz="4" w:space="0" w:color="auto"/>
              <w:right w:val="single" w:sz="4" w:space="0" w:color="auto"/>
            </w:tcBorders>
            <w:shd w:val="clear" w:color="auto" w:fill="FFC000"/>
            <w:vAlign w:val="center"/>
            <w:hideMark/>
          </w:tcPr>
          <w:p w14:paraId="5EA76402"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Ejecución presupuestal</w:t>
            </w:r>
          </w:p>
        </w:tc>
        <w:tc>
          <w:tcPr>
            <w:tcW w:w="418" w:type="pct"/>
            <w:tcBorders>
              <w:top w:val="nil"/>
              <w:left w:val="nil"/>
              <w:bottom w:val="single" w:sz="4" w:space="0" w:color="auto"/>
              <w:right w:val="single" w:sz="4" w:space="0" w:color="auto"/>
            </w:tcBorders>
            <w:shd w:val="clear" w:color="auto" w:fill="FFC000"/>
            <w:vAlign w:val="center"/>
            <w:hideMark/>
          </w:tcPr>
          <w:p w14:paraId="56B4867A"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UAPA - PAE </w:t>
            </w:r>
          </w:p>
        </w:tc>
        <w:tc>
          <w:tcPr>
            <w:tcW w:w="496" w:type="pct"/>
            <w:tcBorders>
              <w:top w:val="nil"/>
              <w:left w:val="nil"/>
              <w:bottom w:val="single" w:sz="4" w:space="0" w:color="auto"/>
              <w:right w:val="single" w:sz="4" w:space="0" w:color="auto"/>
            </w:tcBorders>
            <w:shd w:val="clear" w:color="auto" w:fill="FFC000"/>
            <w:vAlign w:val="center"/>
            <w:hideMark/>
          </w:tcPr>
          <w:p w14:paraId="6697E9C8"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Ejecución presupuestal</w:t>
            </w:r>
          </w:p>
        </w:tc>
        <w:tc>
          <w:tcPr>
            <w:tcW w:w="461" w:type="pct"/>
            <w:tcBorders>
              <w:top w:val="nil"/>
              <w:left w:val="nil"/>
              <w:bottom w:val="single" w:sz="4" w:space="0" w:color="auto"/>
              <w:right w:val="single" w:sz="4" w:space="0" w:color="auto"/>
            </w:tcBorders>
            <w:shd w:val="clear" w:color="auto" w:fill="FFC000"/>
            <w:vAlign w:val="center"/>
            <w:hideMark/>
          </w:tcPr>
          <w:p w14:paraId="6CF09A56"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UAPA - PAE </w:t>
            </w:r>
          </w:p>
        </w:tc>
        <w:tc>
          <w:tcPr>
            <w:tcW w:w="496" w:type="pct"/>
            <w:tcBorders>
              <w:top w:val="nil"/>
              <w:left w:val="nil"/>
              <w:bottom w:val="single" w:sz="4" w:space="0" w:color="auto"/>
              <w:right w:val="single" w:sz="4" w:space="0" w:color="auto"/>
            </w:tcBorders>
            <w:shd w:val="clear" w:color="auto" w:fill="FFC000"/>
            <w:vAlign w:val="center"/>
            <w:hideMark/>
          </w:tcPr>
          <w:p w14:paraId="655DB8AC"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Ejecución presupuestal</w:t>
            </w:r>
          </w:p>
        </w:tc>
        <w:tc>
          <w:tcPr>
            <w:tcW w:w="461" w:type="pct"/>
            <w:tcBorders>
              <w:top w:val="nil"/>
              <w:left w:val="nil"/>
              <w:bottom w:val="single" w:sz="4" w:space="0" w:color="auto"/>
              <w:right w:val="single" w:sz="4" w:space="0" w:color="auto"/>
            </w:tcBorders>
            <w:shd w:val="clear" w:color="auto" w:fill="FFC000"/>
            <w:vAlign w:val="center"/>
            <w:hideMark/>
          </w:tcPr>
          <w:p w14:paraId="578279D2"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 xml:space="preserve">UAPA - PAE </w:t>
            </w:r>
          </w:p>
        </w:tc>
        <w:tc>
          <w:tcPr>
            <w:tcW w:w="496" w:type="pct"/>
            <w:tcBorders>
              <w:top w:val="nil"/>
              <w:left w:val="nil"/>
              <w:bottom w:val="single" w:sz="4" w:space="0" w:color="auto"/>
              <w:right w:val="single" w:sz="4" w:space="0" w:color="auto"/>
            </w:tcBorders>
            <w:shd w:val="clear" w:color="auto" w:fill="FFC000"/>
            <w:vAlign w:val="center"/>
            <w:hideMark/>
          </w:tcPr>
          <w:p w14:paraId="4388573D" w14:textId="77777777" w:rsidR="00777248" w:rsidRPr="001A38D5" w:rsidRDefault="00777248" w:rsidP="005140E1">
            <w:pPr>
              <w:contextualSpacing/>
              <w:jc w:val="center"/>
              <w:rPr>
                <w:rFonts w:eastAsia="Times New Roman" w:cs="Arial"/>
                <w:b/>
                <w:bCs/>
                <w:sz w:val="14"/>
                <w:szCs w:val="14"/>
                <w:lang w:val="es-CO" w:eastAsia="es-CO"/>
              </w:rPr>
            </w:pPr>
            <w:r w:rsidRPr="001A38D5">
              <w:rPr>
                <w:rFonts w:eastAsia="Times New Roman" w:cs="Arial"/>
                <w:b/>
                <w:bCs/>
                <w:sz w:val="14"/>
                <w:szCs w:val="14"/>
                <w:lang w:val="es-CO" w:eastAsia="es-CO"/>
              </w:rPr>
              <w:t>Ejecución presupuestal</w:t>
            </w:r>
          </w:p>
        </w:tc>
      </w:tr>
      <w:tr w:rsidR="00777248" w:rsidRPr="001A38D5" w14:paraId="74098954"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4C19B147"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COFINANCIACION ALIMENTACION ESCOLAR - CONPES LEY 1530 DE 2012 ARTICULO 145 VIGENCIA ACTUAL </w:t>
            </w:r>
          </w:p>
        </w:tc>
        <w:tc>
          <w:tcPr>
            <w:tcW w:w="150" w:type="pct"/>
            <w:tcBorders>
              <w:top w:val="nil"/>
              <w:left w:val="nil"/>
              <w:bottom w:val="single" w:sz="4" w:space="0" w:color="auto"/>
              <w:right w:val="single" w:sz="4" w:space="0" w:color="auto"/>
            </w:tcBorders>
            <w:shd w:val="clear" w:color="auto" w:fill="auto"/>
            <w:noWrap/>
            <w:vAlign w:val="center"/>
            <w:hideMark/>
          </w:tcPr>
          <w:p w14:paraId="10B2C2D8"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$713,58</w:t>
            </w:r>
          </w:p>
        </w:tc>
        <w:tc>
          <w:tcPr>
            <w:tcW w:w="496" w:type="pct"/>
            <w:tcBorders>
              <w:top w:val="nil"/>
              <w:left w:val="nil"/>
              <w:bottom w:val="single" w:sz="4" w:space="0" w:color="auto"/>
              <w:right w:val="single" w:sz="4" w:space="0" w:color="auto"/>
            </w:tcBorders>
            <w:shd w:val="clear" w:color="auto" w:fill="auto"/>
            <w:noWrap/>
            <w:vAlign w:val="center"/>
            <w:hideMark/>
          </w:tcPr>
          <w:p w14:paraId="34E987F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$713,58</w:t>
            </w:r>
          </w:p>
        </w:tc>
        <w:tc>
          <w:tcPr>
            <w:tcW w:w="418" w:type="pct"/>
            <w:tcBorders>
              <w:top w:val="nil"/>
              <w:left w:val="nil"/>
              <w:bottom w:val="single" w:sz="4" w:space="0" w:color="auto"/>
              <w:right w:val="single" w:sz="4" w:space="0" w:color="auto"/>
            </w:tcBorders>
            <w:shd w:val="clear" w:color="auto" w:fill="auto"/>
            <w:noWrap/>
            <w:vAlign w:val="center"/>
            <w:hideMark/>
          </w:tcPr>
          <w:p w14:paraId="7E123B70"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$550,00</w:t>
            </w:r>
          </w:p>
        </w:tc>
        <w:tc>
          <w:tcPr>
            <w:tcW w:w="496" w:type="pct"/>
            <w:tcBorders>
              <w:top w:val="nil"/>
              <w:left w:val="nil"/>
              <w:bottom w:val="single" w:sz="4" w:space="0" w:color="auto"/>
              <w:right w:val="single" w:sz="4" w:space="0" w:color="auto"/>
            </w:tcBorders>
            <w:shd w:val="clear" w:color="auto" w:fill="auto"/>
            <w:noWrap/>
            <w:vAlign w:val="center"/>
            <w:hideMark/>
          </w:tcPr>
          <w:p w14:paraId="1C7F2BAE"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$550,00</w:t>
            </w:r>
          </w:p>
        </w:tc>
        <w:tc>
          <w:tcPr>
            <w:tcW w:w="461" w:type="pct"/>
            <w:tcBorders>
              <w:top w:val="nil"/>
              <w:left w:val="nil"/>
              <w:bottom w:val="single" w:sz="4" w:space="0" w:color="auto"/>
              <w:right w:val="single" w:sz="4" w:space="0" w:color="auto"/>
            </w:tcBorders>
            <w:shd w:val="clear" w:color="auto" w:fill="auto"/>
            <w:noWrap/>
            <w:vAlign w:val="center"/>
            <w:hideMark/>
          </w:tcPr>
          <w:p w14:paraId="55BB6C9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124156B7"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6FA86200"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29C48AB2"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777248" w:rsidRPr="001A38D5" w14:paraId="606D03C9"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2CE66456"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RENDIMIENTOS FINANCIEROS CONPES 151</w:t>
            </w:r>
          </w:p>
        </w:tc>
        <w:tc>
          <w:tcPr>
            <w:tcW w:w="150" w:type="pct"/>
            <w:tcBorders>
              <w:top w:val="nil"/>
              <w:left w:val="nil"/>
              <w:bottom w:val="single" w:sz="4" w:space="0" w:color="auto"/>
              <w:right w:val="single" w:sz="4" w:space="0" w:color="auto"/>
            </w:tcBorders>
            <w:shd w:val="clear" w:color="auto" w:fill="auto"/>
            <w:noWrap/>
            <w:vAlign w:val="center"/>
            <w:hideMark/>
          </w:tcPr>
          <w:p w14:paraId="1DA404CC"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$11,04</w:t>
            </w:r>
          </w:p>
        </w:tc>
        <w:tc>
          <w:tcPr>
            <w:tcW w:w="496" w:type="pct"/>
            <w:tcBorders>
              <w:top w:val="nil"/>
              <w:left w:val="nil"/>
              <w:bottom w:val="single" w:sz="4" w:space="0" w:color="auto"/>
              <w:right w:val="single" w:sz="4" w:space="0" w:color="auto"/>
            </w:tcBorders>
            <w:shd w:val="clear" w:color="auto" w:fill="auto"/>
            <w:noWrap/>
            <w:vAlign w:val="center"/>
            <w:hideMark/>
          </w:tcPr>
          <w:p w14:paraId="3858B983"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$11,04</w:t>
            </w:r>
          </w:p>
        </w:tc>
        <w:tc>
          <w:tcPr>
            <w:tcW w:w="418" w:type="pct"/>
            <w:tcBorders>
              <w:top w:val="nil"/>
              <w:left w:val="nil"/>
              <w:bottom w:val="single" w:sz="4" w:space="0" w:color="auto"/>
              <w:right w:val="single" w:sz="4" w:space="0" w:color="auto"/>
            </w:tcBorders>
            <w:shd w:val="clear" w:color="auto" w:fill="auto"/>
            <w:noWrap/>
            <w:vAlign w:val="center"/>
            <w:hideMark/>
          </w:tcPr>
          <w:p w14:paraId="3ED1A14B"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0B2597C3"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3C3BBB5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5A8E54CA"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$13,02</w:t>
            </w:r>
          </w:p>
        </w:tc>
        <w:tc>
          <w:tcPr>
            <w:tcW w:w="461" w:type="pct"/>
            <w:tcBorders>
              <w:top w:val="nil"/>
              <w:left w:val="nil"/>
              <w:bottom w:val="single" w:sz="4" w:space="0" w:color="auto"/>
              <w:right w:val="single" w:sz="4" w:space="0" w:color="auto"/>
            </w:tcBorders>
            <w:shd w:val="clear" w:color="auto" w:fill="auto"/>
            <w:noWrap/>
            <w:vAlign w:val="center"/>
            <w:hideMark/>
          </w:tcPr>
          <w:p w14:paraId="2157A9F8"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B2047BD"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$13,02</w:t>
            </w:r>
          </w:p>
        </w:tc>
      </w:tr>
      <w:tr w:rsidR="00777248" w:rsidRPr="001A38D5" w14:paraId="318E9640"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513725F6"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RENDIMIENTOS FINANCIEROS PGN</w:t>
            </w:r>
          </w:p>
        </w:tc>
        <w:tc>
          <w:tcPr>
            <w:tcW w:w="150" w:type="pct"/>
            <w:tcBorders>
              <w:top w:val="nil"/>
              <w:left w:val="nil"/>
              <w:bottom w:val="single" w:sz="4" w:space="0" w:color="auto"/>
              <w:right w:val="single" w:sz="4" w:space="0" w:color="auto"/>
            </w:tcBorders>
            <w:shd w:val="clear" w:color="auto" w:fill="auto"/>
            <w:noWrap/>
            <w:vAlign w:val="center"/>
            <w:hideMark/>
          </w:tcPr>
          <w:p w14:paraId="4BB83671"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$86,71</w:t>
            </w:r>
          </w:p>
        </w:tc>
        <w:tc>
          <w:tcPr>
            <w:tcW w:w="496" w:type="pct"/>
            <w:tcBorders>
              <w:top w:val="nil"/>
              <w:left w:val="nil"/>
              <w:bottom w:val="single" w:sz="4" w:space="0" w:color="auto"/>
              <w:right w:val="single" w:sz="4" w:space="0" w:color="auto"/>
            </w:tcBorders>
            <w:shd w:val="clear" w:color="auto" w:fill="auto"/>
            <w:noWrap/>
            <w:vAlign w:val="center"/>
            <w:hideMark/>
          </w:tcPr>
          <w:p w14:paraId="750D725A"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$86,71</w:t>
            </w:r>
          </w:p>
        </w:tc>
        <w:tc>
          <w:tcPr>
            <w:tcW w:w="418" w:type="pct"/>
            <w:tcBorders>
              <w:top w:val="nil"/>
              <w:left w:val="nil"/>
              <w:bottom w:val="single" w:sz="4" w:space="0" w:color="auto"/>
              <w:right w:val="single" w:sz="4" w:space="0" w:color="auto"/>
            </w:tcBorders>
            <w:shd w:val="clear" w:color="auto" w:fill="auto"/>
            <w:noWrap/>
            <w:vAlign w:val="center"/>
            <w:hideMark/>
          </w:tcPr>
          <w:p w14:paraId="1FE8D6B7"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4281F33C"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0E5D2CF3"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27922C30"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$88,35</w:t>
            </w:r>
          </w:p>
        </w:tc>
        <w:tc>
          <w:tcPr>
            <w:tcW w:w="461" w:type="pct"/>
            <w:tcBorders>
              <w:top w:val="nil"/>
              <w:left w:val="nil"/>
              <w:bottom w:val="single" w:sz="4" w:space="0" w:color="auto"/>
              <w:right w:val="single" w:sz="4" w:space="0" w:color="auto"/>
            </w:tcBorders>
            <w:shd w:val="clear" w:color="auto" w:fill="auto"/>
            <w:noWrap/>
            <w:vAlign w:val="center"/>
            <w:hideMark/>
          </w:tcPr>
          <w:p w14:paraId="2DB5F2F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8370383"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$82,67</w:t>
            </w:r>
          </w:p>
        </w:tc>
      </w:tr>
      <w:tr w:rsidR="00777248" w:rsidRPr="001A38D5" w14:paraId="67A67F57"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4626F109"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RENDIMIENTOS FINANCIEROS SGP</w:t>
            </w:r>
          </w:p>
        </w:tc>
        <w:tc>
          <w:tcPr>
            <w:tcW w:w="150" w:type="pct"/>
            <w:tcBorders>
              <w:top w:val="nil"/>
              <w:left w:val="nil"/>
              <w:bottom w:val="single" w:sz="4" w:space="0" w:color="auto"/>
              <w:right w:val="single" w:sz="4" w:space="0" w:color="auto"/>
            </w:tcBorders>
            <w:shd w:val="clear" w:color="auto" w:fill="auto"/>
            <w:noWrap/>
            <w:vAlign w:val="center"/>
            <w:hideMark/>
          </w:tcPr>
          <w:p w14:paraId="5EF9D3AA"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$16,00</w:t>
            </w:r>
          </w:p>
        </w:tc>
        <w:tc>
          <w:tcPr>
            <w:tcW w:w="496" w:type="pct"/>
            <w:tcBorders>
              <w:top w:val="nil"/>
              <w:left w:val="nil"/>
              <w:bottom w:val="single" w:sz="4" w:space="0" w:color="auto"/>
              <w:right w:val="single" w:sz="4" w:space="0" w:color="auto"/>
            </w:tcBorders>
            <w:shd w:val="clear" w:color="auto" w:fill="auto"/>
            <w:noWrap/>
            <w:vAlign w:val="center"/>
            <w:hideMark/>
          </w:tcPr>
          <w:p w14:paraId="313A0217"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$16,00</w:t>
            </w:r>
          </w:p>
        </w:tc>
        <w:tc>
          <w:tcPr>
            <w:tcW w:w="418" w:type="pct"/>
            <w:tcBorders>
              <w:top w:val="nil"/>
              <w:left w:val="nil"/>
              <w:bottom w:val="single" w:sz="4" w:space="0" w:color="auto"/>
              <w:right w:val="single" w:sz="4" w:space="0" w:color="auto"/>
            </w:tcBorders>
            <w:shd w:val="clear" w:color="auto" w:fill="auto"/>
            <w:noWrap/>
            <w:vAlign w:val="center"/>
            <w:hideMark/>
          </w:tcPr>
          <w:p w14:paraId="196F0453"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5305A111"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1A00FCDE"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2F19582"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$13,71</w:t>
            </w:r>
          </w:p>
        </w:tc>
        <w:tc>
          <w:tcPr>
            <w:tcW w:w="461" w:type="pct"/>
            <w:tcBorders>
              <w:top w:val="nil"/>
              <w:left w:val="nil"/>
              <w:bottom w:val="single" w:sz="4" w:space="0" w:color="auto"/>
              <w:right w:val="single" w:sz="4" w:space="0" w:color="auto"/>
            </w:tcBorders>
            <w:shd w:val="clear" w:color="auto" w:fill="auto"/>
            <w:noWrap/>
            <w:vAlign w:val="center"/>
            <w:hideMark/>
          </w:tcPr>
          <w:p w14:paraId="7901734A"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47B0E0A2"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$13,08</w:t>
            </w:r>
          </w:p>
        </w:tc>
      </w:tr>
      <w:tr w:rsidR="00777248" w:rsidRPr="001A38D5" w14:paraId="65A1813F"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79701A4C"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SGP ALIMENTACION ESCOLAR SALDOS NO EJECUTADOS VIGENCIAS ANTERIORES </w:t>
            </w:r>
          </w:p>
        </w:tc>
        <w:tc>
          <w:tcPr>
            <w:tcW w:w="150" w:type="pct"/>
            <w:tcBorders>
              <w:top w:val="nil"/>
              <w:left w:val="nil"/>
              <w:bottom w:val="single" w:sz="4" w:space="0" w:color="auto"/>
              <w:right w:val="single" w:sz="4" w:space="0" w:color="auto"/>
            </w:tcBorders>
            <w:shd w:val="clear" w:color="auto" w:fill="auto"/>
            <w:noWrap/>
            <w:vAlign w:val="center"/>
            <w:hideMark/>
          </w:tcPr>
          <w:p w14:paraId="5CADD2D0"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$85,82</w:t>
            </w:r>
          </w:p>
        </w:tc>
        <w:tc>
          <w:tcPr>
            <w:tcW w:w="496" w:type="pct"/>
            <w:tcBorders>
              <w:top w:val="nil"/>
              <w:left w:val="nil"/>
              <w:bottom w:val="single" w:sz="4" w:space="0" w:color="auto"/>
              <w:right w:val="single" w:sz="4" w:space="0" w:color="auto"/>
            </w:tcBorders>
            <w:shd w:val="clear" w:color="auto" w:fill="auto"/>
            <w:noWrap/>
            <w:vAlign w:val="center"/>
            <w:hideMark/>
          </w:tcPr>
          <w:p w14:paraId="137D637C"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$85,82</w:t>
            </w:r>
          </w:p>
        </w:tc>
        <w:tc>
          <w:tcPr>
            <w:tcW w:w="418" w:type="pct"/>
            <w:tcBorders>
              <w:top w:val="nil"/>
              <w:left w:val="nil"/>
              <w:bottom w:val="single" w:sz="4" w:space="0" w:color="auto"/>
              <w:right w:val="single" w:sz="4" w:space="0" w:color="auto"/>
            </w:tcBorders>
            <w:shd w:val="clear" w:color="auto" w:fill="auto"/>
            <w:noWrap/>
            <w:vAlign w:val="center"/>
            <w:hideMark/>
          </w:tcPr>
          <w:p w14:paraId="4C5E516E"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5966CA71"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577136F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2D5609AE"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58BE264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11CFA2B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777248" w:rsidRPr="001A38D5" w14:paraId="3ECC9C47"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7FE82E04"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RECURSOS DE INVERSION DEL PGN ASIGNADOS POR UAPA - VIGENCIA ACTUAL </w:t>
            </w:r>
          </w:p>
        </w:tc>
        <w:tc>
          <w:tcPr>
            <w:tcW w:w="150" w:type="pct"/>
            <w:tcBorders>
              <w:top w:val="nil"/>
              <w:left w:val="nil"/>
              <w:bottom w:val="single" w:sz="4" w:space="0" w:color="auto"/>
              <w:right w:val="single" w:sz="4" w:space="0" w:color="auto"/>
            </w:tcBorders>
            <w:shd w:val="clear" w:color="auto" w:fill="auto"/>
            <w:noWrap/>
            <w:vAlign w:val="center"/>
            <w:hideMark/>
          </w:tcPr>
          <w:p w14:paraId="093A5162"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$10.637,94</w:t>
            </w:r>
          </w:p>
        </w:tc>
        <w:tc>
          <w:tcPr>
            <w:tcW w:w="496" w:type="pct"/>
            <w:tcBorders>
              <w:top w:val="nil"/>
              <w:left w:val="nil"/>
              <w:bottom w:val="single" w:sz="4" w:space="0" w:color="auto"/>
              <w:right w:val="single" w:sz="4" w:space="0" w:color="auto"/>
            </w:tcBorders>
            <w:shd w:val="clear" w:color="auto" w:fill="auto"/>
            <w:noWrap/>
            <w:vAlign w:val="center"/>
            <w:hideMark/>
          </w:tcPr>
          <w:p w14:paraId="1D50CEE2"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$10.637,94</w:t>
            </w:r>
          </w:p>
        </w:tc>
        <w:tc>
          <w:tcPr>
            <w:tcW w:w="418" w:type="pct"/>
            <w:tcBorders>
              <w:top w:val="nil"/>
              <w:left w:val="nil"/>
              <w:bottom w:val="single" w:sz="4" w:space="0" w:color="auto"/>
              <w:right w:val="single" w:sz="4" w:space="0" w:color="auto"/>
            </w:tcBorders>
            <w:shd w:val="clear" w:color="auto" w:fill="auto"/>
            <w:noWrap/>
            <w:vAlign w:val="center"/>
            <w:hideMark/>
          </w:tcPr>
          <w:p w14:paraId="401D6302"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$4.150,78</w:t>
            </w:r>
          </w:p>
        </w:tc>
        <w:tc>
          <w:tcPr>
            <w:tcW w:w="496" w:type="pct"/>
            <w:tcBorders>
              <w:top w:val="nil"/>
              <w:left w:val="nil"/>
              <w:bottom w:val="single" w:sz="4" w:space="0" w:color="auto"/>
              <w:right w:val="single" w:sz="4" w:space="0" w:color="auto"/>
            </w:tcBorders>
            <w:shd w:val="clear" w:color="auto" w:fill="auto"/>
            <w:noWrap/>
            <w:vAlign w:val="center"/>
            <w:hideMark/>
          </w:tcPr>
          <w:p w14:paraId="426C125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$4.150,78</w:t>
            </w:r>
          </w:p>
        </w:tc>
        <w:tc>
          <w:tcPr>
            <w:tcW w:w="461" w:type="pct"/>
            <w:tcBorders>
              <w:top w:val="nil"/>
              <w:left w:val="nil"/>
              <w:bottom w:val="single" w:sz="4" w:space="0" w:color="auto"/>
              <w:right w:val="single" w:sz="4" w:space="0" w:color="auto"/>
            </w:tcBorders>
            <w:shd w:val="clear" w:color="auto" w:fill="auto"/>
            <w:noWrap/>
            <w:vAlign w:val="center"/>
            <w:hideMark/>
          </w:tcPr>
          <w:p w14:paraId="4707E8BF"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$9.781,23</w:t>
            </w:r>
          </w:p>
        </w:tc>
        <w:tc>
          <w:tcPr>
            <w:tcW w:w="496" w:type="pct"/>
            <w:tcBorders>
              <w:top w:val="nil"/>
              <w:left w:val="nil"/>
              <w:bottom w:val="single" w:sz="4" w:space="0" w:color="auto"/>
              <w:right w:val="single" w:sz="4" w:space="0" w:color="auto"/>
            </w:tcBorders>
            <w:shd w:val="clear" w:color="auto" w:fill="auto"/>
            <w:noWrap/>
            <w:vAlign w:val="center"/>
            <w:hideMark/>
          </w:tcPr>
          <w:p w14:paraId="1578C520"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$9.781,23</w:t>
            </w:r>
          </w:p>
        </w:tc>
        <w:tc>
          <w:tcPr>
            <w:tcW w:w="461" w:type="pct"/>
            <w:tcBorders>
              <w:top w:val="nil"/>
              <w:left w:val="nil"/>
              <w:bottom w:val="single" w:sz="4" w:space="0" w:color="auto"/>
              <w:right w:val="single" w:sz="4" w:space="0" w:color="auto"/>
            </w:tcBorders>
            <w:shd w:val="clear" w:color="auto" w:fill="auto"/>
            <w:noWrap/>
            <w:vAlign w:val="center"/>
            <w:hideMark/>
          </w:tcPr>
          <w:p w14:paraId="552F190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$7.145,02</w:t>
            </w:r>
          </w:p>
        </w:tc>
        <w:tc>
          <w:tcPr>
            <w:tcW w:w="496" w:type="pct"/>
            <w:tcBorders>
              <w:top w:val="nil"/>
              <w:left w:val="nil"/>
              <w:bottom w:val="single" w:sz="4" w:space="0" w:color="auto"/>
              <w:right w:val="single" w:sz="4" w:space="0" w:color="auto"/>
            </w:tcBorders>
            <w:shd w:val="clear" w:color="auto" w:fill="auto"/>
            <w:noWrap/>
            <w:vAlign w:val="center"/>
            <w:hideMark/>
          </w:tcPr>
          <w:p w14:paraId="0ADF97BB"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$7.134,02</w:t>
            </w:r>
          </w:p>
        </w:tc>
      </w:tr>
      <w:tr w:rsidR="00777248" w:rsidRPr="001A38D5" w14:paraId="1771B6B3"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4A94243D"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SGP ALIMENTACION ESCOLAR ONCE DOCEAVAS VIGENCIA ACTUAL MAS ULTIMA DOCEAVA VIGENCIA ANTERIOR </w:t>
            </w:r>
          </w:p>
        </w:tc>
        <w:tc>
          <w:tcPr>
            <w:tcW w:w="150" w:type="pct"/>
            <w:tcBorders>
              <w:top w:val="nil"/>
              <w:left w:val="nil"/>
              <w:bottom w:val="single" w:sz="4" w:space="0" w:color="auto"/>
              <w:right w:val="single" w:sz="4" w:space="0" w:color="auto"/>
            </w:tcBorders>
            <w:shd w:val="clear" w:color="auto" w:fill="auto"/>
            <w:noWrap/>
            <w:vAlign w:val="center"/>
            <w:hideMark/>
          </w:tcPr>
          <w:p w14:paraId="303F06D6"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$1.201,81</w:t>
            </w:r>
          </w:p>
        </w:tc>
        <w:tc>
          <w:tcPr>
            <w:tcW w:w="496" w:type="pct"/>
            <w:tcBorders>
              <w:top w:val="nil"/>
              <w:left w:val="nil"/>
              <w:bottom w:val="single" w:sz="4" w:space="0" w:color="auto"/>
              <w:right w:val="single" w:sz="4" w:space="0" w:color="auto"/>
            </w:tcBorders>
            <w:shd w:val="clear" w:color="auto" w:fill="auto"/>
            <w:noWrap/>
            <w:vAlign w:val="center"/>
            <w:hideMark/>
          </w:tcPr>
          <w:p w14:paraId="7CF60EF0"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$1.201,81</w:t>
            </w:r>
          </w:p>
        </w:tc>
        <w:tc>
          <w:tcPr>
            <w:tcW w:w="418" w:type="pct"/>
            <w:tcBorders>
              <w:top w:val="nil"/>
              <w:left w:val="nil"/>
              <w:bottom w:val="single" w:sz="4" w:space="0" w:color="auto"/>
              <w:right w:val="single" w:sz="4" w:space="0" w:color="auto"/>
            </w:tcBorders>
            <w:shd w:val="clear" w:color="auto" w:fill="auto"/>
            <w:noWrap/>
            <w:vAlign w:val="center"/>
            <w:hideMark/>
          </w:tcPr>
          <w:p w14:paraId="06A80D2B"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$177,84</w:t>
            </w:r>
          </w:p>
        </w:tc>
        <w:tc>
          <w:tcPr>
            <w:tcW w:w="496" w:type="pct"/>
            <w:tcBorders>
              <w:top w:val="nil"/>
              <w:left w:val="nil"/>
              <w:bottom w:val="single" w:sz="4" w:space="0" w:color="auto"/>
              <w:right w:val="single" w:sz="4" w:space="0" w:color="auto"/>
            </w:tcBorders>
            <w:shd w:val="clear" w:color="auto" w:fill="auto"/>
            <w:noWrap/>
            <w:vAlign w:val="center"/>
            <w:hideMark/>
          </w:tcPr>
          <w:p w14:paraId="780DE763"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$177,84</w:t>
            </w:r>
          </w:p>
        </w:tc>
        <w:tc>
          <w:tcPr>
            <w:tcW w:w="461" w:type="pct"/>
            <w:tcBorders>
              <w:top w:val="nil"/>
              <w:left w:val="nil"/>
              <w:bottom w:val="single" w:sz="4" w:space="0" w:color="auto"/>
              <w:right w:val="single" w:sz="4" w:space="0" w:color="auto"/>
            </w:tcBorders>
            <w:shd w:val="clear" w:color="auto" w:fill="auto"/>
            <w:noWrap/>
            <w:vAlign w:val="center"/>
            <w:hideMark/>
          </w:tcPr>
          <w:p w14:paraId="4872A6B8"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c>
          <w:tcPr>
            <w:tcW w:w="496" w:type="pct"/>
            <w:tcBorders>
              <w:top w:val="nil"/>
              <w:left w:val="nil"/>
              <w:bottom w:val="single" w:sz="4" w:space="0" w:color="auto"/>
              <w:right w:val="single" w:sz="4" w:space="0" w:color="auto"/>
            </w:tcBorders>
            <w:shd w:val="clear" w:color="auto" w:fill="auto"/>
            <w:noWrap/>
            <w:vAlign w:val="center"/>
            <w:hideMark/>
          </w:tcPr>
          <w:p w14:paraId="7172AE18"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c>
          <w:tcPr>
            <w:tcW w:w="461" w:type="pct"/>
            <w:tcBorders>
              <w:top w:val="nil"/>
              <w:left w:val="nil"/>
              <w:bottom w:val="single" w:sz="4" w:space="0" w:color="auto"/>
              <w:right w:val="single" w:sz="4" w:space="0" w:color="auto"/>
            </w:tcBorders>
            <w:shd w:val="clear" w:color="auto" w:fill="auto"/>
            <w:noWrap/>
            <w:vAlign w:val="center"/>
            <w:hideMark/>
          </w:tcPr>
          <w:p w14:paraId="578DB2F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c>
          <w:tcPr>
            <w:tcW w:w="496" w:type="pct"/>
            <w:tcBorders>
              <w:top w:val="nil"/>
              <w:left w:val="nil"/>
              <w:bottom w:val="single" w:sz="4" w:space="0" w:color="auto"/>
              <w:right w:val="single" w:sz="4" w:space="0" w:color="auto"/>
            </w:tcBorders>
            <w:shd w:val="clear" w:color="auto" w:fill="auto"/>
            <w:noWrap/>
            <w:vAlign w:val="center"/>
            <w:hideMark/>
          </w:tcPr>
          <w:p w14:paraId="7217D5CB"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$1.103,49</w:t>
            </w:r>
          </w:p>
        </w:tc>
      </w:tr>
      <w:tr w:rsidR="00777248" w:rsidRPr="001A38D5" w14:paraId="37D8B193"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007A9E83"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RECURSOS DE INVERSION DEL PGN ASIGNADOS POR MEN / UAPA - VIGENCIAS ANTERIORES </w:t>
            </w:r>
          </w:p>
        </w:tc>
        <w:tc>
          <w:tcPr>
            <w:tcW w:w="150" w:type="pct"/>
            <w:tcBorders>
              <w:top w:val="nil"/>
              <w:left w:val="nil"/>
              <w:bottom w:val="single" w:sz="4" w:space="0" w:color="auto"/>
              <w:right w:val="single" w:sz="4" w:space="0" w:color="auto"/>
            </w:tcBorders>
            <w:shd w:val="clear" w:color="auto" w:fill="auto"/>
            <w:noWrap/>
            <w:vAlign w:val="center"/>
            <w:hideMark/>
          </w:tcPr>
          <w:p w14:paraId="7B1FC4E1"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$1.337,44</w:t>
            </w:r>
          </w:p>
        </w:tc>
        <w:tc>
          <w:tcPr>
            <w:tcW w:w="496" w:type="pct"/>
            <w:tcBorders>
              <w:top w:val="nil"/>
              <w:left w:val="nil"/>
              <w:bottom w:val="single" w:sz="4" w:space="0" w:color="auto"/>
              <w:right w:val="single" w:sz="4" w:space="0" w:color="auto"/>
            </w:tcBorders>
            <w:shd w:val="clear" w:color="auto" w:fill="auto"/>
            <w:noWrap/>
            <w:vAlign w:val="center"/>
            <w:hideMark/>
          </w:tcPr>
          <w:p w14:paraId="0CD0DBE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$1.337,44</w:t>
            </w:r>
          </w:p>
        </w:tc>
        <w:tc>
          <w:tcPr>
            <w:tcW w:w="418" w:type="pct"/>
            <w:tcBorders>
              <w:top w:val="nil"/>
              <w:left w:val="nil"/>
              <w:bottom w:val="single" w:sz="4" w:space="0" w:color="auto"/>
              <w:right w:val="single" w:sz="4" w:space="0" w:color="auto"/>
            </w:tcBorders>
            <w:shd w:val="clear" w:color="auto" w:fill="auto"/>
            <w:noWrap/>
            <w:vAlign w:val="center"/>
            <w:hideMark/>
          </w:tcPr>
          <w:p w14:paraId="43913583"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4BEC173"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151030F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$1.172,85</w:t>
            </w:r>
          </w:p>
        </w:tc>
        <w:tc>
          <w:tcPr>
            <w:tcW w:w="496" w:type="pct"/>
            <w:tcBorders>
              <w:top w:val="nil"/>
              <w:left w:val="nil"/>
              <w:bottom w:val="single" w:sz="4" w:space="0" w:color="auto"/>
              <w:right w:val="single" w:sz="4" w:space="0" w:color="auto"/>
            </w:tcBorders>
            <w:shd w:val="clear" w:color="auto" w:fill="auto"/>
            <w:noWrap/>
            <w:vAlign w:val="center"/>
            <w:hideMark/>
          </w:tcPr>
          <w:p w14:paraId="29336BEB"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$1.172,85</w:t>
            </w:r>
          </w:p>
        </w:tc>
        <w:tc>
          <w:tcPr>
            <w:tcW w:w="461" w:type="pct"/>
            <w:tcBorders>
              <w:top w:val="nil"/>
              <w:left w:val="nil"/>
              <w:bottom w:val="single" w:sz="4" w:space="0" w:color="auto"/>
              <w:right w:val="single" w:sz="4" w:space="0" w:color="auto"/>
            </w:tcBorders>
            <w:shd w:val="clear" w:color="auto" w:fill="auto"/>
            <w:noWrap/>
            <w:vAlign w:val="center"/>
            <w:hideMark/>
          </w:tcPr>
          <w:p w14:paraId="34BFD756"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$404,48</w:t>
            </w:r>
          </w:p>
        </w:tc>
        <w:tc>
          <w:tcPr>
            <w:tcW w:w="496" w:type="pct"/>
            <w:tcBorders>
              <w:top w:val="nil"/>
              <w:left w:val="nil"/>
              <w:bottom w:val="single" w:sz="4" w:space="0" w:color="auto"/>
              <w:right w:val="single" w:sz="4" w:space="0" w:color="auto"/>
            </w:tcBorders>
            <w:shd w:val="clear" w:color="auto" w:fill="auto"/>
            <w:noWrap/>
            <w:vAlign w:val="center"/>
            <w:hideMark/>
          </w:tcPr>
          <w:p w14:paraId="3EB4C43A"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$404,48</w:t>
            </w:r>
          </w:p>
        </w:tc>
      </w:tr>
      <w:tr w:rsidR="00777248" w:rsidRPr="001A38D5" w14:paraId="2CD7589C"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0F211957"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RECURSOS PROPIOS DE LA ENTIDAD TERRITORIAL </w:t>
            </w:r>
          </w:p>
        </w:tc>
        <w:tc>
          <w:tcPr>
            <w:tcW w:w="150" w:type="pct"/>
            <w:tcBorders>
              <w:top w:val="nil"/>
              <w:left w:val="nil"/>
              <w:bottom w:val="single" w:sz="4" w:space="0" w:color="auto"/>
              <w:right w:val="single" w:sz="4" w:space="0" w:color="auto"/>
            </w:tcBorders>
            <w:shd w:val="clear" w:color="auto" w:fill="auto"/>
            <w:noWrap/>
            <w:vAlign w:val="center"/>
            <w:hideMark/>
          </w:tcPr>
          <w:p w14:paraId="03D5D648"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$2.100,00</w:t>
            </w:r>
          </w:p>
        </w:tc>
        <w:tc>
          <w:tcPr>
            <w:tcW w:w="496" w:type="pct"/>
            <w:tcBorders>
              <w:top w:val="nil"/>
              <w:left w:val="nil"/>
              <w:bottom w:val="single" w:sz="4" w:space="0" w:color="auto"/>
              <w:right w:val="single" w:sz="4" w:space="0" w:color="auto"/>
            </w:tcBorders>
            <w:shd w:val="clear" w:color="auto" w:fill="auto"/>
            <w:noWrap/>
            <w:vAlign w:val="center"/>
            <w:hideMark/>
          </w:tcPr>
          <w:p w14:paraId="3D8A3A0F"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$2.100,00</w:t>
            </w:r>
          </w:p>
        </w:tc>
        <w:tc>
          <w:tcPr>
            <w:tcW w:w="418" w:type="pct"/>
            <w:tcBorders>
              <w:top w:val="nil"/>
              <w:left w:val="nil"/>
              <w:bottom w:val="single" w:sz="4" w:space="0" w:color="auto"/>
              <w:right w:val="single" w:sz="4" w:space="0" w:color="auto"/>
            </w:tcBorders>
            <w:shd w:val="clear" w:color="auto" w:fill="auto"/>
            <w:noWrap/>
            <w:vAlign w:val="center"/>
            <w:hideMark/>
          </w:tcPr>
          <w:p w14:paraId="7AE22A3C"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517B495D"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01BA6183"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$3.707,96</w:t>
            </w:r>
          </w:p>
        </w:tc>
        <w:tc>
          <w:tcPr>
            <w:tcW w:w="496" w:type="pct"/>
            <w:tcBorders>
              <w:top w:val="nil"/>
              <w:left w:val="nil"/>
              <w:bottom w:val="single" w:sz="4" w:space="0" w:color="auto"/>
              <w:right w:val="single" w:sz="4" w:space="0" w:color="auto"/>
            </w:tcBorders>
            <w:shd w:val="clear" w:color="auto" w:fill="auto"/>
            <w:noWrap/>
            <w:vAlign w:val="center"/>
            <w:hideMark/>
          </w:tcPr>
          <w:p w14:paraId="663B813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$3.707,96</w:t>
            </w:r>
          </w:p>
        </w:tc>
        <w:tc>
          <w:tcPr>
            <w:tcW w:w="461" w:type="pct"/>
            <w:tcBorders>
              <w:top w:val="nil"/>
              <w:left w:val="nil"/>
              <w:bottom w:val="single" w:sz="4" w:space="0" w:color="auto"/>
              <w:right w:val="single" w:sz="4" w:space="0" w:color="auto"/>
            </w:tcBorders>
            <w:shd w:val="clear" w:color="auto" w:fill="auto"/>
            <w:noWrap/>
            <w:vAlign w:val="center"/>
            <w:hideMark/>
          </w:tcPr>
          <w:p w14:paraId="13D8A4F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$1.750,00</w:t>
            </w:r>
          </w:p>
        </w:tc>
        <w:tc>
          <w:tcPr>
            <w:tcW w:w="496" w:type="pct"/>
            <w:tcBorders>
              <w:top w:val="nil"/>
              <w:left w:val="nil"/>
              <w:bottom w:val="single" w:sz="4" w:space="0" w:color="auto"/>
              <w:right w:val="single" w:sz="4" w:space="0" w:color="auto"/>
            </w:tcBorders>
            <w:shd w:val="clear" w:color="auto" w:fill="auto"/>
            <w:noWrap/>
            <w:vAlign w:val="center"/>
            <w:hideMark/>
          </w:tcPr>
          <w:p w14:paraId="793CCED2"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$1.750,00</w:t>
            </w:r>
          </w:p>
        </w:tc>
      </w:tr>
      <w:tr w:rsidR="00777248" w:rsidRPr="001A38D5" w14:paraId="410F9F4C"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5C6F1822"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OTROS SGP RECURSOS ASIGNADOS POR SGP DIFERENTES A SGP - ALIMENTACION ESCOLAR </w:t>
            </w:r>
          </w:p>
        </w:tc>
        <w:tc>
          <w:tcPr>
            <w:tcW w:w="150" w:type="pct"/>
            <w:tcBorders>
              <w:top w:val="nil"/>
              <w:left w:val="nil"/>
              <w:bottom w:val="single" w:sz="4" w:space="0" w:color="auto"/>
              <w:right w:val="single" w:sz="4" w:space="0" w:color="auto"/>
            </w:tcBorders>
            <w:shd w:val="clear" w:color="auto" w:fill="auto"/>
            <w:noWrap/>
            <w:vAlign w:val="center"/>
            <w:hideMark/>
          </w:tcPr>
          <w:p w14:paraId="2CFDCAC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$405,00</w:t>
            </w:r>
          </w:p>
        </w:tc>
        <w:tc>
          <w:tcPr>
            <w:tcW w:w="496" w:type="pct"/>
            <w:tcBorders>
              <w:top w:val="nil"/>
              <w:left w:val="nil"/>
              <w:bottom w:val="single" w:sz="4" w:space="0" w:color="auto"/>
              <w:right w:val="single" w:sz="4" w:space="0" w:color="auto"/>
            </w:tcBorders>
            <w:shd w:val="clear" w:color="auto" w:fill="auto"/>
            <w:noWrap/>
            <w:vAlign w:val="center"/>
            <w:hideMark/>
          </w:tcPr>
          <w:p w14:paraId="1F595338"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$405,00</w:t>
            </w:r>
          </w:p>
        </w:tc>
        <w:tc>
          <w:tcPr>
            <w:tcW w:w="418" w:type="pct"/>
            <w:tcBorders>
              <w:top w:val="nil"/>
              <w:left w:val="nil"/>
              <w:bottom w:val="single" w:sz="4" w:space="0" w:color="auto"/>
              <w:right w:val="single" w:sz="4" w:space="0" w:color="auto"/>
            </w:tcBorders>
            <w:shd w:val="clear" w:color="auto" w:fill="auto"/>
            <w:noWrap/>
            <w:vAlign w:val="center"/>
            <w:hideMark/>
          </w:tcPr>
          <w:p w14:paraId="40DA48C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11271EC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24D3ED38"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$1.575,52</w:t>
            </w:r>
          </w:p>
        </w:tc>
        <w:tc>
          <w:tcPr>
            <w:tcW w:w="496" w:type="pct"/>
            <w:tcBorders>
              <w:top w:val="nil"/>
              <w:left w:val="nil"/>
              <w:bottom w:val="single" w:sz="4" w:space="0" w:color="auto"/>
              <w:right w:val="single" w:sz="4" w:space="0" w:color="auto"/>
            </w:tcBorders>
            <w:shd w:val="clear" w:color="auto" w:fill="auto"/>
            <w:noWrap/>
            <w:vAlign w:val="center"/>
            <w:hideMark/>
          </w:tcPr>
          <w:p w14:paraId="714030AB"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$1.575,52</w:t>
            </w:r>
          </w:p>
        </w:tc>
        <w:tc>
          <w:tcPr>
            <w:tcW w:w="461" w:type="pct"/>
            <w:tcBorders>
              <w:top w:val="nil"/>
              <w:left w:val="nil"/>
              <w:bottom w:val="single" w:sz="4" w:space="0" w:color="auto"/>
              <w:right w:val="single" w:sz="4" w:space="0" w:color="auto"/>
            </w:tcBorders>
            <w:shd w:val="clear" w:color="auto" w:fill="auto"/>
            <w:noWrap/>
            <w:vAlign w:val="center"/>
            <w:hideMark/>
          </w:tcPr>
          <w:p w14:paraId="4697FA38"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$1.472,09</w:t>
            </w:r>
          </w:p>
        </w:tc>
        <w:tc>
          <w:tcPr>
            <w:tcW w:w="496" w:type="pct"/>
            <w:tcBorders>
              <w:top w:val="nil"/>
              <w:left w:val="nil"/>
              <w:bottom w:val="single" w:sz="4" w:space="0" w:color="auto"/>
              <w:right w:val="single" w:sz="4" w:space="0" w:color="auto"/>
            </w:tcBorders>
            <w:shd w:val="clear" w:color="auto" w:fill="auto"/>
            <w:noWrap/>
            <w:vAlign w:val="center"/>
            <w:hideMark/>
          </w:tcPr>
          <w:p w14:paraId="4F6717FA"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$1.472,09</w:t>
            </w:r>
          </w:p>
        </w:tc>
      </w:tr>
      <w:tr w:rsidR="00777248" w:rsidRPr="001A38D5" w14:paraId="6341C024"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0F5EF969"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RECURSOS ASIGNADOS POR EL DEPARTAMENTO </w:t>
            </w:r>
          </w:p>
        </w:tc>
        <w:tc>
          <w:tcPr>
            <w:tcW w:w="150" w:type="pct"/>
            <w:tcBorders>
              <w:top w:val="nil"/>
              <w:left w:val="nil"/>
              <w:bottom w:val="single" w:sz="4" w:space="0" w:color="auto"/>
              <w:right w:val="single" w:sz="4" w:space="0" w:color="auto"/>
            </w:tcBorders>
            <w:shd w:val="clear" w:color="auto" w:fill="auto"/>
            <w:noWrap/>
            <w:vAlign w:val="center"/>
            <w:hideMark/>
          </w:tcPr>
          <w:p w14:paraId="4992D99B"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21B2EC72"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18" w:type="pct"/>
            <w:tcBorders>
              <w:top w:val="nil"/>
              <w:left w:val="nil"/>
              <w:bottom w:val="single" w:sz="4" w:space="0" w:color="auto"/>
              <w:right w:val="single" w:sz="4" w:space="0" w:color="auto"/>
            </w:tcBorders>
            <w:shd w:val="clear" w:color="auto" w:fill="auto"/>
            <w:noWrap/>
            <w:vAlign w:val="center"/>
            <w:hideMark/>
          </w:tcPr>
          <w:p w14:paraId="6825A2C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06E2DCE7"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4841424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$547,93</w:t>
            </w:r>
          </w:p>
        </w:tc>
        <w:tc>
          <w:tcPr>
            <w:tcW w:w="496" w:type="pct"/>
            <w:tcBorders>
              <w:top w:val="nil"/>
              <w:left w:val="nil"/>
              <w:bottom w:val="single" w:sz="4" w:space="0" w:color="auto"/>
              <w:right w:val="single" w:sz="4" w:space="0" w:color="auto"/>
            </w:tcBorders>
            <w:shd w:val="clear" w:color="auto" w:fill="auto"/>
            <w:noWrap/>
            <w:vAlign w:val="center"/>
            <w:hideMark/>
          </w:tcPr>
          <w:p w14:paraId="0A97F4F6"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029D3512"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$108,77</w:t>
            </w:r>
          </w:p>
        </w:tc>
        <w:tc>
          <w:tcPr>
            <w:tcW w:w="496" w:type="pct"/>
            <w:tcBorders>
              <w:top w:val="nil"/>
              <w:left w:val="nil"/>
              <w:bottom w:val="single" w:sz="4" w:space="0" w:color="auto"/>
              <w:right w:val="single" w:sz="4" w:space="0" w:color="auto"/>
            </w:tcBorders>
            <w:shd w:val="clear" w:color="auto" w:fill="auto"/>
            <w:noWrap/>
            <w:vAlign w:val="center"/>
            <w:hideMark/>
          </w:tcPr>
          <w:p w14:paraId="6409B3C0"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777248" w:rsidRPr="001A38D5" w14:paraId="416565BD"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6C750B6E"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OTROS SGP RECURSOS ASIGNADOS POR SGP DIFERENTES A SGP - ALIMENTACION ESCOLAR </w:t>
            </w:r>
          </w:p>
        </w:tc>
        <w:tc>
          <w:tcPr>
            <w:tcW w:w="150" w:type="pct"/>
            <w:tcBorders>
              <w:top w:val="nil"/>
              <w:left w:val="nil"/>
              <w:bottom w:val="single" w:sz="4" w:space="0" w:color="auto"/>
              <w:right w:val="single" w:sz="4" w:space="0" w:color="auto"/>
            </w:tcBorders>
            <w:shd w:val="clear" w:color="auto" w:fill="auto"/>
            <w:noWrap/>
            <w:vAlign w:val="center"/>
            <w:hideMark/>
          </w:tcPr>
          <w:p w14:paraId="61445972"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1628463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18" w:type="pct"/>
            <w:tcBorders>
              <w:top w:val="nil"/>
              <w:left w:val="nil"/>
              <w:bottom w:val="single" w:sz="4" w:space="0" w:color="auto"/>
              <w:right w:val="single" w:sz="4" w:space="0" w:color="auto"/>
            </w:tcBorders>
            <w:shd w:val="clear" w:color="auto" w:fill="auto"/>
            <w:noWrap/>
            <w:vAlign w:val="center"/>
            <w:hideMark/>
          </w:tcPr>
          <w:p w14:paraId="2219FFED"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5A7BE211"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5D9C7E2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57A00E5B"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$432,85</w:t>
            </w:r>
          </w:p>
        </w:tc>
        <w:tc>
          <w:tcPr>
            <w:tcW w:w="461" w:type="pct"/>
            <w:tcBorders>
              <w:top w:val="nil"/>
              <w:left w:val="nil"/>
              <w:bottom w:val="single" w:sz="4" w:space="0" w:color="auto"/>
              <w:right w:val="single" w:sz="4" w:space="0" w:color="auto"/>
            </w:tcBorders>
            <w:shd w:val="clear" w:color="auto" w:fill="auto"/>
            <w:noWrap/>
            <w:vAlign w:val="center"/>
            <w:hideMark/>
          </w:tcPr>
          <w:p w14:paraId="3253ACC0"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4F17069C"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777248" w:rsidRPr="001A38D5" w14:paraId="006C7BB7"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69FCE00B"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OTROS RECURSOS POR SGP DIFERENTES A ALIMENTACION ESCOLAR </w:t>
            </w:r>
          </w:p>
        </w:tc>
        <w:tc>
          <w:tcPr>
            <w:tcW w:w="150" w:type="pct"/>
            <w:tcBorders>
              <w:top w:val="nil"/>
              <w:left w:val="nil"/>
              <w:bottom w:val="single" w:sz="4" w:space="0" w:color="auto"/>
              <w:right w:val="single" w:sz="4" w:space="0" w:color="auto"/>
            </w:tcBorders>
            <w:shd w:val="clear" w:color="auto" w:fill="auto"/>
            <w:noWrap/>
            <w:vAlign w:val="center"/>
            <w:hideMark/>
          </w:tcPr>
          <w:p w14:paraId="252C04C7"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24C006A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18" w:type="pct"/>
            <w:tcBorders>
              <w:top w:val="nil"/>
              <w:left w:val="nil"/>
              <w:bottom w:val="single" w:sz="4" w:space="0" w:color="auto"/>
              <w:right w:val="single" w:sz="4" w:space="0" w:color="auto"/>
            </w:tcBorders>
            <w:shd w:val="clear" w:color="auto" w:fill="auto"/>
            <w:noWrap/>
            <w:vAlign w:val="center"/>
            <w:hideMark/>
          </w:tcPr>
          <w:p w14:paraId="75CC35FE"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6403EBF"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59B3E766"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$1.204,00</w:t>
            </w:r>
          </w:p>
        </w:tc>
        <w:tc>
          <w:tcPr>
            <w:tcW w:w="496" w:type="pct"/>
            <w:tcBorders>
              <w:top w:val="nil"/>
              <w:left w:val="nil"/>
              <w:bottom w:val="single" w:sz="4" w:space="0" w:color="auto"/>
              <w:right w:val="single" w:sz="4" w:space="0" w:color="auto"/>
            </w:tcBorders>
            <w:shd w:val="clear" w:color="auto" w:fill="auto"/>
            <w:noWrap/>
            <w:vAlign w:val="center"/>
            <w:hideMark/>
          </w:tcPr>
          <w:p w14:paraId="65C10EDE"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$650,00</w:t>
            </w:r>
          </w:p>
        </w:tc>
        <w:tc>
          <w:tcPr>
            <w:tcW w:w="461" w:type="pct"/>
            <w:tcBorders>
              <w:top w:val="nil"/>
              <w:left w:val="nil"/>
              <w:bottom w:val="single" w:sz="4" w:space="0" w:color="auto"/>
              <w:right w:val="single" w:sz="4" w:space="0" w:color="auto"/>
            </w:tcBorders>
            <w:shd w:val="clear" w:color="auto" w:fill="auto"/>
            <w:noWrap/>
            <w:vAlign w:val="center"/>
            <w:hideMark/>
          </w:tcPr>
          <w:p w14:paraId="3A643A2F"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$650,00</w:t>
            </w:r>
          </w:p>
        </w:tc>
        <w:tc>
          <w:tcPr>
            <w:tcW w:w="496" w:type="pct"/>
            <w:tcBorders>
              <w:top w:val="nil"/>
              <w:left w:val="nil"/>
              <w:bottom w:val="single" w:sz="4" w:space="0" w:color="auto"/>
              <w:right w:val="single" w:sz="4" w:space="0" w:color="auto"/>
            </w:tcBorders>
            <w:shd w:val="clear" w:color="auto" w:fill="auto"/>
            <w:noWrap/>
            <w:vAlign w:val="center"/>
            <w:hideMark/>
          </w:tcPr>
          <w:p w14:paraId="3218E741"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$650,00</w:t>
            </w:r>
          </w:p>
        </w:tc>
      </w:tr>
      <w:tr w:rsidR="00777248" w:rsidRPr="001A38D5" w14:paraId="0EF67CEA"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5CD2B973"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OTROS RECURSOS POR SGP DIFERENTES A ALIMENTACION ESCOLAR </w:t>
            </w:r>
          </w:p>
        </w:tc>
        <w:tc>
          <w:tcPr>
            <w:tcW w:w="150" w:type="pct"/>
            <w:tcBorders>
              <w:top w:val="nil"/>
              <w:left w:val="nil"/>
              <w:bottom w:val="single" w:sz="4" w:space="0" w:color="auto"/>
              <w:right w:val="single" w:sz="4" w:space="0" w:color="auto"/>
            </w:tcBorders>
            <w:shd w:val="clear" w:color="auto" w:fill="auto"/>
            <w:noWrap/>
            <w:vAlign w:val="center"/>
            <w:hideMark/>
          </w:tcPr>
          <w:p w14:paraId="1B2163CC"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6AFE411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18" w:type="pct"/>
            <w:tcBorders>
              <w:top w:val="nil"/>
              <w:left w:val="nil"/>
              <w:bottom w:val="single" w:sz="4" w:space="0" w:color="auto"/>
              <w:right w:val="single" w:sz="4" w:space="0" w:color="auto"/>
            </w:tcBorders>
            <w:shd w:val="clear" w:color="auto" w:fill="auto"/>
            <w:noWrap/>
            <w:vAlign w:val="center"/>
            <w:hideMark/>
          </w:tcPr>
          <w:p w14:paraId="37139068"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0497AE3E"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4A042670"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1C436D15"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$554,00</w:t>
            </w:r>
          </w:p>
        </w:tc>
        <w:tc>
          <w:tcPr>
            <w:tcW w:w="461" w:type="pct"/>
            <w:tcBorders>
              <w:top w:val="nil"/>
              <w:left w:val="nil"/>
              <w:bottom w:val="single" w:sz="4" w:space="0" w:color="auto"/>
              <w:right w:val="single" w:sz="4" w:space="0" w:color="auto"/>
            </w:tcBorders>
            <w:shd w:val="clear" w:color="auto" w:fill="auto"/>
            <w:noWrap/>
            <w:vAlign w:val="center"/>
            <w:hideMark/>
          </w:tcPr>
          <w:p w14:paraId="61BC82A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17ED8AE7"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777248" w:rsidRPr="001A38D5" w14:paraId="18B2A60C" w14:textId="77777777" w:rsidTr="0077006F">
        <w:trPr>
          <w:trHeight w:val="20"/>
          <w:jc w:val="center"/>
        </w:trPr>
        <w:tc>
          <w:tcPr>
            <w:tcW w:w="1526" w:type="pct"/>
            <w:tcBorders>
              <w:top w:val="nil"/>
              <w:left w:val="single" w:sz="4" w:space="0" w:color="auto"/>
              <w:bottom w:val="single" w:sz="4" w:space="0" w:color="auto"/>
              <w:right w:val="single" w:sz="4" w:space="0" w:color="auto"/>
            </w:tcBorders>
            <w:shd w:val="clear" w:color="auto" w:fill="auto"/>
            <w:vAlign w:val="center"/>
            <w:hideMark/>
          </w:tcPr>
          <w:p w14:paraId="2122CAF1" w14:textId="77777777" w:rsidR="00777248" w:rsidRPr="001A38D5" w:rsidRDefault="00777248" w:rsidP="005140E1">
            <w:pPr>
              <w:contextualSpacing/>
              <w:rPr>
                <w:rFonts w:eastAsia="Times New Roman" w:cs="Arial"/>
                <w:sz w:val="12"/>
                <w:szCs w:val="12"/>
                <w:lang w:val="es-CO" w:eastAsia="es-CO"/>
              </w:rPr>
            </w:pPr>
            <w:r w:rsidRPr="001A38D5">
              <w:rPr>
                <w:rFonts w:eastAsia="Times New Roman" w:cs="Arial"/>
                <w:sz w:val="12"/>
                <w:szCs w:val="12"/>
                <w:lang w:val="es-CO" w:eastAsia="es-CO"/>
              </w:rPr>
              <w:t xml:space="preserve">RECURSOS DEL SISTEMA GENERAL DE REGALIAS </w:t>
            </w:r>
          </w:p>
        </w:tc>
        <w:tc>
          <w:tcPr>
            <w:tcW w:w="150" w:type="pct"/>
            <w:tcBorders>
              <w:top w:val="nil"/>
              <w:left w:val="nil"/>
              <w:bottom w:val="single" w:sz="4" w:space="0" w:color="auto"/>
              <w:right w:val="single" w:sz="4" w:space="0" w:color="auto"/>
            </w:tcBorders>
            <w:shd w:val="clear" w:color="auto" w:fill="auto"/>
            <w:noWrap/>
            <w:vAlign w:val="center"/>
            <w:hideMark/>
          </w:tcPr>
          <w:p w14:paraId="4ED0404A"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263F2E53"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18" w:type="pct"/>
            <w:tcBorders>
              <w:top w:val="nil"/>
              <w:left w:val="nil"/>
              <w:bottom w:val="single" w:sz="4" w:space="0" w:color="auto"/>
              <w:right w:val="single" w:sz="4" w:space="0" w:color="auto"/>
            </w:tcBorders>
            <w:shd w:val="clear" w:color="auto" w:fill="auto"/>
            <w:noWrap/>
            <w:vAlign w:val="center"/>
            <w:hideMark/>
          </w:tcPr>
          <w:p w14:paraId="60E0FF04"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32A426A1"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61" w:type="pct"/>
            <w:tcBorders>
              <w:top w:val="nil"/>
              <w:left w:val="nil"/>
              <w:bottom w:val="single" w:sz="4" w:space="0" w:color="auto"/>
              <w:right w:val="single" w:sz="4" w:space="0" w:color="auto"/>
            </w:tcBorders>
            <w:shd w:val="clear" w:color="auto" w:fill="auto"/>
            <w:noWrap/>
            <w:vAlign w:val="center"/>
            <w:hideMark/>
          </w:tcPr>
          <w:p w14:paraId="5E6AB0B9"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$6.840,76</w:t>
            </w:r>
          </w:p>
        </w:tc>
        <w:tc>
          <w:tcPr>
            <w:tcW w:w="496" w:type="pct"/>
            <w:tcBorders>
              <w:top w:val="nil"/>
              <w:left w:val="nil"/>
              <w:bottom w:val="single" w:sz="4" w:space="0" w:color="auto"/>
              <w:right w:val="single" w:sz="4" w:space="0" w:color="auto"/>
            </w:tcBorders>
            <w:shd w:val="clear" w:color="auto" w:fill="auto"/>
            <w:noWrap/>
            <w:vAlign w:val="center"/>
            <w:hideMark/>
          </w:tcPr>
          <w:p w14:paraId="3E0A98ED"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$6.840,76</w:t>
            </w:r>
          </w:p>
        </w:tc>
        <w:tc>
          <w:tcPr>
            <w:tcW w:w="461" w:type="pct"/>
            <w:tcBorders>
              <w:top w:val="nil"/>
              <w:left w:val="nil"/>
              <w:bottom w:val="single" w:sz="4" w:space="0" w:color="auto"/>
              <w:right w:val="single" w:sz="4" w:space="0" w:color="auto"/>
            </w:tcBorders>
            <w:shd w:val="clear" w:color="auto" w:fill="auto"/>
            <w:noWrap/>
            <w:vAlign w:val="center"/>
            <w:hideMark/>
          </w:tcPr>
          <w:p w14:paraId="37998F45"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c>
          <w:tcPr>
            <w:tcW w:w="496" w:type="pct"/>
            <w:tcBorders>
              <w:top w:val="nil"/>
              <w:left w:val="nil"/>
              <w:bottom w:val="single" w:sz="4" w:space="0" w:color="auto"/>
              <w:right w:val="single" w:sz="4" w:space="0" w:color="auto"/>
            </w:tcBorders>
            <w:shd w:val="clear" w:color="auto" w:fill="auto"/>
            <w:noWrap/>
            <w:vAlign w:val="center"/>
            <w:hideMark/>
          </w:tcPr>
          <w:p w14:paraId="191A155F" w14:textId="77777777" w:rsidR="00777248" w:rsidRPr="001A38D5" w:rsidRDefault="00777248" w:rsidP="005140E1">
            <w:pPr>
              <w:contextualSpacing/>
              <w:jc w:val="right"/>
              <w:rPr>
                <w:rFonts w:eastAsia="Times New Roman" w:cs="Arial"/>
                <w:sz w:val="16"/>
                <w:szCs w:val="16"/>
                <w:lang w:val="es-CO" w:eastAsia="es-CO"/>
              </w:rPr>
            </w:pPr>
            <w:r w:rsidRPr="001A38D5">
              <w:rPr>
                <w:rFonts w:eastAsia="Times New Roman" w:cs="Arial"/>
                <w:sz w:val="16"/>
                <w:szCs w:val="16"/>
                <w:lang w:val="es-CO" w:eastAsia="es-CO"/>
              </w:rPr>
              <w:t>$0,00</w:t>
            </w:r>
          </w:p>
        </w:tc>
      </w:tr>
      <w:tr w:rsidR="00777248" w:rsidRPr="001A38D5" w14:paraId="76159C54" w14:textId="77777777" w:rsidTr="0077006F">
        <w:trPr>
          <w:trHeight w:val="20"/>
          <w:jc w:val="center"/>
        </w:trPr>
        <w:tc>
          <w:tcPr>
            <w:tcW w:w="1526"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898C73F" w14:textId="77777777" w:rsidR="00777248" w:rsidRPr="001A38D5" w:rsidRDefault="00777248"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Total general</w:t>
            </w:r>
          </w:p>
        </w:tc>
        <w:tc>
          <w:tcPr>
            <w:tcW w:w="150" w:type="pct"/>
            <w:tcBorders>
              <w:top w:val="single" w:sz="4" w:space="0" w:color="auto"/>
              <w:left w:val="nil"/>
              <w:bottom w:val="single" w:sz="4" w:space="0" w:color="auto"/>
              <w:right w:val="single" w:sz="4" w:space="0" w:color="auto"/>
            </w:tcBorders>
            <w:shd w:val="clear" w:color="000000" w:fill="FFC000"/>
            <w:noWrap/>
            <w:vAlign w:val="center"/>
            <w:hideMark/>
          </w:tcPr>
          <w:p w14:paraId="382067CC" w14:textId="77777777" w:rsidR="00777248" w:rsidRPr="001A38D5" w:rsidRDefault="00777248"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$16.595,34</w:t>
            </w:r>
          </w:p>
        </w:tc>
        <w:tc>
          <w:tcPr>
            <w:tcW w:w="496" w:type="pct"/>
            <w:tcBorders>
              <w:top w:val="single" w:sz="4" w:space="0" w:color="auto"/>
              <w:left w:val="nil"/>
              <w:bottom w:val="single" w:sz="4" w:space="0" w:color="auto"/>
              <w:right w:val="single" w:sz="4" w:space="0" w:color="auto"/>
            </w:tcBorders>
            <w:shd w:val="clear" w:color="000000" w:fill="FFC000"/>
            <w:noWrap/>
            <w:vAlign w:val="center"/>
            <w:hideMark/>
          </w:tcPr>
          <w:p w14:paraId="4E3AC185" w14:textId="77777777" w:rsidR="00777248" w:rsidRPr="001A38D5" w:rsidRDefault="00777248"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$16.595,34</w:t>
            </w:r>
          </w:p>
        </w:tc>
        <w:tc>
          <w:tcPr>
            <w:tcW w:w="418" w:type="pct"/>
            <w:tcBorders>
              <w:top w:val="single" w:sz="4" w:space="0" w:color="auto"/>
              <w:left w:val="nil"/>
              <w:bottom w:val="single" w:sz="4" w:space="0" w:color="auto"/>
              <w:right w:val="single" w:sz="4" w:space="0" w:color="auto"/>
            </w:tcBorders>
            <w:shd w:val="clear" w:color="000000" w:fill="FFC000"/>
            <w:noWrap/>
            <w:vAlign w:val="center"/>
            <w:hideMark/>
          </w:tcPr>
          <w:p w14:paraId="3F1EDEF0" w14:textId="77777777" w:rsidR="00777248" w:rsidRPr="001A38D5" w:rsidRDefault="00777248"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$4.878,62</w:t>
            </w:r>
          </w:p>
        </w:tc>
        <w:tc>
          <w:tcPr>
            <w:tcW w:w="496" w:type="pct"/>
            <w:tcBorders>
              <w:top w:val="single" w:sz="4" w:space="0" w:color="auto"/>
              <w:left w:val="nil"/>
              <w:bottom w:val="single" w:sz="4" w:space="0" w:color="auto"/>
              <w:right w:val="single" w:sz="4" w:space="0" w:color="auto"/>
            </w:tcBorders>
            <w:shd w:val="clear" w:color="000000" w:fill="FFC000"/>
            <w:noWrap/>
            <w:vAlign w:val="center"/>
            <w:hideMark/>
          </w:tcPr>
          <w:p w14:paraId="1E5B6BF1" w14:textId="77777777" w:rsidR="00777248" w:rsidRPr="001A38D5" w:rsidRDefault="00777248"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$4.878,62</w:t>
            </w:r>
          </w:p>
        </w:tc>
        <w:tc>
          <w:tcPr>
            <w:tcW w:w="461" w:type="pct"/>
            <w:tcBorders>
              <w:top w:val="single" w:sz="4" w:space="0" w:color="auto"/>
              <w:left w:val="nil"/>
              <w:bottom w:val="single" w:sz="4" w:space="0" w:color="auto"/>
              <w:right w:val="single" w:sz="4" w:space="0" w:color="auto"/>
            </w:tcBorders>
            <w:shd w:val="clear" w:color="000000" w:fill="FFC000"/>
            <w:noWrap/>
            <w:vAlign w:val="center"/>
            <w:hideMark/>
          </w:tcPr>
          <w:p w14:paraId="3448AC5B" w14:textId="77777777" w:rsidR="00777248" w:rsidRPr="001A38D5" w:rsidRDefault="00777248"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$25.933,75</w:t>
            </w:r>
          </w:p>
        </w:tc>
        <w:tc>
          <w:tcPr>
            <w:tcW w:w="496" w:type="pct"/>
            <w:tcBorders>
              <w:top w:val="single" w:sz="4" w:space="0" w:color="auto"/>
              <w:left w:val="nil"/>
              <w:bottom w:val="single" w:sz="4" w:space="0" w:color="auto"/>
              <w:right w:val="single" w:sz="4" w:space="0" w:color="auto"/>
            </w:tcBorders>
            <w:shd w:val="clear" w:color="000000" w:fill="FFC000"/>
            <w:noWrap/>
            <w:vAlign w:val="center"/>
            <w:hideMark/>
          </w:tcPr>
          <w:p w14:paraId="6308F48D" w14:textId="77777777" w:rsidR="00777248" w:rsidRPr="001A38D5" w:rsidRDefault="00777248"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$25.933,75</w:t>
            </w:r>
          </w:p>
        </w:tc>
        <w:tc>
          <w:tcPr>
            <w:tcW w:w="461" w:type="pct"/>
            <w:tcBorders>
              <w:top w:val="single" w:sz="4" w:space="0" w:color="auto"/>
              <w:left w:val="nil"/>
              <w:bottom w:val="single" w:sz="4" w:space="0" w:color="auto"/>
              <w:right w:val="single" w:sz="4" w:space="0" w:color="auto"/>
            </w:tcBorders>
            <w:shd w:val="clear" w:color="000000" w:fill="FFC000"/>
            <w:noWrap/>
            <w:vAlign w:val="center"/>
            <w:hideMark/>
          </w:tcPr>
          <w:p w14:paraId="699AA8BA" w14:textId="77777777" w:rsidR="00777248" w:rsidRPr="001A38D5" w:rsidRDefault="00777248"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$12.633,85</w:t>
            </w:r>
          </w:p>
        </w:tc>
        <w:tc>
          <w:tcPr>
            <w:tcW w:w="496" w:type="pct"/>
            <w:tcBorders>
              <w:top w:val="single" w:sz="4" w:space="0" w:color="auto"/>
              <w:left w:val="nil"/>
              <w:bottom w:val="single" w:sz="4" w:space="0" w:color="auto"/>
              <w:right w:val="single" w:sz="4" w:space="0" w:color="auto"/>
            </w:tcBorders>
            <w:shd w:val="clear" w:color="000000" w:fill="FFC000"/>
            <w:noWrap/>
            <w:vAlign w:val="center"/>
            <w:hideMark/>
          </w:tcPr>
          <w:p w14:paraId="6D47C9CD" w14:textId="77777777" w:rsidR="00777248" w:rsidRPr="001A38D5" w:rsidRDefault="00777248" w:rsidP="005140E1">
            <w:pPr>
              <w:contextualSpacing/>
              <w:jc w:val="center"/>
              <w:rPr>
                <w:rFonts w:eastAsia="Times New Roman" w:cs="Arial"/>
                <w:b/>
                <w:bCs/>
                <w:sz w:val="16"/>
                <w:szCs w:val="16"/>
                <w:lang w:val="es-CO" w:eastAsia="es-CO"/>
              </w:rPr>
            </w:pPr>
            <w:r w:rsidRPr="001A38D5">
              <w:rPr>
                <w:rFonts w:eastAsia="Times New Roman" w:cs="Arial"/>
                <w:b/>
                <w:bCs/>
                <w:sz w:val="16"/>
                <w:szCs w:val="16"/>
                <w:lang w:val="es-CO" w:eastAsia="es-CO"/>
              </w:rPr>
              <w:t>$12.622,85</w:t>
            </w:r>
          </w:p>
        </w:tc>
      </w:tr>
    </w:tbl>
    <w:p w14:paraId="361B4138" w14:textId="77777777" w:rsidR="00777248" w:rsidRPr="007A412F" w:rsidRDefault="00777248" w:rsidP="005140E1">
      <w:pPr>
        <w:contextualSpacing/>
        <w:jc w:val="center"/>
        <w:rPr>
          <w:rFonts w:cs="Arial"/>
          <w:bCs/>
          <w:sz w:val="16"/>
          <w:szCs w:val="21"/>
        </w:rPr>
      </w:pPr>
      <w:r w:rsidRPr="007A412F">
        <w:rPr>
          <w:rFonts w:cs="Arial"/>
          <w:bCs/>
          <w:sz w:val="16"/>
          <w:szCs w:val="21"/>
        </w:rPr>
        <w:t>Fuente: Elaboración DAF con base en el reporte en la Categoría UAPA PAE del CHIP y ejecuciones presupuestales de gastos.</w:t>
      </w:r>
    </w:p>
    <w:p w14:paraId="4EA1E12D" w14:textId="77777777" w:rsidR="00A20990" w:rsidRPr="001A38D5" w:rsidRDefault="00A20990" w:rsidP="005140E1">
      <w:pPr>
        <w:contextualSpacing/>
        <w:jc w:val="both"/>
        <w:rPr>
          <w:rFonts w:eastAsia="Arial" w:cs="Arial"/>
          <w:lang w:val="es-CO"/>
        </w:rPr>
      </w:pPr>
    </w:p>
    <w:p w14:paraId="33486167" w14:textId="77777777" w:rsidR="00A20990" w:rsidRPr="001A38D5" w:rsidRDefault="00A20990" w:rsidP="005140E1">
      <w:pPr>
        <w:pStyle w:val="Sinespaciado"/>
        <w:contextualSpacing/>
        <w:jc w:val="both"/>
        <w:rPr>
          <w:rFonts w:ascii="Verdana" w:hAnsi="Verdana" w:cs="Arial"/>
          <w:b/>
        </w:rPr>
      </w:pPr>
      <w:r w:rsidRPr="001A38D5">
        <w:rPr>
          <w:rFonts w:ascii="Verdana" w:hAnsi="Verdana" w:cs="Arial"/>
          <w:b/>
        </w:rPr>
        <w:t>Evidencias:</w:t>
      </w:r>
    </w:p>
    <w:p w14:paraId="7ACD6F07" w14:textId="77777777" w:rsidR="00A20990" w:rsidRPr="001A38D5" w:rsidRDefault="00A20990" w:rsidP="005140E1">
      <w:pPr>
        <w:pStyle w:val="Sinespaciado"/>
        <w:contextualSpacing/>
        <w:jc w:val="both"/>
        <w:rPr>
          <w:rFonts w:ascii="Verdana" w:hAnsi="Verdana" w:cs="Arial"/>
          <w:b/>
        </w:rPr>
      </w:pPr>
    </w:p>
    <w:p w14:paraId="36294BBE"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Obra en el expediente virtual el siguiente material probatorio:</w:t>
      </w:r>
    </w:p>
    <w:p w14:paraId="694B7696" w14:textId="77777777" w:rsidR="00A20990" w:rsidRPr="001A38D5" w:rsidRDefault="00A20990" w:rsidP="005140E1">
      <w:pPr>
        <w:contextualSpacing/>
        <w:rPr>
          <w:rFonts w:cs="Arial"/>
          <w:lang w:val="es-CO"/>
        </w:rPr>
      </w:pPr>
    </w:p>
    <w:p w14:paraId="0F114C09" w14:textId="77777777" w:rsidR="00D26A44" w:rsidRPr="00D26A44" w:rsidRDefault="00D26A44" w:rsidP="005140E1">
      <w:pPr>
        <w:widowControl/>
        <w:numPr>
          <w:ilvl w:val="0"/>
          <w:numId w:val="13"/>
        </w:numPr>
        <w:autoSpaceDE/>
        <w:autoSpaceDN/>
        <w:contextualSpacing/>
        <w:jc w:val="both"/>
        <w:rPr>
          <w:rFonts w:eastAsia="Arial" w:cs="Arial"/>
          <w:sz w:val="20"/>
          <w:lang w:val="es-CO"/>
        </w:rPr>
      </w:pPr>
      <w:r w:rsidRPr="00D26A44">
        <w:rPr>
          <w:rFonts w:eastAsia="Arial" w:cs="Arial"/>
          <w:sz w:val="20"/>
          <w:lang w:val="es-CO"/>
        </w:rPr>
        <w:t>Ejecuciones presupuestales de ingresos y gastos del Municipio de Villavicencio, Meta. Vigencias 2019, 2020, 2021 y 2022. Municipio de Villavicencio, Meta – Sector Alimentación Escolar. Serie: “</w:t>
      </w:r>
      <w:r w:rsidRPr="00D26A44">
        <w:rPr>
          <w:rFonts w:eastAsia="Arial" w:cs="Arial"/>
          <w:i/>
          <w:sz w:val="20"/>
          <w:lang w:val="es-CO"/>
        </w:rPr>
        <w:t>Historial de Seguimiento y Control a los Recursos del Sistema General de Participaciones</w:t>
      </w:r>
      <w:r w:rsidRPr="00D26A44">
        <w:rPr>
          <w:rFonts w:eastAsia="Arial" w:cs="Arial"/>
          <w:sz w:val="20"/>
          <w:lang w:val="es-CO"/>
        </w:rPr>
        <w:t xml:space="preserve"> – </w:t>
      </w:r>
      <w:r w:rsidRPr="00D26A44">
        <w:rPr>
          <w:rFonts w:eastAsia="Arial" w:cs="Arial"/>
          <w:i/>
          <w:sz w:val="20"/>
          <w:lang w:val="es-CO"/>
        </w:rPr>
        <w:t>Antecedentes</w:t>
      </w:r>
      <w:r w:rsidRPr="00D26A44">
        <w:rPr>
          <w:rFonts w:eastAsia="Arial" w:cs="Arial"/>
          <w:sz w:val="20"/>
          <w:lang w:val="es-CO"/>
        </w:rPr>
        <w:t>”. Expediente digital No. 52/2018/D028-PREDI.</w:t>
      </w:r>
    </w:p>
    <w:p w14:paraId="259EAC32" w14:textId="77777777" w:rsidR="00D26A44" w:rsidRPr="00D26A44" w:rsidRDefault="00D26A44" w:rsidP="005140E1">
      <w:pPr>
        <w:pStyle w:val="Prrafodelista"/>
        <w:widowControl/>
        <w:autoSpaceDE/>
        <w:autoSpaceDN/>
        <w:ind w:left="360"/>
        <w:contextualSpacing/>
        <w:jc w:val="both"/>
        <w:rPr>
          <w:rFonts w:cs="Arial"/>
          <w:color w:val="0000FF" w:themeColor="hyperlink"/>
          <w:sz w:val="16"/>
          <w:szCs w:val="16"/>
          <w:u w:val="single"/>
        </w:rPr>
      </w:pPr>
      <w:r w:rsidRPr="00D26A44">
        <w:rPr>
          <w:rStyle w:val="Hipervnculo"/>
          <w:rFonts w:cs="Arial"/>
          <w:sz w:val="16"/>
          <w:szCs w:val="16"/>
          <w:lang w:val="es-CO"/>
        </w:rPr>
        <w:t>http://portalgestiondoc.minhacienda.red/PortalEmpleado/viewer.jsp?config=GCanxtFYFC8nLIpuW9t235w6iz05UUwWIL2fdmzYygSDJMW0srILLXIzT5s15aqhOGlr3/fxnlHphtHPNnnVmzMJOlnhwlh0utwdrDOF7txFTYjKkFCpls3TnSmfSjKyCX6ZENuOJXB6MgKqOOY7GxAir52kD4CxNeWEvbm5KGOp3Bi1t+wNZwTePiXRVQCc&amp;guid=5b8a275118abdcc9f535625&amp;idrepository=879</w:t>
      </w:r>
    </w:p>
    <w:p w14:paraId="5340B31C" w14:textId="77777777" w:rsidR="00D26A44" w:rsidRPr="00D26A44" w:rsidRDefault="00D26A44" w:rsidP="005140E1">
      <w:pPr>
        <w:widowControl/>
        <w:numPr>
          <w:ilvl w:val="0"/>
          <w:numId w:val="13"/>
        </w:numPr>
        <w:autoSpaceDE/>
        <w:autoSpaceDN/>
        <w:contextualSpacing/>
        <w:jc w:val="both"/>
        <w:rPr>
          <w:rFonts w:eastAsia="Arial" w:cs="Arial"/>
          <w:sz w:val="20"/>
          <w:lang w:val="es-CO"/>
        </w:rPr>
      </w:pPr>
      <w:r w:rsidRPr="00D26A44">
        <w:rPr>
          <w:rFonts w:eastAsia="Arial" w:cs="Arial"/>
          <w:sz w:val="20"/>
          <w:lang w:val="es-CO"/>
        </w:rPr>
        <w:t>Formularios Categoría MEN-PAE y Formulario de Flujo de Pagos de la Categoría MEN PAE Ejecución de Recursos del CHIP, vigencias 2019 y 2020. Municipio de Villavicencio, Meta – Sector Alimentación Escolar. Serie: “</w:t>
      </w:r>
      <w:r w:rsidRPr="00D26A44">
        <w:rPr>
          <w:rFonts w:eastAsia="Arial" w:cs="Arial"/>
          <w:i/>
          <w:sz w:val="20"/>
          <w:lang w:val="es-CO"/>
        </w:rPr>
        <w:t>Historial de Seguimiento y Control a los Recursos del Sistema General de Participaciones</w:t>
      </w:r>
      <w:r w:rsidRPr="00D26A44">
        <w:rPr>
          <w:rFonts w:eastAsia="Arial" w:cs="Arial"/>
          <w:sz w:val="20"/>
          <w:lang w:val="es-CO"/>
        </w:rPr>
        <w:t xml:space="preserve"> – </w:t>
      </w:r>
      <w:r w:rsidRPr="00D26A44">
        <w:rPr>
          <w:rFonts w:eastAsia="Arial" w:cs="Arial"/>
          <w:i/>
          <w:sz w:val="20"/>
          <w:lang w:val="es-CO"/>
        </w:rPr>
        <w:t>Antecedentes</w:t>
      </w:r>
      <w:r w:rsidRPr="00D26A44">
        <w:rPr>
          <w:rFonts w:eastAsia="Arial" w:cs="Arial"/>
          <w:sz w:val="20"/>
          <w:lang w:val="es-CO"/>
        </w:rPr>
        <w:t>”. Expediente digital No. 52/2018/D028-PREDI.</w:t>
      </w:r>
    </w:p>
    <w:p w14:paraId="742414CE" w14:textId="77777777" w:rsidR="00D26A44" w:rsidRPr="00D26A44" w:rsidRDefault="00D26A44" w:rsidP="005140E1">
      <w:pPr>
        <w:pStyle w:val="Prrafodelista"/>
        <w:widowControl/>
        <w:autoSpaceDE/>
        <w:autoSpaceDN/>
        <w:ind w:left="360"/>
        <w:contextualSpacing/>
        <w:jc w:val="both"/>
        <w:rPr>
          <w:rFonts w:cs="Arial"/>
          <w:color w:val="0000FF" w:themeColor="hyperlink"/>
          <w:sz w:val="16"/>
          <w:szCs w:val="16"/>
          <w:u w:val="single"/>
        </w:rPr>
      </w:pPr>
      <w:r w:rsidRPr="00D26A44">
        <w:rPr>
          <w:rStyle w:val="Hipervnculo"/>
          <w:rFonts w:cs="Arial"/>
          <w:sz w:val="16"/>
          <w:szCs w:val="16"/>
          <w:lang w:val="es-CO"/>
        </w:rPr>
        <w:t>http://portalgestiondoc.minhacienda.red/PortalEmpleado/viewer.jsp?config=mhip16fck7LdLh5VKpFKgi2PTfrpoqb1w15VfPwo849kGSUeViQPfBey8hCKOgNIOnDrPfW+7l+AdU0kC0JF6FO1VQHywKQb9SbGYUbD+6C8J6ynJkkaA0UgMM7H5SgY/bpNLSA18uk+nbsNj1HCgcLRLZXfRzhGpwfMxuHAJ9v4tNZpdAvV+2IVy0ZZegov&amp;guid=5b8a275118abe006696-a8f&amp;idrepository=879</w:t>
      </w:r>
    </w:p>
    <w:p w14:paraId="273F28A9" w14:textId="77777777" w:rsidR="00D26A44" w:rsidRPr="00D26A44" w:rsidRDefault="00D26A44" w:rsidP="005140E1">
      <w:pPr>
        <w:widowControl/>
        <w:numPr>
          <w:ilvl w:val="0"/>
          <w:numId w:val="13"/>
        </w:numPr>
        <w:autoSpaceDE/>
        <w:autoSpaceDN/>
        <w:contextualSpacing/>
        <w:jc w:val="both"/>
        <w:rPr>
          <w:rFonts w:eastAsia="Arial" w:cs="Arial"/>
          <w:sz w:val="20"/>
          <w:lang w:val="es-CO"/>
        </w:rPr>
      </w:pPr>
      <w:r w:rsidRPr="00D26A44">
        <w:rPr>
          <w:rFonts w:eastAsia="Arial" w:cs="Arial"/>
          <w:sz w:val="20"/>
          <w:lang w:val="es-CO"/>
        </w:rPr>
        <w:t>Formularios Categoría UAPA-PAE del CHIP, vigencias 2021 y 2022. Municipio de Villavicencio, Meta – Sector Alimentación Escolar. Serie: “</w:t>
      </w:r>
      <w:r w:rsidRPr="00D26A44">
        <w:rPr>
          <w:rFonts w:eastAsia="Arial" w:cs="Arial"/>
          <w:i/>
          <w:sz w:val="20"/>
          <w:lang w:val="es-CO"/>
        </w:rPr>
        <w:t>Historial de Seguimiento y Control a los Recursos del Sistema General de Participaciones</w:t>
      </w:r>
      <w:r w:rsidRPr="00D26A44">
        <w:rPr>
          <w:rFonts w:eastAsia="Arial" w:cs="Arial"/>
          <w:sz w:val="20"/>
          <w:lang w:val="es-CO"/>
        </w:rPr>
        <w:t xml:space="preserve"> – </w:t>
      </w:r>
      <w:r w:rsidRPr="00D26A44">
        <w:rPr>
          <w:rFonts w:eastAsia="Arial" w:cs="Arial"/>
          <w:i/>
          <w:sz w:val="20"/>
          <w:lang w:val="es-CO"/>
        </w:rPr>
        <w:t>Antecedentes</w:t>
      </w:r>
      <w:r w:rsidRPr="00D26A44">
        <w:rPr>
          <w:rFonts w:eastAsia="Arial" w:cs="Arial"/>
          <w:sz w:val="20"/>
          <w:lang w:val="es-CO"/>
        </w:rPr>
        <w:t>”. Expediente digital No. 52/2018/D028-PREDI.</w:t>
      </w:r>
    </w:p>
    <w:p w14:paraId="3D079EC1" w14:textId="77777777" w:rsidR="00D26A44" w:rsidRPr="00D26A44" w:rsidRDefault="00D26A44" w:rsidP="005140E1">
      <w:pPr>
        <w:pStyle w:val="Prrafodelista"/>
        <w:widowControl/>
        <w:autoSpaceDE/>
        <w:autoSpaceDN/>
        <w:ind w:left="360"/>
        <w:contextualSpacing/>
        <w:jc w:val="both"/>
        <w:rPr>
          <w:rFonts w:cs="Arial"/>
          <w:color w:val="0000FF" w:themeColor="hyperlink"/>
          <w:sz w:val="16"/>
          <w:szCs w:val="16"/>
          <w:u w:val="single"/>
        </w:rPr>
      </w:pPr>
      <w:r w:rsidRPr="00D26A44">
        <w:rPr>
          <w:rStyle w:val="Hipervnculo"/>
          <w:rFonts w:cs="Arial"/>
          <w:sz w:val="16"/>
          <w:szCs w:val="16"/>
          <w:lang w:val="es-CO"/>
        </w:rPr>
        <w:t>http://portalgestiondoc.minhacienda.red/PortalEmpleado/viewer.jsp?config=iM4Bihunug97yAjFSgKQOG+IT2cs0jcGdLgDndxq+lTnNaWgIriE4/y/PIW2wt77/8tBxrDsoa7ahIROPZ5E5zXSTpuedwxbgrnhnA78FvXnHxr0I8rTAIH1aa7VlZkT1tfPwDZWjhpW3hmmplt60hHEc/39yMye1QF8fFSzPz95HLd7dZ9JsnGwGtx/inFL&amp;guid=5b8a275118abe006696-a8d&amp;idrepository=879</w:t>
      </w:r>
    </w:p>
    <w:p w14:paraId="68623744" w14:textId="77777777" w:rsidR="00D26A44" w:rsidRPr="00D26A44" w:rsidRDefault="00D26A44" w:rsidP="005140E1">
      <w:pPr>
        <w:widowControl/>
        <w:numPr>
          <w:ilvl w:val="0"/>
          <w:numId w:val="13"/>
        </w:numPr>
        <w:autoSpaceDE/>
        <w:autoSpaceDN/>
        <w:contextualSpacing/>
        <w:jc w:val="both"/>
        <w:rPr>
          <w:rFonts w:eastAsia="Arial" w:cs="Arial"/>
          <w:sz w:val="20"/>
          <w:lang w:val="es-CO"/>
        </w:rPr>
      </w:pPr>
      <w:r w:rsidRPr="00D26A44">
        <w:rPr>
          <w:rFonts w:eastAsia="Arial" w:cs="Arial"/>
          <w:sz w:val="20"/>
          <w:lang w:val="es-CO"/>
        </w:rPr>
        <w:t>RP 244 del 31 de enero y 2031 del 11 de abril de 2019. Municipio de Villavicencio, Meta – Sector Alimentación Escolar. Serie: “</w:t>
      </w:r>
      <w:r w:rsidRPr="00D26A44">
        <w:rPr>
          <w:rFonts w:eastAsia="Arial" w:cs="Arial"/>
          <w:i/>
          <w:sz w:val="20"/>
          <w:lang w:val="es-CO"/>
        </w:rPr>
        <w:t>Historial de Seguimiento y Control a los Recursos del Sistema General de Participaciones</w:t>
      </w:r>
      <w:r w:rsidRPr="00D26A44">
        <w:rPr>
          <w:rFonts w:eastAsia="Arial" w:cs="Arial"/>
          <w:sz w:val="20"/>
          <w:lang w:val="es-CO"/>
        </w:rPr>
        <w:t xml:space="preserve"> – </w:t>
      </w:r>
      <w:r w:rsidRPr="00D26A44">
        <w:rPr>
          <w:rFonts w:eastAsia="Arial" w:cs="Arial"/>
          <w:i/>
          <w:sz w:val="20"/>
          <w:lang w:val="es-CO"/>
        </w:rPr>
        <w:t>Antecedentes</w:t>
      </w:r>
      <w:r w:rsidRPr="00D26A44">
        <w:rPr>
          <w:rFonts w:eastAsia="Arial" w:cs="Arial"/>
          <w:sz w:val="20"/>
          <w:lang w:val="es-CO"/>
        </w:rPr>
        <w:t>”. Expediente digital No. 52/2018/D028-PREDI.</w:t>
      </w:r>
    </w:p>
    <w:p w14:paraId="1AEF0DC9" w14:textId="77777777" w:rsidR="00D26A44" w:rsidRPr="00D26A44" w:rsidRDefault="00D26A44" w:rsidP="005140E1">
      <w:pPr>
        <w:pStyle w:val="Prrafodelista"/>
        <w:widowControl/>
        <w:autoSpaceDE/>
        <w:autoSpaceDN/>
        <w:ind w:left="360"/>
        <w:contextualSpacing/>
        <w:jc w:val="both"/>
        <w:rPr>
          <w:rFonts w:cs="Arial"/>
          <w:color w:val="0000FF" w:themeColor="hyperlink"/>
          <w:sz w:val="16"/>
          <w:szCs w:val="16"/>
          <w:u w:val="single"/>
        </w:rPr>
      </w:pPr>
      <w:r w:rsidRPr="00D26A44">
        <w:rPr>
          <w:rStyle w:val="Hipervnculo"/>
          <w:rFonts w:cs="Arial"/>
          <w:sz w:val="16"/>
          <w:szCs w:val="16"/>
          <w:lang w:val="es-CO"/>
        </w:rPr>
        <w:t>http://portalgestiondoc.minhacienda.red/PortalEmpleado/viewer.jsp?config=Jenw3EQPR5pIgsgQuh6WiPnZKwT4OayLKKA8zDslUSNF8Ram5H7JUJRSrc/YgvJXeLHVbH5o5+xctTDnTVcBkS8JzbvbotOYfU9RLio3BG3yfkjmwZAmlrwHiC9t7H2mhvuZHegaYrVx7y+ZvPtxpnHdfw6+tpnrYZnLaJo/bBKjgeHQASI3ikYxI+3U46c6&amp;guid=5b8a275118abe006696aca&amp;idrepository=879</w:t>
      </w:r>
    </w:p>
    <w:p w14:paraId="5FF0A8F1" w14:textId="77777777" w:rsidR="00D26A44" w:rsidRPr="00D26A44" w:rsidRDefault="00D26A44" w:rsidP="005140E1">
      <w:pPr>
        <w:widowControl/>
        <w:numPr>
          <w:ilvl w:val="0"/>
          <w:numId w:val="13"/>
        </w:numPr>
        <w:autoSpaceDE/>
        <w:autoSpaceDN/>
        <w:contextualSpacing/>
        <w:jc w:val="both"/>
        <w:rPr>
          <w:rFonts w:eastAsia="Arial" w:cs="Arial"/>
          <w:sz w:val="20"/>
          <w:lang w:val="es-CO"/>
        </w:rPr>
      </w:pPr>
      <w:r w:rsidRPr="00D26A44">
        <w:rPr>
          <w:rFonts w:eastAsia="Arial" w:cs="Arial"/>
          <w:sz w:val="20"/>
          <w:lang w:val="es-CO"/>
        </w:rPr>
        <w:t xml:space="preserve">Órdenes de </w:t>
      </w:r>
      <w:r w:rsidR="00DB7A04">
        <w:rPr>
          <w:rFonts w:eastAsia="Arial" w:cs="Arial"/>
          <w:sz w:val="20"/>
          <w:lang w:val="es-CO"/>
        </w:rPr>
        <w:t>P</w:t>
      </w:r>
      <w:r w:rsidRPr="00D26A44">
        <w:rPr>
          <w:rFonts w:eastAsia="Arial" w:cs="Arial"/>
          <w:sz w:val="20"/>
          <w:lang w:val="es-CO"/>
        </w:rPr>
        <w:t xml:space="preserve">ago 10081, 10603, 12101, 15683 y 15684 y </w:t>
      </w:r>
      <w:r w:rsidR="00DB7A04">
        <w:rPr>
          <w:rFonts w:eastAsia="Arial" w:cs="Arial"/>
          <w:sz w:val="20"/>
          <w:lang w:val="es-CO"/>
        </w:rPr>
        <w:t>C</w:t>
      </w:r>
      <w:r w:rsidRPr="00D26A44">
        <w:rPr>
          <w:rFonts w:eastAsia="Arial" w:cs="Arial"/>
          <w:sz w:val="20"/>
          <w:lang w:val="es-CO"/>
        </w:rPr>
        <w:t xml:space="preserve">omprobantes de </w:t>
      </w:r>
      <w:r w:rsidR="00DB7A04">
        <w:rPr>
          <w:rFonts w:eastAsia="Arial" w:cs="Arial"/>
          <w:sz w:val="20"/>
          <w:lang w:val="es-CO"/>
        </w:rPr>
        <w:t>E</w:t>
      </w:r>
      <w:r w:rsidRPr="00D26A44">
        <w:rPr>
          <w:rFonts w:eastAsia="Arial" w:cs="Arial"/>
          <w:sz w:val="20"/>
          <w:lang w:val="es-CO"/>
        </w:rPr>
        <w:t>greso 11441, 12166, 13990, 16171, 17757 y 17751 de Contrato de prestación de servicios No. 1198 del 30 de mayo de 2019. Municipio de Villavicencio, Meta – Sector Alimentación Escolar. Serie: “</w:t>
      </w:r>
      <w:r w:rsidRPr="00D26A44">
        <w:rPr>
          <w:rFonts w:eastAsia="Arial" w:cs="Arial"/>
          <w:i/>
          <w:sz w:val="20"/>
          <w:lang w:val="es-CO"/>
        </w:rPr>
        <w:t>Historial de Seguimiento y Control a los Recursos del Sistema General de Participaciones</w:t>
      </w:r>
      <w:r w:rsidRPr="00D26A44">
        <w:rPr>
          <w:rFonts w:eastAsia="Arial" w:cs="Arial"/>
          <w:sz w:val="20"/>
          <w:lang w:val="es-CO"/>
        </w:rPr>
        <w:t xml:space="preserve"> – </w:t>
      </w:r>
      <w:r w:rsidRPr="00D26A44">
        <w:rPr>
          <w:rFonts w:eastAsia="Arial" w:cs="Arial"/>
          <w:i/>
          <w:sz w:val="20"/>
          <w:lang w:val="es-CO"/>
        </w:rPr>
        <w:t>Antecedentes</w:t>
      </w:r>
      <w:r w:rsidRPr="00D26A44">
        <w:rPr>
          <w:rFonts w:eastAsia="Arial" w:cs="Arial"/>
          <w:sz w:val="20"/>
          <w:lang w:val="es-CO"/>
        </w:rPr>
        <w:t>”. Expediente digital No. 52/2018/D028-PREDI.</w:t>
      </w:r>
    </w:p>
    <w:p w14:paraId="2E8E05FC" w14:textId="77777777" w:rsidR="00D26A44" w:rsidRPr="00D26A44" w:rsidRDefault="00D26A44" w:rsidP="005140E1">
      <w:pPr>
        <w:pStyle w:val="Prrafodelista"/>
        <w:widowControl/>
        <w:autoSpaceDE/>
        <w:autoSpaceDN/>
        <w:ind w:left="360"/>
        <w:contextualSpacing/>
        <w:jc w:val="both"/>
        <w:rPr>
          <w:rFonts w:cs="Arial"/>
          <w:color w:val="0000FF" w:themeColor="hyperlink"/>
          <w:sz w:val="16"/>
          <w:szCs w:val="16"/>
          <w:u w:val="single"/>
          <w:lang w:val="es-CO"/>
        </w:rPr>
      </w:pPr>
      <w:r w:rsidRPr="00D26A44">
        <w:rPr>
          <w:rStyle w:val="Hipervnculo"/>
          <w:rFonts w:cs="Arial"/>
          <w:sz w:val="16"/>
          <w:szCs w:val="16"/>
          <w:lang w:val="es-CO"/>
        </w:rPr>
        <w:t>http://portalgestiondoc.minhacienda.red/PortalEmpleado/viewer.jsp?config=Vvcz5D9nqBf014PmvNH4OM3G+AIFeKKoVpoT3zInHsXC+WcN6XjWDHq5ADvsbvJy1H5kbefmdBYHpLdO7FiCl2uQ2pnE3doKHbfxHxt5Udz61OwZa8EnN6WRQ+6Nbn43d9raUE27sBOI0G9NVeW89MrrxC+aVqiFf9YSwU1GeA75IfVNsLp25YFh2WppBLOt&amp;guid=5b8a275118abe006696acc&amp;idrepository=879</w:t>
      </w:r>
    </w:p>
    <w:p w14:paraId="1988659F" w14:textId="77777777" w:rsidR="00D26A44" w:rsidRPr="00D26A44" w:rsidRDefault="00D26A44" w:rsidP="005140E1">
      <w:pPr>
        <w:widowControl/>
        <w:numPr>
          <w:ilvl w:val="0"/>
          <w:numId w:val="13"/>
        </w:numPr>
        <w:autoSpaceDE/>
        <w:autoSpaceDN/>
        <w:contextualSpacing/>
        <w:jc w:val="both"/>
        <w:rPr>
          <w:rFonts w:eastAsia="Arial" w:cs="Arial"/>
          <w:lang w:val="es-CO"/>
        </w:rPr>
      </w:pPr>
      <w:r w:rsidRPr="00D26A44">
        <w:rPr>
          <w:rFonts w:eastAsia="Arial" w:cs="Arial"/>
          <w:sz w:val="20"/>
          <w:lang w:val="es-CO"/>
        </w:rPr>
        <w:t>CDP 95 del 17 de enero de 2020 - RP 265 del 7 de febrero de 2020, CDP 804 del 10 de marzo de 2020 - RP 1306 del 15 de mayo de 2020, CDP 1778 del 7 de septiembre de 2020 y RP 1701 del 9 de junio de 2020, CDP 2256 del 21 de agosto de 2020 - RP 2291 del 28 de agosto de 2020. Municipio de Villavicencio, Meta – Sector Alimentación Escolar. Serie: “</w:t>
      </w:r>
      <w:r w:rsidRPr="00D26A44">
        <w:rPr>
          <w:rFonts w:eastAsia="Arial" w:cs="Arial"/>
          <w:i/>
          <w:sz w:val="20"/>
          <w:lang w:val="es-CO"/>
        </w:rPr>
        <w:t>Historial de Seguimiento y Control a los Recursos del Sistema General de Participaciones</w:t>
      </w:r>
      <w:r w:rsidRPr="00D26A44">
        <w:rPr>
          <w:rFonts w:eastAsia="Arial" w:cs="Arial"/>
          <w:sz w:val="20"/>
          <w:lang w:val="es-CO"/>
        </w:rPr>
        <w:t xml:space="preserve"> – </w:t>
      </w:r>
      <w:r w:rsidRPr="00D26A44">
        <w:rPr>
          <w:rFonts w:eastAsia="Arial" w:cs="Arial"/>
          <w:i/>
          <w:sz w:val="20"/>
          <w:lang w:val="es-CO"/>
        </w:rPr>
        <w:t>Antecedentes</w:t>
      </w:r>
      <w:r w:rsidRPr="00D26A44">
        <w:rPr>
          <w:rFonts w:eastAsia="Arial" w:cs="Arial"/>
          <w:sz w:val="20"/>
          <w:lang w:val="es-CO"/>
        </w:rPr>
        <w:t>”. Expediente digital No. 52/2018/D028-PREDI.</w:t>
      </w:r>
    </w:p>
    <w:p w14:paraId="20AF4CC5" w14:textId="77777777" w:rsidR="00D26A44" w:rsidRPr="00D26A44" w:rsidRDefault="00425319" w:rsidP="005140E1">
      <w:pPr>
        <w:pStyle w:val="Prrafodelista"/>
        <w:widowControl/>
        <w:autoSpaceDE/>
        <w:autoSpaceDN/>
        <w:ind w:left="360"/>
        <w:contextualSpacing/>
        <w:jc w:val="both"/>
        <w:rPr>
          <w:rStyle w:val="Hipervnculo"/>
          <w:rFonts w:cs="Arial"/>
          <w:sz w:val="16"/>
          <w:szCs w:val="16"/>
          <w:lang w:val="es-CO"/>
        </w:rPr>
      </w:pPr>
      <w:hyperlink r:id="rId39" w:history="1">
        <w:r w:rsidR="00D26A44" w:rsidRPr="00D26A44">
          <w:rPr>
            <w:rStyle w:val="Hipervnculo"/>
            <w:rFonts w:cs="Arial"/>
            <w:sz w:val="16"/>
            <w:szCs w:val="16"/>
            <w:lang w:val="es-CO"/>
          </w:rPr>
          <w:t>http://portalgestiondoc.minhacienda.red/PortalEmpleado/viewer.jsp?config=w7GVOfi8wjwL+nAZfiQT+YGM+T443KRFobnF0N4hOx7ecy3l9kFF7IztKMKiSc8V5Z80Znm6bt9jWN7eupukEXKRGzlEIuLisxkt2uENs0SCtUDBAA7IW2Ued9JK6AlIRLEymFD/6a/JGtg8fWytw2Qwcc4HYmpCDZCDF1RgeF16EhFrxp+SRGnA3w0rIks5&amp;guid=5b8a275118abe006696ace&amp;idrepository=879</w:t>
        </w:r>
      </w:hyperlink>
    </w:p>
    <w:p w14:paraId="0020EA67" w14:textId="77777777" w:rsidR="00D26A44" w:rsidRPr="00D26A44" w:rsidRDefault="00D26A44" w:rsidP="005140E1">
      <w:pPr>
        <w:widowControl/>
        <w:numPr>
          <w:ilvl w:val="0"/>
          <w:numId w:val="13"/>
        </w:numPr>
        <w:autoSpaceDE/>
        <w:autoSpaceDN/>
        <w:contextualSpacing/>
        <w:jc w:val="both"/>
        <w:rPr>
          <w:rFonts w:eastAsia="Arial" w:cs="Arial"/>
          <w:sz w:val="20"/>
          <w:lang w:val="es-CO"/>
        </w:rPr>
      </w:pPr>
      <w:r w:rsidRPr="00D26A44">
        <w:rPr>
          <w:rFonts w:eastAsia="Arial" w:cs="Arial"/>
          <w:sz w:val="20"/>
          <w:lang w:val="es-CO"/>
        </w:rPr>
        <w:t xml:space="preserve">Contrato de </w:t>
      </w:r>
      <w:r w:rsidR="00DB7A04">
        <w:rPr>
          <w:rFonts w:eastAsia="Arial" w:cs="Arial"/>
          <w:sz w:val="20"/>
          <w:lang w:val="es-CO"/>
        </w:rPr>
        <w:t>P</w:t>
      </w:r>
      <w:r w:rsidRPr="00D26A44">
        <w:rPr>
          <w:rFonts w:eastAsia="Arial" w:cs="Arial"/>
          <w:sz w:val="20"/>
          <w:lang w:val="es-CO"/>
        </w:rPr>
        <w:t xml:space="preserve">restación de </w:t>
      </w:r>
      <w:r w:rsidR="00DB7A04">
        <w:rPr>
          <w:rFonts w:eastAsia="Arial" w:cs="Arial"/>
          <w:sz w:val="20"/>
          <w:lang w:val="es-CO"/>
        </w:rPr>
        <w:t>S</w:t>
      </w:r>
      <w:r w:rsidRPr="00D26A44">
        <w:rPr>
          <w:rFonts w:eastAsia="Arial" w:cs="Arial"/>
          <w:sz w:val="20"/>
          <w:lang w:val="es-CO"/>
        </w:rPr>
        <w:t>ervicios No. 1961 de 2020. Municipio de Villavicencio, Meta – Sector Alimentación Escolar. Serie: “</w:t>
      </w:r>
      <w:r w:rsidRPr="00D26A44">
        <w:rPr>
          <w:rFonts w:eastAsia="Arial" w:cs="Arial"/>
          <w:i/>
          <w:sz w:val="20"/>
          <w:lang w:val="es-CO"/>
        </w:rPr>
        <w:t>Historial de Seguimiento y Control a los Recursos del Sistema General de Participaciones</w:t>
      </w:r>
      <w:r w:rsidRPr="00D26A44">
        <w:rPr>
          <w:rFonts w:eastAsia="Arial" w:cs="Arial"/>
          <w:sz w:val="20"/>
          <w:lang w:val="es-CO"/>
        </w:rPr>
        <w:t xml:space="preserve"> – </w:t>
      </w:r>
      <w:r w:rsidRPr="00D26A44">
        <w:rPr>
          <w:rFonts w:eastAsia="Arial" w:cs="Arial"/>
          <w:i/>
          <w:sz w:val="20"/>
          <w:lang w:val="es-CO"/>
        </w:rPr>
        <w:t>Antecedentes</w:t>
      </w:r>
      <w:r w:rsidRPr="00D26A44">
        <w:rPr>
          <w:rFonts w:eastAsia="Arial" w:cs="Arial"/>
          <w:sz w:val="20"/>
          <w:lang w:val="es-CO"/>
        </w:rPr>
        <w:t>”. Expediente digital No. 52/2018/D028-PREDI.</w:t>
      </w:r>
    </w:p>
    <w:p w14:paraId="09CD13D0" w14:textId="77777777" w:rsidR="00D26A44" w:rsidRPr="00D26A44" w:rsidRDefault="00D26A44" w:rsidP="005140E1">
      <w:pPr>
        <w:pStyle w:val="Prrafodelista"/>
        <w:widowControl/>
        <w:autoSpaceDE/>
        <w:autoSpaceDN/>
        <w:ind w:left="360"/>
        <w:contextualSpacing/>
        <w:jc w:val="both"/>
        <w:rPr>
          <w:rFonts w:cs="Arial"/>
          <w:color w:val="0000FF" w:themeColor="hyperlink"/>
          <w:sz w:val="16"/>
          <w:szCs w:val="16"/>
          <w:u w:val="single"/>
        </w:rPr>
      </w:pPr>
      <w:r w:rsidRPr="00D26A44">
        <w:rPr>
          <w:rStyle w:val="Hipervnculo"/>
          <w:rFonts w:cs="Arial"/>
          <w:sz w:val="16"/>
          <w:szCs w:val="16"/>
          <w:lang w:val="es-CO"/>
        </w:rPr>
        <w:t>http://portalgestiondoc.minhacienda.red/PortalEmpleado/viewer.jsp?config=XH0yr/urXWmHb2SWIcqKg63C4dDEO0CrtvxdQpEC85qLzWdZDMqQgzdpNImoTfimZQwGUIc9/jrvvpgHBE4gqNaYLFrnbflF6eJ1C4plPkQEp5uVXeODQm+RCFonfiH9ojO9KqTcx8bfkrIy0nPHLT5wgmui87yNnmc/bHGK8R1Lol5iP0VI+HDCV4rmYDOd&amp;guid=5b8a275118abe006696ad0&amp;idrepository=879</w:t>
      </w:r>
    </w:p>
    <w:p w14:paraId="1B7DD45B" w14:textId="77777777" w:rsidR="00D26A44" w:rsidRPr="00D26A44" w:rsidRDefault="00D26A44" w:rsidP="005140E1">
      <w:pPr>
        <w:widowControl/>
        <w:numPr>
          <w:ilvl w:val="0"/>
          <w:numId w:val="13"/>
        </w:numPr>
        <w:autoSpaceDE/>
        <w:autoSpaceDN/>
        <w:contextualSpacing/>
        <w:jc w:val="both"/>
        <w:rPr>
          <w:rFonts w:eastAsia="Arial" w:cs="Arial"/>
          <w:lang w:val="es-CO"/>
        </w:rPr>
      </w:pPr>
      <w:r w:rsidRPr="00D26A44">
        <w:rPr>
          <w:rFonts w:eastAsia="Arial" w:cs="Arial"/>
          <w:sz w:val="20"/>
          <w:lang w:val="es-CO"/>
        </w:rPr>
        <w:t xml:space="preserve">Órdenes de </w:t>
      </w:r>
      <w:r w:rsidR="00DB7A04">
        <w:rPr>
          <w:rFonts w:eastAsia="Arial" w:cs="Arial"/>
          <w:sz w:val="20"/>
          <w:lang w:val="es-CO"/>
        </w:rPr>
        <w:t>P</w:t>
      </w:r>
      <w:r w:rsidRPr="00D26A44">
        <w:rPr>
          <w:rFonts w:eastAsia="Arial" w:cs="Arial"/>
          <w:sz w:val="20"/>
          <w:lang w:val="es-CO"/>
        </w:rPr>
        <w:t xml:space="preserve">ago y </w:t>
      </w:r>
      <w:r w:rsidR="00DB7A04">
        <w:rPr>
          <w:rFonts w:eastAsia="Arial" w:cs="Arial"/>
          <w:sz w:val="20"/>
          <w:lang w:val="es-CO"/>
        </w:rPr>
        <w:t>C</w:t>
      </w:r>
      <w:r w:rsidRPr="00D26A44">
        <w:rPr>
          <w:rFonts w:eastAsia="Arial" w:cs="Arial"/>
          <w:sz w:val="20"/>
          <w:lang w:val="es-CO"/>
        </w:rPr>
        <w:t xml:space="preserve">omprobantes de </w:t>
      </w:r>
      <w:r w:rsidR="00DB7A04">
        <w:rPr>
          <w:rFonts w:eastAsia="Arial" w:cs="Arial"/>
          <w:sz w:val="20"/>
          <w:lang w:val="es-CO"/>
        </w:rPr>
        <w:t>E</w:t>
      </w:r>
      <w:r w:rsidRPr="00D26A44">
        <w:rPr>
          <w:rFonts w:eastAsia="Arial" w:cs="Arial"/>
          <w:sz w:val="20"/>
          <w:lang w:val="es-CO"/>
        </w:rPr>
        <w:t>greso PAE, vigencia 2020. Municipio de Villavicencio, Meta – Sector Alimentación Escolar. Serie: “</w:t>
      </w:r>
      <w:r w:rsidRPr="00D26A44">
        <w:rPr>
          <w:rFonts w:eastAsia="Arial" w:cs="Arial"/>
          <w:i/>
          <w:sz w:val="20"/>
          <w:lang w:val="es-CO"/>
        </w:rPr>
        <w:t>Historial de Seguimiento y Control a los Recursos del Sistema General de Participaciones</w:t>
      </w:r>
      <w:r w:rsidRPr="00D26A44">
        <w:rPr>
          <w:rFonts w:eastAsia="Arial" w:cs="Arial"/>
          <w:sz w:val="20"/>
          <w:lang w:val="es-CO"/>
        </w:rPr>
        <w:t xml:space="preserve"> – </w:t>
      </w:r>
      <w:r w:rsidRPr="00D26A44">
        <w:rPr>
          <w:rFonts w:eastAsia="Arial" w:cs="Arial"/>
          <w:i/>
          <w:sz w:val="20"/>
          <w:lang w:val="es-CO"/>
        </w:rPr>
        <w:t>Antecedentes</w:t>
      </w:r>
      <w:r w:rsidRPr="00D26A44">
        <w:rPr>
          <w:rFonts w:eastAsia="Arial" w:cs="Arial"/>
          <w:sz w:val="20"/>
          <w:lang w:val="es-CO"/>
        </w:rPr>
        <w:t>”. Expediente digital No. 52/2018/D028-PREDI.</w:t>
      </w:r>
    </w:p>
    <w:p w14:paraId="454854FB" w14:textId="77777777" w:rsidR="00D26A44" w:rsidRPr="00D26A44" w:rsidRDefault="00D26A44" w:rsidP="005140E1">
      <w:pPr>
        <w:widowControl/>
        <w:autoSpaceDE/>
        <w:autoSpaceDN/>
        <w:ind w:left="360"/>
        <w:contextualSpacing/>
        <w:jc w:val="both"/>
        <w:rPr>
          <w:rFonts w:eastAsia="Arial" w:cs="Arial"/>
          <w:lang w:val="es-CO"/>
        </w:rPr>
      </w:pPr>
      <w:r w:rsidRPr="00D26A44">
        <w:rPr>
          <w:rStyle w:val="Hipervnculo"/>
          <w:rFonts w:cs="Arial"/>
          <w:sz w:val="16"/>
          <w:szCs w:val="16"/>
          <w:lang w:val="es-CO"/>
        </w:rPr>
        <w:t>http://portalgestiondoc.minhacienda.red/PortalEmpleado/viewer.jsp?config=Rd9caucbV9nzmWgYo5b2xiYwRExmDknb1IitjeUoKq2zC5sak087npV515uLVRrEZO0CAGNyEJWIme9kreXotdUN5otJHZdFsp8BhGMtFQ9gYZTrxZqSmZfSszxIRcJjK3/o/xOHPruXy5aeRDp6UF1wvW0QS1ZuYwfqrCD8Yu5A4BfCUg0tjphvbohHxIhN&amp;guid=5b8a275118abe006696ad2&amp;idrepository=879</w:t>
      </w:r>
    </w:p>
    <w:p w14:paraId="02F0F90B" w14:textId="77777777" w:rsidR="00D26A44" w:rsidRPr="00D26A44" w:rsidRDefault="00D26A44" w:rsidP="005140E1">
      <w:pPr>
        <w:widowControl/>
        <w:numPr>
          <w:ilvl w:val="0"/>
          <w:numId w:val="13"/>
        </w:numPr>
        <w:autoSpaceDE/>
        <w:autoSpaceDN/>
        <w:contextualSpacing/>
        <w:jc w:val="both"/>
        <w:rPr>
          <w:rFonts w:eastAsia="Arial" w:cs="Arial"/>
          <w:lang w:val="es-CO"/>
        </w:rPr>
      </w:pPr>
      <w:r w:rsidRPr="00D26A44">
        <w:rPr>
          <w:rFonts w:eastAsia="Arial" w:cs="Arial"/>
          <w:sz w:val="20"/>
          <w:lang w:val="es-CO"/>
        </w:rPr>
        <w:t>Órdenes de Compra 66808, 72682 y 77691 de 2021. Municipio de Villavicencio, Meta – Sector Alimentación Escolar. Serie: “</w:t>
      </w:r>
      <w:r w:rsidRPr="00D26A44">
        <w:rPr>
          <w:rFonts w:eastAsia="Arial" w:cs="Arial"/>
          <w:i/>
          <w:sz w:val="20"/>
          <w:lang w:val="es-CO"/>
        </w:rPr>
        <w:t>Historial de Seguimiento y Control a los Recursos del Sistema General de Participaciones</w:t>
      </w:r>
      <w:r w:rsidRPr="00D26A44">
        <w:rPr>
          <w:rFonts w:eastAsia="Arial" w:cs="Arial"/>
          <w:sz w:val="20"/>
          <w:lang w:val="es-CO"/>
        </w:rPr>
        <w:t xml:space="preserve"> – </w:t>
      </w:r>
      <w:r w:rsidRPr="00D26A44">
        <w:rPr>
          <w:rFonts w:eastAsia="Arial" w:cs="Arial"/>
          <w:i/>
          <w:sz w:val="20"/>
          <w:lang w:val="es-CO"/>
        </w:rPr>
        <w:t>Antecedentes</w:t>
      </w:r>
      <w:r w:rsidRPr="00D26A44">
        <w:rPr>
          <w:rFonts w:eastAsia="Arial" w:cs="Arial"/>
          <w:sz w:val="20"/>
          <w:lang w:val="es-CO"/>
        </w:rPr>
        <w:t>”. Expediente digital No. 52/2018/D028-PREDI.</w:t>
      </w:r>
    </w:p>
    <w:p w14:paraId="718EBA50" w14:textId="77777777" w:rsidR="00D26A44" w:rsidRPr="00D26A44" w:rsidRDefault="00425319" w:rsidP="005140E1">
      <w:pPr>
        <w:pStyle w:val="Prrafodelista"/>
        <w:ind w:left="360"/>
        <w:contextualSpacing/>
        <w:rPr>
          <w:rFonts w:eastAsia="Arial" w:cs="Arial"/>
          <w:sz w:val="16"/>
          <w:szCs w:val="16"/>
          <w:lang w:val="es-CO"/>
        </w:rPr>
      </w:pPr>
      <w:hyperlink r:id="rId40" w:history="1">
        <w:r w:rsidR="00D26A44" w:rsidRPr="00D26A44">
          <w:rPr>
            <w:rStyle w:val="Hipervnculo"/>
            <w:rFonts w:eastAsia="Arial" w:cs="Arial"/>
            <w:sz w:val="16"/>
            <w:szCs w:val="16"/>
            <w:lang w:val="es-CO"/>
          </w:rPr>
          <w:t>http://portalgestiondoc.minhacienda.red/PortalEmpleado/viewer.jsp?config=5mdpR8zb0NcJMdfVf4aMtekuHMhESuvAaGq3URxzBg1tEodCcyfUaBS8MvTlLGmCxCu9u7nlXaFS/XXaK4vFYtdYZPXGYjwQ/md4vG/WPR+J6wRb6j8j4BoNLVEalIombG44jVUcb9roMHg8jz3HGiTFFvX+DdBazL3IiPKU0u7G/reSqsNLOgnfAx7iLdlw&amp;guid=5b8a275118abe0066962108&amp;idrepository=879</w:t>
        </w:r>
      </w:hyperlink>
      <w:r w:rsidR="00D26A44" w:rsidRPr="00D26A44">
        <w:rPr>
          <w:rFonts w:eastAsia="Arial" w:cs="Arial"/>
          <w:sz w:val="16"/>
          <w:szCs w:val="16"/>
          <w:lang w:val="es-CO"/>
        </w:rPr>
        <w:t xml:space="preserve"> </w:t>
      </w:r>
    </w:p>
    <w:p w14:paraId="0B8E8C6C" w14:textId="77777777" w:rsidR="00D26A44" w:rsidRPr="00D26A44" w:rsidRDefault="00D26A44" w:rsidP="005140E1">
      <w:pPr>
        <w:widowControl/>
        <w:numPr>
          <w:ilvl w:val="0"/>
          <w:numId w:val="13"/>
        </w:numPr>
        <w:autoSpaceDE/>
        <w:autoSpaceDN/>
        <w:contextualSpacing/>
        <w:jc w:val="both"/>
        <w:rPr>
          <w:rFonts w:eastAsia="Arial" w:cs="Arial"/>
          <w:lang w:val="es-CO"/>
        </w:rPr>
      </w:pPr>
      <w:r w:rsidRPr="00D26A44">
        <w:rPr>
          <w:rFonts w:eastAsia="Arial" w:cs="Arial"/>
          <w:sz w:val="20"/>
          <w:lang w:val="es-CO"/>
        </w:rPr>
        <w:t>RP 2748 del 10 de mayo de 2022, RP 2962 del 18 de mayo de 2023, CDP 7336 y el RP 8600 del 22 de diciembre de 2022. Municipio de Villavicencio, Meta – Sector Alimentación Escolar. Serie: “</w:t>
      </w:r>
      <w:r w:rsidRPr="00D26A44">
        <w:rPr>
          <w:rFonts w:eastAsia="Arial" w:cs="Arial"/>
          <w:i/>
          <w:sz w:val="20"/>
          <w:lang w:val="es-CO"/>
        </w:rPr>
        <w:t>Historial de Seguimiento y Control a los Recursos del Sistema General de Participaciones</w:t>
      </w:r>
      <w:r w:rsidRPr="00D26A44">
        <w:rPr>
          <w:rFonts w:eastAsia="Arial" w:cs="Arial"/>
          <w:sz w:val="20"/>
          <w:lang w:val="es-CO"/>
        </w:rPr>
        <w:t xml:space="preserve"> – </w:t>
      </w:r>
      <w:r w:rsidRPr="00D26A44">
        <w:rPr>
          <w:rFonts w:eastAsia="Arial" w:cs="Arial"/>
          <w:i/>
          <w:sz w:val="20"/>
          <w:lang w:val="es-CO"/>
        </w:rPr>
        <w:t>Antecedentes</w:t>
      </w:r>
      <w:r w:rsidRPr="00D26A44">
        <w:rPr>
          <w:rFonts w:eastAsia="Arial" w:cs="Arial"/>
          <w:sz w:val="20"/>
          <w:lang w:val="es-CO"/>
        </w:rPr>
        <w:t>”. Expediente digital No. 52/2018/D028-PREDI.</w:t>
      </w:r>
    </w:p>
    <w:p w14:paraId="76ADD14A" w14:textId="77777777" w:rsidR="00D26A44" w:rsidRPr="00B92779" w:rsidRDefault="00D26A44" w:rsidP="005140E1">
      <w:pPr>
        <w:pStyle w:val="Prrafodelista"/>
        <w:ind w:left="360"/>
        <w:contextualSpacing/>
        <w:rPr>
          <w:rFonts w:cs="Arial"/>
          <w:color w:val="0000FF" w:themeColor="hyperlink"/>
          <w:sz w:val="16"/>
          <w:szCs w:val="16"/>
          <w:u w:val="single"/>
        </w:rPr>
      </w:pPr>
      <w:r w:rsidRPr="00D26A44">
        <w:rPr>
          <w:rStyle w:val="Hipervnculo"/>
          <w:rFonts w:cs="Arial"/>
          <w:sz w:val="16"/>
          <w:szCs w:val="16"/>
          <w:lang w:val="es-CO"/>
        </w:rPr>
        <w:t>http://portalgestiondoc.minhacienda.red/PortalEmpleado/viewer.jsp?config=7t9xin6LIMZll8CdtmrbmhrGzBRrGXIE4hCQ+WPTgiYYMFtkn9n1Z4qJoPNds0JtCxulmKj/07o5GiAELZtWZLSf2SoO4v4lRkP4Qnw+VYfUvfmKf61BIaYcfkGYYciXCzlY/RQ5v/YBGnf0ChY9rKwdgDCHvEp1Qd9bLwW6nlZSpiyP0CndGzeOEIvN2n3x&amp;guid=5b8a275118abe0066962104&amp;idrepository=879</w:t>
      </w:r>
    </w:p>
    <w:p w14:paraId="0542FDB8" w14:textId="77777777" w:rsidR="00D26A44" w:rsidRPr="00D26A44" w:rsidRDefault="00D26A44" w:rsidP="005140E1">
      <w:pPr>
        <w:widowControl/>
        <w:numPr>
          <w:ilvl w:val="0"/>
          <w:numId w:val="13"/>
        </w:numPr>
        <w:autoSpaceDE/>
        <w:autoSpaceDN/>
        <w:contextualSpacing/>
        <w:jc w:val="both"/>
        <w:rPr>
          <w:rFonts w:eastAsia="Arial" w:cs="Arial"/>
          <w:lang w:val="es-CO"/>
        </w:rPr>
      </w:pPr>
      <w:r w:rsidRPr="00B92779">
        <w:rPr>
          <w:rFonts w:eastAsia="Arial" w:cs="Arial"/>
          <w:sz w:val="20"/>
          <w:lang w:val="es-CO"/>
        </w:rPr>
        <w:t xml:space="preserve">Contrato de </w:t>
      </w:r>
      <w:r w:rsidR="00DB7A04">
        <w:rPr>
          <w:rFonts w:eastAsia="Arial" w:cs="Arial"/>
          <w:sz w:val="20"/>
          <w:lang w:val="es-CO"/>
        </w:rPr>
        <w:t>P</w:t>
      </w:r>
      <w:r w:rsidRPr="00B92779">
        <w:rPr>
          <w:rFonts w:eastAsia="Arial" w:cs="Arial"/>
          <w:sz w:val="20"/>
          <w:lang w:val="es-CO"/>
        </w:rPr>
        <w:t xml:space="preserve">restación de </w:t>
      </w:r>
      <w:r w:rsidR="00DB7A04">
        <w:rPr>
          <w:rFonts w:eastAsia="Arial" w:cs="Arial"/>
          <w:sz w:val="20"/>
          <w:lang w:val="es-CO"/>
        </w:rPr>
        <w:t>S</w:t>
      </w:r>
      <w:r w:rsidRPr="00B92779">
        <w:rPr>
          <w:rFonts w:eastAsia="Arial" w:cs="Arial"/>
          <w:sz w:val="20"/>
          <w:lang w:val="es-CO"/>
        </w:rPr>
        <w:t>ervicios No. 3122 del 16 de septiembre de 2022. Municipio de Villavicencio, Meta – Sector Alimentación Escolar. Serie: “</w:t>
      </w:r>
      <w:r w:rsidRPr="00B92779">
        <w:rPr>
          <w:rFonts w:eastAsia="Arial" w:cs="Arial"/>
          <w:i/>
          <w:sz w:val="20"/>
          <w:lang w:val="es-CO"/>
        </w:rPr>
        <w:t>Historial de Seguimiento y Control a los Recursos del Sistema General de Participaciones</w:t>
      </w:r>
      <w:r w:rsidRPr="00B92779">
        <w:rPr>
          <w:rFonts w:eastAsia="Arial" w:cs="Arial"/>
          <w:sz w:val="20"/>
          <w:lang w:val="es-CO"/>
        </w:rPr>
        <w:t xml:space="preserve"> – </w:t>
      </w:r>
      <w:r w:rsidRPr="00B92779">
        <w:rPr>
          <w:rFonts w:eastAsia="Arial" w:cs="Arial"/>
          <w:i/>
          <w:sz w:val="20"/>
          <w:lang w:val="es-CO"/>
        </w:rPr>
        <w:t>Antecedentes</w:t>
      </w:r>
      <w:r w:rsidRPr="00B92779">
        <w:rPr>
          <w:rFonts w:eastAsia="Arial" w:cs="Arial"/>
          <w:sz w:val="20"/>
          <w:lang w:val="es-CO"/>
        </w:rPr>
        <w:t>”. Expediente digital No. 52/2018/D028-PREDI.</w:t>
      </w:r>
    </w:p>
    <w:p w14:paraId="760C3CCE" w14:textId="77777777" w:rsidR="003371AD" w:rsidRPr="00D26A44" w:rsidRDefault="00D26A44" w:rsidP="005140E1">
      <w:pPr>
        <w:pStyle w:val="Prrafodelista"/>
        <w:ind w:left="360"/>
        <w:contextualSpacing/>
        <w:rPr>
          <w:rStyle w:val="Hipervnculo"/>
          <w:rFonts w:cs="Arial"/>
          <w:color w:val="auto"/>
          <w:sz w:val="16"/>
          <w:szCs w:val="16"/>
        </w:rPr>
      </w:pPr>
      <w:r w:rsidRPr="00D26A44">
        <w:rPr>
          <w:rStyle w:val="Hipervnculo"/>
          <w:rFonts w:cs="Arial"/>
          <w:sz w:val="16"/>
          <w:szCs w:val="16"/>
          <w:lang w:val="es-CO"/>
        </w:rPr>
        <w:t>http://portalgestiondoc.minhacienda.red/PortalEmpleado/viewer.jsp?config=IjU+xohsbl9+whKTiIgnDdAvDllhFpqDV4gIbyofkmj0jaWfwFxsCnkhF7SZzEJFcNqVISSTRgfaja5vy5Q1WjwmL0OshbmTeJ2aAqS8jymBy04/WEJRWrDDKEAPVvf9XXdh8nL2AorpEHSmnXqtiznF1vPaWZVuEUse4PMJZ9+nBoexK3epLOcSQDRg0K8o&amp;guid=5b8a275118abe0066962106&amp;idrepository=879</w:t>
      </w:r>
    </w:p>
    <w:p w14:paraId="4E85972F" w14:textId="77777777" w:rsidR="00A20990" w:rsidRPr="001A38D5" w:rsidRDefault="00A20990" w:rsidP="005140E1">
      <w:pPr>
        <w:ind w:left="360"/>
        <w:contextualSpacing/>
        <w:jc w:val="both"/>
        <w:rPr>
          <w:rFonts w:eastAsia="Arial" w:cs="Arial"/>
          <w:lang w:val="es-CO"/>
        </w:rPr>
      </w:pPr>
    </w:p>
    <w:p w14:paraId="7605B2B9" w14:textId="77777777" w:rsidR="00A20990" w:rsidRPr="007A412F" w:rsidRDefault="00A20990" w:rsidP="005140E1">
      <w:pPr>
        <w:contextualSpacing/>
        <w:jc w:val="both"/>
        <w:rPr>
          <w:rFonts w:eastAsia="Times New Roman" w:cs="Arial"/>
          <w:b/>
          <w:bCs/>
          <w:lang w:val="es-CO" w:eastAsia="es-CO"/>
        </w:rPr>
      </w:pPr>
      <w:r w:rsidRPr="007A412F">
        <w:rPr>
          <w:rFonts w:eastAsia="Times New Roman" w:cs="Arial"/>
          <w:b/>
          <w:bCs/>
          <w:lang w:val="es-CO" w:eastAsia="es-CO"/>
        </w:rPr>
        <w:t>3. Inadecuado registro en la Cuenta Maestra de Alimentación Escolar.</w:t>
      </w:r>
    </w:p>
    <w:p w14:paraId="53A65C71" w14:textId="77777777" w:rsidR="00145880" w:rsidRPr="001A38D5" w:rsidRDefault="00145880" w:rsidP="005140E1">
      <w:pPr>
        <w:contextualSpacing/>
        <w:jc w:val="both"/>
        <w:rPr>
          <w:rFonts w:eastAsia="Times New Roman" w:cs="Arial"/>
          <w:b/>
          <w:bCs/>
          <w:u w:val="single"/>
          <w:lang w:val="es-CO" w:eastAsia="es-CO"/>
        </w:rPr>
      </w:pPr>
    </w:p>
    <w:p w14:paraId="303530FF"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En virtud de lo dispuesto por el artículo 140 de la Ley 1753 de 2015 y por el parágrafo cuarto del artículo 136 de la Ley 1450 de 2011 sobre la administración de los recursos que concurren en la financiación del Programa de Alimentación Escolar, </w:t>
      </w:r>
      <w:r w:rsidR="00EE21B9" w:rsidRPr="00EE21B9">
        <w:rPr>
          <w:rFonts w:eastAsia="Arial" w:cs="Arial"/>
          <w:lang w:val="es-CO"/>
        </w:rPr>
        <w:t>los Ministerios de Educación Nacional y de Hacienda y Crédito Público</w:t>
      </w:r>
      <w:r w:rsidR="00EE21B9">
        <w:rPr>
          <w:rFonts w:eastAsia="Arial" w:cs="Arial"/>
          <w:lang w:val="es-CO"/>
        </w:rPr>
        <w:t xml:space="preserve"> expidieron</w:t>
      </w:r>
      <w:r w:rsidRPr="00EE21B9">
        <w:rPr>
          <w:rFonts w:eastAsia="Arial" w:cs="Arial"/>
          <w:lang w:val="es-CO"/>
        </w:rPr>
        <w:t xml:space="preserve"> </w:t>
      </w:r>
      <w:r w:rsidRPr="001A38D5">
        <w:rPr>
          <w:rFonts w:eastAsia="Arial" w:cs="Arial"/>
          <w:lang w:val="es-CO"/>
        </w:rPr>
        <w:t>la Resolución No. 2248 de 2018</w:t>
      </w:r>
      <w:r w:rsidR="00EE21B9">
        <w:rPr>
          <w:rFonts w:eastAsia="Arial" w:cs="Arial"/>
          <w:lang w:val="es-CO"/>
        </w:rPr>
        <w:t xml:space="preserve"> </w:t>
      </w:r>
      <w:r w:rsidRPr="001A38D5">
        <w:rPr>
          <w:rFonts w:eastAsia="Arial" w:cs="Arial"/>
          <w:lang w:val="es-CO"/>
        </w:rPr>
        <w:t>, por la cual se fijan las condiciones de apertura, registro y operación de las Cuentas Maestras de las Entidades territoriales, en las que administran todos los recursos del Programa de Alimentación Escolar y modifica la Resolución No. 4835 de 2015 y su Anexo Técnico, sobre el reporte de información de las Cuentas Maestras.</w:t>
      </w:r>
    </w:p>
    <w:p w14:paraId="03A5673B" w14:textId="77777777" w:rsidR="00A20990" w:rsidRPr="001A38D5" w:rsidRDefault="00A20990" w:rsidP="005140E1">
      <w:pPr>
        <w:contextualSpacing/>
        <w:jc w:val="both"/>
        <w:rPr>
          <w:rFonts w:eastAsia="Arial" w:cs="Arial"/>
          <w:lang w:val="es-CO"/>
        </w:rPr>
      </w:pPr>
    </w:p>
    <w:p w14:paraId="7B75E592" w14:textId="77777777" w:rsidR="00A20990" w:rsidRDefault="00333DD9" w:rsidP="005140E1">
      <w:pPr>
        <w:contextualSpacing/>
        <w:jc w:val="both"/>
        <w:rPr>
          <w:rFonts w:eastAsia="Arial" w:cs="Arial"/>
          <w:lang w:val="es-CO"/>
        </w:rPr>
      </w:pPr>
      <w:r>
        <w:rPr>
          <w:rFonts w:eastAsia="Arial" w:cs="Arial"/>
          <w:lang w:val="es-CO"/>
        </w:rPr>
        <w:t>E</w:t>
      </w:r>
      <w:r w:rsidR="00A20990" w:rsidRPr="001A38D5">
        <w:rPr>
          <w:rFonts w:eastAsia="Arial" w:cs="Arial"/>
          <w:lang w:val="es-CO"/>
        </w:rPr>
        <w:t>l Anexo Técnico de la Resolución No. 4835 de 2015 del Ministerio de Hacienda y Crédito Público</w:t>
      </w:r>
      <w:r>
        <w:rPr>
          <w:rFonts w:eastAsia="Arial" w:cs="Arial"/>
          <w:lang w:val="es-CO"/>
        </w:rPr>
        <w:t xml:space="preserve"> para</w:t>
      </w:r>
      <w:r w:rsidR="00A20990" w:rsidRPr="001A38D5">
        <w:rPr>
          <w:rFonts w:eastAsia="Arial" w:cs="Arial"/>
          <w:lang w:val="es-CO"/>
        </w:rPr>
        <w:t xml:space="preserve"> el Campo No. 7 “</w:t>
      </w:r>
      <w:r w:rsidR="00A20990" w:rsidRPr="001A38D5">
        <w:rPr>
          <w:rFonts w:eastAsia="Arial" w:cs="Arial"/>
          <w:i/>
          <w:lang w:val="es-CO"/>
        </w:rPr>
        <w:t>Tipo de registro de movimiento</w:t>
      </w:r>
      <w:r w:rsidR="00A20990" w:rsidRPr="001A38D5">
        <w:rPr>
          <w:rFonts w:eastAsia="Arial" w:cs="Arial"/>
          <w:lang w:val="es-CO"/>
        </w:rPr>
        <w:t xml:space="preserve">”, del Registro Tipo 4, dispuso el Código de Egreso 321, que debe ser registrado por las </w:t>
      </w:r>
      <w:r w:rsidR="00551659">
        <w:rPr>
          <w:rFonts w:eastAsia="Arial" w:cs="Arial"/>
          <w:lang w:val="es-CO"/>
        </w:rPr>
        <w:t>e</w:t>
      </w:r>
      <w:r w:rsidR="00A20990" w:rsidRPr="001A38D5">
        <w:rPr>
          <w:rFonts w:eastAsia="Arial" w:cs="Arial"/>
          <w:lang w:val="es-CO"/>
        </w:rPr>
        <w:t>ntidades territoriales al momento de realizar el pago al beneficiario, para las Entidades Certificadas en Educación que reciben recursos diferentes a la de la Asignación Especial para Alimentación Escolar, toda vez que a partir de la vigencia 2019 con motivo de la expedición de la Resolución No. 2</w:t>
      </w:r>
      <w:r>
        <w:rPr>
          <w:rFonts w:eastAsia="Arial" w:cs="Arial"/>
          <w:lang w:val="es-CO"/>
        </w:rPr>
        <w:t>2</w:t>
      </w:r>
      <w:r w:rsidR="00A20990" w:rsidRPr="001A38D5">
        <w:rPr>
          <w:rFonts w:eastAsia="Arial" w:cs="Arial"/>
          <w:lang w:val="es-CO"/>
        </w:rPr>
        <w:t xml:space="preserve">48 de 2018 </w:t>
      </w:r>
      <w:r>
        <w:rPr>
          <w:rFonts w:eastAsia="Times New Roman" w:cs="Arial"/>
          <w:bCs/>
          <w:lang w:val="es-CO" w:eastAsia="es-CO"/>
        </w:rPr>
        <w:t>de los Ministerios de Hacienda y Crédito Público y de Educación Nacional</w:t>
      </w:r>
      <w:r w:rsidR="00A20990" w:rsidRPr="001A38D5">
        <w:rPr>
          <w:rFonts w:eastAsia="Arial" w:cs="Arial"/>
          <w:lang w:val="es-CO"/>
        </w:rPr>
        <w:t xml:space="preserve">, todos los recursos para la financiación del Programa debían ser administrados desde una única cuenta. </w:t>
      </w:r>
    </w:p>
    <w:p w14:paraId="74F51982" w14:textId="77777777" w:rsidR="00333DD9" w:rsidRDefault="00333DD9" w:rsidP="005140E1">
      <w:pPr>
        <w:contextualSpacing/>
        <w:jc w:val="both"/>
        <w:rPr>
          <w:rFonts w:eastAsia="Arial" w:cs="Arial"/>
          <w:lang w:val="es-CO"/>
        </w:rPr>
      </w:pPr>
    </w:p>
    <w:p w14:paraId="79E079A6" w14:textId="77777777" w:rsidR="00333DD9" w:rsidRPr="001A38D5" w:rsidRDefault="00333DD9" w:rsidP="00333DD9">
      <w:pPr>
        <w:contextualSpacing/>
        <w:jc w:val="both"/>
        <w:rPr>
          <w:rFonts w:cs="Arial"/>
          <w:lang w:val="es-CO"/>
        </w:rPr>
      </w:pPr>
      <w:r>
        <w:rPr>
          <w:rFonts w:cs="Arial"/>
          <w:lang w:val="es-CO"/>
        </w:rPr>
        <w:t xml:space="preserve">Asimismo, </w:t>
      </w:r>
      <w:r w:rsidR="005302E0">
        <w:rPr>
          <w:rFonts w:cs="Arial"/>
          <w:lang w:val="es-CO"/>
        </w:rPr>
        <w:t>el Anexo Técnico en mención señala que</w:t>
      </w:r>
      <w:r>
        <w:rPr>
          <w:rFonts w:cs="Arial"/>
          <w:lang w:val="es-CO"/>
        </w:rPr>
        <w:t xml:space="preserve"> l</w:t>
      </w:r>
      <w:r w:rsidRPr="001A38D5">
        <w:rPr>
          <w:rFonts w:cs="Arial"/>
          <w:lang w:val="es-CO"/>
        </w:rPr>
        <w:t>a inscripción de los beneficiarios</w:t>
      </w:r>
      <w:r>
        <w:rPr>
          <w:rFonts w:cs="Arial"/>
          <w:lang w:val="es-CO"/>
        </w:rPr>
        <w:t xml:space="preserve"> </w:t>
      </w:r>
      <w:r w:rsidR="005302E0">
        <w:rPr>
          <w:rFonts w:cs="Arial"/>
          <w:lang w:val="es-CO"/>
        </w:rPr>
        <w:t xml:space="preserve">deberá realizarse de acuerdo con lo establecido en el </w:t>
      </w:r>
      <w:r w:rsidR="005302E0" w:rsidRPr="001A38D5">
        <w:rPr>
          <w:rFonts w:cs="Arial"/>
          <w:lang w:val="es-CO"/>
        </w:rPr>
        <w:t>“</w:t>
      </w:r>
      <w:r w:rsidR="005302E0" w:rsidRPr="007A412F">
        <w:rPr>
          <w:rFonts w:cs="Arial"/>
          <w:i/>
          <w:iCs/>
          <w:lang w:val="es-CO"/>
        </w:rPr>
        <w:t>Registro Tipo 3</w:t>
      </w:r>
      <w:r w:rsidR="005302E0" w:rsidRPr="001A38D5">
        <w:rPr>
          <w:rFonts w:cs="Arial"/>
          <w:lang w:val="es-CO"/>
        </w:rPr>
        <w:t>”,</w:t>
      </w:r>
      <w:r w:rsidR="005302E0">
        <w:rPr>
          <w:rFonts w:cs="Arial"/>
          <w:lang w:val="es-CO"/>
        </w:rPr>
        <w:t xml:space="preserve"> </w:t>
      </w:r>
      <w:r>
        <w:rPr>
          <w:rFonts w:cs="Arial"/>
          <w:lang w:val="es-CO"/>
        </w:rPr>
        <w:t>C</w:t>
      </w:r>
      <w:r w:rsidRPr="001A38D5">
        <w:rPr>
          <w:rFonts w:cs="Arial"/>
          <w:lang w:val="es-CO"/>
        </w:rPr>
        <w:t>ampo No. 10</w:t>
      </w:r>
      <w:r w:rsidR="005302E0">
        <w:rPr>
          <w:rFonts w:cs="Arial"/>
          <w:lang w:val="es-CO"/>
        </w:rPr>
        <w:t xml:space="preserve"> denominado</w:t>
      </w:r>
      <w:r w:rsidRPr="001A38D5">
        <w:rPr>
          <w:rFonts w:cs="Arial"/>
          <w:lang w:val="es-CO"/>
        </w:rPr>
        <w:t xml:space="preserve"> “</w:t>
      </w:r>
      <w:r w:rsidRPr="007A412F">
        <w:rPr>
          <w:rFonts w:cs="Arial"/>
          <w:i/>
          <w:iCs/>
          <w:lang w:val="es-CO"/>
        </w:rPr>
        <w:t>Nombre o Razón Social del Beneficiario</w:t>
      </w:r>
      <w:r w:rsidRPr="001A38D5">
        <w:rPr>
          <w:rFonts w:cs="Arial"/>
          <w:lang w:val="es-CO"/>
        </w:rPr>
        <w:t>” tal y como aparecen en el Registro Único Tributario – RUT.</w:t>
      </w:r>
    </w:p>
    <w:p w14:paraId="33A7C506" w14:textId="77777777" w:rsidR="00333DD9" w:rsidRDefault="00333DD9" w:rsidP="005140E1">
      <w:pPr>
        <w:contextualSpacing/>
        <w:jc w:val="both"/>
        <w:rPr>
          <w:rFonts w:eastAsia="Arial" w:cs="Arial"/>
          <w:lang w:val="es-CO"/>
        </w:rPr>
      </w:pPr>
    </w:p>
    <w:p w14:paraId="463E4A6D" w14:textId="77777777" w:rsidR="0097403A" w:rsidRDefault="0097403A" w:rsidP="005140E1">
      <w:pPr>
        <w:contextualSpacing/>
        <w:jc w:val="both"/>
        <w:rPr>
          <w:rFonts w:cs="Arial"/>
          <w:lang w:val="es-CO"/>
        </w:rPr>
      </w:pPr>
      <w:r>
        <w:rPr>
          <w:rFonts w:cs="Arial"/>
          <w:lang w:val="es-CO"/>
        </w:rPr>
        <w:t>El análisis de la Cuenta Maestra del PAE y de su Cuenta Maestra Pagadora para el Municipio de Villavicencio en las vigencias 2019 a 2022 se realiza en observancia de las disposiciones contenidas en esta normatividad</w:t>
      </w:r>
      <w:r w:rsidR="004F5425">
        <w:rPr>
          <w:rFonts w:cs="Arial"/>
          <w:lang w:val="es-CO"/>
        </w:rPr>
        <w:t>;</w:t>
      </w:r>
      <w:r>
        <w:rPr>
          <w:rFonts w:cs="Arial"/>
          <w:lang w:val="es-CO"/>
        </w:rPr>
        <w:t xml:space="preserve"> sin embargo, es importante resaltar que estas fueron recogidas en la </w:t>
      </w:r>
      <w:r w:rsidRPr="0007655E">
        <w:rPr>
          <w:rFonts w:cs="Arial"/>
          <w:lang w:val="es-CO"/>
        </w:rPr>
        <w:t xml:space="preserve">Resolución </w:t>
      </w:r>
      <w:r>
        <w:rPr>
          <w:rFonts w:cs="Arial"/>
          <w:lang w:val="es-CO"/>
        </w:rPr>
        <w:t xml:space="preserve">No. </w:t>
      </w:r>
      <w:r w:rsidRPr="0007655E">
        <w:rPr>
          <w:rFonts w:cs="Arial"/>
          <w:lang w:val="es-CO"/>
        </w:rPr>
        <w:t xml:space="preserve">2394 del 21 de septiembre de 2023 </w:t>
      </w:r>
      <w:r w:rsidRPr="00BE0FA7">
        <w:rPr>
          <w:rFonts w:cs="Arial"/>
          <w:lang w:val="es-CO"/>
        </w:rPr>
        <w:t>de los Ministerios de Hacienda y Crédito Público, Educación Nacional, Vivienda, Ciudad y Territorio y la Unidad Administrativa Especial de Al</w:t>
      </w:r>
      <w:r w:rsidR="00A81C6B">
        <w:rPr>
          <w:rFonts w:cs="Arial"/>
          <w:lang w:val="es-CO"/>
        </w:rPr>
        <w:t>imentación Escolar - Alimentos p</w:t>
      </w:r>
      <w:r w:rsidRPr="00BE0FA7">
        <w:rPr>
          <w:rFonts w:cs="Arial"/>
          <w:lang w:val="es-CO"/>
        </w:rPr>
        <w:t xml:space="preserve">ara Aprender </w:t>
      </w:r>
      <w:r w:rsidRPr="00C159DF">
        <w:rPr>
          <w:rFonts w:cs="Arial"/>
          <w:i/>
          <w:lang w:val="es-CO"/>
        </w:rPr>
        <w:t>“Por la cual se fijan las condiciones de apertura, registro, operación, cancelación y sustitución de las Cuentas Maestras y de las Cuentas Maestras para Pagos Electrónicos (PSE) en las cuales se administran los recursos de las Participaciones de Agua Potable y Saneamiento Básico, Educación, Propósito General, las Asignaciones Especiales y la Asignación para la Atención Integral a la Primera Infancia del Sistema General de Participaciones y en el Sector Educación las demás fuentes del Programa de Alimentación Escolar (PAE)</w:t>
      </w:r>
      <w:r w:rsidRPr="0007655E">
        <w:rPr>
          <w:rFonts w:cs="Arial"/>
          <w:lang w:val="es-CO"/>
        </w:rPr>
        <w:t>”.</w:t>
      </w:r>
    </w:p>
    <w:p w14:paraId="5EBA09DE" w14:textId="77777777" w:rsidR="0097403A" w:rsidRPr="001A38D5" w:rsidRDefault="0097403A" w:rsidP="005140E1">
      <w:pPr>
        <w:contextualSpacing/>
        <w:jc w:val="both"/>
        <w:rPr>
          <w:rFonts w:eastAsia="Arial" w:cs="Arial"/>
          <w:lang w:val="es-CO"/>
        </w:rPr>
      </w:pPr>
    </w:p>
    <w:p w14:paraId="2219746C" w14:textId="77777777" w:rsidR="00A20990" w:rsidRPr="001A38D5" w:rsidRDefault="00A20990" w:rsidP="005140E1">
      <w:pPr>
        <w:contextualSpacing/>
        <w:jc w:val="both"/>
        <w:rPr>
          <w:rFonts w:eastAsia="Arial" w:cs="Arial"/>
          <w:lang w:val="es-CO"/>
        </w:rPr>
      </w:pPr>
      <w:r w:rsidRPr="001A38D5">
        <w:rPr>
          <w:rFonts w:eastAsia="Arial" w:cs="Arial"/>
          <w:lang w:val="es-CO"/>
        </w:rPr>
        <w:t>Con base en la información disponible en la Plataforma de Integración de Datos - PISIS del Ministerio de Salud y Protección Social de la Cuenta Maestra de Alimentación Escolar de Bancolombia No. 36456549068, se pudo constatar que la Entidad Territorial se encuentra registrando de manera errónea los egresos realizados a través de la Cuenta Maestra. Lo anterior, debido a que el reporte del Registro Tipo 4 enviado por la Entidad Bancaria al Ministerio de Hacienda y Crédito Público, muestra que los egresos a través de dicha Cuenta durante las vigencias 2019 a 2022 se registraron como “</w:t>
      </w:r>
      <w:r w:rsidRPr="007A412F">
        <w:rPr>
          <w:rFonts w:eastAsia="Arial" w:cs="Arial"/>
          <w:i/>
          <w:iCs/>
          <w:lang w:val="es-CO"/>
        </w:rPr>
        <w:t>Egreso de Asignación Especial Alimentación Escolar (320)</w:t>
      </w:r>
      <w:r w:rsidRPr="001A38D5">
        <w:rPr>
          <w:rFonts w:eastAsia="Arial" w:cs="Arial"/>
          <w:lang w:val="es-CO"/>
        </w:rPr>
        <w:t>”.</w:t>
      </w:r>
    </w:p>
    <w:p w14:paraId="459426DB" w14:textId="77777777" w:rsidR="00A20990" w:rsidRPr="001A38D5" w:rsidRDefault="00A20990" w:rsidP="005140E1">
      <w:pPr>
        <w:contextualSpacing/>
        <w:jc w:val="both"/>
        <w:rPr>
          <w:rFonts w:eastAsia="Arial" w:cs="Arial"/>
          <w:lang w:val="es-CO"/>
        </w:rPr>
      </w:pPr>
    </w:p>
    <w:p w14:paraId="5FA36E4E" w14:textId="77777777" w:rsidR="00A20990" w:rsidRPr="001A38D5" w:rsidRDefault="00A20990" w:rsidP="005140E1">
      <w:pPr>
        <w:contextualSpacing/>
        <w:jc w:val="both"/>
        <w:rPr>
          <w:rFonts w:eastAsia="Arial" w:cs="Arial"/>
          <w:lang w:val="es-CO"/>
        </w:rPr>
      </w:pPr>
      <w:r w:rsidRPr="001A38D5">
        <w:rPr>
          <w:rFonts w:eastAsia="Arial" w:cs="Arial"/>
          <w:lang w:val="es-CO"/>
        </w:rPr>
        <w:t>El Municipio al ser Entidad Territorial Certificada en Educación recibe giros de otras fuentes de financiación diferentes a la Asignación Especial como lo son los recursos de cofinanciación nacional asignados por el Ministerio de Educación Nacional, razón por la cual los egresos de dichas fuentes deben ser registradas con el Código 321 correspondiente a “</w:t>
      </w:r>
      <w:r w:rsidRPr="007A412F">
        <w:rPr>
          <w:rFonts w:eastAsia="Arial" w:cs="Arial"/>
          <w:i/>
          <w:iCs/>
          <w:lang w:val="es-CO"/>
        </w:rPr>
        <w:t>Egreso Programa de Alimentación Escolar-PAE</w:t>
      </w:r>
      <w:r w:rsidRPr="001A38D5">
        <w:rPr>
          <w:rFonts w:eastAsia="Arial" w:cs="Arial"/>
          <w:lang w:val="es-CO"/>
        </w:rPr>
        <w:t>”.</w:t>
      </w:r>
    </w:p>
    <w:p w14:paraId="1BCBA2DF" w14:textId="77777777" w:rsidR="00A20990" w:rsidRPr="001A38D5" w:rsidRDefault="00A20990" w:rsidP="005140E1">
      <w:pPr>
        <w:contextualSpacing/>
        <w:jc w:val="both"/>
        <w:rPr>
          <w:rFonts w:eastAsia="Arial" w:cs="Arial"/>
          <w:lang w:val="es-CO"/>
        </w:rPr>
      </w:pPr>
    </w:p>
    <w:p w14:paraId="6E33F424" w14:textId="77777777" w:rsidR="00A20990" w:rsidRPr="001A38D5" w:rsidRDefault="00A20990" w:rsidP="005140E1">
      <w:pPr>
        <w:contextualSpacing/>
        <w:jc w:val="both"/>
        <w:rPr>
          <w:rFonts w:eastAsia="Arial" w:cs="Arial"/>
          <w:lang w:val="es-CO"/>
        </w:rPr>
      </w:pPr>
      <w:r w:rsidRPr="001A38D5">
        <w:rPr>
          <w:rFonts w:eastAsia="Arial" w:cs="Arial"/>
          <w:lang w:val="es-CO"/>
        </w:rPr>
        <w:t>Asimismo, de acuerdo con la información disponible en la Plataforma de Integración de Datos del Ministerio de Salud y Protección Social sobre la Cuenta Maestra de Alimentación Escolar No. 36456549068 de Bancolombia, se observa inadecuado registro de la descripción de los movimientos, toda vez que se evidenciaron problemas asociados al reporte de los códigos de los rubros presupuestales afectados en las operaciones realizadas en la Cuenta Maestra.</w:t>
      </w:r>
    </w:p>
    <w:p w14:paraId="5A29EC95" w14:textId="77777777" w:rsidR="00A20990" w:rsidRPr="001A38D5" w:rsidRDefault="00A20990" w:rsidP="005140E1">
      <w:pPr>
        <w:contextualSpacing/>
        <w:jc w:val="both"/>
        <w:rPr>
          <w:rFonts w:eastAsia="Arial" w:cs="Arial"/>
          <w:lang w:val="es-CO"/>
        </w:rPr>
      </w:pPr>
    </w:p>
    <w:p w14:paraId="1565F25D" w14:textId="77777777" w:rsidR="00A20990" w:rsidRPr="001A38D5" w:rsidRDefault="00A20990" w:rsidP="005140E1">
      <w:pPr>
        <w:contextualSpacing/>
        <w:jc w:val="both"/>
        <w:rPr>
          <w:rFonts w:eastAsia="Arial" w:cs="Arial"/>
          <w:lang w:val="es-CO"/>
        </w:rPr>
      </w:pPr>
      <w:r w:rsidRPr="001A38D5">
        <w:rPr>
          <w:rFonts w:eastAsia="Arial" w:cs="Arial"/>
          <w:lang w:val="es-CO"/>
        </w:rPr>
        <w:t>Al mismo tiempo, según lo indicado en el Anexo Técnico de la Resolución No. 4835 de 2015 del Ministerio de Hacienda y Crédito Público el campo No. 10 “</w:t>
      </w:r>
      <w:r w:rsidRPr="007A412F">
        <w:rPr>
          <w:rFonts w:eastAsia="Arial" w:cs="Arial"/>
          <w:i/>
          <w:iCs/>
          <w:lang w:val="es-CO"/>
        </w:rPr>
        <w:t>Nombre o Razón Social del Beneficiario</w:t>
      </w:r>
      <w:r w:rsidRPr="001A38D5">
        <w:rPr>
          <w:rFonts w:eastAsia="Arial" w:cs="Arial"/>
          <w:lang w:val="es-CO"/>
        </w:rPr>
        <w:t>” del “</w:t>
      </w:r>
      <w:r w:rsidRPr="007A412F">
        <w:rPr>
          <w:rFonts w:eastAsia="Arial" w:cs="Arial"/>
          <w:i/>
          <w:iCs/>
          <w:lang w:val="es-CO"/>
        </w:rPr>
        <w:t>Registro Tipo 3</w:t>
      </w:r>
      <w:r w:rsidRPr="001A38D5">
        <w:rPr>
          <w:rFonts w:eastAsia="Arial" w:cs="Arial"/>
          <w:lang w:val="es-CO"/>
        </w:rPr>
        <w:t xml:space="preserve">”, debe ser diligenciado con la </w:t>
      </w:r>
      <w:r w:rsidR="00551659">
        <w:rPr>
          <w:rFonts w:eastAsia="Arial" w:cs="Arial"/>
          <w:lang w:val="es-CO"/>
        </w:rPr>
        <w:t>r</w:t>
      </w:r>
      <w:r w:rsidRPr="001A38D5">
        <w:rPr>
          <w:rFonts w:eastAsia="Arial" w:cs="Arial"/>
          <w:lang w:val="es-CO"/>
        </w:rPr>
        <w:t xml:space="preserve">azón </w:t>
      </w:r>
      <w:r w:rsidR="00551659">
        <w:rPr>
          <w:rFonts w:eastAsia="Arial" w:cs="Arial"/>
          <w:lang w:val="es-CO"/>
        </w:rPr>
        <w:t>s</w:t>
      </w:r>
      <w:r w:rsidRPr="001A38D5">
        <w:rPr>
          <w:rFonts w:eastAsia="Arial" w:cs="Arial"/>
          <w:lang w:val="es-CO"/>
        </w:rPr>
        <w:t xml:space="preserve">ocial o nombre tal y como aparecen en el Registro Único Tributario – RUT para cada uno de los beneficiarios de </w:t>
      </w:r>
      <w:r w:rsidR="00551659">
        <w:rPr>
          <w:rFonts w:eastAsia="Arial" w:cs="Arial"/>
          <w:lang w:val="es-CO"/>
        </w:rPr>
        <w:t>la</w:t>
      </w:r>
      <w:r w:rsidR="00551659" w:rsidRPr="001A38D5">
        <w:rPr>
          <w:rFonts w:eastAsia="Arial" w:cs="Arial"/>
          <w:lang w:val="es-CO"/>
        </w:rPr>
        <w:t xml:space="preserve"> </w:t>
      </w:r>
      <w:r w:rsidR="00551659">
        <w:rPr>
          <w:rFonts w:eastAsia="Arial" w:cs="Arial"/>
          <w:lang w:val="es-CO"/>
        </w:rPr>
        <w:t>C</w:t>
      </w:r>
      <w:r w:rsidRPr="001A38D5">
        <w:rPr>
          <w:rFonts w:eastAsia="Arial" w:cs="Arial"/>
          <w:lang w:val="es-CO"/>
        </w:rPr>
        <w:t>uenta</w:t>
      </w:r>
      <w:r w:rsidR="00551659">
        <w:rPr>
          <w:rFonts w:eastAsia="Arial" w:cs="Arial"/>
          <w:lang w:val="es-CO"/>
        </w:rPr>
        <w:t xml:space="preserve"> Maestra</w:t>
      </w:r>
      <w:r w:rsidRPr="001A38D5">
        <w:rPr>
          <w:rFonts w:eastAsia="Arial" w:cs="Arial"/>
          <w:lang w:val="es-CO"/>
        </w:rPr>
        <w:t>.</w:t>
      </w:r>
    </w:p>
    <w:p w14:paraId="030F9249" w14:textId="77777777" w:rsidR="00A20990" w:rsidRPr="001A38D5" w:rsidRDefault="00A20990" w:rsidP="005140E1">
      <w:pPr>
        <w:contextualSpacing/>
        <w:jc w:val="both"/>
        <w:rPr>
          <w:rFonts w:eastAsia="Arial" w:cs="Arial"/>
          <w:lang w:val="es-CO"/>
        </w:rPr>
      </w:pPr>
    </w:p>
    <w:p w14:paraId="076BAC5A"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En 2019 se realizaron movimientos a favor de UNION TEMPORAL PAE y UNION TEMPORAL PAE VILLAVICENCIO 2019 tras las obligaciones surgidas del Contrato de </w:t>
      </w:r>
      <w:r w:rsidR="00551659">
        <w:rPr>
          <w:rFonts w:eastAsia="Arial" w:cs="Arial"/>
          <w:lang w:val="es-CO"/>
        </w:rPr>
        <w:t>P</w:t>
      </w:r>
      <w:r w:rsidRPr="001A38D5">
        <w:rPr>
          <w:rFonts w:eastAsia="Arial" w:cs="Arial"/>
          <w:lang w:val="es-CO"/>
        </w:rPr>
        <w:t xml:space="preserve">restación de </w:t>
      </w:r>
      <w:r w:rsidR="00551659">
        <w:rPr>
          <w:rFonts w:eastAsia="Arial" w:cs="Arial"/>
          <w:lang w:val="es-CO"/>
        </w:rPr>
        <w:t>S</w:t>
      </w:r>
      <w:r w:rsidRPr="001A38D5">
        <w:rPr>
          <w:rFonts w:eastAsia="Arial" w:cs="Arial"/>
          <w:lang w:val="es-CO"/>
        </w:rPr>
        <w:t>ervicios No. 077 del 30 de enero de 2019, suscrito con la Unión Temporal PAE para Villavicencio 2019 con NIT 901.248.776-0, según figura en su RUT. Al tiempo, se realizaron pagos a la UT PAE VILLAVICENCIO 2019 con NIT 901.288.823-1 en el marco de la ejecución del Contrato de prestación de servicios No. 1198 del 30 de mayo de 2019, cuyo operador era la Unión Temporal PAE para Villavicencio 2019 II con NIT 901.288.823-1, según su RUT.</w:t>
      </w:r>
    </w:p>
    <w:p w14:paraId="48BFA428" w14:textId="77777777" w:rsidR="00A20990" w:rsidRPr="001A38D5" w:rsidRDefault="00A20990" w:rsidP="005140E1">
      <w:pPr>
        <w:contextualSpacing/>
        <w:jc w:val="both"/>
        <w:rPr>
          <w:rFonts w:eastAsia="Arial" w:cs="Arial"/>
          <w:lang w:val="es-CO"/>
        </w:rPr>
      </w:pPr>
    </w:p>
    <w:p w14:paraId="7B096A7C"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En 2020 se puede evidenciar dos razones sociales para un mismo beneficiario: MAYORGA DIAZ YESSICA y YESSICA LORENA MAYORGA DIAZ. Además, se registraron movimientos debito a favor de UT COMPROMISO X VICIO, derivado del Contrato de </w:t>
      </w:r>
      <w:r w:rsidR="004F4ED7">
        <w:rPr>
          <w:rFonts w:eastAsia="Arial" w:cs="Arial"/>
          <w:lang w:val="es-CO"/>
        </w:rPr>
        <w:t>P</w:t>
      </w:r>
      <w:r w:rsidRPr="001A38D5">
        <w:rPr>
          <w:rFonts w:eastAsia="Arial" w:cs="Arial"/>
          <w:lang w:val="es-CO"/>
        </w:rPr>
        <w:t xml:space="preserve">restación de </w:t>
      </w:r>
      <w:r w:rsidR="004F4ED7">
        <w:rPr>
          <w:rFonts w:eastAsia="Arial" w:cs="Arial"/>
          <w:lang w:val="es-CO"/>
        </w:rPr>
        <w:t>S</w:t>
      </w:r>
      <w:r w:rsidRPr="001A38D5">
        <w:rPr>
          <w:rFonts w:eastAsia="Arial" w:cs="Arial"/>
          <w:lang w:val="es-CO"/>
        </w:rPr>
        <w:t>ervicios No. 1961 del 13 de diciembre de 2020, suscrito con la Unión Temporal Compromiso por Villavicencio – NIT. 901.438.327-2, según figura en su RUT.</w:t>
      </w:r>
    </w:p>
    <w:p w14:paraId="33471168" w14:textId="77777777" w:rsidR="00A20990" w:rsidRPr="001A38D5" w:rsidRDefault="00A20990" w:rsidP="005140E1">
      <w:pPr>
        <w:contextualSpacing/>
        <w:jc w:val="both"/>
        <w:rPr>
          <w:rFonts w:eastAsia="Arial" w:cs="Arial"/>
          <w:lang w:val="es-CO"/>
        </w:rPr>
      </w:pPr>
    </w:p>
    <w:p w14:paraId="48738E16"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En 2021 del Convenio </w:t>
      </w:r>
      <w:r w:rsidR="004F4ED7">
        <w:rPr>
          <w:rFonts w:eastAsia="Arial" w:cs="Arial"/>
          <w:lang w:val="es-CO"/>
        </w:rPr>
        <w:t>I</w:t>
      </w:r>
      <w:r w:rsidRPr="001A38D5">
        <w:rPr>
          <w:rFonts w:eastAsia="Arial" w:cs="Arial"/>
          <w:lang w:val="es-CO"/>
        </w:rPr>
        <w:t>nteradministrativo No. 1104 del 18 de mayo de 2021, suscrito con el Resguardo Indígena Maguaré, se registran operaciones debito teniendo como beneficiario el RESGUARDO INDIGENA MAGUARE con NIT. 891.857.920-2, número de identificación que corresponde al Municipio de Covarach</w:t>
      </w:r>
      <w:r w:rsidR="004F4ED7">
        <w:rPr>
          <w:rFonts w:eastAsia="Arial" w:cs="Arial"/>
          <w:lang w:val="es-CO"/>
        </w:rPr>
        <w:t>í</w:t>
      </w:r>
      <w:r w:rsidRPr="001A38D5">
        <w:rPr>
          <w:rFonts w:eastAsia="Arial" w:cs="Arial"/>
          <w:lang w:val="es-CO"/>
        </w:rPr>
        <w:t>a – Boyacá.</w:t>
      </w:r>
    </w:p>
    <w:p w14:paraId="141EAA87" w14:textId="77777777" w:rsidR="00A20990" w:rsidRPr="001A38D5" w:rsidRDefault="00A20990" w:rsidP="005140E1">
      <w:pPr>
        <w:contextualSpacing/>
        <w:jc w:val="both"/>
        <w:rPr>
          <w:rFonts w:eastAsia="Arial" w:cs="Arial"/>
          <w:lang w:val="es-CO"/>
        </w:rPr>
      </w:pPr>
    </w:p>
    <w:p w14:paraId="7780A9EC" w14:textId="77777777" w:rsidR="00A20990" w:rsidRPr="001A38D5" w:rsidRDefault="00A20990" w:rsidP="005140E1">
      <w:pPr>
        <w:contextualSpacing/>
        <w:jc w:val="both"/>
        <w:rPr>
          <w:rFonts w:eastAsia="Arial" w:cs="Arial"/>
          <w:lang w:val="es-CO"/>
        </w:rPr>
      </w:pPr>
      <w:r w:rsidRPr="001A38D5">
        <w:rPr>
          <w:rFonts w:eastAsia="Arial" w:cs="Arial"/>
          <w:lang w:val="es-CO"/>
        </w:rPr>
        <w:t>Durante la vigencia 2021 para la razón social MUNICIPIO DE VILLAVICENCIO se reportaron 4 números de identificación: i) 892.099.324-3, que corresponde al RUT del Municipio de Villavicencio; ii) 892.115.015-1 asociado al Departamento de La Guajira; iii) 891.480.085-7 que corresponde al Departamento de Risaralda; y iv) 8.920.993.243-8, el cual no se encuentra registrado en el RUT y no cumple las características del NIT para las personas jurídicas.</w:t>
      </w:r>
    </w:p>
    <w:p w14:paraId="1E03BB5F" w14:textId="77777777" w:rsidR="00A20990" w:rsidRPr="001A38D5" w:rsidRDefault="00A20990" w:rsidP="005140E1">
      <w:pPr>
        <w:contextualSpacing/>
        <w:jc w:val="both"/>
        <w:rPr>
          <w:rFonts w:eastAsia="Arial" w:cs="Arial"/>
          <w:lang w:val="es-CO"/>
        </w:rPr>
      </w:pPr>
    </w:p>
    <w:p w14:paraId="1037F013"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De los contratos suscritos para la operación del Programa durante la vigencia 2022, del Contrato de </w:t>
      </w:r>
      <w:r w:rsidR="004F4ED7">
        <w:rPr>
          <w:rFonts w:eastAsia="Arial" w:cs="Arial"/>
          <w:lang w:val="es-CO"/>
        </w:rPr>
        <w:t>P</w:t>
      </w:r>
      <w:r w:rsidRPr="001A38D5">
        <w:rPr>
          <w:rFonts w:eastAsia="Arial" w:cs="Arial"/>
          <w:lang w:val="es-CO"/>
        </w:rPr>
        <w:t xml:space="preserve">restación de </w:t>
      </w:r>
      <w:r w:rsidR="004F4ED7">
        <w:rPr>
          <w:rFonts w:eastAsia="Arial" w:cs="Arial"/>
          <w:lang w:val="es-CO"/>
        </w:rPr>
        <w:t>S</w:t>
      </w:r>
      <w:r w:rsidRPr="001A38D5">
        <w:rPr>
          <w:rFonts w:eastAsia="Arial" w:cs="Arial"/>
          <w:lang w:val="es-CO"/>
        </w:rPr>
        <w:t xml:space="preserve">ervicios No. 1719 del 11 de marzo de 2022, suscrito con la Unión Temporal PAE 2022 con NIT. 901.568.822-4 se registran movimientos debito a favor de UT PAE 2022. Del Contrato de </w:t>
      </w:r>
      <w:r w:rsidR="004F4ED7">
        <w:rPr>
          <w:rFonts w:eastAsia="Arial" w:cs="Arial"/>
          <w:lang w:val="es-CO"/>
        </w:rPr>
        <w:t>P</w:t>
      </w:r>
      <w:r w:rsidRPr="001A38D5">
        <w:rPr>
          <w:rFonts w:eastAsia="Arial" w:cs="Arial"/>
          <w:lang w:val="es-CO"/>
        </w:rPr>
        <w:t xml:space="preserve">restación de </w:t>
      </w:r>
      <w:r w:rsidR="004F4ED7">
        <w:rPr>
          <w:rFonts w:eastAsia="Arial" w:cs="Arial"/>
          <w:lang w:val="es-CO"/>
        </w:rPr>
        <w:t>S</w:t>
      </w:r>
      <w:r w:rsidRPr="001A38D5">
        <w:rPr>
          <w:rFonts w:eastAsia="Arial" w:cs="Arial"/>
          <w:lang w:val="es-CO"/>
        </w:rPr>
        <w:t xml:space="preserve">ervicios y de </w:t>
      </w:r>
      <w:r w:rsidR="004F4ED7">
        <w:rPr>
          <w:rFonts w:eastAsia="Arial" w:cs="Arial"/>
          <w:lang w:val="es-CO"/>
        </w:rPr>
        <w:t>A</w:t>
      </w:r>
      <w:r w:rsidRPr="001A38D5">
        <w:rPr>
          <w:rFonts w:eastAsia="Arial" w:cs="Arial"/>
          <w:lang w:val="es-CO"/>
        </w:rPr>
        <w:t xml:space="preserve">poyo </w:t>
      </w:r>
      <w:r w:rsidR="004F4ED7">
        <w:rPr>
          <w:rFonts w:eastAsia="Arial" w:cs="Arial"/>
          <w:lang w:val="es-CO"/>
        </w:rPr>
        <w:t>L</w:t>
      </w:r>
      <w:r w:rsidRPr="001A38D5">
        <w:rPr>
          <w:rFonts w:eastAsia="Arial" w:cs="Arial"/>
          <w:lang w:val="es-CO"/>
        </w:rPr>
        <w:t xml:space="preserve">ogístico No. 1739 del 10 de mayo de 2022, suscrito con la </w:t>
      </w:r>
      <w:r w:rsidR="004F4ED7">
        <w:rPr>
          <w:rFonts w:eastAsia="Arial" w:cs="Arial"/>
          <w:lang w:val="es-CO"/>
        </w:rPr>
        <w:t>E</w:t>
      </w:r>
      <w:r w:rsidRPr="001A38D5">
        <w:rPr>
          <w:rFonts w:eastAsia="Arial" w:cs="Arial"/>
          <w:lang w:val="es-CO"/>
        </w:rPr>
        <w:t xml:space="preserve">mpresa Logística y </w:t>
      </w:r>
      <w:r w:rsidR="004F4ED7">
        <w:rPr>
          <w:rFonts w:eastAsia="Arial" w:cs="Arial"/>
          <w:lang w:val="es-CO"/>
        </w:rPr>
        <w:t>S</w:t>
      </w:r>
      <w:r w:rsidRPr="001A38D5">
        <w:rPr>
          <w:rFonts w:eastAsia="Arial" w:cs="Arial"/>
          <w:lang w:val="es-CO"/>
        </w:rPr>
        <w:t xml:space="preserve">uministros </w:t>
      </w:r>
      <w:r w:rsidR="004F4ED7">
        <w:rPr>
          <w:rFonts w:eastAsia="Arial" w:cs="Arial"/>
          <w:lang w:val="es-CO"/>
        </w:rPr>
        <w:t>P</w:t>
      </w:r>
      <w:r w:rsidRPr="001A38D5">
        <w:rPr>
          <w:rFonts w:eastAsia="Arial" w:cs="Arial"/>
          <w:lang w:val="es-CO"/>
        </w:rPr>
        <w:t>entágono S.A.S con NIT. 900.653.740-9 se registran dos egresos al NIT 830.117.064-6 cuya razón social, según el RUT, es COMERCIALIZADORA AL GRANO SAS</w:t>
      </w:r>
      <w:r w:rsidR="004F4ED7">
        <w:rPr>
          <w:rFonts w:eastAsia="Arial" w:cs="Arial"/>
          <w:lang w:val="es-CO"/>
        </w:rPr>
        <w:t>;</w:t>
      </w:r>
      <w:r w:rsidRPr="001A38D5">
        <w:rPr>
          <w:rFonts w:eastAsia="Arial" w:cs="Arial"/>
          <w:lang w:val="es-CO"/>
        </w:rPr>
        <w:t xml:space="preserve"> no obstante, fue registrada en una de las operaciones por la Entidad como COMERCIALIZADORA AL GRANO. En cuanto al Contrato de </w:t>
      </w:r>
      <w:r w:rsidR="004F4ED7">
        <w:rPr>
          <w:rFonts w:eastAsia="Arial" w:cs="Arial"/>
          <w:lang w:val="es-CO"/>
        </w:rPr>
        <w:t>P</w:t>
      </w:r>
      <w:r w:rsidRPr="001A38D5">
        <w:rPr>
          <w:rFonts w:eastAsia="Arial" w:cs="Arial"/>
          <w:lang w:val="es-CO"/>
        </w:rPr>
        <w:t xml:space="preserve">restación de </w:t>
      </w:r>
      <w:r w:rsidR="004F4ED7">
        <w:rPr>
          <w:rFonts w:eastAsia="Arial" w:cs="Arial"/>
          <w:lang w:val="es-CO"/>
        </w:rPr>
        <w:t>S</w:t>
      </w:r>
      <w:r w:rsidRPr="001A38D5">
        <w:rPr>
          <w:rFonts w:eastAsia="Arial" w:cs="Arial"/>
          <w:lang w:val="es-CO"/>
        </w:rPr>
        <w:t>ervicios No. 1825 del 21 de julio de 2022 se realizaron pagos a favor de la UNION TEMPORAL VILLAVICENCIO SOLIDARIO, pese a que en el RUT figura bajo la razón social Unión Temporal Villavicencio Solidario 2022 con NIT. 901.614.837-1.</w:t>
      </w:r>
    </w:p>
    <w:p w14:paraId="4D01C418" w14:textId="77777777" w:rsidR="00A20990" w:rsidRPr="001A38D5" w:rsidRDefault="00A20990" w:rsidP="005140E1">
      <w:pPr>
        <w:contextualSpacing/>
        <w:jc w:val="both"/>
        <w:rPr>
          <w:rFonts w:eastAsia="Arial" w:cs="Arial"/>
          <w:lang w:val="es-CO"/>
        </w:rPr>
      </w:pPr>
    </w:p>
    <w:p w14:paraId="57CCB997" w14:textId="77777777" w:rsidR="00A20990" w:rsidRPr="001A38D5" w:rsidRDefault="00A20990" w:rsidP="005140E1">
      <w:pPr>
        <w:contextualSpacing/>
        <w:jc w:val="both"/>
        <w:rPr>
          <w:rFonts w:eastAsia="Arial" w:cs="Arial"/>
          <w:lang w:val="es-CO"/>
        </w:rPr>
      </w:pPr>
      <w:r w:rsidRPr="001A38D5">
        <w:rPr>
          <w:rFonts w:eastAsia="Arial" w:cs="Arial"/>
          <w:lang w:val="es-CO"/>
        </w:rPr>
        <w:t>Finalmente, en lo corrido de la vigencia 2022 se realizaron 45 pagos a favor del Municipio de Villavicencio, de los cuales 30 se realizaron registrando como beneficiario MPIO DE VILLAVICENCIO</w:t>
      </w:r>
      <w:r w:rsidR="005302E0">
        <w:rPr>
          <w:rFonts w:eastAsia="Arial" w:cs="Arial"/>
          <w:lang w:val="es-CO"/>
        </w:rPr>
        <w:t xml:space="preserve">, contraviniendo lo establecido en el Registro Tipo 3 del Anexo Técnico de la Resolución </w:t>
      </w:r>
      <w:r w:rsidR="005302E0" w:rsidRPr="005302E0">
        <w:rPr>
          <w:rFonts w:eastAsia="Arial" w:cs="Arial"/>
          <w:lang w:val="es-CO"/>
        </w:rPr>
        <w:t>No. 4835 de 2015 del Ministerio de Hacienda y Crédito Público</w:t>
      </w:r>
      <w:r w:rsidR="008D2AD3">
        <w:rPr>
          <w:rFonts w:eastAsia="Arial" w:cs="Arial"/>
          <w:lang w:val="es-CO"/>
        </w:rPr>
        <w:t xml:space="preserve">, el cual establece que </w:t>
      </w:r>
      <w:r w:rsidR="005302E0">
        <w:rPr>
          <w:rFonts w:eastAsia="Arial" w:cs="Arial"/>
          <w:lang w:val="es-CO"/>
        </w:rPr>
        <w:t>la</w:t>
      </w:r>
      <w:r w:rsidR="008D2AD3">
        <w:rPr>
          <w:rFonts w:eastAsia="Arial" w:cs="Arial"/>
          <w:lang w:val="es-CO"/>
        </w:rPr>
        <w:t xml:space="preserve"> Entidad Territorial deberá</w:t>
      </w:r>
      <w:r w:rsidR="005302E0">
        <w:rPr>
          <w:rFonts w:eastAsia="Arial" w:cs="Arial"/>
          <w:lang w:val="es-CO"/>
        </w:rPr>
        <w:t xml:space="preserve"> </w:t>
      </w:r>
      <w:r w:rsidR="008D2AD3">
        <w:rPr>
          <w:rFonts w:eastAsia="Arial" w:cs="Arial"/>
          <w:lang w:val="es-CO"/>
        </w:rPr>
        <w:t>diligenciar en el campo 10 el nombre o razón social d</w:t>
      </w:r>
      <w:r w:rsidR="005302E0">
        <w:rPr>
          <w:rFonts w:eastAsia="Arial" w:cs="Arial"/>
          <w:lang w:val="es-CO"/>
        </w:rPr>
        <w:t>e</w:t>
      </w:r>
      <w:r w:rsidR="008D2AD3">
        <w:rPr>
          <w:rFonts w:eastAsia="Arial" w:cs="Arial"/>
          <w:lang w:val="es-CO"/>
        </w:rPr>
        <w:t>l</w:t>
      </w:r>
      <w:r w:rsidR="005302E0">
        <w:rPr>
          <w:rFonts w:eastAsia="Arial" w:cs="Arial"/>
          <w:lang w:val="es-CO"/>
        </w:rPr>
        <w:t xml:space="preserve"> </w:t>
      </w:r>
      <w:r w:rsidR="008D2AD3">
        <w:rPr>
          <w:rFonts w:eastAsia="Arial" w:cs="Arial"/>
          <w:lang w:val="es-CO"/>
        </w:rPr>
        <w:t>beneficiario</w:t>
      </w:r>
      <w:r w:rsidR="005302E0">
        <w:rPr>
          <w:rFonts w:eastAsia="Arial" w:cs="Arial"/>
          <w:lang w:val="es-CO"/>
        </w:rPr>
        <w:t xml:space="preserve"> tal como aparece en el RUT</w:t>
      </w:r>
      <w:r w:rsidR="005302E0">
        <w:rPr>
          <w:rFonts w:eastAsia="Arial" w:cs="Arial"/>
          <w:i/>
          <w:iCs/>
          <w:lang w:val="es-CO"/>
        </w:rPr>
        <w:t>.</w:t>
      </w:r>
    </w:p>
    <w:p w14:paraId="63F8ACC5" w14:textId="77777777" w:rsidR="00A20990" w:rsidRPr="001A38D5" w:rsidRDefault="00A20990" w:rsidP="005140E1">
      <w:pPr>
        <w:contextualSpacing/>
        <w:jc w:val="both"/>
        <w:rPr>
          <w:rFonts w:eastAsia="Arial" w:cs="Arial"/>
          <w:lang w:val="es-CO"/>
        </w:rPr>
      </w:pPr>
    </w:p>
    <w:p w14:paraId="5608F661" w14:textId="77777777" w:rsidR="00A20990" w:rsidRPr="001A38D5" w:rsidRDefault="00A20990" w:rsidP="005140E1">
      <w:pPr>
        <w:pStyle w:val="Sinespaciado"/>
        <w:contextualSpacing/>
        <w:jc w:val="both"/>
        <w:rPr>
          <w:rFonts w:ascii="Verdana" w:hAnsi="Verdana" w:cs="Arial"/>
          <w:b/>
        </w:rPr>
      </w:pPr>
      <w:r w:rsidRPr="001A38D5">
        <w:rPr>
          <w:rFonts w:ascii="Verdana" w:hAnsi="Verdana" w:cs="Arial"/>
          <w:b/>
        </w:rPr>
        <w:t>Evidencias:</w:t>
      </w:r>
    </w:p>
    <w:p w14:paraId="30E0C7E6" w14:textId="77777777" w:rsidR="00A20990" w:rsidRPr="001A38D5" w:rsidRDefault="00A20990" w:rsidP="005140E1">
      <w:pPr>
        <w:pStyle w:val="Sinespaciado"/>
        <w:contextualSpacing/>
        <w:jc w:val="both"/>
        <w:rPr>
          <w:rFonts w:ascii="Verdana" w:hAnsi="Verdana" w:cs="Arial"/>
          <w:b/>
        </w:rPr>
      </w:pPr>
    </w:p>
    <w:p w14:paraId="3A61822B"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Obra en el expediente virtual el siguiente material probatorio:</w:t>
      </w:r>
    </w:p>
    <w:p w14:paraId="49CB8DA1" w14:textId="77777777" w:rsidR="00A20990" w:rsidRPr="001A38D5" w:rsidRDefault="00A20990" w:rsidP="005140E1">
      <w:pPr>
        <w:pStyle w:val="Sinespaciado"/>
        <w:contextualSpacing/>
        <w:jc w:val="both"/>
        <w:rPr>
          <w:rFonts w:ascii="Verdana" w:hAnsi="Verdana" w:cs="Arial"/>
          <w:b/>
        </w:rPr>
      </w:pPr>
    </w:p>
    <w:p w14:paraId="21052372" w14:textId="77777777" w:rsidR="00A20990" w:rsidRPr="00B92779" w:rsidRDefault="00A20990" w:rsidP="005140E1">
      <w:pPr>
        <w:widowControl/>
        <w:numPr>
          <w:ilvl w:val="0"/>
          <w:numId w:val="13"/>
        </w:numPr>
        <w:autoSpaceDE/>
        <w:autoSpaceDN/>
        <w:contextualSpacing/>
        <w:jc w:val="both"/>
        <w:rPr>
          <w:rFonts w:eastAsia="Times New Roman" w:cs="Arial"/>
          <w:sz w:val="20"/>
          <w:szCs w:val="20"/>
          <w:lang w:eastAsia="es-CO"/>
        </w:rPr>
      </w:pPr>
      <w:r w:rsidRPr="00B92779">
        <w:rPr>
          <w:rFonts w:eastAsia="Arial" w:cs="Arial"/>
          <w:sz w:val="20"/>
          <w:szCs w:val="20"/>
          <w:lang w:val="es-CO"/>
        </w:rPr>
        <w:t>Reporte del Sistema PISIS de la Cuenta Maestra de Alimentación Escolar No. 36456549068 de Bancolombia. Municipio de Villavicencio, Meta – Sector Alimentación Escolar. Serie: “</w:t>
      </w:r>
      <w:r w:rsidRPr="00B92779">
        <w:rPr>
          <w:rFonts w:eastAsia="Arial" w:cs="Arial"/>
          <w:i/>
          <w:sz w:val="20"/>
          <w:szCs w:val="20"/>
          <w:lang w:val="es-CO"/>
        </w:rPr>
        <w:t>Historial de Seguimiento y Control a los Recursos del Sistema General de Participaciones</w:t>
      </w:r>
      <w:r w:rsidRPr="00B92779">
        <w:rPr>
          <w:rFonts w:eastAsia="Arial" w:cs="Arial"/>
          <w:sz w:val="20"/>
          <w:szCs w:val="20"/>
          <w:lang w:val="es-CO"/>
        </w:rPr>
        <w:t xml:space="preserve"> – </w:t>
      </w:r>
      <w:r w:rsidRPr="00B92779">
        <w:rPr>
          <w:rFonts w:eastAsia="Arial" w:cs="Arial"/>
          <w:i/>
          <w:sz w:val="20"/>
          <w:szCs w:val="20"/>
          <w:lang w:val="es-CO"/>
        </w:rPr>
        <w:t>Antecedentes</w:t>
      </w:r>
      <w:r w:rsidRPr="00B92779">
        <w:rPr>
          <w:rFonts w:eastAsia="Arial" w:cs="Arial"/>
          <w:sz w:val="20"/>
          <w:szCs w:val="20"/>
          <w:lang w:val="es-CO"/>
        </w:rPr>
        <w:t>”. Expediente digital No. 52/2018/D028-PREDI.</w:t>
      </w:r>
    </w:p>
    <w:p w14:paraId="5D2D8A9A" w14:textId="77777777" w:rsidR="009472F8" w:rsidRPr="0088492C" w:rsidRDefault="00425319" w:rsidP="005140E1">
      <w:pPr>
        <w:widowControl/>
        <w:autoSpaceDE/>
        <w:autoSpaceDN/>
        <w:ind w:left="360"/>
        <w:contextualSpacing/>
        <w:jc w:val="both"/>
        <w:rPr>
          <w:rFonts w:eastAsia="Times New Roman" w:cs="Arial"/>
          <w:sz w:val="16"/>
          <w:szCs w:val="16"/>
          <w:lang w:eastAsia="es-CO"/>
        </w:rPr>
      </w:pPr>
      <w:hyperlink r:id="rId41" w:history="1">
        <w:r w:rsidR="0088492C" w:rsidRPr="0088492C">
          <w:rPr>
            <w:rStyle w:val="Hipervnculo"/>
            <w:rFonts w:eastAsia="Times New Roman" w:cs="Arial"/>
            <w:sz w:val="16"/>
            <w:szCs w:val="16"/>
            <w:lang w:eastAsia="es-CO"/>
          </w:rPr>
          <w:t>http://portalgestiondoc.minhacienda.red/PortalEmpleado/viewer.jsp?config=g/sE5TYYZBONXNciclJTo9X3FwoJlhCmznTRGENUpjH4D3YYLKiT1Ph9a5GFZdXgHvTu3FNIQ8ronG3Tpv0FPEUWJ1tPkF3RCHm/znUI5+ygdF1RGbAVvV6CjzWsPcBuqWJs9sYkY5rP7AG5cBv0Mc5EDMWtc6gkxPkaewqRChmOR68Sz5DD/Hn0TVuLK7EK&amp;guid=5b8a275118abe00669632d9&amp;idrepository=879</w:t>
        </w:r>
      </w:hyperlink>
      <w:r w:rsidR="009472F8" w:rsidRPr="0088492C">
        <w:rPr>
          <w:rFonts w:eastAsia="Times New Roman" w:cs="Arial"/>
          <w:sz w:val="16"/>
          <w:szCs w:val="16"/>
          <w:lang w:eastAsia="es-CO"/>
        </w:rPr>
        <w:t xml:space="preserve"> </w:t>
      </w:r>
    </w:p>
    <w:p w14:paraId="372B2D02" w14:textId="77777777" w:rsidR="00A20990" w:rsidRPr="00B92779" w:rsidRDefault="00A20990" w:rsidP="005140E1">
      <w:pPr>
        <w:widowControl/>
        <w:numPr>
          <w:ilvl w:val="0"/>
          <w:numId w:val="13"/>
        </w:numPr>
        <w:autoSpaceDE/>
        <w:autoSpaceDN/>
        <w:contextualSpacing/>
        <w:jc w:val="both"/>
        <w:rPr>
          <w:rFonts w:eastAsia="Times New Roman" w:cs="Arial"/>
          <w:sz w:val="20"/>
          <w:szCs w:val="20"/>
          <w:lang w:eastAsia="es-CO"/>
        </w:rPr>
      </w:pPr>
      <w:r w:rsidRPr="00B92779">
        <w:rPr>
          <w:rFonts w:eastAsia="Times New Roman" w:cs="Arial"/>
          <w:sz w:val="20"/>
          <w:szCs w:val="20"/>
          <w:lang w:eastAsia="es-CO"/>
        </w:rPr>
        <w:t xml:space="preserve">Estado del RUT Unión Temporal PAE para Villavicencio 2019 (NIT 901.248.776-0), Unión Temporal PAE para Villavicencio 2019 II (NIT 901.288.823-1), Unión Temporal PAE para Villavicencio 2020 (NIT 901.364.060-2), </w:t>
      </w:r>
      <w:r w:rsidR="00EF2696">
        <w:rPr>
          <w:rFonts w:eastAsia="Times New Roman" w:cs="Arial"/>
          <w:sz w:val="20"/>
          <w:szCs w:val="20"/>
          <w:lang w:eastAsia="es-CO"/>
        </w:rPr>
        <w:t xml:space="preserve">Resguardo Indígena Maguare </w:t>
      </w:r>
      <w:r w:rsidRPr="00B92779">
        <w:rPr>
          <w:rFonts w:eastAsia="Times New Roman" w:cs="Arial"/>
          <w:sz w:val="20"/>
          <w:szCs w:val="20"/>
          <w:lang w:eastAsia="es-CO"/>
        </w:rPr>
        <w:t xml:space="preserve">(NIT. 901.053.503-9), Unión Temporal Compromiso Por Villavicencio (NIT. 901.438.327-2), Logística y suministros pentágono S.A.S (NIT. </w:t>
      </w:r>
      <w:r w:rsidRPr="00B92779">
        <w:rPr>
          <w:rFonts w:eastAsia="Arial" w:cs="Arial"/>
          <w:sz w:val="20"/>
          <w:szCs w:val="20"/>
          <w:lang w:val="es-CO"/>
        </w:rPr>
        <w:t>900.653.740-9</w:t>
      </w:r>
      <w:r w:rsidRPr="00B92779">
        <w:rPr>
          <w:rFonts w:eastAsia="Times New Roman" w:cs="Arial"/>
          <w:sz w:val="20"/>
          <w:szCs w:val="20"/>
          <w:lang w:eastAsia="es-CO"/>
        </w:rPr>
        <w:t>), Comercializadora al Grano SAS (</w:t>
      </w:r>
      <w:r w:rsidRPr="00B92779">
        <w:rPr>
          <w:rFonts w:eastAsia="Arial" w:cs="Arial"/>
          <w:sz w:val="20"/>
          <w:szCs w:val="20"/>
          <w:lang w:val="es-CO"/>
        </w:rPr>
        <w:t xml:space="preserve">NIT 830.117.064-6) </w:t>
      </w:r>
      <w:r w:rsidRPr="00B92779">
        <w:rPr>
          <w:rFonts w:eastAsia="Times New Roman" w:cs="Arial"/>
          <w:sz w:val="20"/>
          <w:szCs w:val="20"/>
          <w:lang w:eastAsia="es-CO"/>
        </w:rPr>
        <w:t xml:space="preserve">y Unión Temporal Villavicencio Solidario 2022 (NIT. </w:t>
      </w:r>
      <w:r w:rsidRPr="00B92779">
        <w:rPr>
          <w:rFonts w:eastAsia="Arial" w:cs="Arial"/>
          <w:sz w:val="20"/>
          <w:szCs w:val="20"/>
          <w:lang w:val="es-CO"/>
        </w:rPr>
        <w:t>901.614.837-1</w:t>
      </w:r>
      <w:r w:rsidRPr="00B92779">
        <w:rPr>
          <w:rFonts w:eastAsia="Times New Roman" w:cs="Arial"/>
          <w:sz w:val="20"/>
          <w:szCs w:val="20"/>
          <w:lang w:eastAsia="es-CO"/>
        </w:rPr>
        <w:t>).</w:t>
      </w:r>
      <w:r w:rsidRPr="00B92779">
        <w:rPr>
          <w:rFonts w:eastAsia="Arial" w:cs="Arial"/>
          <w:sz w:val="20"/>
          <w:szCs w:val="20"/>
          <w:lang w:val="es-CO"/>
        </w:rPr>
        <w:t xml:space="preserve"> Municipio de Villavicencio, Meta – Sector Alimentación Escolar. Serie: “</w:t>
      </w:r>
      <w:r w:rsidRPr="00B92779">
        <w:rPr>
          <w:rFonts w:eastAsia="Arial" w:cs="Arial"/>
          <w:i/>
          <w:sz w:val="20"/>
          <w:szCs w:val="20"/>
          <w:lang w:val="es-CO"/>
        </w:rPr>
        <w:t>Historial de Seguimiento y Control a los Recursos del Sistema General de Participaciones</w:t>
      </w:r>
      <w:r w:rsidRPr="00B92779">
        <w:rPr>
          <w:rFonts w:eastAsia="Arial" w:cs="Arial"/>
          <w:sz w:val="20"/>
          <w:szCs w:val="20"/>
          <w:lang w:val="es-CO"/>
        </w:rPr>
        <w:t xml:space="preserve"> – </w:t>
      </w:r>
      <w:r w:rsidRPr="00B92779">
        <w:rPr>
          <w:rFonts w:eastAsia="Arial" w:cs="Arial"/>
          <w:i/>
          <w:sz w:val="20"/>
          <w:szCs w:val="20"/>
          <w:lang w:val="es-CO"/>
        </w:rPr>
        <w:t>Antecedentes</w:t>
      </w:r>
      <w:r w:rsidRPr="00B92779">
        <w:rPr>
          <w:rFonts w:eastAsia="Arial" w:cs="Arial"/>
          <w:sz w:val="20"/>
          <w:szCs w:val="20"/>
          <w:lang w:val="es-CO"/>
        </w:rPr>
        <w:t>”. Expediente digital No. 52/2018/D028-PREDI.</w:t>
      </w:r>
    </w:p>
    <w:p w14:paraId="0E6A7142" w14:textId="77777777" w:rsidR="0088492C" w:rsidRPr="0088492C" w:rsidRDefault="0088492C" w:rsidP="005140E1">
      <w:pPr>
        <w:pStyle w:val="Prrafodelista"/>
        <w:widowControl/>
        <w:autoSpaceDE/>
        <w:autoSpaceDN/>
        <w:ind w:left="360"/>
        <w:contextualSpacing/>
        <w:jc w:val="both"/>
        <w:rPr>
          <w:rStyle w:val="Hipervnculo"/>
          <w:rFonts w:cs="Arial"/>
          <w:sz w:val="16"/>
          <w:szCs w:val="16"/>
        </w:rPr>
      </w:pPr>
      <w:r w:rsidRPr="0088492C">
        <w:rPr>
          <w:rStyle w:val="Hipervnculo"/>
          <w:rFonts w:cs="Arial"/>
          <w:sz w:val="16"/>
          <w:szCs w:val="16"/>
          <w:lang w:eastAsia="es-CO"/>
        </w:rPr>
        <w:t>http://portalgestiondoc.minhacienda.red/PortalEmpleado/viewer.jsp?config=2whvH669EXeIWgfAeE2DwKbXcixVEzesI4Qv6iSG6PnI1gbtatXthH1pdQ52UXt5VEWw/1Gfeer/5jmnVkssg859RKdnBMa5lNG5o2DSFYV4aPa9WiUCxxib7QsuyKpe7SMS7eHT/l1IETJTwvL9aH8gD1vB62b5pbmsghkwuVpY+xvs1zJyWZt45FgwRksB&amp;guid=5b8a275118abe00669632db&amp;idrepository=879</w:t>
      </w:r>
    </w:p>
    <w:p w14:paraId="2487A80D" w14:textId="77777777" w:rsidR="00A20990" w:rsidRPr="001A38D5" w:rsidRDefault="00A20990" w:rsidP="005140E1">
      <w:pPr>
        <w:contextualSpacing/>
        <w:rPr>
          <w:rFonts w:cs="Arial"/>
          <w:lang w:val="es-CO" w:eastAsia="es-CO"/>
        </w:rPr>
      </w:pPr>
    </w:p>
    <w:p w14:paraId="0346C19C" w14:textId="77777777" w:rsidR="00A20990" w:rsidRPr="007A412F" w:rsidRDefault="00A20990" w:rsidP="005140E1">
      <w:pPr>
        <w:pStyle w:val="Ttulo2"/>
        <w:numPr>
          <w:ilvl w:val="0"/>
          <w:numId w:val="0"/>
        </w:numPr>
        <w:contextualSpacing/>
        <w:jc w:val="both"/>
        <w:rPr>
          <w:rFonts w:ascii="Verdana" w:hAnsi="Verdana"/>
          <w:b w:val="0"/>
          <w:bCs w:val="0"/>
          <w:u w:val="none"/>
        </w:rPr>
      </w:pPr>
      <w:r w:rsidRPr="007A412F">
        <w:rPr>
          <w:rFonts w:ascii="Verdana" w:hAnsi="Verdana"/>
          <w:u w:val="none"/>
        </w:rPr>
        <w:t xml:space="preserve">EVENTO DE RIESGO 9.5. </w:t>
      </w:r>
      <w:r w:rsidRPr="007A412F">
        <w:rPr>
          <w:rFonts w:ascii="Verdana" w:hAnsi="Verdana"/>
          <w:b w:val="0"/>
          <w:bCs w:val="0"/>
          <w:u w:val="none"/>
        </w:rPr>
        <w:t>“</w:t>
      </w:r>
      <w:r w:rsidRPr="007A412F">
        <w:rPr>
          <w:rFonts w:ascii="Verdana" w:hAnsi="Verdana"/>
          <w:b w:val="0"/>
          <w:bCs w:val="0"/>
          <w:i/>
          <w:iCs/>
          <w:u w:val="none"/>
        </w:rPr>
        <w:t>Administración de los recursos en cuentas no autorizadas para su manejo o no registradas ante el Ministerio del sector al que correspondan los recursos</w:t>
      </w:r>
      <w:r w:rsidRPr="007A412F">
        <w:rPr>
          <w:rFonts w:ascii="Verdana" w:hAnsi="Verdana"/>
          <w:b w:val="0"/>
          <w:bCs w:val="0"/>
          <w:u w:val="none"/>
        </w:rPr>
        <w:t>”.</w:t>
      </w:r>
    </w:p>
    <w:p w14:paraId="4C7E2AB4" w14:textId="77777777" w:rsidR="00A20990" w:rsidRPr="007A412F" w:rsidRDefault="00A20990" w:rsidP="005140E1">
      <w:pPr>
        <w:spacing w:before="100" w:beforeAutospacing="1" w:after="100" w:afterAutospacing="1"/>
        <w:contextualSpacing/>
        <w:jc w:val="both"/>
        <w:rPr>
          <w:rFonts w:eastAsia="Times New Roman" w:cs="Arial"/>
          <w:b/>
          <w:bCs/>
          <w:lang w:val="es-CO" w:eastAsia="es-CO"/>
        </w:rPr>
      </w:pPr>
      <w:r w:rsidRPr="007A412F">
        <w:rPr>
          <w:rFonts w:eastAsia="Times New Roman" w:cs="Arial"/>
          <w:b/>
          <w:bCs/>
          <w:lang w:val="es-CO" w:eastAsia="es-CO"/>
        </w:rPr>
        <w:t>1. No utilización de la Cuenta Maestra Pagadora.</w:t>
      </w:r>
    </w:p>
    <w:p w14:paraId="1F391B9A" w14:textId="77777777" w:rsidR="00A07276" w:rsidRDefault="00A07276" w:rsidP="005140E1">
      <w:pPr>
        <w:contextualSpacing/>
        <w:jc w:val="both"/>
        <w:rPr>
          <w:rFonts w:eastAsia="Times New Roman" w:cs="Arial"/>
          <w:bCs/>
          <w:lang w:val="es-CO" w:eastAsia="es-CO"/>
        </w:rPr>
      </w:pPr>
    </w:p>
    <w:p w14:paraId="6CE4B61D" w14:textId="77777777" w:rsidR="00A20990" w:rsidRPr="001A38D5" w:rsidRDefault="00A20990" w:rsidP="005140E1">
      <w:pPr>
        <w:contextualSpacing/>
        <w:jc w:val="both"/>
        <w:rPr>
          <w:rFonts w:eastAsia="Times New Roman" w:cs="Arial"/>
          <w:bCs/>
          <w:lang w:val="es-CO" w:eastAsia="es-CO"/>
        </w:rPr>
      </w:pPr>
      <w:r w:rsidRPr="001A38D5">
        <w:rPr>
          <w:rFonts w:eastAsia="Times New Roman" w:cs="Arial"/>
          <w:bCs/>
          <w:lang w:val="es-CO" w:eastAsia="es-CO"/>
        </w:rPr>
        <w:t>El artículo 140 de la Ley 1753 de 2015, ordenó a las Entidades territoriales que la administración de los recursos del Sistema General de Participaciones se efectúe a través de Cuentas Maestras reglamentadas por cada ministerio que realiza el giro de estos recursos. Así las cosas, el Ministerio de Hacienda y Crédito Público, como el encargado de realizar los giros de los recursos de la Participación de Propósito General, las Asignaciones Especiales y la Asignación para la Atención Integral a la Primera Infancia, reglamentó dicho mecanismo mediante la Resolución No. 4835 de 2015.</w:t>
      </w:r>
      <w:r w:rsidR="00A07276">
        <w:rPr>
          <w:rFonts w:eastAsia="Times New Roman" w:cs="Arial"/>
          <w:bCs/>
          <w:lang w:val="es-CO" w:eastAsia="es-CO"/>
        </w:rPr>
        <w:t xml:space="preserve"> </w:t>
      </w:r>
      <w:r w:rsidRPr="001A38D5">
        <w:rPr>
          <w:rFonts w:eastAsia="Times New Roman" w:cs="Arial"/>
          <w:bCs/>
          <w:lang w:val="es-CO" w:eastAsia="es-CO"/>
        </w:rPr>
        <w:t xml:space="preserve">Igualmente, la Resolución No. 0660 de 2018 estableció el instrumento de Cuenta Maestra Pagadora, como un instrumento para </w:t>
      </w:r>
      <w:r w:rsidRPr="00B5063E">
        <w:rPr>
          <w:rFonts w:eastAsia="Times New Roman" w:cs="Arial"/>
          <w:bCs/>
          <w:lang w:val="es-CO" w:eastAsia="es-CO"/>
        </w:rPr>
        <w:t>la realización de operaciones por botón de pago electrónico seguro en línea -PSE</w:t>
      </w:r>
      <w:r w:rsidRPr="001A38D5">
        <w:rPr>
          <w:rFonts w:eastAsia="Times New Roman" w:cs="Arial"/>
          <w:bCs/>
          <w:i/>
          <w:lang w:val="es-CO" w:eastAsia="es-CO"/>
        </w:rPr>
        <w:t xml:space="preserve"> </w:t>
      </w:r>
      <w:r w:rsidRPr="001A38D5">
        <w:rPr>
          <w:rFonts w:eastAsia="Times New Roman" w:cs="Arial"/>
          <w:bCs/>
          <w:lang w:val="es-CO" w:eastAsia="es-CO"/>
        </w:rPr>
        <w:t>con cargo a los recursos del Sistema General de Participaciones, razón por la cual en su artículo 3° estipuló:</w:t>
      </w:r>
    </w:p>
    <w:p w14:paraId="1D2B6834" w14:textId="77777777" w:rsidR="00A20990" w:rsidRPr="007A412F" w:rsidRDefault="00A20990" w:rsidP="005140E1">
      <w:pPr>
        <w:contextualSpacing/>
        <w:jc w:val="both"/>
        <w:rPr>
          <w:rFonts w:eastAsia="Times New Roman" w:cs="Arial"/>
          <w:bCs/>
          <w:sz w:val="18"/>
          <w:szCs w:val="18"/>
          <w:lang w:val="es-CO" w:eastAsia="es-CO"/>
        </w:rPr>
      </w:pPr>
    </w:p>
    <w:p w14:paraId="25495B80" w14:textId="77777777" w:rsidR="00A20990" w:rsidRDefault="00A20990" w:rsidP="005140E1">
      <w:pPr>
        <w:ind w:left="709"/>
        <w:contextualSpacing/>
        <w:jc w:val="both"/>
        <w:rPr>
          <w:rFonts w:eastAsia="Times New Roman" w:cs="Arial"/>
          <w:bCs/>
          <w:i/>
          <w:sz w:val="18"/>
          <w:szCs w:val="18"/>
          <w:lang w:val="es-CO" w:eastAsia="es-CO"/>
        </w:rPr>
      </w:pPr>
      <w:r w:rsidRPr="007A412F">
        <w:rPr>
          <w:rFonts w:eastAsia="Times New Roman" w:cs="Arial"/>
          <w:bCs/>
          <w:i/>
          <w:sz w:val="18"/>
          <w:szCs w:val="18"/>
          <w:lang w:val="es-CO" w:eastAsia="es-CO"/>
        </w:rPr>
        <w:t>“</w:t>
      </w:r>
      <w:r w:rsidRPr="007A412F">
        <w:rPr>
          <w:rFonts w:eastAsia="Times New Roman" w:cs="Arial"/>
          <w:b/>
          <w:bCs/>
          <w:i/>
          <w:sz w:val="18"/>
          <w:szCs w:val="18"/>
          <w:lang w:val="es-CO" w:eastAsia="es-CO"/>
        </w:rPr>
        <w:t>Artículo 3.</w:t>
      </w:r>
      <w:r w:rsidRPr="007A412F">
        <w:rPr>
          <w:rFonts w:eastAsia="Times New Roman" w:cs="Arial"/>
          <w:bCs/>
          <w:i/>
          <w:sz w:val="18"/>
          <w:szCs w:val="18"/>
          <w:lang w:val="es-CO" w:eastAsia="es-CO"/>
        </w:rPr>
        <w:t xml:space="preserve"> Apertura de las Cuentas Maestras Pagadoras. Las Entidades territoriales, sus Entidades descentralizadas, los fondos de servicios educativos, los territorios indígenas certificados, los resguardos indígenas y las asociaciones que estos últimos conformen, según sea el caso, deberán aperturar las Cuentas Maestras Pagadoras en el mismo establecimiento bancario donde se encuentran aperturadas las Cuentas Maestras, así:</w:t>
      </w:r>
    </w:p>
    <w:p w14:paraId="0A47F15B" w14:textId="77777777" w:rsidR="00FA14C8" w:rsidRPr="007A412F" w:rsidRDefault="00FA14C8" w:rsidP="005140E1">
      <w:pPr>
        <w:ind w:left="709"/>
        <w:contextualSpacing/>
        <w:jc w:val="both"/>
        <w:rPr>
          <w:rFonts w:eastAsia="Times New Roman" w:cs="Arial"/>
          <w:bCs/>
          <w:i/>
          <w:sz w:val="18"/>
          <w:szCs w:val="18"/>
          <w:lang w:val="es-CO" w:eastAsia="es-CO"/>
        </w:rPr>
      </w:pPr>
    </w:p>
    <w:p w14:paraId="0502D7D9" w14:textId="77777777" w:rsidR="00A20990" w:rsidRDefault="00A20990" w:rsidP="005140E1">
      <w:pPr>
        <w:ind w:left="709"/>
        <w:contextualSpacing/>
        <w:jc w:val="both"/>
        <w:rPr>
          <w:rFonts w:eastAsia="Times New Roman" w:cs="Arial"/>
          <w:bCs/>
          <w:i/>
          <w:sz w:val="18"/>
          <w:szCs w:val="18"/>
          <w:lang w:val="es-CO" w:eastAsia="es-CO"/>
        </w:rPr>
      </w:pPr>
      <w:r w:rsidRPr="007A412F">
        <w:rPr>
          <w:rFonts w:eastAsia="Times New Roman" w:cs="Arial"/>
          <w:bCs/>
          <w:i/>
          <w:sz w:val="18"/>
          <w:szCs w:val="18"/>
          <w:lang w:val="es-CO" w:eastAsia="es-CO"/>
        </w:rPr>
        <w:t>[…]</w:t>
      </w:r>
    </w:p>
    <w:p w14:paraId="591F649D" w14:textId="77777777" w:rsidR="00FA14C8" w:rsidRPr="007A412F" w:rsidRDefault="00FA14C8" w:rsidP="005140E1">
      <w:pPr>
        <w:ind w:left="709"/>
        <w:contextualSpacing/>
        <w:jc w:val="both"/>
        <w:rPr>
          <w:rFonts w:eastAsia="Times New Roman" w:cs="Arial"/>
          <w:bCs/>
          <w:i/>
          <w:sz w:val="18"/>
          <w:szCs w:val="18"/>
          <w:lang w:val="es-CO" w:eastAsia="es-CO"/>
        </w:rPr>
      </w:pPr>
    </w:p>
    <w:p w14:paraId="2463D180" w14:textId="77777777" w:rsidR="00A20990" w:rsidRDefault="00B5063E" w:rsidP="005140E1">
      <w:pPr>
        <w:ind w:left="709"/>
        <w:contextualSpacing/>
        <w:jc w:val="both"/>
        <w:rPr>
          <w:rFonts w:eastAsia="Times New Roman" w:cs="Arial"/>
          <w:bCs/>
          <w:i/>
          <w:sz w:val="18"/>
          <w:szCs w:val="18"/>
          <w:lang w:val="es-CO" w:eastAsia="es-CO"/>
        </w:rPr>
      </w:pPr>
      <w:r w:rsidRPr="00B5063E">
        <w:rPr>
          <w:rFonts w:eastAsia="Times New Roman" w:cs="Arial"/>
          <w:bCs/>
          <w:i/>
          <w:sz w:val="18"/>
          <w:szCs w:val="18"/>
          <w:lang w:val="es-CO" w:eastAsia="es-CO"/>
        </w:rPr>
        <w:t>2. Una Cuenta Maestra Pagadora para la Cuenta Maestra donde se administre la Asignación Especial de Alimentación Escolar.</w:t>
      </w:r>
      <w:r w:rsidR="00A20990" w:rsidRPr="007A412F">
        <w:rPr>
          <w:rFonts w:eastAsia="Times New Roman" w:cs="Arial"/>
          <w:bCs/>
          <w:i/>
          <w:sz w:val="18"/>
          <w:szCs w:val="18"/>
          <w:lang w:val="es-CO" w:eastAsia="es-CO"/>
        </w:rPr>
        <w:t>”</w:t>
      </w:r>
    </w:p>
    <w:p w14:paraId="2468D5A5" w14:textId="77777777" w:rsidR="00B255FB" w:rsidRPr="007A412F" w:rsidRDefault="00B255FB" w:rsidP="005140E1">
      <w:pPr>
        <w:ind w:left="709"/>
        <w:contextualSpacing/>
        <w:jc w:val="both"/>
        <w:rPr>
          <w:rFonts w:eastAsia="Times New Roman" w:cs="Arial"/>
          <w:bCs/>
          <w:i/>
          <w:sz w:val="18"/>
          <w:szCs w:val="18"/>
          <w:lang w:val="es-CO" w:eastAsia="es-CO"/>
        </w:rPr>
      </w:pPr>
    </w:p>
    <w:p w14:paraId="64D8F2FB" w14:textId="77777777" w:rsidR="006827E8" w:rsidRDefault="009A2B69" w:rsidP="006827E8">
      <w:pPr>
        <w:contextualSpacing/>
        <w:jc w:val="both"/>
        <w:rPr>
          <w:rFonts w:eastAsia="Times New Roman" w:cs="Arial"/>
          <w:bCs/>
          <w:lang w:val="es-CO" w:eastAsia="es-CO"/>
        </w:rPr>
      </w:pPr>
      <w:r>
        <w:rPr>
          <w:rFonts w:eastAsia="Times New Roman" w:cs="Arial"/>
          <w:bCs/>
          <w:lang w:val="es-CO" w:eastAsia="es-CO"/>
        </w:rPr>
        <w:t>Frente al pago</w:t>
      </w:r>
      <w:r w:rsidR="000A5CA3">
        <w:rPr>
          <w:rFonts w:eastAsia="Times New Roman" w:cs="Arial"/>
          <w:bCs/>
          <w:lang w:val="es-CO" w:eastAsia="es-CO"/>
        </w:rPr>
        <w:t xml:space="preserve"> de los impuestos </w:t>
      </w:r>
      <w:r w:rsidR="001F749B">
        <w:rPr>
          <w:rFonts w:eastAsia="Times New Roman" w:cs="Arial"/>
          <w:bCs/>
          <w:lang w:val="es-CO" w:eastAsia="es-CO"/>
        </w:rPr>
        <w:t xml:space="preserve">nacionales </w:t>
      </w:r>
      <w:r w:rsidR="00F570AC">
        <w:rPr>
          <w:rFonts w:eastAsia="Times New Roman" w:cs="Arial"/>
          <w:bCs/>
          <w:lang w:val="es-CO" w:eastAsia="es-CO"/>
        </w:rPr>
        <w:t xml:space="preserve">a la </w:t>
      </w:r>
      <w:r w:rsidR="000A5CA3" w:rsidRPr="000A5CA3">
        <w:rPr>
          <w:rFonts w:eastAsia="Times New Roman" w:cs="Arial"/>
          <w:bCs/>
          <w:lang w:val="es-CO" w:eastAsia="es-CO"/>
        </w:rPr>
        <w:t>DIAN</w:t>
      </w:r>
      <w:r w:rsidR="00F570AC">
        <w:rPr>
          <w:rFonts w:eastAsia="Times New Roman" w:cs="Arial"/>
          <w:bCs/>
          <w:lang w:val="es-CO" w:eastAsia="es-CO"/>
        </w:rPr>
        <w:t>, se debe tener en cuenta lo que establece</w:t>
      </w:r>
      <w:r w:rsidR="000A5CA3" w:rsidRPr="000A5CA3">
        <w:rPr>
          <w:rFonts w:eastAsia="Times New Roman" w:cs="Arial"/>
          <w:bCs/>
          <w:lang w:val="es-CO" w:eastAsia="es-CO"/>
        </w:rPr>
        <w:t xml:space="preserve"> </w:t>
      </w:r>
      <w:r w:rsidR="000A5CA3">
        <w:rPr>
          <w:rFonts w:eastAsia="Times New Roman" w:cs="Arial"/>
          <w:bCs/>
          <w:lang w:val="es-CO" w:eastAsia="es-CO"/>
        </w:rPr>
        <w:t>e</w:t>
      </w:r>
      <w:r w:rsidR="006827E8" w:rsidRPr="006827E8">
        <w:rPr>
          <w:rFonts w:eastAsia="Times New Roman" w:cs="Arial"/>
          <w:bCs/>
          <w:lang w:val="es-CO" w:eastAsia="es-CO"/>
        </w:rPr>
        <w:t>l artículo 771-5 del Estatuto Tributario</w:t>
      </w:r>
      <w:r w:rsidR="00F570AC">
        <w:rPr>
          <w:rFonts w:eastAsia="Times New Roman" w:cs="Arial"/>
          <w:bCs/>
          <w:lang w:val="es-CO" w:eastAsia="es-CO"/>
        </w:rPr>
        <w:t xml:space="preserve">, </w:t>
      </w:r>
      <w:r w:rsidR="001F749B">
        <w:rPr>
          <w:rFonts w:eastAsia="Times New Roman" w:cs="Arial"/>
          <w:bCs/>
          <w:lang w:val="es-CO" w:eastAsia="es-CO"/>
        </w:rPr>
        <w:t>el cual señala</w:t>
      </w:r>
      <w:r w:rsidR="006827E8" w:rsidRPr="006827E8">
        <w:rPr>
          <w:rFonts w:eastAsia="Times New Roman" w:cs="Arial"/>
          <w:bCs/>
          <w:lang w:val="es-CO" w:eastAsia="es-CO"/>
        </w:rPr>
        <w:t xml:space="preserve">: </w:t>
      </w:r>
    </w:p>
    <w:p w14:paraId="71EE716E" w14:textId="77777777" w:rsidR="006827E8" w:rsidRDefault="006827E8" w:rsidP="006827E8">
      <w:pPr>
        <w:contextualSpacing/>
        <w:jc w:val="both"/>
        <w:rPr>
          <w:rFonts w:eastAsia="Times New Roman" w:cs="Arial"/>
          <w:bCs/>
          <w:lang w:val="es-CO" w:eastAsia="es-CO"/>
        </w:rPr>
      </w:pPr>
    </w:p>
    <w:p w14:paraId="63827887" w14:textId="77777777" w:rsidR="00A20990" w:rsidRPr="0039438F" w:rsidRDefault="006827E8" w:rsidP="0039438F">
      <w:pPr>
        <w:ind w:left="709"/>
        <w:contextualSpacing/>
        <w:jc w:val="both"/>
        <w:rPr>
          <w:rFonts w:eastAsia="Times New Roman" w:cs="Arial"/>
          <w:bCs/>
          <w:i/>
          <w:sz w:val="18"/>
          <w:szCs w:val="18"/>
          <w:lang w:val="es-CO" w:eastAsia="es-CO"/>
        </w:rPr>
      </w:pPr>
      <w:r w:rsidRPr="0039438F">
        <w:rPr>
          <w:rFonts w:eastAsia="Times New Roman" w:cs="Arial"/>
          <w:bCs/>
          <w:i/>
          <w:sz w:val="18"/>
          <w:szCs w:val="18"/>
          <w:lang w:val="es-CO" w:eastAsia="es-CO"/>
        </w:rPr>
        <w:t>“ARTÍCULO 771-5. MEDIOS DE PAGO PARA EFECTOS DE LA ACEPTACIÓN DE COSTOS, DEDUCCIONES, PASIVOS E IMPUESTOS DESCONTABLES. &lt;Artículo modificado por el artículo 52 de la Ley 1739 de 2014. El nuevo texto es el siguiente:&gt; Para efectos de su reconocimiento fiscal como costos, deducciones, pasivos o impuestos descontables, los pagos que efectúen los contribuyentes o responsables deberán realizarse mediante alguno de los siguientes medios de pago: Depósitos en cuentas bancarias, giros o transferencias bancarias, cheques girados al primer beneficiario, tarjetas de crédito, tarjetas débito u otro tipo de tarjetas o bonos que sirvan como medios de pago en la forma y condiciones que autorice el Gobierno nacional.</w:t>
      </w:r>
      <w:r w:rsidR="000A5CA3" w:rsidRPr="0039438F">
        <w:rPr>
          <w:rFonts w:eastAsia="Times New Roman" w:cs="Arial"/>
          <w:bCs/>
          <w:i/>
          <w:sz w:val="18"/>
          <w:szCs w:val="18"/>
          <w:lang w:val="es-CO" w:eastAsia="es-CO"/>
        </w:rPr>
        <w:t>”</w:t>
      </w:r>
    </w:p>
    <w:p w14:paraId="1F56BEB8" w14:textId="77777777" w:rsidR="000A5CA3" w:rsidRPr="0039438F" w:rsidRDefault="000A5CA3" w:rsidP="0039438F">
      <w:pPr>
        <w:ind w:left="720"/>
        <w:contextualSpacing/>
        <w:jc w:val="both"/>
        <w:rPr>
          <w:rFonts w:eastAsia="Times New Roman" w:cs="Arial"/>
          <w:bCs/>
          <w:i/>
          <w:iCs/>
          <w:lang w:val="es-CO" w:eastAsia="es-CO"/>
        </w:rPr>
      </w:pPr>
    </w:p>
    <w:p w14:paraId="5DDF4CFE" w14:textId="77777777" w:rsidR="00243EED" w:rsidRPr="0039438F" w:rsidRDefault="00BD40BD" w:rsidP="00D9787C">
      <w:pPr>
        <w:contextualSpacing/>
        <w:jc w:val="both"/>
        <w:rPr>
          <w:rFonts w:eastAsia="Times New Roman" w:cs="Arial"/>
          <w:bCs/>
          <w:i/>
          <w:lang w:val="es-CO" w:eastAsia="es-CO"/>
        </w:rPr>
      </w:pPr>
      <w:r w:rsidRPr="0039438F">
        <w:rPr>
          <w:rFonts w:eastAsia="Times New Roman" w:cs="Arial"/>
          <w:bCs/>
          <w:lang w:val="es-CO" w:eastAsia="es-CO"/>
        </w:rPr>
        <w:t xml:space="preserve">Sobre este artículo la doctrina oficial </w:t>
      </w:r>
      <w:r w:rsidR="008E7D10">
        <w:rPr>
          <w:rFonts w:eastAsia="Times New Roman" w:cs="Arial"/>
          <w:bCs/>
          <w:lang w:val="es-CO" w:eastAsia="es-CO"/>
        </w:rPr>
        <w:t xml:space="preserve">de la DIAN </w:t>
      </w:r>
      <w:r w:rsidRPr="0039438F">
        <w:rPr>
          <w:rFonts w:eastAsia="Times New Roman" w:cs="Arial"/>
          <w:bCs/>
          <w:lang w:val="es-CO" w:eastAsia="es-CO"/>
        </w:rPr>
        <w:t>ha indicado</w:t>
      </w:r>
      <w:r w:rsidR="008E7D10">
        <w:rPr>
          <w:rFonts w:eastAsia="Times New Roman" w:cs="Arial"/>
          <w:bCs/>
          <w:lang w:val="es-CO" w:eastAsia="es-CO"/>
        </w:rPr>
        <w:t xml:space="preserve"> q</w:t>
      </w:r>
      <w:r w:rsidRPr="0039438F">
        <w:rPr>
          <w:rFonts w:eastAsia="Times New Roman" w:cs="Arial"/>
          <w:bCs/>
          <w:lang w:val="es-CO" w:eastAsia="es-CO"/>
        </w:rPr>
        <w:t xml:space="preserve">ue </w:t>
      </w:r>
      <w:r w:rsidR="00B342A4" w:rsidRPr="0039438F">
        <w:rPr>
          <w:rFonts w:eastAsia="Times New Roman" w:cs="Arial"/>
          <w:bCs/>
          <w:i/>
          <w:iCs/>
          <w:lang w:val="es-CO" w:eastAsia="es-CO"/>
        </w:rPr>
        <w:t>“</w:t>
      </w:r>
      <w:r w:rsidR="00D9787C" w:rsidRPr="0039438F">
        <w:rPr>
          <w:rFonts w:eastAsia="Times New Roman" w:cs="Arial"/>
          <w:bCs/>
          <w:i/>
          <w:iCs/>
          <w:lang w:val="es-CO" w:eastAsia="es-CO"/>
        </w:rPr>
        <w:t xml:space="preserve">[…] </w:t>
      </w:r>
      <w:r w:rsidRPr="00D22C4D">
        <w:rPr>
          <w:rFonts w:eastAsia="Times New Roman" w:cs="Arial"/>
          <w:bCs/>
          <w:i/>
          <w:iCs/>
          <w:lang w:val="es-CO" w:eastAsia="es-CO"/>
        </w:rPr>
        <w:t>tiene como propósito claro generar mecanismos de control efectivos a través de la utilización de canales financieros con el fin de asegurar una mayor transparencia en las transacciones, evitar la evasión y el fraude, mejorar el recaudo y promover la eficiencia del sistema tributario colombiano</w:t>
      </w:r>
      <w:r w:rsidR="00D22C4D" w:rsidRPr="0039438F">
        <w:rPr>
          <w:rFonts w:eastAsia="Times New Roman" w:cs="Arial"/>
          <w:bCs/>
          <w:i/>
          <w:iCs/>
          <w:lang w:val="es-CO" w:eastAsia="es-CO"/>
        </w:rPr>
        <w:t xml:space="preserve"> […]”</w:t>
      </w:r>
      <w:r w:rsidR="008E7D10" w:rsidRPr="0039438F">
        <w:rPr>
          <w:rFonts w:eastAsia="Times New Roman" w:cs="Arial"/>
          <w:bCs/>
          <w:i/>
          <w:iCs/>
          <w:lang w:val="es-CO" w:eastAsia="es-CO"/>
        </w:rPr>
        <w:t xml:space="preserve">. </w:t>
      </w:r>
    </w:p>
    <w:p w14:paraId="5A99964C" w14:textId="77777777" w:rsidR="008E7D10" w:rsidRDefault="008E7D10" w:rsidP="005140E1">
      <w:pPr>
        <w:contextualSpacing/>
        <w:jc w:val="both"/>
        <w:rPr>
          <w:rFonts w:eastAsia="Times New Roman" w:cs="Arial"/>
          <w:bCs/>
          <w:lang w:val="es-CO" w:eastAsia="es-CO"/>
        </w:rPr>
      </w:pPr>
    </w:p>
    <w:p w14:paraId="5127BC46" w14:textId="77777777" w:rsidR="008E7D10" w:rsidRPr="0039438F" w:rsidRDefault="005D34D3" w:rsidP="005140E1">
      <w:pPr>
        <w:contextualSpacing/>
        <w:jc w:val="both"/>
        <w:rPr>
          <w:rFonts w:eastAsia="Times New Roman" w:cs="Arial"/>
          <w:bCs/>
          <w:lang w:val="es-CO" w:eastAsia="es-CO"/>
        </w:rPr>
      </w:pPr>
      <w:r>
        <w:rPr>
          <w:rFonts w:eastAsia="Times New Roman" w:cs="Arial"/>
          <w:bCs/>
          <w:lang w:val="es-CO" w:eastAsia="es-CO"/>
        </w:rPr>
        <w:t>Debido a</w:t>
      </w:r>
      <w:r w:rsidR="0072445C">
        <w:rPr>
          <w:rFonts w:eastAsia="Times New Roman" w:cs="Arial"/>
          <w:bCs/>
          <w:lang w:val="es-CO" w:eastAsia="es-CO"/>
        </w:rPr>
        <w:t xml:space="preserve"> lo anterior</w:t>
      </w:r>
      <w:r w:rsidR="008E7D10">
        <w:rPr>
          <w:rFonts w:eastAsia="Times New Roman" w:cs="Arial"/>
          <w:bCs/>
          <w:lang w:val="es-CO" w:eastAsia="es-CO"/>
        </w:rPr>
        <w:t xml:space="preserve">, </w:t>
      </w:r>
      <w:r w:rsidR="00B76233">
        <w:rPr>
          <w:rFonts w:eastAsia="Times New Roman" w:cs="Arial"/>
          <w:bCs/>
          <w:lang w:val="es-CO" w:eastAsia="es-CO"/>
        </w:rPr>
        <w:t xml:space="preserve">el artículo 7 de </w:t>
      </w:r>
      <w:r w:rsidR="00B5415A">
        <w:rPr>
          <w:rFonts w:eastAsia="Times New Roman" w:cs="Arial"/>
          <w:bCs/>
          <w:lang w:val="es-CO" w:eastAsia="es-CO"/>
        </w:rPr>
        <w:t xml:space="preserve">la Resolución </w:t>
      </w:r>
      <w:r w:rsidR="00B5415A" w:rsidRPr="00B5415A">
        <w:rPr>
          <w:rFonts w:eastAsia="Times New Roman" w:cs="Arial"/>
          <w:bCs/>
          <w:lang w:val="es-CO" w:eastAsia="es-CO"/>
        </w:rPr>
        <w:t>No. 0660 de 2018 de los Ministerios de Hacienda y Crédito Público, Educación Nacional y de Vivienda, Ciudad y Territorio</w:t>
      </w:r>
      <w:r w:rsidR="00B76233">
        <w:rPr>
          <w:rFonts w:eastAsia="Times New Roman" w:cs="Arial"/>
          <w:bCs/>
          <w:lang w:val="es-CO" w:eastAsia="es-CO"/>
        </w:rPr>
        <w:t xml:space="preserve"> contempla dentro de las operaciones débito autorizadas </w:t>
      </w:r>
      <w:r w:rsidR="001C2B28">
        <w:rPr>
          <w:rFonts w:eastAsia="Times New Roman" w:cs="Arial"/>
          <w:bCs/>
          <w:lang w:val="es-CO" w:eastAsia="es-CO"/>
        </w:rPr>
        <w:t xml:space="preserve">en las Cuentas Maestras Pagadoras </w:t>
      </w:r>
      <w:r w:rsidR="009C5229">
        <w:rPr>
          <w:rFonts w:eastAsia="Times New Roman" w:cs="Arial"/>
          <w:bCs/>
          <w:lang w:val="es-CO" w:eastAsia="es-CO"/>
        </w:rPr>
        <w:t xml:space="preserve">el </w:t>
      </w:r>
      <w:r w:rsidR="009C5229" w:rsidRPr="009C5229">
        <w:rPr>
          <w:rFonts w:eastAsia="Times New Roman" w:cs="Arial"/>
          <w:bCs/>
          <w:lang w:val="es-CO" w:eastAsia="es-CO"/>
        </w:rPr>
        <w:t>pago de impuestos territoriales y nacionales - DIAN que se generen en la ejecución de los recursos de las participaciones y asignaciones del Sistema General de Participaciones</w:t>
      </w:r>
      <w:r w:rsidR="009C5229">
        <w:rPr>
          <w:rFonts w:eastAsia="Times New Roman" w:cs="Arial"/>
          <w:bCs/>
          <w:lang w:val="es-CO" w:eastAsia="es-CO"/>
        </w:rPr>
        <w:t xml:space="preserve">. </w:t>
      </w:r>
    </w:p>
    <w:p w14:paraId="7C6E9B06" w14:textId="77777777" w:rsidR="00BD40BD" w:rsidRPr="0039438F" w:rsidRDefault="00BD40BD" w:rsidP="005140E1">
      <w:pPr>
        <w:contextualSpacing/>
        <w:jc w:val="both"/>
        <w:rPr>
          <w:rFonts w:eastAsia="Times New Roman" w:cs="Arial"/>
          <w:bCs/>
          <w:i/>
          <w:iCs/>
          <w:lang w:val="es-CO" w:eastAsia="es-CO"/>
        </w:rPr>
      </w:pPr>
    </w:p>
    <w:p w14:paraId="3A3E2DF7" w14:textId="77777777" w:rsidR="00254A5B" w:rsidRPr="001A38D5" w:rsidRDefault="00254A5B" w:rsidP="005140E1">
      <w:pPr>
        <w:contextualSpacing/>
        <w:jc w:val="both"/>
        <w:rPr>
          <w:rFonts w:cs="Arial"/>
          <w:lang w:val="es-CO"/>
        </w:rPr>
      </w:pPr>
      <w:r>
        <w:rPr>
          <w:rFonts w:cs="Arial"/>
          <w:lang w:val="es-CO"/>
        </w:rPr>
        <w:t xml:space="preserve">El análisis de la Cuenta Maestra del PAE y de su Cuenta Maestra Pagadora para el Municipio de Villavicencio en las vigencias 2019 a 2022 se realiza en observancia de las disposiciones contenidas en las </w:t>
      </w:r>
      <w:r w:rsidR="00186A18">
        <w:rPr>
          <w:rFonts w:cs="Arial"/>
          <w:lang w:val="es-CO"/>
        </w:rPr>
        <w:t xml:space="preserve">Resoluciones No. 4835 de 2015, 2248 de 2018 </w:t>
      </w:r>
      <w:r>
        <w:rPr>
          <w:rFonts w:cs="Arial"/>
          <w:lang w:val="es-CO"/>
        </w:rPr>
        <w:t>y 0660 de 2018</w:t>
      </w:r>
      <w:r w:rsidR="00186A18">
        <w:rPr>
          <w:rFonts w:cs="Arial"/>
          <w:lang w:val="es-CO"/>
        </w:rPr>
        <w:t xml:space="preserve">; sin embargo, es importante </w:t>
      </w:r>
      <w:r>
        <w:rPr>
          <w:rFonts w:cs="Arial"/>
          <w:lang w:val="es-CO"/>
        </w:rPr>
        <w:t xml:space="preserve">resaltar que estas fueron recogidas en la </w:t>
      </w:r>
      <w:r w:rsidRPr="0007655E">
        <w:rPr>
          <w:rFonts w:cs="Arial"/>
          <w:lang w:val="es-CO"/>
        </w:rPr>
        <w:t xml:space="preserve">Resolución </w:t>
      </w:r>
      <w:r>
        <w:rPr>
          <w:rFonts w:cs="Arial"/>
          <w:lang w:val="es-CO"/>
        </w:rPr>
        <w:t xml:space="preserve">No. </w:t>
      </w:r>
      <w:r w:rsidRPr="0007655E">
        <w:rPr>
          <w:rFonts w:cs="Arial"/>
          <w:lang w:val="es-CO"/>
        </w:rPr>
        <w:t xml:space="preserve">2394 del 21 de septiembre de 2023 </w:t>
      </w:r>
      <w:r w:rsidRPr="00BE0FA7">
        <w:rPr>
          <w:rFonts w:cs="Arial"/>
          <w:lang w:val="es-CO"/>
        </w:rPr>
        <w:t>de los Ministerios de Hacienda y Crédito Público, Educación Nacional, Vivienda, Ciudad y Territorio y la Unidad Administrativa Especial de Al</w:t>
      </w:r>
      <w:r w:rsidR="00A81C6B">
        <w:rPr>
          <w:rFonts w:cs="Arial"/>
          <w:lang w:val="es-CO"/>
        </w:rPr>
        <w:t>imentación Escolar - Alimentos p</w:t>
      </w:r>
      <w:r w:rsidRPr="00BE0FA7">
        <w:rPr>
          <w:rFonts w:cs="Arial"/>
          <w:lang w:val="es-CO"/>
        </w:rPr>
        <w:t xml:space="preserve">ara Aprender </w:t>
      </w:r>
      <w:r w:rsidRPr="00C159DF">
        <w:rPr>
          <w:rFonts w:cs="Arial"/>
          <w:i/>
          <w:lang w:val="es-CO"/>
        </w:rPr>
        <w:t>“Por la cual se fijan las condiciones de apertura, registro, operación, cancelación y sustitución de las Cuentas Maestras y de las Cuentas Maestras para Pagos Electrónicos (PSE) en las cuales se administran los recursos de las Participaciones de Agua Potable y Saneamiento Básico, Educación, Propósito General, las Asignaciones Especiales y la Asignación para la Atención Integral a la Primera Infancia del Sistema General de Participaciones y en el Sector Educación las demás fuentes del Programa de Alimentación Escolar (PAE)</w:t>
      </w:r>
      <w:r w:rsidRPr="0007655E">
        <w:rPr>
          <w:rFonts w:cs="Arial"/>
          <w:lang w:val="es-CO"/>
        </w:rPr>
        <w:t>”.</w:t>
      </w:r>
    </w:p>
    <w:p w14:paraId="7E762F13" w14:textId="77777777" w:rsidR="00B5063E" w:rsidRDefault="00B5063E" w:rsidP="005140E1">
      <w:pPr>
        <w:contextualSpacing/>
        <w:jc w:val="both"/>
        <w:rPr>
          <w:rFonts w:eastAsia="Times New Roman" w:cs="Arial"/>
          <w:bCs/>
          <w:lang w:val="es-CO" w:eastAsia="es-CO"/>
        </w:rPr>
      </w:pPr>
    </w:p>
    <w:p w14:paraId="16F8DDA5" w14:textId="77777777" w:rsidR="00A20990" w:rsidRPr="001A38D5" w:rsidRDefault="00A20990" w:rsidP="005140E1">
      <w:pPr>
        <w:contextualSpacing/>
        <w:jc w:val="both"/>
        <w:rPr>
          <w:rFonts w:eastAsia="Times New Roman" w:cs="Arial"/>
          <w:bCs/>
          <w:lang w:val="es-CO" w:eastAsia="es-CO"/>
        </w:rPr>
      </w:pPr>
      <w:r w:rsidRPr="001A38D5">
        <w:rPr>
          <w:rFonts w:eastAsia="Times New Roman" w:cs="Arial"/>
          <w:bCs/>
          <w:lang w:val="es-CO" w:eastAsia="es-CO"/>
        </w:rPr>
        <w:t xml:space="preserve">Se verificó la existencia de la Cuenta Maestra Pagadora No. 36400042505 de Bancolombia para la administración para el Programa de Alimentación Escolar, con fecha de apertura el día 18 de noviembre de 2019. </w:t>
      </w:r>
    </w:p>
    <w:p w14:paraId="645BD297" w14:textId="77777777" w:rsidR="00A20990" w:rsidRPr="001A38D5" w:rsidRDefault="00A20990" w:rsidP="005140E1">
      <w:pPr>
        <w:contextualSpacing/>
        <w:jc w:val="both"/>
        <w:rPr>
          <w:rFonts w:eastAsia="Times New Roman" w:cs="Arial"/>
          <w:bCs/>
          <w:lang w:val="es-CO" w:eastAsia="es-CO"/>
        </w:rPr>
      </w:pPr>
    </w:p>
    <w:p w14:paraId="31AAC7EB" w14:textId="77777777" w:rsidR="00A20990" w:rsidRPr="001A38D5" w:rsidRDefault="00A20990" w:rsidP="005140E1">
      <w:pPr>
        <w:contextualSpacing/>
        <w:jc w:val="both"/>
        <w:rPr>
          <w:rFonts w:eastAsia="Times New Roman" w:cs="Arial"/>
          <w:bCs/>
          <w:lang w:val="es-CO" w:eastAsia="es-CO"/>
        </w:rPr>
      </w:pPr>
      <w:r w:rsidRPr="001A38D5">
        <w:rPr>
          <w:rFonts w:eastAsia="Times New Roman" w:cs="Arial"/>
          <w:bCs/>
          <w:lang w:val="es-CO" w:eastAsia="es-CO"/>
        </w:rPr>
        <w:t>Desde su apertura y hasta el cierre de la vigencia 2022, no se registran movimientos y reporta saldo en cero ($0). De lo anterior llama la atención que no se registren pagos de impuestos nacionales a la DIAN a través de la Cuenta Maestra Pagadora, teniendo en cuenta que el Municipio ha celebrado contratos para la ejecución del PAE y que los contratistas no se encuentran exentos del pago de tributos nacionales.</w:t>
      </w:r>
    </w:p>
    <w:p w14:paraId="7FC44CC5" w14:textId="77777777" w:rsidR="00A20990" w:rsidRPr="001A38D5" w:rsidRDefault="00A20990" w:rsidP="005140E1">
      <w:pPr>
        <w:contextualSpacing/>
        <w:jc w:val="both"/>
        <w:rPr>
          <w:rFonts w:eastAsia="Times New Roman" w:cs="Arial"/>
          <w:bCs/>
          <w:lang w:val="es-CO" w:eastAsia="es-CO"/>
        </w:rPr>
      </w:pPr>
    </w:p>
    <w:p w14:paraId="28C22FEF" w14:textId="77777777" w:rsidR="0035074B" w:rsidRPr="001A38D5" w:rsidRDefault="0035074B" w:rsidP="005140E1">
      <w:pPr>
        <w:contextualSpacing/>
        <w:jc w:val="both"/>
        <w:rPr>
          <w:rFonts w:eastAsia="Times New Roman" w:cs="Arial"/>
          <w:bCs/>
          <w:lang w:val="es-CO" w:eastAsia="es-CO"/>
        </w:rPr>
      </w:pPr>
      <w:r w:rsidRPr="001A38D5">
        <w:rPr>
          <w:rFonts w:eastAsia="Times New Roman" w:cs="Arial"/>
          <w:bCs/>
          <w:lang w:val="es-CO" w:eastAsia="es-CO"/>
        </w:rPr>
        <w:t xml:space="preserve">En contraste, se evidencia que la Entidad </w:t>
      </w:r>
      <w:r w:rsidR="004E55DA" w:rsidRPr="001A38D5">
        <w:rPr>
          <w:rFonts w:eastAsia="Times New Roman" w:cs="Arial"/>
          <w:bCs/>
          <w:lang w:val="es-CO" w:eastAsia="es-CO"/>
        </w:rPr>
        <w:t xml:space="preserve">realizó </w:t>
      </w:r>
      <w:r w:rsidR="00FB2C5F" w:rsidRPr="001A38D5">
        <w:rPr>
          <w:rFonts w:eastAsia="Times New Roman" w:cs="Arial"/>
          <w:bCs/>
          <w:lang w:val="es-CO" w:eastAsia="es-CO"/>
        </w:rPr>
        <w:t xml:space="preserve">un total de </w:t>
      </w:r>
      <w:r w:rsidR="006230E0" w:rsidRPr="001A38D5">
        <w:rPr>
          <w:rFonts w:eastAsia="Times New Roman" w:cs="Arial"/>
          <w:bCs/>
          <w:lang w:val="es-CO" w:eastAsia="es-CO"/>
        </w:rPr>
        <w:t>157</w:t>
      </w:r>
      <w:r w:rsidR="004632BB" w:rsidRPr="001A38D5">
        <w:rPr>
          <w:rFonts w:eastAsia="Times New Roman" w:cs="Arial"/>
          <w:bCs/>
          <w:lang w:val="es-CO" w:eastAsia="es-CO"/>
        </w:rPr>
        <w:t xml:space="preserve"> </w:t>
      </w:r>
      <w:r w:rsidR="004E55DA" w:rsidRPr="001A38D5">
        <w:rPr>
          <w:rFonts w:eastAsia="Times New Roman" w:cs="Arial"/>
          <w:bCs/>
          <w:lang w:val="es-CO" w:eastAsia="es-CO"/>
        </w:rPr>
        <w:t xml:space="preserve">traslados a la cuenta </w:t>
      </w:r>
      <w:r w:rsidR="00E45737" w:rsidRPr="001A38D5">
        <w:rPr>
          <w:rFonts w:eastAsia="Times New Roman" w:cs="Arial"/>
          <w:bCs/>
          <w:lang w:val="es-CO" w:eastAsia="es-CO"/>
        </w:rPr>
        <w:t>de ahorros No. 364618579 del Banco de Bogotá</w:t>
      </w:r>
      <w:r w:rsidR="00CB7FA3" w:rsidRPr="001A38D5">
        <w:rPr>
          <w:rFonts w:eastAsia="Times New Roman" w:cs="Arial"/>
          <w:bCs/>
          <w:lang w:val="es-CO" w:eastAsia="es-CO"/>
        </w:rPr>
        <w:t>, denominada “</w:t>
      </w:r>
      <w:r w:rsidR="00CB7FA3" w:rsidRPr="007A412F">
        <w:rPr>
          <w:rFonts w:eastAsia="Times New Roman" w:cs="Arial"/>
          <w:bCs/>
          <w:i/>
          <w:iCs/>
          <w:lang w:val="es-CO" w:eastAsia="es-CO"/>
        </w:rPr>
        <w:t>Mpio Vcio – Descuentos de ley</w:t>
      </w:r>
      <w:r w:rsidR="00CB7FA3" w:rsidRPr="001A38D5">
        <w:rPr>
          <w:rFonts w:eastAsia="Times New Roman" w:cs="Arial"/>
          <w:bCs/>
          <w:lang w:val="es-CO" w:eastAsia="es-CO"/>
        </w:rPr>
        <w:t>”</w:t>
      </w:r>
      <w:r w:rsidR="00CE39FF" w:rsidRPr="001A38D5">
        <w:rPr>
          <w:rFonts w:eastAsia="Times New Roman" w:cs="Arial"/>
          <w:bCs/>
          <w:lang w:val="es-CO" w:eastAsia="es-CO"/>
        </w:rPr>
        <w:t xml:space="preserve"> por un total de $3.863,87 millones</w:t>
      </w:r>
      <w:r w:rsidR="0060217C" w:rsidRPr="001A38D5">
        <w:rPr>
          <w:rFonts w:eastAsia="Times New Roman" w:cs="Arial"/>
          <w:bCs/>
          <w:lang w:val="es-CO" w:eastAsia="es-CO"/>
        </w:rPr>
        <w:t xml:space="preserve"> por concepto de traslado descuentos de ley, durante el periodo analizado</w:t>
      </w:r>
      <w:r w:rsidR="007923C0" w:rsidRPr="001A38D5">
        <w:rPr>
          <w:rFonts w:eastAsia="Times New Roman" w:cs="Arial"/>
          <w:bCs/>
          <w:lang w:val="es-CO" w:eastAsia="es-CO"/>
        </w:rPr>
        <w:t xml:space="preserve">, como sigue: </w:t>
      </w:r>
    </w:p>
    <w:p w14:paraId="3CB59BCC" w14:textId="77777777" w:rsidR="007923C0" w:rsidRPr="001A38D5" w:rsidRDefault="007923C0" w:rsidP="005140E1">
      <w:pPr>
        <w:contextualSpacing/>
        <w:jc w:val="both"/>
        <w:rPr>
          <w:rFonts w:eastAsia="Times New Roman" w:cs="Arial"/>
          <w:bCs/>
          <w:lang w:val="es-CO" w:eastAsia="es-CO"/>
        </w:rPr>
      </w:pPr>
    </w:p>
    <w:p w14:paraId="1E26AEE3" w14:textId="77777777" w:rsidR="004716D2" w:rsidRPr="007A412F" w:rsidRDefault="004716D2"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20</w:t>
      </w:r>
      <w:r w:rsidRPr="007A412F">
        <w:rPr>
          <w:rFonts w:ascii="Verdana" w:hAnsi="Verdana"/>
          <w:color w:val="auto"/>
          <w:sz w:val="20"/>
          <w:szCs w:val="20"/>
        </w:rPr>
        <w:fldChar w:fldCharType="end"/>
      </w:r>
      <w:r w:rsidR="007B7CBA" w:rsidRPr="007A412F">
        <w:rPr>
          <w:rFonts w:ascii="Verdana" w:hAnsi="Verdana"/>
          <w:color w:val="auto"/>
          <w:sz w:val="20"/>
          <w:szCs w:val="20"/>
        </w:rPr>
        <w:t xml:space="preserve"> Traslados a la cuenta No. 364618579 del Banco de </w:t>
      </w:r>
      <w:r w:rsidR="0058270D" w:rsidRPr="007A412F">
        <w:rPr>
          <w:rFonts w:ascii="Verdana" w:hAnsi="Verdana"/>
          <w:color w:val="auto"/>
          <w:sz w:val="20"/>
          <w:szCs w:val="20"/>
        </w:rPr>
        <w:t>Bogotá “</w:t>
      </w:r>
      <w:r w:rsidR="007B7CBA" w:rsidRPr="007A412F">
        <w:rPr>
          <w:rFonts w:ascii="Verdana" w:hAnsi="Verdana"/>
          <w:color w:val="auto"/>
          <w:sz w:val="20"/>
          <w:szCs w:val="20"/>
        </w:rPr>
        <w:t>Mpio Vcio – Descuentos de ley” entre 2019 y 2022</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1108"/>
        <w:gridCol w:w="1108"/>
        <w:gridCol w:w="1108"/>
        <w:gridCol w:w="1108"/>
        <w:gridCol w:w="1109"/>
      </w:tblGrid>
      <w:tr w:rsidR="001A38D5" w:rsidRPr="001A38D5" w14:paraId="79BF0FFF" w14:textId="77777777" w:rsidTr="00B23E6E">
        <w:trPr>
          <w:trHeight w:val="265"/>
          <w:jc w:val="center"/>
        </w:trPr>
        <w:tc>
          <w:tcPr>
            <w:tcW w:w="2689" w:type="dxa"/>
            <w:shd w:val="clear" w:color="auto" w:fill="FFC000"/>
            <w:vAlign w:val="center"/>
          </w:tcPr>
          <w:p w14:paraId="4D1002C5" w14:textId="77777777" w:rsidR="007923C0" w:rsidRPr="001A38D5" w:rsidRDefault="007923C0" w:rsidP="005140E1">
            <w:pPr>
              <w:widowControl/>
              <w:autoSpaceDE/>
              <w:autoSpaceDN/>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Descripción</w:t>
            </w:r>
          </w:p>
        </w:tc>
        <w:tc>
          <w:tcPr>
            <w:tcW w:w="1108" w:type="dxa"/>
            <w:shd w:val="clear" w:color="auto" w:fill="FFC000"/>
            <w:noWrap/>
            <w:vAlign w:val="center"/>
            <w:hideMark/>
          </w:tcPr>
          <w:p w14:paraId="7A472444" w14:textId="77777777" w:rsidR="007923C0" w:rsidRPr="001A38D5" w:rsidRDefault="007923C0" w:rsidP="005140E1">
            <w:pPr>
              <w:widowControl/>
              <w:autoSpaceDE/>
              <w:autoSpaceDN/>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2019</w:t>
            </w:r>
          </w:p>
        </w:tc>
        <w:tc>
          <w:tcPr>
            <w:tcW w:w="1108" w:type="dxa"/>
            <w:shd w:val="clear" w:color="auto" w:fill="FFC000"/>
            <w:noWrap/>
            <w:vAlign w:val="center"/>
            <w:hideMark/>
          </w:tcPr>
          <w:p w14:paraId="164749B4" w14:textId="77777777" w:rsidR="007923C0" w:rsidRPr="001A38D5" w:rsidRDefault="007923C0" w:rsidP="005140E1">
            <w:pPr>
              <w:widowControl/>
              <w:autoSpaceDE/>
              <w:autoSpaceDN/>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2020</w:t>
            </w:r>
          </w:p>
        </w:tc>
        <w:tc>
          <w:tcPr>
            <w:tcW w:w="1108" w:type="dxa"/>
            <w:shd w:val="clear" w:color="auto" w:fill="FFC000"/>
            <w:noWrap/>
            <w:vAlign w:val="center"/>
            <w:hideMark/>
          </w:tcPr>
          <w:p w14:paraId="47E341C0" w14:textId="77777777" w:rsidR="007923C0" w:rsidRPr="001A38D5" w:rsidRDefault="007923C0" w:rsidP="005140E1">
            <w:pPr>
              <w:widowControl/>
              <w:autoSpaceDE/>
              <w:autoSpaceDN/>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2021</w:t>
            </w:r>
          </w:p>
        </w:tc>
        <w:tc>
          <w:tcPr>
            <w:tcW w:w="1108" w:type="dxa"/>
            <w:shd w:val="clear" w:color="auto" w:fill="FFC000"/>
            <w:noWrap/>
            <w:vAlign w:val="center"/>
            <w:hideMark/>
          </w:tcPr>
          <w:p w14:paraId="745E47E6" w14:textId="77777777" w:rsidR="007923C0" w:rsidRPr="001A38D5" w:rsidRDefault="007923C0" w:rsidP="005140E1">
            <w:pPr>
              <w:widowControl/>
              <w:autoSpaceDE/>
              <w:autoSpaceDN/>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2022</w:t>
            </w:r>
          </w:p>
        </w:tc>
        <w:tc>
          <w:tcPr>
            <w:tcW w:w="1109" w:type="dxa"/>
            <w:shd w:val="clear" w:color="auto" w:fill="FFC000"/>
            <w:noWrap/>
            <w:vAlign w:val="center"/>
            <w:hideMark/>
          </w:tcPr>
          <w:p w14:paraId="5FF94AFF" w14:textId="77777777" w:rsidR="007923C0" w:rsidRPr="001A38D5" w:rsidRDefault="007923C0" w:rsidP="005140E1">
            <w:pPr>
              <w:widowControl/>
              <w:autoSpaceDE/>
              <w:autoSpaceDN/>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Total general</w:t>
            </w:r>
          </w:p>
        </w:tc>
      </w:tr>
      <w:tr w:rsidR="001A38D5" w:rsidRPr="001A38D5" w14:paraId="108DDB1F" w14:textId="77777777" w:rsidTr="007923C0">
        <w:trPr>
          <w:trHeight w:val="265"/>
          <w:jc w:val="center"/>
        </w:trPr>
        <w:tc>
          <w:tcPr>
            <w:tcW w:w="2689" w:type="dxa"/>
            <w:vAlign w:val="center"/>
          </w:tcPr>
          <w:p w14:paraId="31D5910A" w14:textId="77777777" w:rsidR="007923C0" w:rsidRPr="001A38D5" w:rsidRDefault="007923C0" w:rsidP="005140E1">
            <w:pPr>
              <w:widowControl/>
              <w:autoSpaceDE/>
              <w:autoSpaceDN/>
              <w:contextualSpacing/>
              <w:rPr>
                <w:rFonts w:eastAsia="Times New Roman" w:cs="Arial"/>
                <w:sz w:val="18"/>
                <w:szCs w:val="18"/>
                <w:lang w:val="es-CO" w:eastAsia="es-CO"/>
              </w:rPr>
            </w:pPr>
            <w:r w:rsidRPr="001A38D5">
              <w:rPr>
                <w:rFonts w:eastAsia="Times New Roman" w:cs="Arial"/>
                <w:sz w:val="18"/>
                <w:szCs w:val="18"/>
                <w:lang w:val="es-CO" w:eastAsia="es-CO"/>
              </w:rPr>
              <w:t>Valor</w:t>
            </w:r>
          </w:p>
        </w:tc>
        <w:tc>
          <w:tcPr>
            <w:tcW w:w="1108" w:type="dxa"/>
            <w:shd w:val="clear" w:color="auto" w:fill="auto"/>
            <w:noWrap/>
            <w:vAlign w:val="center"/>
            <w:hideMark/>
          </w:tcPr>
          <w:p w14:paraId="6929F995" w14:textId="77777777" w:rsidR="007923C0" w:rsidRPr="001A38D5" w:rsidRDefault="007923C0" w:rsidP="005140E1">
            <w:pPr>
              <w:widowControl/>
              <w:autoSpaceDE/>
              <w:autoSpaceDN/>
              <w:contextualSpacing/>
              <w:jc w:val="center"/>
              <w:rPr>
                <w:rFonts w:eastAsia="Times New Roman" w:cs="Arial"/>
                <w:sz w:val="18"/>
                <w:szCs w:val="18"/>
                <w:lang w:val="es-CO" w:eastAsia="es-CO"/>
              </w:rPr>
            </w:pPr>
            <w:r w:rsidRPr="001A38D5">
              <w:rPr>
                <w:rFonts w:eastAsia="Times New Roman" w:cs="Arial"/>
                <w:sz w:val="18"/>
                <w:szCs w:val="18"/>
                <w:lang w:val="es-CO" w:eastAsia="es-CO"/>
              </w:rPr>
              <w:t>$1.277</w:t>
            </w:r>
          </w:p>
        </w:tc>
        <w:tc>
          <w:tcPr>
            <w:tcW w:w="1108" w:type="dxa"/>
            <w:shd w:val="clear" w:color="auto" w:fill="auto"/>
            <w:noWrap/>
            <w:vAlign w:val="center"/>
            <w:hideMark/>
          </w:tcPr>
          <w:p w14:paraId="0A58B7E0" w14:textId="77777777" w:rsidR="007923C0" w:rsidRPr="001A38D5" w:rsidRDefault="007923C0" w:rsidP="005140E1">
            <w:pPr>
              <w:widowControl/>
              <w:autoSpaceDE/>
              <w:autoSpaceDN/>
              <w:contextualSpacing/>
              <w:jc w:val="center"/>
              <w:rPr>
                <w:rFonts w:eastAsia="Times New Roman" w:cs="Arial"/>
                <w:sz w:val="18"/>
                <w:szCs w:val="18"/>
                <w:lang w:val="es-CO" w:eastAsia="es-CO"/>
              </w:rPr>
            </w:pPr>
            <w:r w:rsidRPr="001A38D5">
              <w:rPr>
                <w:rFonts w:eastAsia="Times New Roman" w:cs="Arial"/>
                <w:sz w:val="18"/>
                <w:szCs w:val="18"/>
                <w:lang w:val="es-CO" w:eastAsia="es-CO"/>
              </w:rPr>
              <w:t>$780</w:t>
            </w:r>
          </w:p>
        </w:tc>
        <w:tc>
          <w:tcPr>
            <w:tcW w:w="1108" w:type="dxa"/>
            <w:shd w:val="clear" w:color="auto" w:fill="auto"/>
            <w:noWrap/>
            <w:vAlign w:val="center"/>
            <w:hideMark/>
          </w:tcPr>
          <w:p w14:paraId="0892D1B0" w14:textId="77777777" w:rsidR="007923C0" w:rsidRPr="001A38D5" w:rsidRDefault="007923C0" w:rsidP="005140E1">
            <w:pPr>
              <w:widowControl/>
              <w:autoSpaceDE/>
              <w:autoSpaceDN/>
              <w:contextualSpacing/>
              <w:jc w:val="center"/>
              <w:rPr>
                <w:rFonts w:eastAsia="Times New Roman" w:cs="Arial"/>
                <w:sz w:val="18"/>
                <w:szCs w:val="18"/>
                <w:lang w:val="es-CO" w:eastAsia="es-CO"/>
              </w:rPr>
            </w:pPr>
            <w:r w:rsidRPr="001A38D5">
              <w:rPr>
                <w:rFonts w:eastAsia="Times New Roman" w:cs="Arial"/>
                <w:sz w:val="18"/>
                <w:szCs w:val="18"/>
                <w:lang w:val="es-CO" w:eastAsia="es-CO"/>
              </w:rPr>
              <w:t>$562</w:t>
            </w:r>
          </w:p>
        </w:tc>
        <w:tc>
          <w:tcPr>
            <w:tcW w:w="1108" w:type="dxa"/>
            <w:shd w:val="clear" w:color="auto" w:fill="auto"/>
            <w:noWrap/>
            <w:vAlign w:val="center"/>
            <w:hideMark/>
          </w:tcPr>
          <w:p w14:paraId="03830117" w14:textId="77777777" w:rsidR="007923C0" w:rsidRPr="001A38D5" w:rsidRDefault="007923C0" w:rsidP="005140E1">
            <w:pPr>
              <w:widowControl/>
              <w:autoSpaceDE/>
              <w:autoSpaceDN/>
              <w:contextualSpacing/>
              <w:jc w:val="center"/>
              <w:rPr>
                <w:rFonts w:eastAsia="Times New Roman" w:cs="Arial"/>
                <w:sz w:val="18"/>
                <w:szCs w:val="18"/>
                <w:lang w:val="es-CO" w:eastAsia="es-CO"/>
              </w:rPr>
            </w:pPr>
            <w:r w:rsidRPr="001A38D5">
              <w:rPr>
                <w:rFonts w:eastAsia="Times New Roman" w:cs="Arial"/>
                <w:sz w:val="18"/>
                <w:szCs w:val="18"/>
                <w:lang w:val="es-CO" w:eastAsia="es-CO"/>
              </w:rPr>
              <w:t>$ .244</w:t>
            </w:r>
          </w:p>
        </w:tc>
        <w:tc>
          <w:tcPr>
            <w:tcW w:w="1109" w:type="dxa"/>
            <w:shd w:val="clear" w:color="auto" w:fill="auto"/>
            <w:noWrap/>
            <w:vAlign w:val="center"/>
            <w:hideMark/>
          </w:tcPr>
          <w:p w14:paraId="53CD9304" w14:textId="77777777" w:rsidR="007923C0" w:rsidRPr="001A38D5" w:rsidRDefault="007923C0" w:rsidP="005140E1">
            <w:pPr>
              <w:widowControl/>
              <w:autoSpaceDE/>
              <w:autoSpaceDN/>
              <w:contextualSpacing/>
              <w:jc w:val="center"/>
              <w:rPr>
                <w:rFonts w:eastAsia="Times New Roman" w:cs="Arial"/>
                <w:sz w:val="18"/>
                <w:szCs w:val="18"/>
                <w:lang w:val="es-CO" w:eastAsia="es-CO"/>
              </w:rPr>
            </w:pPr>
            <w:r w:rsidRPr="001A38D5">
              <w:rPr>
                <w:rFonts w:eastAsia="Times New Roman" w:cs="Arial"/>
                <w:sz w:val="18"/>
                <w:szCs w:val="18"/>
                <w:lang w:val="es-CO" w:eastAsia="es-CO"/>
              </w:rPr>
              <w:t>$3.864</w:t>
            </w:r>
          </w:p>
        </w:tc>
      </w:tr>
      <w:tr w:rsidR="001A38D5" w:rsidRPr="001A38D5" w14:paraId="5E1F8895" w14:textId="77777777" w:rsidTr="007923C0">
        <w:trPr>
          <w:trHeight w:val="265"/>
          <w:jc w:val="center"/>
        </w:trPr>
        <w:tc>
          <w:tcPr>
            <w:tcW w:w="2689" w:type="dxa"/>
            <w:vAlign w:val="center"/>
          </w:tcPr>
          <w:p w14:paraId="2D1BDF7F" w14:textId="77777777" w:rsidR="007923C0" w:rsidRPr="001A38D5" w:rsidRDefault="007923C0" w:rsidP="005140E1">
            <w:pPr>
              <w:widowControl/>
              <w:autoSpaceDE/>
              <w:autoSpaceDN/>
              <w:contextualSpacing/>
              <w:rPr>
                <w:rFonts w:eastAsia="Times New Roman" w:cs="Arial"/>
                <w:sz w:val="18"/>
                <w:szCs w:val="18"/>
                <w:lang w:val="es-CO" w:eastAsia="es-CO"/>
              </w:rPr>
            </w:pPr>
            <w:r w:rsidRPr="001A38D5">
              <w:rPr>
                <w:rFonts w:eastAsia="Times New Roman" w:cs="Arial"/>
                <w:sz w:val="18"/>
                <w:szCs w:val="18"/>
                <w:lang w:val="es-CO" w:eastAsia="es-CO"/>
              </w:rPr>
              <w:t>Número de transacciones</w:t>
            </w:r>
          </w:p>
        </w:tc>
        <w:tc>
          <w:tcPr>
            <w:tcW w:w="1108" w:type="dxa"/>
            <w:shd w:val="clear" w:color="auto" w:fill="auto"/>
            <w:noWrap/>
            <w:vAlign w:val="center"/>
            <w:hideMark/>
          </w:tcPr>
          <w:p w14:paraId="2159DD8F" w14:textId="77777777" w:rsidR="007923C0" w:rsidRPr="001A38D5" w:rsidRDefault="007923C0" w:rsidP="005140E1">
            <w:pPr>
              <w:widowControl/>
              <w:autoSpaceDE/>
              <w:autoSpaceDN/>
              <w:contextualSpacing/>
              <w:jc w:val="center"/>
              <w:rPr>
                <w:rFonts w:eastAsia="Times New Roman" w:cs="Arial"/>
                <w:sz w:val="18"/>
                <w:szCs w:val="18"/>
                <w:lang w:val="es-CO" w:eastAsia="es-CO"/>
              </w:rPr>
            </w:pPr>
            <w:r w:rsidRPr="001A38D5">
              <w:rPr>
                <w:rFonts w:eastAsia="Times New Roman" w:cs="Arial"/>
                <w:sz w:val="18"/>
                <w:szCs w:val="18"/>
                <w:lang w:val="es-CO" w:eastAsia="es-CO"/>
              </w:rPr>
              <w:t>28</w:t>
            </w:r>
          </w:p>
        </w:tc>
        <w:tc>
          <w:tcPr>
            <w:tcW w:w="1108" w:type="dxa"/>
            <w:shd w:val="clear" w:color="auto" w:fill="auto"/>
            <w:noWrap/>
            <w:vAlign w:val="center"/>
            <w:hideMark/>
          </w:tcPr>
          <w:p w14:paraId="0F95894C" w14:textId="77777777" w:rsidR="007923C0" w:rsidRPr="001A38D5" w:rsidRDefault="007923C0" w:rsidP="005140E1">
            <w:pPr>
              <w:widowControl/>
              <w:autoSpaceDE/>
              <w:autoSpaceDN/>
              <w:contextualSpacing/>
              <w:jc w:val="center"/>
              <w:rPr>
                <w:rFonts w:eastAsia="Times New Roman" w:cs="Arial"/>
                <w:sz w:val="18"/>
                <w:szCs w:val="18"/>
                <w:lang w:val="es-CO" w:eastAsia="es-CO"/>
              </w:rPr>
            </w:pPr>
            <w:r w:rsidRPr="001A38D5">
              <w:rPr>
                <w:rFonts w:eastAsia="Times New Roman" w:cs="Arial"/>
                <w:sz w:val="18"/>
                <w:szCs w:val="18"/>
                <w:lang w:val="es-CO" w:eastAsia="es-CO"/>
              </w:rPr>
              <w:t>29</w:t>
            </w:r>
          </w:p>
        </w:tc>
        <w:tc>
          <w:tcPr>
            <w:tcW w:w="1108" w:type="dxa"/>
            <w:shd w:val="clear" w:color="auto" w:fill="auto"/>
            <w:noWrap/>
            <w:vAlign w:val="center"/>
            <w:hideMark/>
          </w:tcPr>
          <w:p w14:paraId="76C0F3FC" w14:textId="77777777" w:rsidR="007923C0" w:rsidRPr="001A38D5" w:rsidRDefault="007923C0" w:rsidP="005140E1">
            <w:pPr>
              <w:widowControl/>
              <w:autoSpaceDE/>
              <w:autoSpaceDN/>
              <w:contextualSpacing/>
              <w:jc w:val="center"/>
              <w:rPr>
                <w:rFonts w:eastAsia="Times New Roman" w:cs="Arial"/>
                <w:sz w:val="18"/>
                <w:szCs w:val="18"/>
                <w:lang w:val="es-CO" w:eastAsia="es-CO"/>
              </w:rPr>
            </w:pPr>
            <w:r w:rsidRPr="001A38D5">
              <w:rPr>
                <w:rFonts w:eastAsia="Times New Roman" w:cs="Arial"/>
                <w:sz w:val="18"/>
                <w:szCs w:val="18"/>
                <w:lang w:val="es-CO" w:eastAsia="es-CO"/>
              </w:rPr>
              <w:t>56</w:t>
            </w:r>
          </w:p>
        </w:tc>
        <w:tc>
          <w:tcPr>
            <w:tcW w:w="1108" w:type="dxa"/>
            <w:shd w:val="clear" w:color="auto" w:fill="auto"/>
            <w:noWrap/>
            <w:vAlign w:val="center"/>
            <w:hideMark/>
          </w:tcPr>
          <w:p w14:paraId="635D0068" w14:textId="77777777" w:rsidR="007923C0" w:rsidRPr="001A38D5" w:rsidRDefault="007923C0" w:rsidP="005140E1">
            <w:pPr>
              <w:widowControl/>
              <w:autoSpaceDE/>
              <w:autoSpaceDN/>
              <w:contextualSpacing/>
              <w:jc w:val="center"/>
              <w:rPr>
                <w:rFonts w:eastAsia="Times New Roman" w:cs="Arial"/>
                <w:sz w:val="18"/>
                <w:szCs w:val="18"/>
                <w:lang w:val="es-CO" w:eastAsia="es-CO"/>
              </w:rPr>
            </w:pPr>
            <w:r w:rsidRPr="001A38D5">
              <w:rPr>
                <w:rFonts w:eastAsia="Times New Roman" w:cs="Arial"/>
                <w:sz w:val="18"/>
                <w:szCs w:val="18"/>
                <w:lang w:val="es-CO" w:eastAsia="es-CO"/>
              </w:rPr>
              <w:t>44</w:t>
            </w:r>
          </w:p>
        </w:tc>
        <w:tc>
          <w:tcPr>
            <w:tcW w:w="1109" w:type="dxa"/>
            <w:shd w:val="clear" w:color="auto" w:fill="auto"/>
            <w:noWrap/>
            <w:vAlign w:val="center"/>
            <w:hideMark/>
          </w:tcPr>
          <w:p w14:paraId="01E58B59" w14:textId="77777777" w:rsidR="007923C0" w:rsidRPr="001A38D5" w:rsidRDefault="007923C0" w:rsidP="005140E1">
            <w:pPr>
              <w:widowControl/>
              <w:autoSpaceDE/>
              <w:autoSpaceDN/>
              <w:contextualSpacing/>
              <w:jc w:val="center"/>
              <w:rPr>
                <w:rFonts w:eastAsia="Times New Roman" w:cs="Arial"/>
                <w:sz w:val="18"/>
                <w:szCs w:val="18"/>
                <w:lang w:val="es-CO" w:eastAsia="es-CO"/>
              </w:rPr>
            </w:pPr>
            <w:r w:rsidRPr="001A38D5">
              <w:rPr>
                <w:rFonts w:eastAsia="Times New Roman" w:cs="Arial"/>
                <w:sz w:val="18"/>
                <w:szCs w:val="18"/>
                <w:lang w:val="es-CO" w:eastAsia="es-CO"/>
              </w:rPr>
              <w:t>157</w:t>
            </w:r>
          </w:p>
        </w:tc>
      </w:tr>
    </w:tbl>
    <w:p w14:paraId="7AC79F42" w14:textId="77777777" w:rsidR="007923C0" w:rsidRPr="007A412F" w:rsidRDefault="007B7CBA" w:rsidP="005140E1">
      <w:pPr>
        <w:contextualSpacing/>
        <w:jc w:val="center"/>
        <w:rPr>
          <w:rFonts w:cs="Arial"/>
          <w:sz w:val="16"/>
          <w:szCs w:val="16"/>
          <w:lang w:val="es-CO"/>
        </w:rPr>
      </w:pPr>
      <w:r w:rsidRPr="007A412F">
        <w:rPr>
          <w:rFonts w:cs="Arial"/>
          <w:sz w:val="16"/>
          <w:szCs w:val="16"/>
          <w:lang w:val="es-CO"/>
        </w:rPr>
        <w:t>Fuente: Elaboración DAF.</w:t>
      </w:r>
    </w:p>
    <w:p w14:paraId="5735A3BB" w14:textId="77777777" w:rsidR="007B7CBA" w:rsidRPr="001A38D5" w:rsidRDefault="007B7CBA" w:rsidP="005140E1">
      <w:pPr>
        <w:contextualSpacing/>
        <w:rPr>
          <w:rFonts w:eastAsia="Times New Roman" w:cs="Arial"/>
          <w:bCs/>
          <w:lang w:val="es-CO" w:eastAsia="es-CO"/>
        </w:rPr>
      </w:pPr>
    </w:p>
    <w:p w14:paraId="3FD72768" w14:textId="77777777" w:rsidR="008F5600" w:rsidRPr="001A38D5" w:rsidRDefault="004716D2" w:rsidP="005140E1">
      <w:pPr>
        <w:contextualSpacing/>
        <w:jc w:val="both"/>
        <w:rPr>
          <w:rFonts w:eastAsia="Times New Roman" w:cs="Arial"/>
          <w:bCs/>
          <w:lang w:val="es-CO" w:eastAsia="es-CO"/>
        </w:rPr>
      </w:pPr>
      <w:r w:rsidRPr="001A38D5">
        <w:rPr>
          <w:rFonts w:eastAsia="Times New Roman" w:cs="Arial"/>
          <w:bCs/>
          <w:lang w:val="es-CO" w:eastAsia="es-CO"/>
        </w:rPr>
        <w:t xml:space="preserve">Al respecto, se debe tener en cuenta que al tenor de lo dispuesto en el parágrafo del artículo 11 de la Resolución </w:t>
      </w:r>
      <w:r w:rsidR="00090364" w:rsidRPr="001A38D5">
        <w:rPr>
          <w:rFonts w:eastAsia="Times New Roman" w:cs="Arial"/>
          <w:bCs/>
          <w:lang w:val="es-CO" w:eastAsia="es-CO"/>
        </w:rPr>
        <w:t xml:space="preserve">No. </w:t>
      </w:r>
      <w:r w:rsidRPr="001A38D5">
        <w:rPr>
          <w:rFonts w:eastAsia="Times New Roman" w:cs="Arial"/>
          <w:bCs/>
          <w:lang w:val="es-CO" w:eastAsia="es-CO"/>
        </w:rPr>
        <w:t xml:space="preserve">2248 de 2018 </w:t>
      </w:r>
      <w:r w:rsidR="00BE0FA7">
        <w:rPr>
          <w:rFonts w:eastAsia="Times New Roman" w:cs="Arial"/>
          <w:bCs/>
          <w:lang w:val="es-CO" w:eastAsia="es-CO"/>
        </w:rPr>
        <w:t xml:space="preserve">de los Ministerios de Hacienda y Crédito Público y de Educación Nacional </w:t>
      </w:r>
      <w:r w:rsidRPr="001A38D5">
        <w:rPr>
          <w:rFonts w:eastAsia="Times New Roman" w:cs="Arial"/>
          <w:bCs/>
          <w:lang w:val="es-CO" w:eastAsia="es-CO"/>
        </w:rPr>
        <w:t>en la Cuenta Maestra del Programa de Alimentación Escolar de las Entidades territoriales deberán inscribirse las cuentas beneficiarias para cada uno de los conceptos de retención o descuentos que en el marco de las normas tributarias se determine, incluyendo las estampillas. Lo anterior, atendiendo lo dispuesto en la norma citada la cual hace referencia a la inscripción de los titulares de los tributos, entendiendo que se deberá aperturar una cuenta para ser inscrita como beneficiaria de las Cuentas Maestras por cada uno de los tributos</w:t>
      </w:r>
      <w:r w:rsidR="00FA14C8">
        <w:rPr>
          <w:rFonts w:eastAsia="Times New Roman" w:cs="Arial"/>
          <w:bCs/>
          <w:lang w:val="es-CO" w:eastAsia="es-CO"/>
        </w:rPr>
        <w:t>;</w:t>
      </w:r>
      <w:r w:rsidRPr="001A38D5">
        <w:rPr>
          <w:rFonts w:eastAsia="Times New Roman" w:cs="Arial"/>
          <w:bCs/>
          <w:lang w:val="es-CO" w:eastAsia="es-CO"/>
        </w:rPr>
        <w:t xml:space="preserve"> es decir, tantas cuentas bancarias como sea necesario y en razón al número de tributos que se constituyan como una obligación de los pagos que se realicen con cargo a las cuentas maestras.</w:t>
      </w:r>
    </w:p>
    <w:p w14:paraId="3C0F9EE4" w14:textId="77777777" w:rsidR="007B7CBA" w:rsidRPr="001A38D5" w:rsidRDefault="007B7CBA" w:rsidP="005140E1">
      <w:pPr>
        <w:contextualSpacing/>
        <w:jc w:val="both"/>
        <w:rPr>
          <w:rFonts w:eastAsia="Times New Roman" w:cs="Arial"/>
          <w:bCs/>
          <w:lang w:val="es-CO" w:eastAsia="es-CO"/>
        </w:rPr>
      </w:pPr>
    </w:p>
    <w:p w14:paraId="3E4F7010" w14:textId="77777777" w:rsidR="0058270D" w:rsidRPr="001A38D5" w:rsidRDefault="0058270D" w:rsidP="005140E1">
      <w:pPr>
        <w:contextualSpacing/>
        <w:jc w:val="both"/>
        <w:rPr>
          <w:rFonts w:eastAsia="Times New Roman" w:cs="Arial"/>
          <w:bCs/>
          <w:lang w:val="es-CO" w:eastAsia="es-CO"/>
        </w:rPr>
      </w:pPr>
      <w:r w:rsidRPr="001A38D5">
        <w:rPr>
          <w:rFonts w:eastAsia="Times New Roman" w:cs="Arial"/>
          <w:bCs/>
          <w:lang w:val="es-CO" w:eastAsia="es-CO"/>
        </w:rPr>
        <w:t xml:space="preserve">Adicionalmente, de la ejecución de los contratos del PAE se realizaron descuentos para la retención en la fuente por concepto de renta. Recursos que, al tenor de lo dispuesto en la Resolución No. 0660 de 2018 </w:t>
      </w:r>
      <w:r w:rsidR="003B0462" w:rsidRPr="003B0462">
        <w:rPr>
          <w:rFonts w:eastAsia="Times New Roman" w:cs="Arial"/>
          <w:bCs/>
          <w:lang w:val="es-CO" w:eastAsia="es-CO"/>
        </w:rPr>
        <w:t>de los Ministerios de Hacienda y Crédito Público, Educación Nacional y de Vivienda, Ciudad y Territorio</w:t>
      </w:r>
      <w:r w:rsidRPr="003B0462">
        <w:rPr>
          <w:rStyle w:val="Refdecomentario"/>
        </w:rPr>
        <w:t xml:space="preserve"> </w:t>
      </w:r>
      <w:r w:rsidRPr="001A38D5">
        <w:rPr>
          <w:rFonts w:eastAsia="Times New Roman" w:cs="Arial"/>
          <w:bCs/>
          <w:lang w:val="es-CO" w:eastAsia="es-CO"/>
        </w:rPr>
        <w:t>debían ser pagados a</w:t>
      </w:r>
      <w:r w:rsidR="00BA2FE3" w:rsidRPr="001A38D5">
        <w:rPr>
          <w:rFonts w:eastAsia="Times New Roman" w:cs="Arial"/>
          <w:bCs/>
          <w:lang w:val="es-CO" w:eastAsia="es-CO"/>
        </w:rPr>
        <w:t xml:space="preserve"> Dirección de Impuestos y Aduanas Nacionales </w:t>
      </w:r>
      <w:r w:rsidRPr="001A38D5">
        <w:rPr>
          <w:rFonts w:eastAsia="Times New Roman" w:cs="Arial"/>
          <w:bCs/>
          <w:lang w:val="es-CO" w:eastAsia="es-CO"/>
        </w:rPr>
        <w:t>- DIAN a través de la Cuenta Maestra Pagadora mediante el botón de pago electrónico seguro en línea – PSE.</w:t>
      </w:r>
    </w:p>
    <w:p w14:paraId="088AEA7C" w14:textId="77777777" w:rsidR="0058270D" w:rsidRPr="001A38D5" w:rsidRDefault="0058270D" w:rsidP="005140E1">
      <w:pPr>
        <w:contextualSpacing/>
        <w:jc w:val="both"/>
        <w:rPr>
          <w:rFonts w:eastAsia="Times New Roman" w:cs="Arial"/>
          <w:bCs/>
          <w:lang w:val="es-CO" w:eastAsia="es-CO"/>
        </w:rPr>
      </w:pPr>
    </w:p>
    <w:p w14:paraId="54525443" w14:textId="77777777" w:rsidR="00A20990" w:rsidRPr="001A38D5" w:rsidRDefault="00A20990" w:rsidP="005140E1">
      <w:pPr>
        <w:contextualSpacing/>
        <w:jc w:val="both"/>
        <w:rPr>
          <w:rFonts w:eastAsia="Times New Roman" w:cs="Arial"/>
          <w:bCs/>
          <w:lang w:val="es-CO" w:eastAsia="es-CO"/>
        </w:rPr>
      </w:pPr>
      <w:r w:rsidRPr="001A38D5">
        <w:rPr>
          <w:rFonts w:eastAsia="Times New Roman" w:cs="Arial"/>
          <w:bCs/>
          <w:lang w:val="es-CO" w:eastAsia="es-CO"/>
        </w:rPr>
        <w:t>La situación anterior incumple lo establecido en la Resolución No. 0660 de 2018 en su artículo 3° en materia de la existencia y utilización de una única Cuenta Maestra Pagadora como complementaria a la Cuenta Maestra del Programa de Alimentación Escolar.</w:t>
      </w:r>
    </w:p>
    <w:p w14:paraId="75777789" w14:textId="77777777" w:rsidR="00A20990" w:rsidRPr="001A38D5" w:rsidRDefault="00A20990" w:rsidP="005140E1">
      <w:pPr>
        <w:contextualSpacing/>
        <w:jc w:val="both"/>
        <w:rPr>
          <w:rFonts w:eastAsia="Times New Roman" w:cs="Arial"/>
          <w:bCs/>
          <w:lang w:val="es-CO" w:eastAsia="es-CO"/>
        </w:rPr>
      </w:pPr>
    </w:p>
    <w:p w14:paraId="0331C3E0" w14:textId="77777777" w:rsidR="00A20990" w:rsidRPr="001A38D5" w:rsidRDefault="00A20990" w:rsidP="005140E1">
      <w:pPr>
        <w:pStyle w:val="Sinespaciado"/>
        <w:contextualSpacing/>
        <w:jc w:val="both"/>
        <w:rPr>
          <w:rFonts w:ascii="Verdana" w:hAnsi="Verdana" w:cs="Arial"/>
          <w:b/>
        </w:rPr>
      </w:pPr>
      <w:r w:rsidRPr="001A38D5">
        <w:rPr>
          <w:rFonts w:ascii="Verdana" w:hAnsi="Verdana" w:cs="Arial"/>
          <w:b/>
        </w:rPr>
        <w:t>Evidencias:</w:t>
      </w:r>
    </w:p>
    <w:p w14:paraId="27341AA7" w14:textId="77777777" w:rsidR="00A20990" w:rsidRPr="001A38D5" w:rsidRDefault="00A20990" w:rsidP="005140E1">
      <w:pPr>
        <w:pStyle w:val="Sinespaciado"/>
        <w:contextualSpacing/>
        <w:jc w:val="both"/>
        <w:rPr>
          <w:rFonts w:ascii="Verdana" w:hAnsi="Verdana" w:cs="Arial"/>
          <w:b/>
        </w:rPr>
      </w:pPr>
    </w:p>
    <w:p w14:paraId="14EF4DF1"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Obra en el expediente virtual el siguiente material probatorio:</w:t>
      </w:r>
    </w:p>
    <w:p w14:paraId="3B8DD5CA" w14:textId="77777777" w:rsidR="00A20990" w:rsidRPr="001A38D5" w:rsidRDefault="00A20990" w:rsidP="005140E1">
      <w:pPr>
        <w:pStyle w:val="Sinespaciado"/>
        <w:contextualSpacing/>
        <w:jc w:val="both"/>
        <w:rPr>
          <w:rFonts w:ascii="Verdana" w:hAnsi="Verdana" w:cs="Arial"/>
          <w:b/>
        </w:rPr>
      </w:pPr>
    </w:p>
    <w:p w14:paraId="4B4F8BE9" w14:textId="77777777" w:rsidR="00284776" w:rsidRPr="00284776" w:rsidRDefault="00284776" w:rsidP="005140E1">
      <w:pPr>
        <w:widowControl/>
        <w:numPr>
          <w:ilvl w:val="0"/>
          <w:numId w:val="13"/>
        </w:numPr>
        <w:autoSpaceDE/>
        <w:autoSpaceDN/>
        <w:contextualSpacing/>
        <w:jc w:val="both"/>
        <w:rPr>
          <w:rFonts w:eastAsia="Times New Roman" w:cs="Arial"/>
          <w:color w:val="000000" w:themeColor="text1"/>
          <w:sz w:val="20"/>
          <w:szCs w:val="20"/>
          <w:lang w:eastAsia="es-CO"/>
        </w:rPr>
      </w:pPr>
      <w:r w:rsidRPr="00284776">
        <w:rPr>
          <w:rFonts w:eastAsia="Arial" w:cs="Arial"/>
          <w:sz w:val="20"/>
          <w:szCs w:val="20"/>
          <w:lang w:val="es-CO"/>
        </w:rPr>
        <w:t xml:space="preserve">Reporte del Sistema PISIS de la Cuenta Maestra Pagadora de la Asignación Especial de Alimentación Escolar No. </w:t>
      </w:r>
      <w:r w:rsidRPr="00284776">
        <w:rPr>
          <w:rFonts w:eastAsia="Times New Roman" w:cs="Arial"/>
          <w:bCs/>
          <w:sz w:val="20"/>
          <w:szCs w:val="20"/>
          <w:lang w:val="es-CO" w:eastAsia="es-CO"/>
        </w:rPr>
        <w:t>36400042505</w:t>
      </w:r>
      <w:r w:rsidRPr="00284776">
        <w:rPr>
          <w:rFonts w:eastAsia="Arial" w:cs="Arial"/>
          <w:sz w:val="20"/>
          <w:szCs w:val="20"/>
          <w:lang w:val="es-CO"/>
        </w:rPr>
        <w:t xml:space="preserve"> de Bancolombia. Municipio de Villavicencio, Meta – Sector Alimentación Escolar. Serie: “</w:t>
      </w:r>
      <w:r w:rsidRPr="00284776">
        <w:rPr>
          <w:rFonts w:eastAsia="Arial" w:cs="Arial"/>
          <w:i/>
          <w:sz w:val="20"/>
          <w:szCs w:val="20"/>
          <w:lang w:val="es-CO"/>
        </w:rPr>
        <w:t>Historial de Seguimiento y Control a los Recursos del Sistema General de Participaciones</w:t>
      </w:r>
      <w:r w:rsidRPr="00284776">
        <w:rPr>
          <w:rFonts w:eastAsia="Arial" w:cs="Arial"/>
          <w:sz w:val="20"/>
          <w:szCs w:val="20"/>
          <w:lang w:val="es-CO"/>
        </w:rPr>
        <w:t xml:space="preserve"> – </w:t>
      </w:r>
      <w:r w:rsidRPr="00284776">
        <w:rPr>
          <w:rFonts w:eastAsia="Arial" w:cs="Arial"/>
          <w:i/>
          <w:sz w:val="20"/>
          <w:szCs w:val="20"/>
          <w:lang w:val="es-CO"/>
        </w:rPr>
        <w:t>Antecedentes</w:t>
      </w:r>
      <w:r w:rsidRPr="00284776">
        <w:rPr>
          <w:rFonts w:eastAsia="Arial" w:cs="Arial"/>
          <w:sz w:val="20"/>
          <w:szCs w:val="20"/>
          <w:lang w:val="es-CO"/>
        </w:rPr>
        <w:t>”. Expediente digital No. 52/2018/D028-PREDI.</w:t>
      </w:r>
    </w:p>
    <w:p w14:paraId="45B74834" w14:textId="77777777" w:rsidR="00284776" w:rsidRPr="00284776" w:rsidRDefault="00425319" w:rsidP="005140E1">
      <w:pPr>
        <w:ind w:left="360"/>
        <w:contextualSpacing/>
        <w:jc w:val="both"/>
        <w:rPr>
          <w:rFonts w:eastAsia="Times New Roman" w:cs="Arial"/>
          <w:color w:val="000000" w:themeColor="text1"/>
          <w:sz w:val="16"/>
          <w:szCs w:val="20"/>
          <w:lang w:eastAsia="es-CO"/>
        </w:rPr>
      </w:pPr>
      <w:hyperlink r:id="rId42" w:history="1">
        <w:r w:rsidR="00284776" w:rsidRPr="00284776">
          <w:rPr>
            <w:rStyle w:val="Hipervnculo"/>
            <w:rFonts w:eastAsia="Times New Roman" w:cs="Arial"/>
            <w:sz w:val="16"/>
            <w:szCs w:val="20"/>
            <w:lang w:eastAsia="es-CO"/>
          </w:rPr>
          <w:t>http://portalgestiondoc.minhacienda.red/PortalEmpleado/viewer.jsp?config=MQHc9kYtW591JoJg1YQtBqEoLwl+shvYKgz6rzkuYxGah31bGM7BxTTQUG7HT6wnqSP/3dNpbZnQXBIB4mdsoFLRGVvDQBMOByZEKD/A3F7haCbA77FWv/x/+8lbZmAH30HNh/y3ZQuyJb2AMHWO9uBI6DXtCW1sZisqEcDvOlXDawCKx2Hr4DAPRHDuj3M3&amp;guid=5b8a275118abe00669643d1&amp;idrepository=879</w:t>
        </w:r>
      </w:hyperlink>
      <w:r w:rsidR="00284776" w:rsidRPr="00284776">
        <w:rPr>
          <w:rFonts w:eastAsia="Times New Roman" w:cs="Arial"/>
          <w:color w:val="000000" w:themeColor="text1"/>
          <w:sz w:val="16"/>
          <w:szCs w:val="20"/>
          <w:lang w:eastAsia="es-CO"/>
        </w:rPr>
        <w:t xml:space="preserve"> </w:t>
      </w:r>
    </w:p>
    <w:p w14:paraId="2359D593" w14:textId="77777777" w:rsidR="00284776" w:rsidRPr="00284776" w:rsidRDefault="00284776" w:rsidP="005140E1">
      <w:pPr>
        <w:widowControl/>
        <w:numPr>
          <w:ilvl w:val="0"/>
          <w:numId w:val="13"/>
        </w:numPr>
        <w:autoSpaceDE/>
        <w:autoSpaceDN/>
        <w:contextualSpacing/>
        <w:jc w:val="both"/>
        <w:rPr>
          <w:rFonts w:eastAsia="Times New Roman" w:cs="Arial"/>
          <w:color w:val="000000" w:themeColor="text1"/>
          <w:sz w:val="20"/>
          <w:szCs w:val="20"/>
          <w:lang w:eastAsia="es-CO"/>
        </w:rPr>
      </w:pPr>
      <w:r w:rsidRPr="00284776">
        <w:rPr>
          <w:rFonts w:eastAsia="Arial" w:cs="Arial"/>
          <w:sz w:val="20"/>
          <w:szCs w:val="20"/>
          <w:lang w:val="es-CO"/>
        </w:rPr>
        <w:t xml:space="preserve">Certificado de la Cuenta Maestra Pagadora de la Asignación Especial de Alimentación Escolar No. </w:t>
      </w:r>
      <w:r w:rsidRPr="00284776">
        <w:rPr>
          <w:rFonts w:eastAsia="Times New Roman" w:cs="Arial"/>
          <w:bCs/>
          <w:sz w:val="20"/>
          <w:szCs w:val="20"/>
          <w:lang w:val="es-CO" w:eastAsia="es-CO"/>
        </w:rPr>
        <w:t>36400042505</w:t>
      </w:r>
      <w:r w:rsidRPr="00284776">
        <w:rPr>
          <w:rFonts w:eastAsia="Arial" w:cs="Arial"/>
          <w:sz w:val="20"/>
          <w:szCs w:val="20"/>
          <w:lang w:val="es-CO"/>
        </w:rPr>
        <w:t xml:space="preserve"> de Bancolombia. Municipio de Villavicencio, Meta – Sector Alimentación Escolar. Serie: “</w:t>
      </w:r>
      <w:r w:rsidRPr="00284776">
        <w:rPr>
          <w:rFonts w:eastAsia="Arial" w:cs="Arial"/>
          <w:i/>
          <w:sz w:val="20"/>
          <w:szCs w:val="20"/>
          <w:lang w:val="es-CO"/>
        </w:rPr>
        <w:t>Historial de Seguimiento y Control a los Recursos del Sistema General de Participaciones</w:t>
      </w:r>
      <w:r w:rsidRPr="00284776">
        <w:rPr>
          <w:rFonts w:eastAsia="Arial" w:cs="Arial"/>
          <w:sz w:val="20"/>
          <w:szCs w:val="20"/>
          <w:lang w:val="es-CO"/>
        </w:rPr>
        <w:t xml:space="preserve"> – </w:t>
      </w:r>
      <w:r w:rsidRPr="00284776">
        <w:rPr>
          <w:rFonts w:eastAsia="Arial" w:cs="Arial"/>
          <w:i/>
          <w:sz w:val="20"/>
          <w:szCs w:val="20"/>
          <w:lang w:val="es-CO"/>
        </w:rPr>
        <w:t>Antecedentes</w:t>
      </w:r>
      <w:r w:rsidRPr="00284776">
        <w:rPr>
          <w:rFonts w:eastAsia="Arial" w:cs="Arial"/>
          <w:sz w:val="20"/>
          <w:szCs w:val="20"/>
          <w:lang w:val="es-CO"/>
        </w:rPr>
        <w:t>”. Expediente digital No. 52/2018/D028-PREDI.</w:t>
      </w:r>
    </w:p>
    <w:p w14:paraId="48632458" w14:textId="77777777" w:rsidR="00284776" w:rsidRPr="00284776" w:rsidRDefault="00425319" w:rsidP="005140E1">
      <w:pPr>
        <w:widowControl/>
        <w:autoSpaceDE/>
        <w:autoSpaceDN/>
        <w:ind w:left="360"/>
        <w:contextualSpacing/>
        <w:rPr>
          <w:rFonts w:eastAsia="Times New Roman" w:cs="Arial"/>
          <w:color w:val="000000" w:themeColor="text1"/>
          <w:sz w:val="16"/>
          <w:szCs w:val="20"/>
          <w:lang w:eastAsia="es-CO"/>
        </w:rPr>
      </w:pPr>
      <w:hyperlink r:id="rId43" w:history="1">
        <w:r w:rsidR="00284776" w:rsidRPr="00284776">
          <w:rPr>
            <w:rStyle w:val="Hipervnculo"/>
            <w:rFonts w:eastAsia="Times New Roman" w:cs="Arial"/>
            <w:sz w:val="16"/>
            <w:szCs w:val="20"/>
            <w:lang w:eastAsia="es-CO"/>
          </w:rPr>
          <w:t>http://portalgestiondoc.minhacienda.red/PortalEmpleado/viewer.jsp?config=OIKiDW+AAYJKUzyqKBFynHkrTfadRw5IWFE+2TA6nzRluD/0epetYFqZQ2Zc5qQK4XLamUz/f4tyIamxB1ONQ/9OwgQE7yR4QSSH1kbUwCaO09lOq/NhRSMbhzwCqsvD4WL9p3vZNk8BY1RHI+BvUixZPJdowIedNT6xxlN7OnH++sAi82rWtCVco26MHG+m&amp;guid=5b8a275118abe00669643cf&amp;idrepository=879</w:t>
        </w:r>
      </w:hyperlink>
      <w:r w:rsidR="00284776" w:rsidRPr="00284776">
        <w:rPr>
          <w:rFonts w:eastAsia="Times New Roman" w:cs="Arial"/>
          <w:color w:val="000000" w:themeColor="text1"/>
          <w:sz w:val="16"/>
          <w:szCs w:val="20"/>
          <w:lang w:eastAsia="es-CO"/>
        </w:rPr>
        <w:t xml:space="preserve"> </w:t>
      </w:r>
    </w:p>
    <w:p w14:paraId="1E7629CC" w14:textId="77777777" w:rsidR="00284776" w:rsidRPr="00284776" w:rsidRDefault="00284776" w:rsidP="005140E1">
      <w:pPr>
        <w:widowControl/>
        <w:numPr>
          <w:ilvl w:val="0"/>
          <w:numId w:val="13"/>
        </w:numPr>
        <w:autoSpaceDE/>
        <w:autoSpaceDN/>
        <w:contextualSpacing/>
        <w:jc w:val="both"/>
        <w:rPr>
          <w:rFonts w:eastAsia="Times New Roman" w:cs="Arial"/>
          <w:color w:val="000000" w:themeColor="text1"/>
          <w:sz w:val="20"/>
          <w:szCs w:val="20"/>
          <w:lang w:eastAsia="es-CO"/>
        </w:rPr>
      </w:pPr>
      <w:r w:rsidRPr="00284776">
        <w:rPr>
          <w:rFonts w:eastAsia="Arial" w:cs="Arial"/>
          <w:sz w:val="20"/>
          <w:szCs w:val="20"/>
          <w:lang w:val="es-CO"/>
        </w:rPr>
        <w:t>Reporte del Sistema PISIS de la Cuenta Maestra de Alimentación Escolar No. 36456549068 de Bancolombia. Municipio de Villavicencio, Meta – Sector Alimentación Escolar. Serie: “</w:t>
      </w:r>
      <w:r w:rsidRPr="00284776">
        <w:rPr>
          <w:rFonts w:eastAsia="Arial" w:cs="Arial"/>
          <w:i/>
          <w:sz w:val="20"/>
          <w:szCs w:val="20"/>
          <w:lang w:val="es-CO"/>
        </w:rPr>
        <w:t>Historial de Seguimiento y Control a los Recursos del Sistema General de Participaciones</w:t>
      </w:r>
      <w:r w:rsidRPr="00284776">
        <w:rPr>
          <w:rFonts w:eastAsia="Arial" w:cs="Arial"/>
          <w:sz w:val="20"/>
          <w:szCs w:val="20"/>
          <w:lang w:val="es-CO"/>
        </w:rPr>
        <w:t xml:space="preserve"> – </w:t>
      </w:r>
      <w:r w:rsidRPr="00284776">
        <w:rPr>
          <w:rFonts w:eastAsia="Arial" w:cs="Arial"/>
          <w:i/>
          <w:sz w:val="20"/>
          <w:szCs w:val="20"/>
          <w:lang w:val="es-CO"/>
        </w:rPr>
        <w:t>Antecedentes</w:t>
      </w:r>
      <w:r w:rsidRPr="00284776">
        <w:rPr>
          <w:rFonts w:eastAsia="Arial" w:cs="Arial"/>
          <w:sz w:val="20"/>
          <w:szCs w:val="20"/>
          <w:lang w:val="es-CO"/>
        </w:rPr>
        <w:t>”. Expediente digital No. 52/2018/D028-PREDI.</w:t>
      </w:r>
    </w:p>
    <w:p w14:paraId="362E4B2E" w14:textId="77777777" w:rsidR="00284776" w:rsidRPr="00284776" w:rsidRDefault="00425319" w:rsidP="005140E1">
      <w:pPr>
        <w:pStyle w:val="Prrafodelista"/>
        <w:widowControl/>
        <w:autoSpaceDE/>
        <w:autoSpaceDN/>
        <w:ind w:left="360"/>
        <w:contextualSpacing/>
        <w:jc w:val="both"/>
        <w:rPr>
          <w:rFonts w:eastAsia="Times New Roman" w:cs="Arial"/>
          <w:color w:val="000000" w:themeColor="text1"/>
          <w:sz w:val="16"/>
          <w:szCs w:val="20"/>
          <w:lang w:eastAsia="es-CO"/>
        </w:rPr>
      </w:pPr>
      <w:hyperlink r:id="rId44" w:history="1">
        <w:r w:rsidR="00284776" w:rsidRPr="00284776">
          <w:rPr>
            <w:rStyle w:val="Hipervnculo"/>
            <w:rFonts w:eastAsia="Times New Roman" w:cs="Arial"/>
            <w:sz w:val="16"/>
            <w:szCs w:val="20"/>
            <w:lang w:eastAsia="es-CO"/>
          </w:rPr>
          <w:t>http://portalgestiondoc.minhacienda.red/PortalEmpleado/viewer.jsp?config=g/sE5TYYZBONXNciclJTo9X3FwoJlhCmznTRGENUpjH4D3YYLKiT1Ph9a5GFZdXgHvTu3FNIQ8ronG3Tpv0FPEUWJ1tPkF3RCHm/znUI5+ygdF1RGbAVvV6CjzWsPcBuqWJs9sYkY5rP7AG5cBv0Mc5EDMWtc6gkxPkaewqRChmOR68Sz5DD/Hn0TVuLK7EK&amp;guid=5b8a275118abe00669632d9&amp;idrepository=879</w:t>
        </w:r>
      </w:hyperlink>
      <w:r w:rsidR="00284776" w:rsidRPr="00284776">
        <w:rPr>
          <w:rFonts w:eastAsia="Times New Roman" w:cs="Arial"/>
          <w:color w:val="000000" w:themeColor="text1"/>
          <w:sz w:val="16"/>
          <w:szCs w:val="20"/>
          <w:lang w:eastAsia="es-CO"/>
        </w:rPr>
        <w:t xml:space="preserve"> </w:t>
      </w:r>
    </w:p>
    <w:p w14:paraId="2906F5E9" w14:textId="77777777" w:rsidR="00284776" w:rsidRPr="00284776" w:rsidRDefault="00284776" w:rsidP="005140E1">
      <w:pPr>
        <w:widowControl/>
        <w:numPr>
          <w:ilvl w:val="0"/>
          <w:numId w:val="13"/>
        </w:numPr>
        <w:autoSpaceDE/>
        <w:autoSpaceDN/>
        <w:contextualSpacing/>
        <w:jc w:val="both"/>
        <w:rPr>
          <w:rFonts w:eastAsia="Times New Roman" w:cs="Arial"/>
          <w:color w:val="000000" w:themeColor="text1"/>
          <w:sz w:val="20"/>
          <w:szCs w:val="20"/>
          <w:lang w:eastAsia="es-CO"/>
        </w:rPr>
      </w:pPr>
      <w:r w:rsidRPr="00284776">
        <w:rPr>
          <w:rFonts w:eastAsia="Times New Roman" w:cs="Arial"/>
          <w:color w:val="000000" w:themeColor="text1"/>
          <w:sz w:val="20"/>
          <w:szCs w:val="20"/>
          <w:lang w:eastAsia="es-CO"/>
        </w:rPr>
        <w:t xml:space="preserve">Oficio con radicado No. 1-2023-071154 del 16 de agosto de 2023. </w:t>
      </w:r>
      <w:r w:rsidRPr="00284776">
        <w:rPr>
          <w:rFonts w:eastAsia="Arial" w:cs="Arial"/>
          <w:sz w:val="20"/>
          <w:szCs w:val="20"/>
          <w:lang w:val="es-CO"/>
        </w:rPr>
        <w:t>Municipio de Villavicencio, Meta – Sector Alimentación Escolar. Serie: “</w:t>
      </w:r>
      <w:r w:rsidRPr="00284776">
        <w:rPr>
          <w:rFonts w:eastAsia="Arial" w:cs="Arial"/>
          <w:i/>
          <w:sz w:val="20"/>
          <w:szCs w:val="20"/>
          <w:lang w:val="es-CO"/>
        </w:rPr>
        <w:t>Historial de Seguimiento y Control a los Recursos del Sistema General de Participaciones</w:t>
      </w:r>
      <w:r w:rsidRPr="00284776">
        <w:rPr>
          <w:rFonts w:eastAsia="Arial" w:cs="Arial"/>
          <w:sz w:val="20"/>
          <w:szCs w:val="20"/>
          <w:lang w:val="es-CO"/>
        </w:rPr>
        <w:t xml:space="preserve"> – </w:t>
      </w:r>
      <w:r w:rsidRPr="00284776">
        <w:rPr>
          <w:rFonts w:eastAsia="Arial" w:cs="Arial"/>
          <w:i/>
          <w:sz w:val="20"/>
          <w:szCs w:val="20"/>
          <w:lang w:val="es-CO"/>
        </w:rPr>
        <w:t>Antecedentes</w:t>
      </w:r>
      <w:r w:rsidRPr="00284776">
        <w:rPr>
          <w:rFonts w:eastAsia="Arial" w:cs="Arial"/>
          <w:sz w:val="20"/>
          <w:szCs w:val="20"/>
          <w:lang w:val="es-CO"/>
        </w:rPr>
        <w:t>”. Expediente digital No. 52/2018/D028-PREDI.</w:t>
      </w:r>
    </w:p>
    <w:p w14:paraId="0B14A917" w14:textId="77777777" w:rsidR="00A85FBA" w:rsidRPr="00284776" w:rsidRDefault="00425319" w:rsidP="005140E1">
      <w:pPr>
        <w:ind w:left="360"/>
        <w:contextualSpacing/>
        <w:rPr>
          <w:rFonts w:ascii="Arial" w:hAnsi="Arial" w:cs="Arial"/>
          <w:sz w:val="12"/>
          <w:szCs w:val="16"/>
          <w:lang w:val="es-CO"/>
        </w:rPr>
      </w:pPr>
      <w:hyperlink r:id="rId45" w:history="1">
        <w:r w:rsidR="00284776" w:rsidRPr="00284776">
          <w:rPr>
            <w:rStyle w:val="Hipervnculo"/>
            <w:rFonts w:cs="Arial"/>
            <w:sz w:val="16"/>
            <w:szCs w:val="20"/>
            <w:lang w:val="es-CO"/>
          </w:rPr>
          <w:t>http://portalgestiondoc.minhacienda.red/PortalEmpleado/viewer.jsp?config=5Q6B6aPGzyRCAq9xkWYVxGjUXYmUksKymz1cyo97NtOjgCR14b4mtzLzoRHfZp9hhIfrH2XOZqWVSCV8ZndJI0LMvL6NdXzXRxtFN3WXt89ayzvKagwe8AhBDWXKcog5C7ykh7i5aUoCOCwl64cSa9Y1ZzbaONRDYrzpBs23EVBIShNdiOTPf2kQg69WIWD6&amp;guid=5b8a275118abe00669650ef&amp;idrepository=879</w:t>
        </w:r>
      </w:hyperlink>
      <w:r w:rsidR="00284776" w:rsidRPr="00284776">
        <w:rPr>
          <w:rFonts w:cs="Arial"/>
          <w:sz w:val="16"/>
          <w:szCs w:val="20"/>
          <w:lang w:val="es-CO"/>
        </w:rPr>
        <w:t xml:space="preserve"> </w:t>
      </w:r>
    </w:p>
    <w:p w14:paraId="32A788BC" w14:textId="77777777" w:rsidR="00A85FBA" w:rsidRPr="001A38D5" w:rsidRDefault="00A85FBA" w:rsidP="005140E1">
      <w:pPr>
        <w:ind w:left="360"/>
        <w:contextualSpacing/>
        <w:jc w:val="both"/>
        <w:rPr>
          <w:rFonts w:eastAsia="Times New Roman" w:cs="Arial"/>
          <w:lang w:eastAsia="es-CO"/>
        </w:rPr>
      </w:pPr>
    </w:p>
    <w:p w14:paraId="603562AC" w14:textId="77777777" w:rsidR="00A20990" w:rsidRPr="007A412F" w:rsidRDefault="00A20990" w:rsidP="005140E1">
      <w:pPr>
        <w:pStyle w:val="Ttulo2"/>
        <w:numPr>
          <w:ilvl w:val="0"/>
          <w:numId w:val="0"/>
        </w:numPr>
        <w:contextualSpacing/>
        <w:jc w:val="both"/>
        <w:rPr>
          <w:rFonts w:ascii="Verdana" w:hAnsi="Verdana"/>
          <w:u w:val="none"/>
        </w:rPr>
      </w:pPr>
      <w:r w:rsidRPr="007A412F">
        <w:rPr>
          <w:rFonts w:ascii="Verdana" w:hAnsi="Verdana"/>
          <w:u w:val="none"/>
        </w:rPr>
        <w:t xml:space="preserve">EVENTO DE RIESGO 9.6. </w:t>
      </w:r>
      <w:r w:rsidRPr="007A412F">
        <w:rPr>
          <w:rFonts w:ascii="Verdana" w:hAnsi="Verdana"/>
          <w:b w:val="0"/>
          <w:bCs w:val="0"/>
          <w:u w:val="none"/>
        </w:rPr>
        <w:t>“</w:t>
      </w:r>
      <w:r w:rsidRPr="007A412F">
        <w:rPr>
          <w:rFonts w:ascii="Verdana" w:hAnsi="Verdana"/>
          <w:b w:val="0"/>
          <w:bCs w:val="0"/>
          <w:i/>
          <w:iCs/>
          <w:u w:val="none"/>
        </w:rPr>
        <w:t>Realización de operaciones financieras o de tesorería no autorizadas por la ley</w:t>
      </w:r>
      <w:r w:rsidRPr="007A412F">
        <w:rPr>
          <w:rFonts w:ascii="Verdana" w:hAnsi="Verdana"/>
          <w:b w:val="0"/>
          <w:bCs w:val="0"/>
          <w:u w:val="none"/>
        </w:rPr>
        <w:t>”.</w:t>
      </w:r>
    </w:p>
    <w:p w14:paraId="7B173A2C" w14:textId="77777777" w:rsidR="00A20990" w:rsidRPr="007A412F" w:rsidRDefault="00A20990" w:rsidP="005140E1">
      <w:pPr>
        <w:spacing w:before="100" w:beforeAutospacing="1" w:after="100" w:afterAutospacing="1"/>
        <w:contextualSpacing/>
        <w:jc w:val="both"/>
        <w:rPr>
          <w:rFonts w:eastAsia="Times New Roman" w:cs="Arial"/>
          <w:b/>
          <w:bCs/>
          <w:lang w:val="es-CO" w:eastAsia="es-CO"/>
        </w:rPr>
      </w:pPr>
      <w:r w:rsidRPr="007A412F">
        <w:rPr>
          <w:rFonts w:eastAsia="Times New Roman" w:cs="Arial"/>
          <w:b/>
          <w:bCs/>
          <w:lang w:val="es-CO" w:eastAsia="es-CO"/>
        </w:rPr>
        <w:t>1. Traslado de los recursos de la AESGPAE a cuentas no autorizadas.</w:t>
      </w:r>
    </w:p>
    <w:p w14:paraId="451F9415" w14:textId="77777777" w:rsidR="003E0772" w:rsidRDefault="003E0772" w:rsidP="005140E1">
      <w:pPr>
        <w:contextualSpacing/>
        <w:jc w:val="both"/>
        <w:rPr>
          <w:rFonts w:eastAsia="Arial" w:cs="Arial"/>
          <w:lang w:val="es-CO"/>
        </w:rPr>
      </w:pPr>
    </w:p>
    <w:p w14:paraId="6780CB42" w14:textId="77777777" w:rsidR="00A20990" w:rsidRPr="001A38D5" w:rsidRDefault="00A20990" w:rsidP="005140E1">
      <w:pPr>
        <w:contextualSpacing/>
        <w:jc w:val="both"/>
        <w:rPr>
          <w:rFonts w:eastAsia="Arial" w:cs="Arial"/>
          <w:lang w:val="es-CO"/>
        </w:rPr>
      </w:pPr>
      <w:r w:rsidRPr="001A38D5">
        <w:rPr>
          <w:rFonts w:eastAsia="Arial" w:cs="Arial"/>
          <w:lang w:val="es-CO"/>
        </w:rPr>
        <w:t xml:space="preserve">La Resolución </w:t>
      </w:r>
      <w:r w:rsidR="00BE0FA7">
        <w:rPr>
          <w:rFonts w:eastAsia="Arial" w:cs="Arial"/>
          <w:lang w:val="es-CO"/>
        </w:rPr>
        <w:t xml:space="preserve">No. </w:t>
      </w:r>
      <w:r w:rsidRPr="001A38D5">
        <w:rPr>
          <w:rFonts w:eastAsia="Arial" w:cs="Arial"/>
          <w:lang w:val="es-CO"/>
        </w:rPr>
        <w:t>4835 del 29 de diciembre de 2015</w:t>
      </w:r>
      <w:r w:rsidR="00BE0FA7">
        <w:rPr>
          <w:rStyle w:val="Refdenotaalpie"/>
          <w:rFonts w:eastAsia="Arial"/>
          <w:lang w:val="es-CO"/>
        </w:rPr>
        <w:footnoteReference w:id="6"/>
      </w:r>
      <w:r w:rsidRPr="001A38D5">
        <w:rPr>
          <w:rFonts w:eastAsia="Arial" w:cs="Arial"/>
          <w:lang w:val="es-CO"/>
        </w:rPr>
        <w:t xml:space="preserve"> expedida por el Ministerio de Hacienda y Crédito Público “</w:t>
      </w:r>
      <w:r w:rsidRPr="001A38D5">
        <w:rPr>
          <w:rFonts w:eastAsia="Arial" w:cs="Arial"/>
          <w:i/>
          <w:lang w:val="es-CO"/>
        </w:rPr>
        <w:t>Por la cual se reglamentan las Cuentas Maestras de las Entidades territoriales y sus Entidades descentralizadas para la administración de los recursos del Sistema General de Participaciones de Propósito General, las Asignaciones Especiales y la Asignación para la Atención Integral a la Primera Infancia”</w:t>
      </w:r>
      <w:r w:rsidRPr="001A38D5">
        <w:rPr>
          <w:rFonts w:eastAsia="Arial" w:cs="Arial"/>
          <w:lang w:val="es-CO"/>
        </w:rPr>
        <w:t xml:space="preserve"> en su artículo 7 sostiene que:</w:t>
      </w:r>
    </w:p>
    <w:p w14:paraId="530296D1" w14:textId="77777777" w:rsidR="00A20990" w:rsidRPr="001A38D5" w:rsidRDefault="00A20990" w:rsidP="005140E1">
      <w:pPr>
        <w:contextualSpacing/>
        <w:jc w:val="both"/>
        <w:rPr>
          <w:rFonts w:eastAsia="Arial" w:cs="Arial"/>
          <w:lang w:val="es-CO"/>
        </w:rPr>
      </w:pPr>
    </w:p>
    <w:p w14:paraId="2560A2B9" w14:textId="77777777" w:rsidR="00A20990" w:rsidRPr="007A412F" w:rsidRDefault="00A20990" w:rsidP="005140E1">
      <w:pPr>
        <w:ind w:left="709"/>
        <w:contextualSpacing/>
        <w:jc w:val="both"/>
        <w:rPr>
          <w:rFonts w:cs="Arial"/>
          <w:b/>
          <w:bCs/>
          <w:sz w:val="18"/>
          <w:szCs w:val="18"/>
          <w:lang w:val="es-CO"/>
        </w:rPr>
      </w:pPr>
      <w:r w:rsidRPr="007A412F">
        <w:rPr>
          <w:rFonts w:eastAsia="Times New Roman" w:cs="Arial"/>
          <w:bCs/>
          <w:i/>
          <w:sz w:val="18"/>
          <w:szCs w:val="18"/>
          <w:lang w:val="es-CO" w:eastAsia="es-CO"/>
        </w:rPr>
        <w:t>“</w:t>
      </w:r>
      <w:r w:rsidRPr="007A412F">
        <w:rPr>
          <w:rFonts w:eastAsia="Times New Roman" w:cs="Arial"/>
          <w:b/>
          <w:bCs/>
          <w:i/>
          <w:sz w:val="18"/>
          <w:szCs w:val="18"/>
          <w:lang w:val="es-CO" w:eastAsia="es-CO"/>
        </w:rPr>
        <w:t>Artículo 7.</w:t>
      </w:r>
      <w:r w:rsidRPr="007A412F">
        <w:rPr>
          <w:rFonts w:eastAsia="Times New Roman" w:cs="Arial"/>
          <w:bCs/>
          <w:i/>
          <w:sz w:val="18"/>
          <w:szCs w:val="18"/>
          <w:lang w:val="es-CO" w:eastAsia="es-CO"/>
        </w:rPr>
        <w:t xml:space="preserve"> Operaciones débito autorizadas. Las Cuentas Maestras de las que trata la presente Resolución sólo aceptarán como operaciones débito los pagos que las Entidades territoriales y sus Entidades descentralizadas realicen a los </w:t>
      </w:r>
      <w:r w:rsidRPr="007A412F">
        <w:rPr>
          <w:rFonts w:eastAsia="Times New Roman" w:cs="Arial"/>
          <w:b/>
          <w:bCs/>
          <w:i/>
          <w:sz w:val="18"/>
          <w:szCs w:val="18"/>
          <w:u w:val="single"/>
          <w:lang w:val="es-CO" w:eastAsia="es-CO"/>
        </w:rPr>
        <w:t>beneficiarios previamente registrados en cada una de las Cuentas Maestras por concepto de la ejecución de los recursos del Sistema General de Participaciones</w:t>
      </w:r>
      <w:r w:rsidRPr="007A412F">
        <w:rPr>
          <w:rFonts w:eastAsia="Times New Roman" w:cs="Arial"/>
          <w:bCs/>
          <w:i/>
          <w:sz w:val="18"/>
          <w:szCs w:val="18"/>
          <w:lang w:val="es-CO" w:eastAsia="es-CO"/>
        </w:rPr>
        <w:t xml:space="preserve"> de Propósito General, las Asignaciones Especiales para Alimentación Escolar, municipios Ribereños del Río Grande de la Magdalena y Resguardos Indígenas y la Asignación para la Atención Integral a la Primera Infancia […]” </w:t>
      </w:r>
      <w:r w:rsidRPr="007A412F">
        <w:rPr>
          <w:rFonts w:cs="Arial"/>
          <w:b/>
          <w:bCs/>
          <w:sz w:val="18"/>
          <w:szCs w:val="18"/>
          <w:lang w:val="es-CO"/>
        </w:rPr>
        <w:t>(Énfasis por fuera de texto)</w:t>
      </w:r>
    </w:p>
    <w:p w14:paraId="074F6209" w14:textId="77777777" w:rsidR="00A20990" w:rsidRPr="001A38D5" w:rsidRDefault="00A20990" w:rsidP="005140E1">
      <w:pPr>
        <w:contextualSpacing/>
        <w:jc w:val="both"/>
        <w:rPr>
          <w:rFonts w:cs="Arial"/>
          <w:lang w:val="es-CO"/>
        </w:rPr>
      </w:pPr>
    </w:p>
    <w:p w14:paraId="0B70AA0C" w14:textId="77777777" w:rsidR="00A20990" w:rsidRPr="001A38D5" w:rsidRDefault="00A20990" w:rsidP="005140E1">
      <w:pPr>
        <w:contextualSpacing/>
        <w:jc w:val="both"/>
        <w:rPr>
          <w:rFonts w:cs="Arial"/>
          <w:lang w:val="es-CO"/>
        </w:rPr>
      </w:pPr>
      <w:r w:rsidRPr="001A38D5">
        <w:rPr>
          <w:rFonts w:cs="Arial"/>
          <w:lang w:val="es-CO"/>
        </w:rPr>
        <w:t xml:space="preserve">El artículo octavo de la Resolución </w:t>
      </w:r>
      <w:r w:rsidR="00B163DE">
        <w:rPr>
          <w:rFonts w:cs="Arial"/>
          <w:lang w:val="es-CO"/>
        </w:rPr>
        <w:t xml:space="preserve">No. </w:t>
      </w:r>
      <w:r w:rsidRPr="001A38D5">
        <w:rPr>
          <w:rFonts w:cs="Arial"/>
          <w:lang w:val="es-CO"/>
        </w:rPr>
        <w:t xml:space="preserve">4835 de 2015 del Ministerio de Hacienda y Crédito Público establece puntualmente quién es un beneficiario en el contexto de las Cuentas Maestras, así: </w:t>
      </w:r>
    </w:p>
    <w:p w14:paraId="7C38395D" w14:textId="77777777" w:rsidR="00A20990" w:rsidRPr="007A412F" w:rsidRDefault="00A20990" w:rsidP="005140E1">
      <w:pPr>
        <w:contextualSpacing/>
        <w:jc w:val="both"/>
        <w:rPr>
          <w:rFonts w:eastAsia="Times New Roman" w:cs="Arial"/>
          <w:bCs/>
          <w:iCs/>
          <w:lang w:val="es-CO" w:eastAsia="es-CO"/>
        </w:rPr>
      </w:pPr>
    </w:p>
    <w:p w14:paraId="13FDAF08" w14:textId="77777777" w:rsidR="00A20990" w:rsidRPr="007A412F" w:rsidRDefault="00A20990" w:rsidP="005140E1">
      <w:pPr>
        <w:ind w:left="709"/>
        <w:contextualSpacing/>
        <w:jc w:val="both"/>
        <w:rPr>
          <w:rFonts w:cs="Arial"/>
          <w:b/>
          <w:bCs/>
          <w:sz w:val="18"/>
          <w:szCs w:val="16"/>
          <w:lang w:val="es-CO"/>
        </w:rPr>
      </w:pPr>
      <w:r w:rsidRPr="007A412F">
        <w:rPr>
          <w:rFonts w:cs="Arial"/>
          <w:b/>
          <w:i/>
          <w:iCs/>
          <w:sz w:val="18"/>
          <w:szCs w:val="16"/>
          <w:lang w:val="es-CO"/>
        </w:rPr>
        <w:t>“Artículo 8.</w:t>
      </w:r>
      <w:r w:rsidRPr="007A412F">
        <w:rPr>
          <w:rFonts w:cs="Arial"/>
          <w:i/>
          <w:iCs/>
          <w:sz w:val="18"/>
          <w:szCs w:val="16"/>
          <w:lang w:val="es-CO"/>
        </w:rPr>
        <w:t xml:space="preserve"> Beneficiarios de las Cuentas Maestras. </w:t>
      </w:r>
      <w:r w:rsidRPr="007A412F">
        <w:rPr>
          <w:rFonts w:cs="Arial"/>
          <w:b/>
          <w:bCs/>
          <w:i/>
          <w:iCs/>
          <w:sz w:val="18"/>
          <w:szCs w:val="16"/>
          <w:u w:val="single"/>
          <w:lang w:val="es-CO"/>
        </w:rPr>
        <w:t>Serán beneficiarias de las Cuentas Maestras aquellas personas naturales o jurídicas de derecho público o privado que presten o suministren bienes y/o servicios</w:t>
      </w:r>
      <w:r w:rsidRPr="007A412F">
        <w:rPr>
          <w:rFonts w:cs="Arial"/>
          <w:b/>
          <w:bCs/>
          <w:i/>
          <w:iCs/>
          <w:sz w:val="18"/>
          <w:szCs w:val="16"/>
          <w:lang w:val="es-CO"/>
        </w:rPr>
        <w:t xml:space="preserve"> </w:t>
      </w:r>
      <w:r w:rsidRPr="007A412F">
        <w:rPr>
          <w:rFonts w:cs="Arial"/>
          <w:i/>
          <w:iCs/>
          <w:sz w:val="18"/>
          <w:szCs w:val="16"/>
          <w:lang w:val="es-CO"/>
        </w:rPr>
        <w:t>en atención a lo dispuesto en las Leyes 715 de 2001 y 1176 de 2007</w:t>
      </w:r>
      <w:r w:rsidRPr="007A412F">
        <w:rPr>
          <w:rFonts w:cs="Arial"/>
          <w:sz w:val="18"/>
          <w:szCs w:val="16"/>
          <w:lang w:val="es-CO"/>
        </w:rPr>
        <w:t xml:space="preserve">” </w:t>
      </w:r>
      <w:r w:rsidRPr="007A412F">
        <w:rPr>
          <w:rFonts w:cs="Arial"/>
          <w:b/>
          <w:bCs/>
          <w:sz w:val="18"/>
          <w:szCs w:val="16"/>
          <w:lang w:val="es-CO"/>
        </w:rPr>
        <w:t>(Énfasis por fuera de texto)</w:t>
      </w:r>
    </w:p>
    <w:p w14:paraId="06307E55" w14:textId="77777777" w:rsidR="00A20990" w:rsidRDefault="00A20990" w:rsidP="005140E1">
      <w:pPr>
        <w:contextualSpacing/>
        <w:jc w:val="both"/>
        <w:rPr>
          <w:rFonts w:eastAsia="Times New Roman" w:cs="Arial"/>
          <w:bCs/>
          <w:iCs/>
          <w:sz w:val="21"/>
          <w:szCs w:val="24"/>
          <w:lang w:val="es-CO" w:eastAsia="es-CO"/>
        </w:rPr>
      </w:pPr>
    </w:p>
    <w:p w14:paraId="0D6B2DBE" w14:textId="77777777" w:rsidR="00254A5B" w:rsidRPr="001A38D5" w:rsidRDefault="00254A5B" w:rsidP="005140E1">
      <w:pPr>
        <w:contextualSpacing/>
        <w:jc w:val="both"/>
        <w:rPr>
          <w:rFonts w:cs="Arial"/>
          <w:lang w:val="es-CO"/>
        </w:rPr>
      </w:pPr>
      <w:r>
        <w:rPr>
          <w:rFonts w:cs="Arial"/>
          <w:lang w:val="es-CO"/>
        </w:rPr>
        <w:t xml:space="preserve">El análisis de la Cuenta Maestra del PAE y de su Cuenta Maestra Pagadora para el Municipio de Villavicencio en las vigencias 2019 a 2022 se realiza en observancia de las disposiciones contenidas en las </w:t>
      </w:r>
      <w:r w:rsidR="00186A18">
        <w:rPr>
          <w:rFonts w:cs="Arial"/>
          <w:lang w:val="es-CO"/>
        </w:rPr>
        <w:t xml:space="preserve">Resoluciones No. 4835 de 2015, 2248 de 2018 </w:t>
      </w:r>
      <w:r>
        <w:rPr>
          <w:rFonts w:cs="Arial"/>
          <w:lang w:val="es-CO"/>
        </w:rPr>
        <w:t>y 0660 de 2018</w:t>
      </w:r>
      <w:r w:rsidR="00186A18">
        <w:rPr>
          <w:rFonts w:cs="Arial"/>
          <w:lang w:val="es-CO"/>
        </w:rPr>
        <w:t xml:space="preserve">; sin embargo, es importante </w:t>
      </w:r>
      <w:r>
        <w:rPr>
          <w:rFonts w:cs="Arial"/>
          <w:lang w:val="es-CO"/>
        </w:rPr>
        <w:t xml:space="preserve">resaltar que estas fueron recogidas en la </w:t>
      </w:r>
      <w:r w:rsidRPr="0007655E">
        <w:rPr>
          <w:rFonts w:cs="Arial"/>
          <w:lang w:val="es-CO"/>
        </w:rPr>
        <w:t xml:space="preserve">Resolución </w:t>
      </w:r>
      <w:r>
        <w:rPr>
          <w:rFonts w:cs="Arial"/>
          <w:lang w:val="es-CO"/>
        </w:rPr>
        <w:t xml:space="preserve">No. </w:t>
      </w:r>
      <w:r w:rsidRPr="0007655E">
        <w:rPr>
          <w:rFonts w:cs="Arial"/>
          <w:lang w:val="es-CO"/>
        </w:rPr>
        <w:t xml:space="preserve">2394 del 21 de septiembre de 2023 </w:t>
      </w:r>
      <w:r w:rsidRPr="00BE0FA7">
        <w:rPr>
          <w:rFonts w:cs="Arial"/>
          <w:lang w:val="es-CO"/>
        </w:rPr>
        <w:t>de los Ministerios de Hacienda y Crédito Público, Educación Nacional, Vivienda, Ciudad y Territorio y la Unidad Administrativa Especial de Al</w:t>
      </w:r>
      <w:r w:rsidR="00A81C6B">
        <w:rPr>
          <w:rFonts w:cs="Arial"/>
          <w:lang w:val="es-CO"/>
        </w:rPr>
        <w:t>imentación Escolar - Alimentos p</w:t>
      </w:r>
      <w:r w:rsidRPr="00BE0FA7">
        <w:rPr>
          <w:rFonts w:cs="Arial"/>
          <w:lang w:val="es-CO"/>
        </w:rPr>
        <w:t xml:space="preserve">ara Aprender </w:t>
      </w:r>
      <w:r w:rsidRPr="00C159DF">
        <w:rPr>
          <w:rFonts w:cs="Arial"/>
          <w:i/>
          <w:lang w:val="es-CO"/>
        </w:rPr>
        <w:t>“Por la cual se fijan las condiciones de apertura, registro, operación, cancelación y sustitución de las Cuentas Maestras y de las Cuentas Maestras para Pagos Electrónicos (PSE) en las cuales se administran los recursos de las Participaciones de Agua Potable y Saneamiento Básico, Educación, Propósito General, las Asignaciones Especiales y la Asignación para la Atención Integral a la Primera Infancia del Sistema General de Participaciones y en el Sector Educación las demás fuentes del Programa de Alimentación Escolar (PAE)</w:t>
      </w:r>
      <w:r w:rsidRPr="0007655E">
        <w:rPr>
          <w:rFonts w:cs="Arial"/>
          <w:lang w:val="es-CO"/>
        </w:rPr>
        <w:t>”.</w:t>
      </w:r>
    </w:p>
    <w:p w14:paraId="63C6819A" w14:textId="77777777" w:rsidR="0097403A" w:rsidRPr="007A412F" w:rsidRDefault="0097403A" w:rsidP="005140E1">
      <w:pPr>
        <w:contextualSpacing/>
        <w:jc w:val="both"/>
        <w:rPr>
          <w:rFonts w:eastAsia="Times New Roman" w:cs="Arial"/>
          <w:bCs/>
          <w:iCs/>
          <w:sz w:val="21"/>
          <w:szCs w:val="24"/>
          <w:lang w:val="es-CO" w:eastAsia="es-CO"/>
        </w:rPr>
      </w:pPr>
    </w:p>
    <w:p w14:paraId="5166D7E5" w14:textId="77777777" w:rsidR="00A20990" w:rsidRPr="001A38D5" w:rsidRDefault="00A20990" w:rsidP="005140E1">
      <w:pPr>
        <w:contextualSpacing/>
        <w:jc w:val="both"/>
        <w:rPr>
          <w:rFonts w:cs="Arial"/>
          <w:lang w:val="es-CO"/>
        </w:rPr>
      </w:pPr>
      <w:r w:rsidRPr="001A38D5">
        <w:rPr>
          <w:rFonts w:cs="Arial"/>
          <w:lang w:val="es-CO"/>
        </w:rPr>
        <w:t xml:space="preserve">Del Contrato de </w:t>
      </w:r>
      <w:r w:rsidR="003E0772">
        <w:rPr>
          <w:rFonts w:cs="Arial"/>
          <w:lang w:val="es-CO"/>
        </w:rPr>
        <w:t>P</w:t>
      </w:r>
      <w:r w:rsidRPr="001A38D5">
        <w:rPr>
          <w:rFonts w:cs="Arial"/>
          <w:lang w:val="es-CO"/>
        </w:rPr>
        <w:t xml:space="preserve">restación de </w:t>
      </w:r>
      <w:r w:rsidR="003E0772">
        <w:rPr>
          <w:rFonts w:cs="Arial"/>
          <w:lang w:val="es-CO"/>
        </w:rPr>
        <w:t>S</w:t>
      </w:r>
      <w:r w:rsidRPr="001A38D5">
        <w:rPr>
          <w:rFonts w:cs="Arial"/>
          <w:lang w:val="es-CO"/>
        </w:rPr>
        <w:t xml:space="preserve">ervicios y de </w:t>
      </w:r>
      <w:r w:rsidR="003E0772">
        <w:rPr>
          <w:rFonts w:cs="Arial"/>
          <w:lang w:val="es-CO"/>
        </w:rPr>
        <w:t>A</w:t>
      </w:r>
      <w:r w:rsidRPr="001A38D5">
        <w:rPr>
          <w:rFonts w:cs="Arial"/>
          <w:lang w:val="es-CO"/>
        </w:rPr>
        <w:t xml:space="preserve">poyo </w:t>
      </w:r>
      <w:r w:rsidR="003E0772">
        <w:rPr>
          <w:rFonts w:cs="Arial"/>
          <w:lang w:val="es-CO"/>
        </w:rPr>
        <w:t>L</w:t>
      </w:r>
      <w:r w:rsidRPr="001A38D5">
        <w:rPr>
          <w:rFonts w:cs="Arial"/>
          <w:lang w:val="es-CO"/>
        </w:rPr>
        <w:t xml:space="preserve">ogístico No. 1739 del 10 de mayo de 2022, suscrito con la </w:t>
      </w:r>
      <w:r w:rsidR="003E0772">
        <w:rPr>
          <w:rFonts w:cs="Arial"/>
          <w:lang w:val="es-CO"/>
        </w:rPr>
        <w:t>E</w:t>
      </w:r>
      <w:r w:rsidRPr="001A38D5">
        <w:rPr>
          <w:rFonts w:cs="Arial"/>
          <w:lang w:val="es-CO"/>
        </w:rPr>
        <w:t xml:space="preserve">mpresa Logística y </w:t>
      </w:r>
      <w:r w:rsidR="003E0772">
        <w:rPr>
          <w:rFonts w:cs="Arial"/>
          <w:lang w:val="es-CO"/>
        </w:rPr>
        <w:t>S</w:t>
      </w:r>
      <w:r w:rsidRPr="001A38D5">
        <w:rPr>
          <w:rFonts w:cs="Arial"/>
          <w:lang w:val="es-CO"/>
        </w:rPr>
        <w:t xml:space="preserve">uministros </w:t>
      </w:r>
      <w:r w:rsidR="003E0772">
        <w:rPr>
          <w:rFonts w:cs="Arial"/>
          <w:lang w:val="es-CO"/>
        </w:rPr>
        <w:t>P</w:t>
      </w:r>
      <w:r w:rsidRPr="001A38D5">
        <w:rPr>
          <w:rFonts w:cs="Arial"/>
          <w:lang w:val="es-CO"/>
        </w:rPr>
        <w:t>entágono S.A.S con NIT. 900.653.740-9 se registran dos egresos por $1.291,87</w:t>
      </w:r>
      <w:r w:rsidR="00B163DE">
        <w:rPr>
          <w:rFonts w:cs="Arial"/>
          <w:lang w:val="es-CO"/>
        </w:rPr>
        <w:t xml:space="preserve"> millones</w:t>
      </w:r>
      <w:r w:rsidRPr="001A38D5">
        <w:rPr>
          <w:rFonts w:cs="Arial"/>
          <w:lang w:val="es-CO"/>
        </w:rPr>
        <w:t xml:space="preserve"> al NIT 830.117.064-6 cuya razón social, según el RUT, es COMERCIALIZADORA AL GRANO SAS. Mediante Resolución de Cesión No. 1010-67.21/153 del 8 de junio de 2022 del Municipio de Villavicencio se autorizó la cesión de derechos económicos de Contrato No. 1739 de 2022 a la empresa Comercializadora al Grano S.A.S.</w:t>
      </w:r>
    </w:p>
    <w:p w14:paraId="71755C0F" w14:textId="77777777" w:rsidR="00A20990" w:rsidRPr="001A38D5" w:rsidRDefault="00A20990" w:rsidP="005140E1">
      <w:pPr>
        <w:contextualSpacing/>
        <w:jc w:val="both"/>
        <w:rPr>
          <w:rFonts w:cs="Arial"/>
          <w:lang w:val="es-CO"/>
        </w:rPr>
      </w:pPr>
    </w:p>
    <w:p w14:paraId="3E598C8F" w14:textId="77777777" w:rsidR="00A20990" w:rsidRPr="001A38D5" w:rsidRDefault="00A20990" w:rsidP="005140E1">
      <w:pPr>
        <w:contextualSpacing/>
        <w:jc w:val="both"/>
        <w:rPr>
          <w:rFonts w:cs="Arial"/>
          <w:lang w:val="es-CO"/>
        </w:rPr>
      </w:pPr>
      <w:r w:rsidRPr="001A38D5">
        <w:rPr>
          <w:rFonts w:cs="Arial"/>
          <w:lang w:val="es-CO"/>
        </w:rPr>
        <w:t>Llama la atención que la empresa Comercializadora al Grano S.A.S. con NIT 830.117.064-6. se encontraba incursa en el proceso de investigación por responsabilidad fiscal N</w:t>
      </w:r>
      <w:r w:rsidR="003E0772">
        <w:rPr>
          <w:rFonts w:cs="Arial"/>
          <w:lang w:val="es-CO"/>
        </w:rPr>
        <w:t>o.</w:t>
      </w:r>
      <w:r w:rsidRPr="001A38D5">
        <w:rPr>
          <w:rFonts w:cs="Arial"/>
          <w:lang w:val="es-CO"/>
        </w:rPr>
        <w:t xml:space="preserve"> PRF-80011-2020-37867 por parte de la Contraloría General de la República.</w:t>
      </w:r>
    </w:p>
    <w:p w14:paraId="0C720D03" w14:textId="77777777" w:rsidR="00A20990" w:rsidRPr="001A38D5" w:rsidRDefault="00A20990" w:rsidP="005140E1">
      <w:pPr>
        <w:contextualSpacing/>
        <w:jc w:val="both"/>
        <w:rPr>
          <w:rFonts w:cs="Arial"/>
          <w:lang w:val="es-CO"/>
        </w:rPr>
      </w:pPr>
    </w:p>
    <w:p w14:paraId="0E69F560" w14:textId="77777777" w:rsidR="00A20990" w:rsidRPr="001A38D5" w:rsidRDefault="00A20990" w:rsidP="005140E1">
      <w:pPr>
        <w:contextualSpacing/>
        <w:jc w:val="both"/>
        <w:rPr>
          <w:rFonts w:cs="Arial"/>
          <w:lang w:val="es-CO"/>
        </w:rPr>
      </w:pPr>
      <w:r w:rsidRPr="001A38D5">
        <w:rPr>
          <w:rFonts w:cs="Arial"/>
          <w:lang w:val="es-CO"/>
        </w:rPr>
        <w:t xml:space="preserve">Así las cosas, no existe habilitación legal para que </w:t>
      </w:r>
      <w:r w:rsidR="00DD2D6C">
        <w:rPr>
          <w:rFonts w:cs="Arial"/>
          <w:lang w:val="es-CO"/>
        </w:rPr>
        <w:t>l</w:t>
      </w:r>
      <w:r w:rsidRPr="001A38D5">
        <w:rPr>
          <w:rFonts w:cs="Arial"/>
          <w:lang w:val="es-CO"/>
        </w:rPr>
        <w:t xml:space="preserve">a Entidad </w:t>
      </w:r>
      <w:r w:rsidR="00D65C23">
        <w:rPr>
          <w:rFonts w:cs="Arial"/>
          <w:lang w:val="es-CO"/>
        </w:rPr>
        <w:t>T</w:t>
      </w:r>
      <w:r w:rsidRPr="001A38D5">
        <w:rPr>
          <w:rFonts w:cs="Arial"/>
          <w:lang w:val="es-CO"/>
        </w:rPr>
        <w:t>erritorial realice operaciones débito a cuentas diferentes a las que han sido registradas como beneficiari</w:t>
      </w:r>
      <w:r w:rsidR="003E0772">
        <w:rPr>
          <w:rFonts w:cs="Arial"/>
          <w:lang w:val="es-CO"/>
        </w:rPr>
        <w:t>a</w:t>
      </w:r>
      <w:r w:rsidRPr="001A38D5">
        <w:rPr>
          <w:rFonts w:cs="Arial"/>
          <w:lang w:val="es-CO"/>
        </w:rPr>
        <w:t>s</w:t>
      </w:r>
      <w:r w:rsidR="00DD2D6C">
        <w:rPr>
          <w:rFonts w:cs="Arial"/>
          <w:lang w:val="es-CO"/>
        </w:rPr>
        <w:t>, según lo establecido en el artículo 7</w:t>
      </w:r>
      <w:r w:rsidR="00947830">
        <w:rPr>
          <w:rFonts w:cs="Arial"/>
          <w:lang w:val="es-CO"/>
        </w:rPr>
        <w:t xml:space="preserve"> de</w:t>
      </w:r>
      <w:r w:rsidR="00DD2D6C" w:rsidRPr="00DD2D6C">
        <w:rPr>
          <w:rFonts w:cs="Arial"/>
          <w:lang w:val="es-CO"/>
        </w:rPr>
        <w:t xml:space="preserve"> </w:t>
      </w:r>
      <w:r w:rsidR="00DD2D6C">
        <w:rPr>
          <w:rFonts w:cs="Arial"/>
          <w:lang w:val="es-CO"/>
        </w:rPr>
        <w:t xml:space="preserve">la </w:t>
      </w:r>
      <w:r w:rsidR="00DD2D6C" w:rsidRPr="00DD2D6C">
        <w:rPr>
          <w:rFonts w:cs="Arial"/>
          <w:lang w:val="es-CO"/>
        </w:rPr>
        <w:t>Resolución No. 4835 de 2015 del Ministerio de Hacienda y Crédito Público</w:t>
      </w:r>
      <w:r w:rsidR="00DD2D6C">
        <w:rPr>
          <w:rFonts w:cs="Arial"/>
          <w:lang w:val="es-CO"/>
        </w:rPr>
        <w:t>.</w:t>
      </w:r>
      <w:r w:rsidR="00947830">
        <w:rPr>
          <w:rFonts w:cs="Arial"/>
          <w:lang w:val="es-CO"/>
        </w:rPr>
        <w:t xml:space="preserve"> </w:t>
      </w:r>
      <w:r w:rsidR="00DD2D6C">
        <w:rPr>
          <w:rFonts w:cs="Arial"/>
          <w:lang w:val="es-CO"/>
        </w:rPr>
        <w:t>E</w:t>
      </w:r>
      <w:r w:rsidR="00DD2D6C" w:rsidRPr="00DD2D6C">
        <w:rPr>
          <w:rFonts w:cs="Arial"/>
          <w:lang w:val="es-CO"/>
        </w:rPr>
        <w:t>n línea con lo establecido en el artículo 8 de</w:t>
      </w:r>
      <w:r w:rsidR="00DD2D6C">
        <w:rPr>
          <w:rFonts w:cs="Arial"/>
          <w:lang w:val="es-CO"/>
        </w:rPr>
        <w:t xml:space="preserve"> la citada Resolución, se entiende como beneficiario a </w:t>
      </w:r>
      <w:r w:rsidR="00DD2D6C" w:rsidRPr="00DD2D6C">
        <w:rPr>
          <w:rFonts w:cs="Arial"/>
          <w:lang w:val="es-CO"/>
        </w:rPr>
        <w:t>aquella</w:t>
      </w:r>
      <w:r w:rsidR="00DD2D6C">
        <w:rPr>
          <w:rFonts w:cs="Arial"/>
          <w:lang w:val="es-CO"/>
        </w:rPr>
        <w:t xml:space="preserve"> </w:t>
      </w:r>
      <w:r w:rsidR="00DD2D6C" w:rsidRPr="00DD2D6C">
        <w:rPr>
          <w:rFonts w:cs="Arial"/>
          <w:lang w:val="es-CO"/>
        </w:rPr>
        <w:t>persona natural o jurídica de derecho público o privado que prest</w:t>
      </w:r>
      <w:r w:rsidR="00DD2D6C">
        <w:rPr>
          <w:rFonts w:cs="Arial"/>
          <w:lang w:val="es-CO"/>
        </w:rPr>
        <w:t>e</w:t>
      </w:r>
      <w:r w:rsidR="00DD2D6C" w:rsidRPr="00DD2D6C">
        <w:rPr>
          <w:rFonts w:cs="Arial"/>
          <w:lang w:val="es-CO"/>
        </w:rPr>
        <w:t xml:space="preserve"> o suministre bienes y/o servicios</w:t>
      </w:r>
      <w:r w:rsidR="00DD2D6C">
        <w:rPr>
          <w:rFonts w:cs="Arial"/>
          <w:lang w:val="es-CO"/>
        </w:rPr>
        <w:t xml:space="preserve">, que en el caso del </w:t>
      </w:r>
      <w:r w:rsidR="00DD2D6C" w:rsidRPr="00DD2D6C">
        <w:rPr>
          <w:rFonts w:cs="Arial"/>
          <w:lang w:val="es-CO"/>
        </w:rPr>
        <w:t>Contrato de Prestación de Servicios y de Apoyo Logístico No. 1739 del 10 de mayo de 2022</w:t>
      </w:r>
      <w:r w:rsidR="00DD2D6C">
        <w:rPr>
          <w:rFonts w:cs="Arial"/>
          <w:lang w:val="es-CO"/>
        </w:rPr>
        <w:t xml:space="preserve"> corresponde únicamente a la </w:t>
      </w:r>
      <w:r w:rsidR="00DD2D6C" w:rsidRPr="00DD2D6C">
        <w:rPr>
          <w:rFonts w:cs="Arial"/>
          <w:lang w:val="es-CO"/>
        </w:rPr>
        <w:t xml:space="preserve">Empresa Logística y Suministros Pentágono S.A.S </w:t>
      </w:r>
      <w:r w:rsidR="00F44505">
        <w:rPr>
          <w:rFonts w:cs="Arial"/>
          <w:lang w:val="es-CO"/>
        </w:rPr>
        <w:t xml:space="preserve">identificada </w:t>
      </w:r>
      <w:r w:rsidR="00DD2D6C" w:rsidRPr="00DD2D6C">
        <w:rPr>
          <w:rFonts w:cs="Arial"/>
          <w:lang w:val="es-CO"/>
        </w:rPr>
        <w:t>con NIT. 900.653.740-9</w:t>
      </w:r>
      <w:r w:rsidRPr="001A38D5">
        <w:rPr>
          <w:rFonts w:cs="Arial"/>
          <w:lang w:val="es-CO"/>
        </w:rPr>
        <w:t xml:space="preserve">. </w:t>
      </w:r>
    </w:p>
    <w:p w14:paraId="11F709B8" w14:textId="77777777" w:rsidR="00A20990" w:rsidRPr="001A38D5" w:rsidRDefault="00A20990" w:rsidP="005140E1">
      <w:pPr>
        <w:pStyle w:val="Sinespaciado"/>
        <w:contextualSpacing/>
        <w:jc w:val="both"/>
        <w:rPr>
          <w:rFonts w:ascii="Verdana" w:hAnsi="Verdana" w:cs="Arial"/>
          <w:b/>
        </w:rPr>
      </w:pPr>
    </w:p>
    <w:p w14:paraId="4D3C80E7" w14:textId="77777777" w:rsidR="00A20990" w:rsidRPr="001A38D5" w:rsidRDefault="00A20990" w:rsidP="005140E1">
      <w:pPr>
        <w:pStyle w:val="Sinespaciado"/>
        <w:contextualSpacing/>
        <w:jc w:val="both"/>
        <w:rPr>
          <w:rFonts w:ascii="Verdana" w:hAnsi="Verdana" w:cs="Arial"/>
          <w:b/>
        </w:rPr>
      </w:pPr>
      <w:r w:rsidRPr="001A38D5">
        <w:rPr>
          <w:rFonts w:ascii="Verdana" w:hAnsi="Verdana" w:cs="Arial"/>
          <w:b/>
        </w:rPr>
        <w:t>Evidencias:</w:t>
      </w:r>
    </w:p>
    <w:p w14:paraId="252A0C70" w14:textId="77777777" w:rsidR="00A20990" w:rsidRPr="001A38D5" w:rsidRDefault="00A20990" w:rsidP="005140E1">
      <w:pPr>
        <w:pStyle w:val="Sinespaciado"/>
        <w:contextualSpacing/>
        <w:jc w:val="both"/>
        <w:rPr>
          <w:rFonts w:ascii="Verdana" w:hAnsi="Verdana" w:cs="Arial"/>
          <w:b/>
        </w:rPr>
      </w:pPr>
    </w:p>
    <w:p w14:paraId="592BFB74"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Obra en el expediente virtual el siguiente material probatorio:</w:t>
      </w:r>
    </w:p>
    <w:p w14:paraId="075A7805" w14:textId="77777777" w:rsidR="00A20990" w:rsidRPr="00C10E82" w:rsidRDefault="00A20990" w:rsidP="005140E1">
      <w:pPr>
        <w:pStyle w:val="Sinespaciado"/>
        <w:contextualSpacing/>
        <w:jc w:val="both"/>
        <w:rPr>
          <w:rFonts w:ascii="Verdana" w:hAnsi="Verdana" w:cs="Arial"/>
          <w:sz w:val="20"/>
          <w:szCs w:val="20"/>
        </w:rPr>
      </w:pPr>
    </w:p>
    <w:p w14:paraId="34BB1A5B" w14:textId="77777777" w:rsidR="00C10E82" w:rsidRPr="00C10E82" w:rsidRDefault="00C10E82" w:rsidP="005140E1">
      <w:pPr>
        <w:widowControl/>
        <w:numPr>
          <w:ilvl w:val="0"/>
          <w:numId w:val="13"/>
        </w:numPr>
        <w:autoSpaceDE/>
        <w:autoSpaceDN/>
        <w:contextualSpacing/>
        <w:jc w:val="both"/>
        <w:rPr>
          <w:rFonts w:eastAsia="Times New Roman" w:cs="Arial"/>
          <w:color w:val="000000" w:themeColor="text1"/>
          <w:sz w:val="20"/>
          <w:szCs w:val="20"/>
          <w:lang w:eastAsia="es-CO"/>
        </w:rPr>
      </w:pPr>
      <w:r w:rsidRPr="00C10E82">
        <w:rPr>
          <w:rFonts w:eastAsia="Arial" w:cs="Arial"/>
          <w:sz w:val="20"/>
          <w:szCs w:val="20"/>
          <w:lang w:val="es-CO"/>
        </w:rPr>
        <w:t>Reporte del Sistema PISIS de la Cuenta Maestra de Alimentación Escolar No. 36456549068 de Bancolombia. Municipio de Villavicencio, Meta – Sector Alimentación Escolar. Serie: “</w:t>
      </w:r>
      <w:r w:rsidRPr="00C10E82">
        <w:rPr>
          <w:rFonts w:eastAsia="Arial" w:cs="Arial"/>
          <w:i/>
          <w:sz w:val="20"/>
          <w:szCs w:val="20"/>
          <w:lang w:val="es-CO"/>
        </w:rPr>
        <w:t>Historial de Seguimiento y Control a los Recursos del Sistema General de Participaciones</w:t>
      </w:r>
      <w:r w:rsidRPr="00C10E82">
        <w:rPr>
          <w:rFonts w:eastAsia="Arial" w:cs="Arial"/>
          <w:sz w:val="20"/>
          <w:szCs w:val="20"/>
          <w:lang w:val="es-CO"/>
        </w:rPr>
        <w:t xml:space="preserve"> – </w:t>
      </w:r>
      <w:r w:rsidRPr="00C10E82">
        <w:rPr>
          <w:rFonts w:eastAsia="Arial" w:cs="Arial"/>
          <w:i/>
          <w:sz w:val="20"/>
          <w:szCs w:val="20"/>
          <w:lang w:val="es-CO"/>
        </w:rPr>
        <w:t>Antecedentes</w:t>
      </w:r>
      <w:r w:rsidRPr="00C10E82">
        <w:rPr>
          <w:rFonts w:eastAsia="Arial" w:cs="Arial"/>
          <w:sz w:val="20"/>
          <w:szCs w:val="20"/>
          <w:lang w:val="es-CO"/>
        </w:rPr>
        <w:t>”. Expediente digital No. 52/2018/D028-PREDI.</w:t>
      </w:r>
    </w:p>
    <w:p w14:paraId="08EED3ED" w14:textId="77777777" w:rsidR="00C10E82" w:rsidRPr="00C10E82" w:rsidRDefault="00425319" w:rsidP="005140E1">
      <w:pPr>
        <w:pStyle w:val="Prrafodelista"/>
        <w:widowControl/>
        <w:autoSpaceDE/>
        <w:autoSpaceDN/>
        <w:ind w:left="360"/>
        <w:contextualSpacing/>
        <w:jc w:val="both"/>
        <w:rPr>
          <w:rFonts w:eastAsia="Times New Roman" w:cs="Arial"/>
          <w:color w:val="000000" w:themeColor="text1"/>
          <w:sz w:val="16"/>
          <w:szCs w:val="20"/>
          <w:lang w:eastAsia="es-CO"/>
        </w:rPr>
      </w:pPr>
      <w:hyperlink r:id="rId46" w:history="1">
        <w:r w:rsidR="00C10E82" w:rsidRPr="00C10E82">
          <w:rPr>
            <w:rStyle w:val="Hipervnculo"/>
            <w:rFonts w:eastAsia="Times New Roman" w:cs="Arial"/>
            <w:sz w:val="16"/>
            <w:szCs w:val="20"/>
            <w:lang w:eastAsia="es-CO"/>
          </w:rPr>
          <w:t>http://portalgestiondoc.minhacienda.red/PortalEmpleado/viewer.jsp?config=g/sE5TYYZBONXNciclJTo9X3FwoJlhCmznTRGENUpjH4D3YYLKiT1Ph9a5GFZdXgHvTu3FNIQ8ronG3Tpv0FPEUWJ1tPkF3RCHm/znUI5+ygdF1RGbAVvV6CjzWsPcBuqWJs9sYkY5rP7AG5cBv0Mc5EDMWtc6gkxPkaewqRChmOR68Sz5DD/Hn0TVuLK7EK&amp;guid=5b8a275118abe00669632d9&amp;idrepository=879</w:t>
        </w:r>
      </w:hyperlink>
      <w:r w:rsidR="00C10E82" w:rsidRPr="00C10E82">
        <w:rPr>
          <w:rFonts w:eastAsia="Times New Roman" w:cs="Arial"/>
          <w:color w:val="000000" w:themeColor="text1"/>
          <w:sz w:val="16"/>
          <w:szCs w:val="20"/>
          <w:lang w:eastAsia="es-CO"/>
        </w:rPr>
        <w:t xml:space="preserve"> </w:t>
      </w:r>
    </w:p>
    <w:p w14:paraId="4D44EDC9" w14:textId="77777777" w:rsidR="00C10E82" w:rsidRPr="00C10E82" w:rsidRDefault="00C10E82" w:rsidP="005140E1">
      <w:pPr>
        <w:widowControl/>
        <w:numPr>
          <w:ilvl w:val="0"/>
          <w:numId w:val="13"/>
        </w:numPr>
        <w:autoSpaceDE/>
        <w:autoSpaceDN/>
        <w:contextualSpacing/>
        <w:jc w:val="both"/>
        <w:rPr>
          <w:rFonts w:eastAsia="Times New Roman" w:cs="Arial"/>
          <w:color w:val="000000" w:themeColor="text1"/>
          <w:sz w:val="20"/>
          <w:szCs w:val="20"/>
          <w:lang w:eastAsia="es-CO"/>
        </w:rPr>
      </w:pPr>
      <w:r w:rsidRPr="00C10E82">
        <w:rPr>
          <w:rFonts w:eastAsia="Times New Roman" w:cs="Arial"/>
          <w:color w:val="000000" w:themeColor="text1"/>
          <w:sz w:val="20"/>
          <w:szCs w:val="20"/>
          <w:lang w:eastAsia="es-CO"/>
        </w:rPr>
        <w:t xml:space="preserve">Resolución de cesión No. 1010-67.21/153 del 8 de junio de 2022 </w:t>
      </w:r>
      <w:r w:rsidRPr="00C10E82">
        <w:rPr>
          <w:rFonts w:eastAsia="Times New Roman" w:cs="Arial"/>
          <w:i/>
          <w:color w:val="000000" w:themeColor="text1"/>
          <w:sz w:val="20"/>
          <w:szCs w:val="20"/>
          <w:lang w:eastAsia="es-CO"/>
        </w:rPr>
        <w:t xml:space="preserve">“Por la cual se autoriza la cesión de derechos económicos del Contrato No. 1739 del 10 de mayo de 2022 cuyo objeto es ‘Operar el Programa de Alimentación Escolar PAE dirigido a los estudiantes registrados con matrícula oficial en el SIMAR del Municipio de Villavicencio, Meta”. </w:t>
      </w:r>
      <w:r w:rsidRPr="00C10E82">
        <w:rPr>
          <w:rFonts w:eastAsia="Arial" w:cs="Arial"/>
          <w:sz w:val="20"/>
          <w:szCs w:val="20"/>
          <w:lang w:val="es-CO"/>
        </w:rPr>
        <w:t>Municipio de Villavicencio, Meta – Sector Alimentación Escolar. Serie: “</w:t>
      </w:r>
      <w:r w:rsidRPr="00C10E82">
        <w:rPr>
          <w:rFonts w:eastAsia="Arial" w:cs="Arial"/>
          <w:i/>
          <w:sz w:val="20"/>
          <w:szCs w:val="20"/>
          <w:lang w:val="es-CO"/>
        </w:rPr>
        <w:t>Historial de Seguimiento y Control a los Recursos del Sistema General de Participaciones</w:t>
      </w:r>
      <w:r w:rsidRPr="00C10E82">
        <w:rPr>
          <w:rFonts w:eastAsia="Arial" w:cs="Arial"/>
          <w:sz w:val="20"/>
          <w:szCs w:val="20"/>
          <w:lang w:val="es-CO"/>
        </w:rPr>
        <w:t xml:space="preserve"> – </w:t>
      </w:r>
      <w:r w:rsidRPr="00C10E82">
        <w:rPr>
          <w:rFonts w:eastAsia="Arial" w:cs="Arial"/>
          <w:i/>
          <w:sz w:val="20"/>
          <w:szCs w:val="20"/>
          <w:lang w:val="es-CO"/>
        </w:rPr>
        <w:t>Antecedentes</w:t>
      </w:r>
      <w:r w:rsidRPr="00C10E82">
        <w:rPr>
          <w:rFonts w:eastAsia="Arial" w:cs="Arial"/>
          <w:sz w:val="20"/>
          <w:szCs w:val="20"/>
          <w:lang w:val="es-CO"/>
        </w:rPr>
        <w:t>”. Expediente digital No. 52/2018/D028-PREDI.</w:t>
      </w:r>
    </w:p>
    <w:p w14:paraId="686304D2" w14:textId="77777777" w:rsidR="00A20990" w:rsidRPr="001A38D5" w:rsidRDefault="00425319" w:rsidP="005140E1">
      <w:pPr>
        <w:ind w:left="360"/>
        <w:contextualSpacing/>
        <w:jc w:val="both"/>
        <w:rPr>
          <w:rFonts w:eastAsia="Times New Roman" w:cs="Arial"/>
          <w:sz w:val="16"/>
          <w:szCs w:val="16"/>
          <w:lang w:eastAsia="es-CO"/>
        </w:rPr>
      </w:pPr>
      <w:hyperlink r:id="rId47" w:history="1">
        <w:r w:rsidR="00C10E82" w:rsidRPr="00C10E82">
          <w:rPr>
            <w:rStyle w:val="Hipervnculo"/>
            <w:rFonts w:eastAsia="Times New Roman" w:cs="Arial"/>
            <w:sz w:val="16"/>
            <w:szCs w:val="20"/>
            <w:lang w:eastAsia="es-CO"/>
          </w:rPr>
          <w:t>http://portalgestiondoc.minhacienda.red/PortalEmpleado/viewer.jsp?config=43a4IwlEvMEd3cygJd02DW+ZvWv32hPOH+TAsZudOMNlQnbQsQIz5QFHceU9gPPDbcQyCTaLJdT6I6Em4/y6Jqp5qQmkNHn3o8twFqqvOGWXv4vImLyoEvrWWSbSd35YJBumNsnGGkmWHEFntj9SJFr4xUqJuXV5y5ZgrPXx2LdYqg7KiXWaN5CSzCoH801w&amp;guid=5b8a275118abe0066964741&amp;idrepository=879</w:t>
        </w:r>
      </w:hyperlink>
      <w:r w:rsidR="003A29F3" w:rsidRPr="00C10E82">
        <w:rPr>
          <w:rFonts w:eastAsia="Times New Roman" w:cs="Arial"/>
          <w:sz w:val="12"/>
          <w:szCs w:val="16"/>
          <w:lang w:eastAsia="es-CO"/>
        </w:rPr>
        <w:t xml:space="preserve"> </w:t>
      </w:r>
    </w:p>
    <w:p w14:paraId="39BCCD19" w14:textId="77777777" w:rsidR="00D65C23" w:rsidRPr="007A412F" w:rsidRDefault="00D65C23" w:rsidP="005140E1">
      <w:pPr>
        <w:spacing w:before="100" w:beforeAutospacing="1" w:after="100" w:afterAutospacing="1"/>
        <w:contextualSpacing/>
        <w:jc w:val="both"/>
        <w:rPr>
          <w:rFonts w:eastAsia="Times New Roman" w:cs="Arial"/>
          <w:u w:val="single"/>
          <w:lang w:val="es-CO" w:eastAsia="es-CO"/>
        </w:rPr>
      </w:pPr>
    </w:p>
    <w:p w14:paraId="1B1505A3" w14:textId="77777777" w:rsidR="00A20990" w:rsidRPr="001A38D5" w:rsidRDefault="00A20990" w:rsidP="005140E1">
      <w:pPr>
        <w:spacing w:before="100" w:beforeAutospacing="1" w:after="100" w:afterAutospacing="1"/>
        <w:contextualSpacing/>
        <w:jc w:val="both"/>
        <w:rPr>
          <w:rFonts w:eastAsia="Times New Roman" w:cs="Arial"/>
          <w:b/>
          <w:bCs/>
          <w:u w:val="single"/>
          <w:lang w:val="es-CO" w:eastAsia="es-CO"/>
        </w:rPr>
      </w:pPr>
      <w:r w:rsidRPr="001A38D5">
        <w:rPr>
          <w:rFonts w:eastAsia="Times New Roman" w:cs="Arial"/>
          <w:b/>
          <w:bCs/>
          <w:u w:val="single"/>
          <w:lang w:val="es-CO" w:eastAsia="es-CO"/>
        </w:rPr>
        <w:t xml:space="preserve">2. Traslado de </w:t>
      </w:r>
      <w:r w:rsidR="00D65C23">
        <w:rPr>
          <w:rFonts w:eastAsia="Times New Roman" w:cs="Arial"/>
          <w:b/>
          <w:bCs/>
          <w:u w:val="single"/>
          <w:lang w:val="es-CO" w:eastAsia="es-CO"/>
        </w:rPr>
        <w:t>r</w:t>
      </w:r>
      <w:r w:rsidRPr="001A38D5">
        <w:rPr>
          <w:rFonts w:eastAsia="Times New Roman" w:cs="Arial"/>
          <w:b/>
          <w:bCs/>
          <w:u w:val="single"/>
          <w:lang w:val="es-CO" w:eastAsia="es-CO"/>
        </w:rPr>
        <w:t xml:space="preserve">ecursos </w:t>
      </w:r>
      <w:r w:rsidR="00AF42AC">
        <w:rPr>
          <w:rFonts w:eastAsia="Times New Roman" w:cs="Arial"/>
          <w:b/>
          <w:bCs/>
          <w:u w:val="single"/>
          <w:lang w:val="es-CO" w:eastAsia="es-CO"/>
        </w:rPr>
        <w:t>no autorizados por las</w:t>
      </w:r>
      <w:r w:rsidR="00AF42AC" w:rsidRPr="001A38D5">
        <w:rPr>
          <w:rFonts w:eastAsia="Times New Roman" w:cs="Arial"/>
          <w:b/>
          <w:bCs/>
          <w:u w:val="single"/>
          <w:lang w:val="es-CO" w:eastAsia="es-CO"/>
        </w:rPr>
        <w:t xml:space="preserve"> </w:t>
      </w:r>
      <w:r w:rsidR="00D65C23">
        <w:rPr>
          <w:rFonts w:eastAsia="Times New Roman" w:cs="Arial"/>
          <w:b/>
          <w:bCs/>
          <w:u w:val="single"/>
          <w:lang w:val="es-CO" w:eastAsia="es-CO"/>
        </w:rPr>
        <w:t>C</w:t>
      </w:r>
      <w:r w:rsidRPr="001A38D5">
        <w:rPr>
          <w:rFonts w:eastAsia="Times New Roman" w:cs="Arial"/>
          <w:b/>
          <w:bCs/>
          <w:u w:val="single"/>
          <w:lang w:val="es-CO" w:eastAsia="es-CO"/>
        </w:rPr>
        <w:t xml:space="preserve">uentas </w:t>
      </w:r>
      <w:r w:rsidR="00D65C23">
        <w:rPr>
          <w:rFonts w:eastAsia="Times New Roman" w:cs="Arial"/>
          <w:b/>
          <w:bCs/>
          <w:u w:val="single"/>
          <w:lang w:val="es-CO" w:eastAsia="es-CO"/>
        </w:rPr>
        <w:t>M</w:t>
      </w:r>
      <w:r w:rsidRPr="001A38D5">
        <w:rPr>
          <w:rFonts w:eastAsia="Times New Roman" w:cs="Arial"/>
          <w:b/>
          <w:bCs/>
          <w:u w:val="single"/>
          <w:lang w:val="es-CO" w:eastAsia="es-CO"/>
        </w:rPr>
        <w:t>aestras del SGP</w:t>
      </w:r>
      <w:r w:rsidR="00D65C23">
        <w:rPr>
          <w:rFonts w:eastAsia="Times New Roman" w:cs="Arial"/>
          <w:b/>
          <w:bCs/>
          <w:u w:val="single"/>
          <w:lang w:val="es-CO" w:eastAsia="es-CO"/>
        </w:rPr>
        <w:t>.</w:t>
      </w:r>
    </w:p>
    <w:p w14:paraId="1085F19E" w14:textId="77777777" w:rsidR="00D65C23" w:rsidRDefault="00D65C23" w:rsidP="005140E1">
      <w:pPr>
        <w:contextualSpacing/>
        <w:jc w:val="both"/>
        <w:rPr>
          <w:rFonts w:cs="Arial"/>
          <w:lang w:val="es-CO"/>
        </w:rPr>
      </w:pPr>
    </w:p>
    <w:p w14:paraId="7D930519" w14:textId="77777777" w:rsidR="00A20990" w:rsidRDefault="0087132C" w:rsidP="005140E1">
      <w:pPr>
        <w:contextualSpacing/>
        <w:jc w:val="both"/>
        <w:rPr>
          <w:rFonts w:cs="Arial"/>
          <w:lang w:val="es-CO"/>
        </w:rPr>
      </w:pPr>
      <w:r>
        <w:rPr>
          <w:rFonts w:cs="Arial"/>
          <w:lang w:val="es-CO"/>
        </w:rPr>
        <w:t>E</w:t>
      </w:r>
      <w:r w:rsidR="00A20990" w:rsidRPr="001A38D5">
        <w:rPr>
          <w:rFonts w:cs="Arial"/>
          <w:lang w:val="es-CO"/>
        </w:rPr>
        <w:t xml:space="preserve">l Ministerio de Hacienda y Crédito Público </w:t>
      </w:r>
      <w:r>
        <w:rPr>
          <w:rFonts w:cs="Arial"/>
          <w:lang w:val="es-CO"/>
        </w:rPr>
        <w:t xml:space="preserve">y el Ministerio de Educación Nacional </w:t>
      </w:r>
      <w:r w:rsidR="00A20990" w:rsidRPr="001A38D5">
        <w:rPr>
          <w:rFonts w:cs="Arial"/>
          <w:lang w:val="es-CO"/>
        </w:rPr>
        <w:t>expidi</w:t>
      </w:r>
      <w:r>
        <w:rPr>
          <w:rFonts w:cs="Arial"/>
          <w:lang w:val="es-CO"/>
        </w:rPr>
        <w:t>eron</w:t>
      </w:r>
      <w:r w:rsidR="00A20990" w:rsidRPr="001A38D5">
        <w:rPr>
          <w:rFonts w:cs="Arial"/>
          <w:lang w:val="es-CO"/>
        </w:rPr>
        <w:t xml:space="preserve"> la Resolución No. 2248 de 2018, por la cual se fijan las condiciones de apertura, registro y operación de las Cuentas Maestras de las Entidades territoriales, en las que administran todos los recursos del Programa de Alimentación Escolar y modifica la Resolución No. 4835 de 2015 y su Anexo Técnico, sobre el reporte de información de las Cuentas Maestras.</w:t>
      </w:r>
    </w:p>
    <w:p w14:paraId="0C3793F6" w14:textId="77777777" w:rsidR="00254A5B" w:rsidRDefault="00254A5B" w:rsidP="005140E1">
      <w:pPr>
        <w:contextualSpacing/>
        <w:jc w:val="both"/>
        <w:rPr>
          <w:rFonts w:cs="Arial"/>
          <w:lang w:val="es-CO"/>
        </w:rPr>
      </w:pPr>
    </w:p>
    <w:p w14:paraId="4B33EBDB" w14:textId="77777777" w:rsidR="00254A5B" w:rsidRPr="001A38D5" w:rsidRDefault="00254A5B" w:rsidP="005140E1">
      <w:pPr>
        <w:contextualSpacing/>
        <w:jc w:val="both"/>
        <w:rPr>
          <w:rFonts w:cs="Arial"/>
          <w:lang w:val="es-CO"/>
        </w:rPr>
      </w:pPr>
      <w:r>
        <w:rPr>
          <w:rFonts w:cs="Arial"/>
          <w:lang w:val="es-CO"/>
        </w:rPr>
        <w:t xml:space="preserve">El análisis de la Cuenta Maestra del PAE y de su Cuenta Maestra Pagadora para el Municipio de Villavicencio en las vigencias 2019 a 2022 se realiza en observancia de las disposiciones contenidas en las </w:t>
      </w:r>
      <w:r w:rsidR="00186A18">
        <w:rPr>
          <w:rFonts w:cs="Arial"/>
          <w:lang w:val="es-CO"/>
        </w:rPr>
        <w:t xml:space="preserve">Resoluciones No. 4835 de 2015, 2248 de 2018 </w:t>
      </w:r>
      <w:r>
        <w:rPr>
          <w:rFonts w:cs="Arial"/>
          <w:lang w:val="es-CO"/>
        </w:rPr>
        <w:t>y 0660 de 2018</w:t>
      </w:r>
      <w:r w:rsidR="00186A18">
        <w:rPr>
          <w:rFonts w:cs="Arial"/>
          <w:lang w:val="es-CO"/>
        </w:rPr>
        <w:t xml:space="preserve">; sin embargo, es importante </w:t>
      </w:r>
      <w:r>
        <w:rPr>
          <w:rFonts w:cs="Arial"/>
          <w:lang w:val="es-CO"/>
        </w:rPr>
        <w:t xml:space="preserve">resaltar que estas fueron recogidas en la </w:t>
      </w:r>
      <w:r w:rsidRPr="0007655E">
        <w:rPr>
          <w:rFonts w:cs="Arial"/>
          <w:lang w:val="es-CO"/>
        </w:rPr>
        <w:t xml:space="preserve">Resolución </w:t>
      </w:r>
      <w:r>
        <w:rPr>
          <w:rFonts w:cs="Arial"/>
          <w:lang w:val="es-CO"/>
        </w:rPr>
        <w:t xml:space="preserve">No. </w:t>
      </w:r>
      <w:r w:rsidRPr="0007655E">
        <w:rPr>
          <w:rFonts w:cs="Arial"/>
          <w:lang w:val="es-CO"/>
        </w:rPr>
        <w:t xml:space="preserve">2394 del 21 de septiembre de 2023 </w:t>
      </w:r>
      <w:r w:rsidRPr="00BE0FA7">
        <w:rPr>
          <w:rFonts w:cs="Arial"/>
          <w:lang w:val="es-CO"/>
        </w:rPr>
        <w:t>de los Ministerios de Hacienda y Crédito Público, Educación Nacional, Vivienda, Ciudad y Territorio y la Unidad Administrativa Especial de Al</w:t>
      </w:r>
      <w:r w:rsidR="00A81C6B">
        <w:rPr>
          <w:rFonts w:cs="Arial"/>
          <w:lang w:val="es-CO"/>
        </w:rPr>
        <w:t>imentación Escolar - Alimentos p</w:t>
      </w:r>
      <w:r w:rsidRPr="00BE0FA7">
        <w:rPr>
          <w:rFonts w:cs="Arial"/>
          <w:lang w:val="es-CO"/>
        </w:rPr>
        <w:t xml:space="preserve">ara Aprender </w:t>
      </w:r>
      <w:r w:rsidRPr="00C159DF">
        <w:rPr>
          <w:rFonts w:cs="Arial"/>
          <w:i/>
          <w:lang w:val="es-CO"/>
        </w:rPr>
        <w:t>“Por la cual se fijan las condiciones de apertura, registro, operación, cancelación y sustitución de las Cuentas Maestras y de las Cuentas Maestras para Pagos Electrónicos (PSE) en las cuales se administran los recursos de las Participaciones de Agua Potable y Saneamiento Básico, Educación, Propósito General, las Asignaciones Especiales y la Asignación para la Atención Integral a la Primera Infancia del Sistema General de Participaciones y en el Sector Educación las demás fuentes del Programa de Alimentación Escolar (PAE)</w:t>
      </w:r>
      <w:r w:rsidRPr="0007655E">
        <w:rPr>
          <w:rFonts w:cs="Arial"/>
          <w:lang w:val="es-CO"/>
        </w:rPr>
        <w:t>”.</w:t>
      </w:r>
    </w:p>
    <w:p w14:paraId="21EBFFD6" w14:textId="77777777" w:rsidR="00A20990" w:rsidRPr="001A38D5" w:rsidRDefault="00A20990" w:rsidP="005140E1">
      <w:pPr>
        <w:contextualSpacing/>
        <w:jc w:val="both"/>
        <w:rPr>
          <w:rFonts w:cs="Arial"/>
          <w:lang w:val="es-CO"/>
        </w:rPr>
      </w:pPr>
    </w:p>
    <w:p w14:paraId="75C26EF5" w14:textId="77777777" w:rsidR="00A20990" w:rsidRPr="001A38D5" w:rsidRDefault="00A20990" w:rsidP="005140E1">
      <w:pPr>
        <w:contextualSpacing/>
        <w:jc w:val="both"/>
        <w:rPr>
          <w:rFonts w:cs="Arial"/>
          <w:lang w:val="es-CO"/>
        </w:rPr>
      </w:pPr>
      <w:r w:rsidRPr="001A38D5">
        <w:rPr>
          <w:rFonts w:cs="Arial"/>
          <w:lang w:val="es-CO"/>
        </w:rPr>
        <w:t xml:space="preserve">En desarrollo de lo anterior, la Resolución No. 2248 de 2018 en su </w:t>
      </w:r>
      <w:r w:rsidR="003203FD" w:rsidRPr="001A38D5">
        <w:rPr>
          <w:rFonts w:cs="Arial"/>
          <w:lang w:val="es-CO"/>
        </w:rPr>
        <w:t>artículo</w:t>
      </w:r>
      <w:r w:rsidRPr="001A38D5">
        <w:rPr>
          <w:rFonts w:cs="Arial"/>
          <w:lang w:val="es-CO"/>
        </w:rPr>
        <w:t xml:space="preserve"> 3 señala: </w:t>
      </w:r>
    </w:p>
    <w:p w14:paraId="3F27B260" w14:textId="77777777" w:rsidR="00A20990" w:rsidRPr="001A38D5" w:rsidRDefault="00A20990" w:rsidP="005140E1">
      <w:pPr>
        <w:contextualSpacing/>
        <w:jc w:val="both"/>
        <w:rPr>
          <w:rFonts w:cs="Arial"/>
          <w:lang w:val="es-CO"/>
        </w:rPr>
      </w:pPr>
    </w:p>
    <w:p w14:paraId="70F2F300" w14:textId="77777777" w:rsidR="00A20990" w:rsidRPr="007A412F" w:rsidRDefault="00A20990" w:rsidP="005140E1">
      <w:pPr>
        <w:ind w:left="709"/>
        <w:contextualSpacing/>
        <w:jc w:val="both"/>
        <w:rPr>
          <w:rFonts w:cs="Arial"/>
          <w:i/>
          <w:iCs/>
          <w:sz w:val="18"/>
          <w:szCs w:val="18"/>
        </w:rPr>
      </w:pPr>
      <w:r w:rsidRPr="007A412F">
        <w:rPr>
          <w:rFonts w:eastAsia="Times New Roman" w:cs="Arial"/>
          <w:bCs/>
          <w:i/>
          <w:sz w:val="18"/>
          <w:szCs w:val="18"/>
          <w:lang w:val="es-CO" w:eastAsia="es-CO"/>
        </w:rPr>
        <w:t>“</w:t>
      </w:r>
      <w:r w:rsidRPr="007A412F">
        <w:rPr>
          <w:rFonts w:cs="Arial"/>
          <w:i/>
          <w:iCs/>
          <w:sz w:val="18"/>
          <w:szCs w:val="18"/>
          <w:lang w:val="es-CO"/>
        </w:rPr>
        <w:t>[…] L</w:t>
      </w:r>
      <w:r w:rsidRPr="007A412F">
        <w:rPr>
          <w:rFonts w:cs="Arial"/>
          <w:i/>
          <w:iCs/>
          <w:sz w:val="18"/>
          <w:szCs w:val="18"/>
        </w:rPr>
        <w:t xml:space="preserve">os distritos y municipios administrarán todos los recursos destinados para el financiamiento del Programa de Alimentación Escolar a través de la Cuenta Maestra de la Asignación Especial para Alimentación Escolar ya apertura en los términos de la Resolución 4835 de 2015. </w:t>
      </w:r>
    </w:p>
    <w:p w14:paraId="336136F2" w14:textId="77777777" w:rsidR="00A20990" w:rsidRPr="007A412F" w:rsidRDefault="00A20990" w:rsidP="005140E1">
      <w:pPr>
        <w:ind w:left="709"/>
        <w:contextualSpacing/>
        <w:jc w:val="both"/>
        <w:rPr>
          <w:rFonts w:cs="Arial"/>
          <w:i/>
          <w:iCs/>
          <w:sz w:val="18"/>
          <w:szCs w:val="18"/>
          <w:lang w:val="es-CO"/>
        </w:rPr>
      </w:pPr>
    </w:p>
    <w:p w14:paraId="3385A3C7" w14:textId="77777777" w:rsidR="00A20990" w:rsidRPr="007A412F" w:rsidRDefault="00A20990" w:rsidP="005140E1">
      <w:pPr>
        <w:ind w:left="709"/>
        <w:contextualSpacing/>
        <w:jc w:val="both"/>
        <w:rPr>
          <w:rFonts w:cs="Arial"/>
          <w:i/>
          <w:iCs/>
          <w:sz w:val="18"/>
          <w:szCs w:val="18"/>
          <w:lang w:val="es-CO"/>
        </w:rPr>
      </w:pPr>
      <w:r w:rsidRPr="007A412F">
        <w:rPr>
          <w:rFonts w:cs="Arial"/>
          <w:i/>
          <w:iCs/>
          <w:sz w:val="18"/>
          <w:szCs w:val="18"/>
        </w:rPr>
        <w:t>Las Cuentas Maestras a través de las cuales se administran los recursos del Programa de Alimentación Escolar deberán garantizar un manejo contable y presupuestal independiente para cada una de las fuentes que las integren</w:t>
      </w:r>
      <w:r w:rsidRPr="007A412F">
        <w:rPr>
          <w:rFonts w:cs="Arial"/>
          <w:i/>
          <w:iCs/>
          <w:sz w:val="18"/>
          <w:szCs w:val="18"/>
          <w:lang w:val="es-CO"/>
        </w:rPr>
        <w:t>”</w:t>
      </w:r>
      <w:r w:rsidR="00D65C23">
        <w:rPr>
          <w:rFonts w:cs="Arial"/>
          <w:i/>
          <w:iCs/>
          <w:sz w:val="18"/>
          <w:szCs w:val="18"/>
          <w:lang w:val="es-CO"/>
        </w:rPr>
        <w:t>.</w:t>
      </w:r>
    </w:p>
    <w:p w14:paraId="28E8D62C" w14:textId="77777777" w:rsidR="00A20990" w:rsidRPr="001A38D5" w:rsidRDefault="00A20990" w:rsidP="005140E1">
      <w:pPr>
        <w:contextualSpacing/>
        <w:jc w:val="both"/>
        <w:rPr>
          <w:rFonts w:cs="Arial"/>
          <w:lang w:val="es-CO"/>
        </w:rPr>
      </w:pPr>
    </w:p>
    <w:p w14:paraId="076D1767" w14:textId="77777777" w:rsidR="00A20990" w:rsidRPr="001A38D5" w:rsidRDefault="00D65C23" w:rsidP="005140E1">
      <w:pPr>
        <w:contextualSpacing/>
        <w:jc w:val="both"/>
        <w:rPr>
          <w:rFonts w:cs="Arial"/>
          <w:lang w:val="es-CO"/>
        </w:rPr>
      </w:pPr>
      <w:r>
        <w:rPr>
          <w:rFonts w:cs="Arial"/>
        </w:rPr>
        <w:t>En el contexto de las Cuentas Maestras</w:t>
      </w:r>
      <w:r w:rsidR="00A20990" w:rsidRPr="001A38D5">
        <w:rPr>
          <w:rFonts w:cs="Arial"/>
        </w:rPr>
        <w:t xml:space="preserve">, el Ministerio de Hacienda y Crédito Público expidió la Circular Externa No. 019 del 7 de octubre de 2016, definiendo el procedimiento para realizar el traslado de los saldos </w:t>
      </w:r>
      <w:r w:rsidRPr="001A38D5">
        <w:rPr>
          <w:rFonts w:cs="Arial"/>
        </w:rPr>
        <w:t xml:space="preserve">a las Cuentas Maestras </w:t>
      </w:r>
      <w:r w:rsidR="00A20990" w:rsidRPr="001A38D5">
        <w:rPr>
          <w:rFonts w:cs="Arial"/>
        </w:rPr>
        <w:t xml:space="preserve">y la cancelación de las cuentas anteriores. En la Circular se indica que las </w:t>
      </w:r>
      <w:r>
        <w:rPr>
          <w:rFonts w:cs="Arial"/>
        </w:rPr>
        <w:t>e</w:t>
      </w:r>
      <w:r w:rsidR="00A20990" w:rsidRPr="001A38D5">
        <w:rPr>
          <w:rFonts w:cs="Arial"/>
        </w:rPr>
        <w:t>ntidades territoriales debe</w:t>
      </w:r>
      <w:r>
        <w:rPr>
          <w:rFonts w:cs="Arial"/>
        </w:rPr>
        <w:t>n</w:t>
      </w:r>
      <w:r w:rsidR="00A20990" w:rsidRPr="001A38D5">
        <w:rPr>
          <w:rFonts w:cs="Arial"/>
        </w:rPr>
        <w:t xml:space="preserve"> trasladar los saldos que se encontraban en cuentas diferentes a las registradas en el Ministerio de Hacienda y Crédito Público </w:t>
      </w:r>
      <w:r>
        <w:rPr>
          <w:rFonts w:cs="Arial"/>
        </w:rPr>
        <w:t>a las Cuentas Maestras correspondientes</w:t>
      </w:r>
      <w:r w:rsidR="00A20990" w:rsidRPr="001A38D5">
        <w:rPr>
          <w:rFonts w:cs="Arial"/>
        </w:rPr>
        <w:t xml:space="preserve"> </w:t>
      </w:r>
      <w:r>
        <w:rPr>
          <w:rFonts w:cs="Arial"/>
        </w:rPr>
        <w:t>para</w:t>
      </w:r>
      <w:r w:rsidR="00A20990" w:rsidRPr="001A38D5">
        <w:rPr>
          <w:rFonts w:cs="Arial"/>
        </w:rPr>
        <w:t xml:space="preserve"> proceder con su cancelación ante la </w:t>
      </w:r>
      <w:r>
        <w:rPr>
          <w:rFonts w:cs="Arial"/>
        </w:rPr>
        <w:t>e</w:t>
      </w:r>
      <w:r w:rsidR="00A20990" w:rsidRPr="001A38D5">
        <w:rPr>
          <w:rFonts w:cs="Arial"/>
        </w:rPr>
        <w:t>ntidad bancaria.</w:t>
      </w:r>
    </w:p>
    <w:p w14:paraId="7F276D7B" w14:textId="77777777" w:rsidR="00A20990" w:rsidRPr="001A38D5" w:rsidRDefault="00A20990" w:rsidP="005140E1">
      <w:pPr>
        <w:contextualSpacing/>
        <w:jc w:val="both"/>
        <w:rPr>
          <w:rFonts w:cs="Arial"/>
          <w:lang w:val="es-CO"/>
        </w:rPr>
      </w:pPr>
    </w:p>
    <w:p w14:paraId="26A00830" w14:textId="77777777" w:rsidR="00A20990" w:rsidRPr="001A38D5" w:rsidRDefault="00A20990" w:rsidP="005140E1">
      <w:pPr>
        <w:contextualSpacing/>
        <w:jc w:val="both"/>
        <w:rPr>
          <w:rFonts w:cs="Arial"/>
          <w:lang w:val="es-CO"/>
        </w:rPr>
      </w:pPr>
      <w:r w:rsidRPr="001A38D5">
        <w:rPr>
          <w:rFonts w:cs="Arial"/>
          <w:lang w:val="es-CO"/>
        </w:rPr>
        <w:t xml:space="preserve">En lo referente a </w:t>
      </w:r>
      <w:r w:rsidRPr="001A38D5">
        <w:rPr>
          <w:rFonts w:cs="Arial"/>
        </w:rPr>
        <w:t xml:space="preserve">las operaciones crédito autorizadas en el marco de la Cuenta Maestra del PAE </w:t>
      </w:r>
      <w:r w:rsidR="00D17507">
        <w:rPr>
          <w:rFonts w:cs="Arial"/>
          <w:lang w:val="es-CO"/>
        </w:rPr>
        <w:t>el artículo 7 de l</w:t>
      </w:r>
      <w:r w:rsidRPr="001A38D5">
        <w:rPr>
          <w:rFonts w:cs="Arial"/>
          <w:lang w:val="es-CO"/>
        </w:rPr>
        <w:t>a Resolución No. 2248 de 2018 adicionó el literal f</w:t>
      </w:r>
      <w:r w:rsidR="00D65C23">
        <w:rPr>
          <w:rFonts w:cs="Arial"/>
          <w:lang w:val="es-CO"/>
        </w:rPr>
        <w:t>)</w:t>
      </w:r>
      <w:r w:rsidRPr="001A38D5">
        <w:rPr>
          <w:rFonts w:cs="Arial"/>
          <w:lang w:val="es-CO"/>
        </w:rPr>
        <w:t xml:space="preserve"> al artículo 6 de Resolución No. 4835 de 2015, como sigue: </w:t>
      </w:r>
    </w:p>
    <w:p w14:paraId="6466E0B1" w14:textId="77777777" w:rsidR="00A20990" w:rsidRPr="001A38D5" w:rsidRDefault="00A20990" w:rsidP="005140E1">
      <w:pPr>
        <w:contextualSpacing/>
        <w:jc w:val="both"/>
        <w:rPr>
          <w:rFonts w:cs="Arial"/>
          <w:sz w:val="24"/>
          <w:szCs w:val="24"/>
          <w:lang w:val="es-CO"/>
        </w:rPr>
      </w:pPr>
    </w:p>
    <w:p w14:paraId="59C6DC89" w14:textId="77777777" w:rsidR="00A20990" w:rsidRPr="007A412F" w:rsidRDefault="00A20990" w:rsidP="005140E1">
      <w:pPr>
        <w:ind w:left="709"/>
        <w:contextualSpacing/>
        <w:jc w:val="both"/>
        <w:rPr>
          <w:rFonts w:cs="Arial"/>
          <w:i/>
          <w:iCs/>
          <w:sz w:val="18"/>
          <w:szCs w:val="18"/>
        </w:rPr>
      </w:pPr>
      <w:r w:rsidRPr="007A412F">
        <w:rPr>
          <w:rFonts w:cs="Arial"/>
          <w:i/>
          <w:iCs/>
          <w:sz w:val="18"/>
          <w:szCs w:val="18"/>
          <w:lang w:val="es-CO"/>
        </w:rPr>
        <w:t xml:space="preserve">“f) </w:t>
      </w:r>
      <w:r w:rsidRPr="007A412F">
        <w:rPr>
          <w:rFonts w:cs="Arial"/>
          <w:i/>
          <w:iCs/>
          <w:sz w:val="18"/>
          <w:szCs w:val="18"/>
        </w:rPr>
        <w:t>Las cuentas maestras de la Asignación especial de alimentación escolar solo aceptarán las siguientes operaciones de crédito:</w:t>
      </w:r>
    </w:p>
    <w:p w14:paraId="3D0765BC" w14:textId="77777777" w:rsidR="00A20990" w:rsidRPr="007A412F" w:rsidRDefault="00A20990" w:rsidP="005140E1">
      <w:pPr>
        <w:ind w:left="709"/>
        <w:contextualSpacing/>
        <w:jc w:val="both"/>
        <w:rPr>
          <w:rFonts w:cs="Arial"/>
          <w:i/>
          <w:iCs/>
          <w:sz w:val="18"/>
          <w:szCs w:val="18"/>
        </w:rPr>
      </w:pPr>
      <w:r w:rsidRPr="007A412F">
        <w:rPr>
          <w:rFonts w:cs="Arial"/>
          <w:i/>
          <w:iCs/>
          <w:sz w:val="18"/>
          <w:szCs w:val="18"/>
        </w:rPr>
        <w:t>1. Los giros que realiza la Nación de recursos del Sistema General de Participaciones, los recursos del Presupuesto General de la Nación y otras fuentes de financiación que puedan provenir de los sectores privados, cooperativos no gubernamentales del nivel nacional o internacional y recursos de las cajas de compensación para el financiamiento del Programa de Alimentación Escolar.</w:t>
      </w:r>
    </w:p>
    <w:p w14:paraId="5FD6C1B3" w14:textId="77777777" w:rsidR="00A20990" w:rsidRPr="007A412F" w:rsidRDefault="00A20990" w:rsidP="005140E1">
      <w:pPr>
        <w:ind w:left="709"/>
        <w:contextualSpacing/>
        <w:jc w:val="both"/>
        <w:rPr>
          <w:rFonts w:cs="Arial"/>
          <w:i/>
          <w:iCs/>
          <w:sz w:val="18"/>
          <w:szCs w:val="18"/>
        </w:rPr>
      </w:pPr>
      <w:r w:rsidRPr="007A412F">
        <w:rPr>
          <w:rFonts w:cs="Arial"/>
          <w:i/>
          <w:iCs/>
          <w:sz w:val="18"/>
          <w:szCs w:val="18"/>
        </w:rPr>
        <w:t>2. Los giros que realizan los departamentos con cargo a sus recursos propios, regalías y los recursos del Sistema General de Participaciones.</w:t>
      </w:r>
    </w:p>
    <w:p w14:paraId="4CD1D927" w14:textId="77777777" w:rsidR="00A20990" w:rsidRPr="007A412F" w:rsidRDefault="00A20990" w:rsidP="005140E1">
      <w:pPr>
        <w:ind w:left="709"/>
        <w:contextualSpacing/>
        <w:jc w:val="both"/>
        <w:rPr>
          <w:rFonts w:cs="Arial"/>
          <w:i/>
          <w:iCs/>
          <w:sz w:val="18"/>
          <w:szCs w:val="18"/>
        </w:rPr>
      </w:pPr>
      <w:r w:rsidRPr="007A412F">
        <w:rPr>
          <w:rFonts w:cs="Arial"/>
          <w:i/>
          <w:iCs/>
          <w:sz w:val="18"/>
          <w:szCs w:val="18"/>
        </w:rPr>
        <w:t>3. Los giros que realizan los distritos y municipios con cargo a sus recursos propios, regalías y los recursos del Sistema General de Participaciones.</w:t>
      </w:r>
    </w:p>
    <w:p w14:paraId="298480F1" w14:textId="77777777" w:rsidR="00A20990" w:rsidRPr="007A412F" w:rsidRDefault="00A20990" w:rsidP="005140E1">
      <w:pPr>
        <w:ind w:left="709"/>
        <w:contextualSpacing/>
        <w:jc w:val="both"/>
        <w:rPr>
          <w:rFonts w:cs="Arial"/>
          <w:i/>
          <w:iCs/>
          <w:sz w:val="18"/>
          <w:szCs w:val="18"/>
        </w:rPr>
      </w:pPr>
      <w:r w:rsidRPr="007A412F">
        <w:rPr>
          <w:rFonts w:cs="Arial"/>
          <w:i/>
          <w:iCs/>
          <w:sz w:val="18"/>
          <w:szCs w:val="18"/>
        </w:rPr>
        <w:t>4. Los reintegros que se produzcan por devoluciones a pagos de lo no debido o pagos por mayor valor los cuales solo procederán por transferencia electrónica desde la cuenta de origen a la Cuenta Maestra.</w:t>
      </w:r>
    </w:p>
    <w:p w14:paraId="5B5353DF" w14:textId="77777777" w:rsidR="00A20990" w:rsidRPr="007A412F" w:rsidRDefault="00A20990" w:rsidP="005140E1">
      <w:pPr>
        <w:ind w:left="709"/>
        <w:contextualSpacing/>
        <w:jc w:val="both"/>
        <w:rPr>
          <w:rFonts w:cs="Arial"/>
          <w:i/>
          <w:iCs/>
          <w:sz w:val="18"/>
          <w:szCs w:val="18"/>
        </w:rPr>
      </w:pPr>
      <w:r w:rsidRPr="007A412F">
        <w:rPr>
          <w:rFonts w:cs="Arial"/>
          <w:i/>
          <w:iCs/>
          <w:sz w:val="18"/>
          <w:szCs w:val="18"/>
        </w:rPr>
        <w:t>5. Los rendimientos financieros qué producto del convenio sean reconocidos por la Entidad bancaria correspondiente.</w:t>
      </w:r>
    </w:p>
    <w:p w14:paraId="26C5864D" w14:textId="77777777" w:rsidR="00A20990" w:rsidRPr="007A412F" w:rsidRDefault="00A20990" w:rsidP="005140E1">
      <w:pPr>
        <w:ind w:left="709"/>
        <w:contextualSpacing/>
        <w:jc w:val="both"/>
        <w:rPr>
          <w:rFonts w:cs="Arial"/>
          <w:i/>
          <w:iCs/>
          <w:sz w:val="18"/>
          <w:szCs w:val="18"/>
        </w:rPr>
      </w:pPr>
      <w:r w:rsidRPr="007A412F">
        <w:rPr>
          <w:rFonts w:cs="Arial"/>
          <w:i/>
          <w:iCs/>
          <w:sz w:val="18"/>
          <w:szCs w:val="18"/>
        </w:rPr>
        <w:t>6. Los recursos que por otros conceptos reconozca la Entidad bancaria en el marco de la operación de la Cuenta Maestra</w:t>
      </w:r>
      <w:r w:rsidR="00D65C23">
        <w:rPr>
          <w:rFonts w:cs="Arial"/>
          <w:sz w:val="18"/>
          <w:szCs w:val="18"/>
        </w:rPr>
        <w:t>”.</w:t>
      </w:r>
    </w:p>
    <w:p w14:paraId="02BE0E38" w14:textId="77777777" w:rsidR="00A20990" w:rsidRPr="001A38D5" w:rsidRDefault="00A20990" w:rsidP="005140E1">
      <w:pPr>
        <w:contextualSpacing/>
        <w:jc w:val="both"/>
        <w:rPr>
          <w:rFonts w:cs="Arial"/>
          <w:lang w:val="es-CO"/>
        </w:rPr>
      </w:pPr>
    </w:p>
    <w:p w14:paraId="50343071" w14:textId="77777777" w:rsidR="00A20990" w:rsidRPr="001A38D5" w:rsidRDefault="00140AAE" w:rsidP="005140E1">
      <w:pPr>
        <w:contextualSpacing/>
        <w:jc w:val="both"/>
        <w:rPr>
          <w:rFonts w:cs="Arial"/>
          <w:lang w:val="es-CO"/>
        </w:rPr>
      </w:pPr>
      <w:r>
        <w:rPr>
          <w:rFonts w:cs="Arial"/>
          <w:lang w:val="es-CO"/>
        </w:rPr>
        <w:t>L</w:t>
      </w:r>
      <w:r w:rsidR="00A20990" w:rsidRPr="001A38D5">
        <w:rPr>
          <w:rFonts w:cs="Arial"/>
          <w:lang w:val="es-CO"/>
        </w:rPr>
        <w:t xml:space="preserve">a Resolución No. </w:t>
      </w:r>
      <w:r w:rsidR="00622FA4">
        <w:rPr>
          <w:rFonts w:cs="Arial"/>
          <w:lang w:val="es-CO"/>
        </w:rPr>
        <w:t>2248</w:t>
      </w:r>
      <w:r w:rsidR="00622FA4" w:rsidRPr="001A38D5">
        <w:rPr>
          <w:rFonts w:cs="Arial"/>
          <w:lang w:val="es-CO"/>
        </w:rPr>
        <w:t xml:space="preserve"> </w:t>
      </w:r>
      <w:r w:rsidR="00A20990" w:rsidRPr="001A38D5">
        <w:rPr>
          <w:rFonts w:cs="Arial"/>
          <w:lang w:val="es-CO"/>
        </w:rPr>
        <w:t>de 201</w:t>
      </w:r>
      <w:r w:rsidR="00622FA4">
        <w:rPr>
          <w:rFonts w:cs="Arial"/>
          <w:lang w:val="es-CO"/>
        </w:rPr>
        <w:t>8</w:t>
      </w:r>
      <w:r w:rsidR="00A20990" w:rsidRPr="001A38D5">
        <w:rPr>
          <w:rFonts w:cs="Arial"/>
          <w:lang w:val="es-CO"/>
        </w:rPr>
        <w:t xml:space="preserve"> determinó en su artículo </w:t>
      </w:r>
      <w:r w:rsidR="00622FA4">
        <w:rPr>
          <w:rFonts w:cs="Arial"/>
          <w:lang w:val="es-CO"/>
        </w:rPr>
        <w:t>8</w:t>
      </w:r>
      <w:r w:rsidR="00A20990" w:rsidRPr="001A38D5">
        <w:rPr>
          <w:rFonts w:cs="Arial"/>
          <w:lang w:val="es-CO"/>
        </w:rPr>
        <w:t xml:space="preserve"> las operaciones débito autorizadas</w:t>
      </w:r>
      <w:r w:rsidR="00622FA4">
        <w:rPr>
          <w:rFonts w:cs="Arial"/>
          <w:lang w:val="es-CO"/>
        </w:rPr>
        <w:t xml:space="preserve"> en la Cuenta Maestra del PAE</w:t>
      </w:r>
      <w:r w:rsidR="00A20990" w:rsidRPr="001A38D5">
        <w:rPr>
          <w:rFonts w:cs="Arial"/>
          <w:lang w:val="es-CO"/>
        </w:rPr>
        <w:t>; lo anterior, en los siguientes términos:</w:t>
      </w:r>
    </w:p>
    <w:p w14:paraId="7D333E6F" w14:textId="77777777" w:rsidR="00A20990" w:rsidRPr="001A38D5" w:rsidRDefault="00A20990" w:rsidP="005140E1">
      <w:pPr>
        <w:contextualSpacing/>
        <w:jc w:val="both"/>
        <w:rPr>
          <w:rFonts w:eastAsia="Arial" w:cs="Arial"/>
          <w:lang w:val="es-CO"/>
        </w:rPr>
      </w:pPr>
    </w:p>
    <w:p w14:paraId="31EF21EF" w14:textId="77777777" w:rsidR="00B625D8" w:rsidRDefault="00A20990" w:rsidP="008020C5">
      <w:pPr>
        <w:ind w:left="709"/>
        <w:contextualSpacing/>
        <w:jc w:val="both"/>
        <w:rPr>
          <w:rFonts w:eastAsia="Times New Roman" w:cs="Arial"/>
          <w:bCs/>
          <w:i/>
          <w:sz w:val="18"/>
          <w:szCs w:val="21"/>
          <w:lang w:eastAsia="es-CO"/>
        </w:rPr>
      </w:pPr>
      <w:r w:rsidRPr="007A412F">
        <w:rPr>
          <w:rFonts w:eastAsia="Times New Roman" w:cs="Arial"/>
          <w:bCs/>
          <w:i/>
          <w:sz w:val="18"/>
          <w:szCs w:val="21"/>
          <w:lang w:val="es-CO" w:eastAsia="es-CO"/>
        </w:rPr>
        <w:t>“</w:t>
      </w:r>
      <w:r w:rsidRPr="007A412F">
        <w:rPr>
          <w:rFonts w:eastAsia="Times New Roman" w:cs="Arial"/>
          <w:b/>
          <w:bCs/>
          <w:i/>
          <w:sz w:val="18"/>
          <w:szCs w:val="21"/>
          <w:lang w:val="es-CO" w:eastAsia="es-CO"/>
        </w:rPr>
        <w:t xml:space="preserve">Artículo </w:t>
      </w:r>
      <w:r w:rsidR="008020C5">
        <w:rPr>
          <w:rFonts w:eastAsia="Times New Roman" w:cs="Arial"/>
          <w:b/>
          <w:bCs/>
          <w:i/>
          <w:sz w:val="18"/>
          <w:szCs w:val="21"/>
          <w:lang w:val="es-CO" w:eastAsia="es-CO"/>
        </w:rPr>
        <w:t>8</w:t>
      </w:r>
      <w:r w:rsidRPr="007A412F">
        <w:rPr>
          <w:rFonts w:eastAsia="Times New Roman" w:cs="Arial"/>
          <w:b/>
          <w:bCs/>
          <w:i/>
          <w:sz w:val="18"/>
          <w:szCs w:val="21"/>
          <w:lang w:val="es-CO" w:eastAsia="es-CO"/>
        </w:rPr>
        <w:t>.</w:t>
      </w:r>
      <w:r w:rsidRPr="007A412F">
        <w:rPr>
          <w:rFonts w:eastAsia="Times New Roman" w:cs="Arial"/>
          <w:bCs/>
          <w:i/>
          <w:sz w:val="18"/>
          <w:szCs w:val="21"/>
          <w:lang w:val="es-CO" w:eastAsia="es-CO"/>
        </w:rPr>
        <w:t xml:space="preserve"> Operaciones débito autorizadas. </w:t>
      </w:r>
      <w:r w:rsidR="00C007E6" w:rsidRPr="00C007E6">
        <w:rPr>
          <w:rFonts w:eastAsia="Times New Roman" w:cs="Arial"/>
          <w:bCs/>
          <w:i/>
          <w:sz w:val="18"/>
          <w:szCs w:val="21"/>
          <w:lang w:eastAsia="es-CO"/>
        </w:rPr>
        <w:t xml:space="preserve">Las </w:t>
      </w:r>
      <w:r w:rsidR="00EA4946" w:rsidRPr="00C007E6">
        <w:rPr>
          <w:rFonts w:eastAsia="Times New Roman" w:cs="Arial"/>
          <w:bCs/>
          <w:i/>
          <w:sz w:val="18"/>
          <w:szCs w:val="21"/>
          <w:lang w:eastAsia="es-CO"/>
        </w:rPr>
        <w:t xml:space="preserve">Cuentas Maestras </w:t>
      </w:r>
      <w:r w:rsidR="00C007E6" w:rsidRPr="00C007E6">
        <w:rPr>
          <w:rFonts w:eastAsia="Times New Roman" w:cs="Arial"/>
          <w:bCs/>
          <w:i/>
          <w:sz w:val="18"/>
          <w:szCs w:val="21"/>
          <w:lang w:eastAsia="es-CO"/>
        </w:rPr>
        <w:t xml:space="preserve">del </w:t>
      </w:r>
      <w:r w:rsidR="00EA4946" w:rsidRPr="00C007E6">
        <w:rPr>
          <w:rFonts w:eastAsia="Times New Roman" w:cs="Arial"/>
          <w:bCs/>
          <w:i/>
          <w:sz w:val="18"/>
          <w:szCs w:val="21"/>
          <w:lang w:eastAsia="es-CO"/>
        </w:rPr>
        <w:t>Program</w:t>
      </w:r>
      <w:r w:rsidR="00C007E6" w:rsidRPr="00C007E6">
        <w:rPr>
          <w:rFonts w:eastAsia="Times New Roman" w:cs="Arial"/>
          <w:bCs/>
          <w:i/>
          <w:sz w:val="18"/>
          <w:szCs w:val="21"/>
          <w:lang w:eastAsia="es-CO"/>
        </w:rPr>
        <w:t xml:space="preserve">a de </w:t>
      </w:r>
      <w:r w:rsidR="00EA4946" w:rsidRPr="00C007E6">
        <w:rPr>
          <w:rFonts w:eastAsia="Times New Roman" w:cs="Arial"/>
          <w:bCs/>
          <w:i/>
          <w:sz w:val="18"/>
          <w:szCs w:val="21"/>
          <w:lang w:eastAsia="es-CO"/>
        </w:rPr>
        <w:t xml:space="preserve">Alimentación Escolar </w:t>
      </w:r>
      <w:r w:rsidR="00C007E6" w:rsidRPr="00C007E6">
        <w:rPr>
          <w:rFonts w:eastAsia="Times New Roman" w:cs="Arial"/>
          <w:bCs/>
          <w:i/>
          <w:sz w:val="18"/>
          <w:szCs w:val="21"/>
          <w:lang w:eastAsia="es-CO"/>
        </w:rPr>
        <w:t>aceptarán como operaciones débito únicamente las siguientes</w:t>
      </w:r>
      <w:r w:rsidR="00C007E6">
        <w:rPr>
          <w:rFonts w:eastAsia="Times New Roman" w:cs="Arial"/>
          <w:bCs/>
          <w:i/>
          <w:sz w:val="18"/>
          <w:szCs w:val="21"/>
          <w:lang w:eastAsia="es-CO"/>
        </w:rPr>
        <w:t>:</w:t>
      </w:r>
    </w:p>
    <w:p w14:paraId="3DF5A02C" w14:textId="77777777" w:rsidR="00C007E6" w:rsidRDefault="00C007E6" w:rsidP="00C007E6">
      <w:pPr>
        <w:ind w:left="709"/>
        <w:contextualSpacing/>
        <w:jc w:val="both"/>
        <w:rPr>
          <w:rFonts w:eastAsia="Times New Roman" w:cs="Arial"/>
          <w:bCs/>
          <w:i/>
          <w:sz w:val="18"/>
          <w:szCs w:val="21"/>
          <w:lang w:eastAsia="es-CO"/>
        </w:rPr>
      </w:pPr>
    </w:p>
    <w:p w14:paraId="130E835E" w14:textId="77777777" w:rsidR="00C007E6" w:rsidRPr="00047E2D" w:rsidRDefault="00EA4946" w:rsidP="00C007E6">
      <w:pPr>
        <w:pStyle w:val="Prrafodelista"/>
        <w:numPr>
          <w:ilvl w:val="0"/>
          <w:numId w:val="25"/>
        </w:numPr>
        <w:contextualSpacing/>
        <w:jc w:val="both"/>
        <w:rPr>
          <w:rFonts w:cs="Arial"/>
          <w:i/>
          <w:iCs/>
          <w:sz w:val="18"/>
          <w:szCs w:val="16"/>
          <w:lang w:val="es-CO"/>
        </w:rPr>
      </w:pPr>
      <w:r>
        <w:rPr>
          <w:rFonts w:cs="Arial"/>
          <w:i/>
          <w:iCs/>
          <w:sz w:val="18"/>
          <w:szCs w:val="16"/>
        </w:rPr>
        <w:t>L</w:t>
      </w:r>
      <w:r w:rsidR="00C007E6" w:rsidRPr="005427CB">
        <w:rPr>
          <w:rFonts w:cs="Arial"/>
          <w:i/>
          <w:iCs/>
          <w:sz w:val="18"/>
          <w:szCs w:val="16"/>
        </w:rPr>
        <w:t xml:space="preserve">os pagos que se realicen a los beneficiarios previamente registrados en cada una de las cuentas maestras por concepto de la ejecución de los recursos del </w:t>
      </w:r>
      <w:r w:rsidR="000A15BF" w:rsidRPr="005427CB">
        <w:rPr>
          <w:rFonts w:cs="Arial"/>
          <w:i/>
          <w:iCs/>
          <w:sz w:val="18"/>
          <w:szCs w:val="16"/>
        </w:rPr>
        <w:t>P</w:t>
      </w:r>
      <w:r w:rsidR="00C007E6" w:rsidRPr="005427CB">
        <w:rPr>
          <w:rFonts w:cs="Arial"/>
          <w:i/>
          <w:iCs/>
          <w:sz w:val="18"/>
          <w:szCs w:val="16"/>
        </w:rPr>
        <w:t xml:space="preserve">rograma de </w:t>
      </w:r>
      <w:r w:rsidR="00E75A8B">
        <w:rPr>
          <w:rFonts w:cs="Arial"/>
          <w:i/>
          <w:iCs/>
          <w:sz w:val="18"/>
          <w:szCs w:val="16"/>
        </w:rPr>
        <w:t>A</w:t>
      </w:r>
      <w:r w:rsidR="00C007E6" w:rsidRPr="005427CB">
        <w:rPr>
          <w:rFonts w:cs="Arial"/>
          <w:i/>
          <w:iCs/>
          <w:sz w:val="18"/>
          <w:szCs w:val="16"/>
        </w:rPr>
        <w:t xml:space="preserve">limentación </w:t>
      </w:r>
      <w:r w:rsidR="00E75A8B">
        <w:rPr>
          <w:rFonts w:cs="Arial"/>
          <w:i/>
          <w:iCs/>
          <w:sz w:val="18"/>
          <w:szCs w:val="16"/>
        </w:rPr>
        <w:t>E</w:t>
      </w:r>
      <w:r w:rsidR="00C007E6" w:rsidRPr="005427CB">
        <w:rPr>
          <w:rFonts w:cs="Arial"/>
          <w:i/>
          <w:iCs/>
          <w:sz w:val="18"/>
          <w:szCs w:val="16"/>
        </w:rPr>
        <w:t>scolar</w:t>
      </w:r>
      <w:r w:rsidR="005427CB">
        <w:rPr>
          <w:rFonts w:cs="Arial"/>
          <w:i/>
          <w:iCs/>
          <w:sz w:val="18"/>
          <w:szCs w:val="16"/>
        </w:rPr>
        <w:t>.</w:t>
      </w:r>
    </w:p>
    <w:p w14:paraId="2ED25649" w14:textId="77777777" w:rsidR="002D7CF7" w:rsidRPr="001D3D49" w:rsidRDefault="00E75A8B" w:rsidP="002D7CF7">
      <w:pPr>
        <w:pStyle w:val="Prrafodelista"/>
        <w:numPr>
          <w:ilvl w:val="0"/>
          <w:numId w:val="25"/>
        </w:numPr>
        <w:contextualSpacing/>
        <w:jc w:val="both"/>
        <w:rPr>
          <w:rFonts w:cs="Arial"/>
          <w:i/>
          <w:iCs/>
          <w:sz w:val="18"/>
          <w:szCs w:val="16"/>
          <w:lang w:val="es-CO"/>
        </w:rPr>
      </w:pPr>
      <w:r w:rsidRPr="002D7CF7">
        <w:rPr>
          <w:rFonts w:cs="Arial"/>
          <w:i/>
          <w:iCs/>
          <w:sz w:val="18"/>
          <w:szCs w:val="16"/>
          <w:lang w:val="es-CO"/>
        </w:rPr>
        <w:t>E</w:t>
      </w:r>
      <w:r w:rsidR="005427CB" w:rsidRPr="002D7CF7">
        <w:rPr>
          <w:rFonts w:cs="Arial"/>
          <w:i/>
          <w:iCs/>
          <w:sz w:val="18"/>
          <w:szCs w:val="16"/>
        </w:rPr>
        <w:t xml:space="preserve">l giro de los recursos a la </w:t>
      </w:r>
      <w:r w:rsidRPr="002D7CF7">
        <w:rPr>
          <w:rFonts w:cs="Arial"/>
          <w:i/>
          <w:iCs/>
          <w:sz w:val="18"/>
          <w:szCs w:val="16"/>
        </w:rPr>
        <w:t>Cuenta Maestr</w:t>
      </w:r>
      <w:r w:rsidR="005427CB" w:rsidRPr="002D7CF7">
        <w:rPr>
          <w:rFonts w:cs="Arial"/>
          <w:i/>
          <w:iCs/>
          <w:sz w:val="18"/>
          <w:szCs w:val="16"/>
        </w:rPr>
        <w:t xml:space="preserve">a de la </w:t>
      </w:r>
      <w:r w:rsidRPr="002D7CF7">
        <w:rPr>
          <w:rFonts w:cs="Arial"/>
          <w:i/>
          <w:iCs/>
          <w:sz w:val="18"/>
          <w:szCs w:val="16"/>
        </w:rPr>
        <w:t>Asignación Especial</w:t>
      </w:r>
      <w:r w:rsidR="005427CB" w:rsidRPr="002D7CF7">
        <w:rPr>
          <w:rFonts w:cs="Arial"/>
          <w:i/>
          <w:iCs/>
          <w:sz w:val="18"/>
          <w:szCs w:val="16"/>
        </w:rPr>
        <w:t xml:space="preserve"> para </w:t>
      </w:r>
      <w:r w:rsidRPr="002D7CF7">
        <w:rPr>
          <w:rFonts w:cs="Arial"/>
          <w:i/>
          <w:iCs/>
          <w:sz w:val="18"/>
          <w:szCs w:val="16"/>
        </w:rPr>
        <w:t xml:space="preserve">Alimentación Escolar </w:t>
      </w:r>
      <w:r w:rsidR="005427CB" w:rsidRPr="002D7CF7">
        <w:rPr>
          <w:rFonts w:cs="Arial"/>
          <w:i/>
          <w:iCs/>
          <w:sz w:val="18"/>
          <w:szCs w:val="16"/>
        </w:rPr>
        <w:t xml:space="preserve">de los municipios de su jurisdicción cuando sean </w:t>
      </w:r>
      <w:r w:rsidR="002D7CF7" w:rsidRPr="002D7CF7">
        <w:rPr>
          <w:rFonts w:cs="Arial"/>
          <w:i/>
          <w:iCs/>
          <w:sz w:val="18"/>
          <w:szCs w:val="16"/>
        </w:rPr>
        <w:t>e</w:t>
      </w:r>
      <w:r w:rsidR="005427CB" w:rsidRPr="002D7CF7">
        <w:rPr>
          <w:rFonts w:cs="Arial"/>
          <w:i/>
          <w:iCs/>
          <w:sz w:val="18"/>
          <w:szCs w:val="16"/>
        </w:rPr>
        <w:t xml:space="preserve">stos quienes ejecuten el </w:t>
      </w:r>
      <w:r w:rsidR="002D7CF7" w:rsidRPr="005427CB">
        <w:rPr>
          <w:rFonts w:cs="Arial"/>
          <w:i/>
          <w:iCs/>
          <w:sz w:val="18"/>
          <w:szCs w:val="16"/>
        </w:rPr>
        <w:t xml:space="preserve">Programa de </w:t>
      </w:r>
      <w:r w:rsidR="002D7CF7">
        <w:rPr>
          <w:rFonts w:cs="Arial"/>
          <w:i/>
          <w:iCs/>
          <w:sz w:val="18"/>
          <w:szCs w:val="16"/>
        </w:rPr>
        <w:t>A</w:t>
      </w:r>
      <w:r w:rsidR="002D7CF7" w:rsidRPr="005427CB">
        <w:rPr>
          <w:rFonts w:cs="Arial"/>
          <w:i/>
          <w:iCs/>
          <w:sz w:val="18"/>
          <w:szCs w:val="16"/>
        </w:rPr>
        <w:t xml:space="preserve">limentación </w:t>
      </w:r>
      <w:r w:rsidR="002D7CF7">
        <w:rPr>
          <w:rFonts w:cs="Arial"/>
          <w:i/>
          <w:iCs/>
          <w:sz w:val="18"/>
          <w:szCs w:val="16"/>
        </w:rPr>
        <w:t>E</w:t>
      </w:r>
      <w:r w:rsidR="002D7CF7" w:rsidRPr="005427CB">
        <w:rPr>
          <w:rFonts w:cs="Arial"/>
          <w:i/>
          <w:iCs/>
          <w:sz w:val="18"/>
          <w:szCs w:val="16"/>
        </w:rPr>
        <w:t>scolar</w:t>
      </w:r>
      <w:r w:rsidR="002D7CF7">
        <w:rPr>
          <w:rFonts w:cs="Arial"/>
          <w:i/>
          <w:iCs/>
          <w:sz w:val="18"/>
          <w:szCs w:val="16"/>
        </w:rPr>
        <w:t>.</w:t>
      </w:r>
    </w:p>
    <w:p w14:paraId="5644FDA5" w14:textId="77777777" w:rsidR="005427CB" w:rsidRPr="00047E2D" w:rsidRDefault="002D7CF7" w:rsidP="004E0329">
      <w:pPr>
        <w:pStyle w:val="Prrafodelista"/>
        <w:numPr>
          <w:ilvl w:val="0"/>
          <w:numId w:val="25"/>
        </w:numPr>
        <w:contextualSpacing/>
        <w:jc w:val="both"/>
        <w:rPr>
          <w:rFonts w:cs="Arial"/>
          <w:i/>
          <w:iCs/>
          <w:sz w:val="18"/>
          <w:szCs w:val="16"/>
          <w:lang w:val="es-CO"/>
        </w:rPr>
      </w:pPr>
      <w:r>
        <w:rPr>
          <w:rFonts w:cs="Arial"/>
          <w:i/>
          <w:iCs/>
          <w:sz w:val="18"/>
          <w:szCs w:val="16"/>
        </w:rPr>
        <w:t>E</w:t>
      </w:r>
      <w:r w:rsidR="005427CB" w:rsidRPr="002D7CF7">
        <w:rPr>
          <w:rFonts w:cs="Arial"/>
          <w:i/>
          <w:iCs/>
          <w:sz w:val="18"/>
          <w:szCs w:val="16"/>
        </w:rPr>
        <w:t xml:space="preserve">l giro de los recursos de la </w:t>
      </w:r>
      <w:r w:rsidR="00C949C8" w:rsidRPr="002D7CF7">
        <w:rPr>
          <w:rFonts w:cs="Arial"/>
          <w:i/>
          <w:iCs/>
          <w:sz w:val="18"/>
          <w:szCs w:val="16"/>
        </w:rPr>
        <w:t>Participación</w:t>
      </w:r>
      <w:r w:rsidR="005427CB" w:rsidRPr="002D7CF7">
        <w:rPr>
          <w:rFonts w:cs="Arial"/>
          <w:i/>
          <w:iCs/>
          <w:sz w:val="18"/>
          <w:szCs w:val="16"/>
        </w:rPr>
        <w:t xml:space="preserve"> de </w:t>
      </w:r>
      <w:r w:rsidR="00C949C8" w:rsidRPr="002D7CF7">
        <w:rPr>
          <w:rFonts w:cs="Arial"/>
          <w:i/>
          <w:iCs/>
          <w:sz w:val="18"/>
          <w:szCs w:val="16"/>
        </w:rPr>
        <w:t>Educación</w:t>
      </w:r>
      <w:r w:rsidR="005427CB" w:rsidRPr="002D7CF7">
        <w:rPr>
          <w:rFonts w:cs="Arial"/>
          <w:i/>
          <w:iCs/>
          <w:sz w:val="18"/>
          <w:szCs w:val="16"/>
        </w:rPr>
        <w:t xml:space="preserve"> no comprometidos al finalizar la vigencia que serán trasladados a la </w:t>
      </w:r>
      <w:r w:rsidR="00C949C8" w:rsidRPr="002D7CF7">
        <w:rPr>
          <w:rFonts w:cs="Arial"/>
          <w:i/>
          <w:iCs/>
          <w:sz w:val="18"/>
          <w:szCs w:val="16"/>
        </w:rPr>
        <w:t xml:space="preserve">Cuenta Maestra </w:t>
      </w:r>
      <w:r w:rsidR="005427CB" w:rsidRPr="002D7CF7">
        <w:rPr>
          <w:rFonts w:cs="Arial"/>
          <w:i/>
          <w:iCs/>
          <w:sz w:val="18"/>
          <w:szCs w:val="16"/>
        </w:rPr>
        <w:t xml:space="preserve">el componente de </w:t>
      </w:r>
      <w:r w:rsidR="00FD7959" w:rsidRPr="002D7CF7">
        <w:rPr>
          <w:rFonts w:cs="Arial"/>
          <w:i/>
          <w:iCs/>
          <w:sz w:val="18"/>
          <w:szCs w:val="16"/>
        </w:rPr>
        <w:t>Prestació</w:t>
      </w:r>
      <w:r w:rsidR="005427CB" w:rsidRPr="002D7CF7">
        <w:rPr>
          <w:rFonts w:cs="Arial"/>
          <w:i/>
          <w:iCs/>
          <w:sz w:val="18"/>
          <w:szCs w:val="16"/>
        </w:rPr>
        <w:t xml:space="preserve">n del </w:t>
      </w:r>
      <w:r w:rsidR="00FD7959">
        <w:rPr>
          <w:rFonts w:cs="Arial"/>
          <w:i/>
          <w:iCs/>
          <w:sz w:val="18"/>
          <w:szCs w:val="16"/>
        </w:rPr>
        <w:t>S</w:t>
      </w:r>
      <w:r w:rsidR="005427CB" w:rsidRPr="002D7CF7">
        <w:rPr>
          <w:rFonts w:cs="Arial"/>
          <w:i/>
          <w:iCs/>
          <w:sz w:val="18"/>
          <w:szCs w:val="16"/>
        </w:rPr>
        <w:t>ervicio distintos a nomina docente directivo docente y administrativa</w:t>
      </w:r>
      <w:r w:rsidR="00EA4946" w:rsidRPr="002D7CF7">
        <w:rPr>
          <w:rFonts w:cs="Arial"/>
          <w:i/>
          <w:iCs/>
          <w:sz w:val="18"/>
          <w:szCs w:val="16"/>
        </w:rPr>
        <w:t>.</w:t>
      </w:r>
    </w:p>
    <w:p w14:paraId="2FC37597" w14:textId="77777777" w:rsidR="000D33A6" w:rsidRDefault="000D33A6" w:rsidP="000D33A6">
      <w:pPr>
        <w:ind w:left="709"/>
        <w:contextualSpacing/>
        <w:jc w:val="both"/>
        <w:rPr>
          <w:rFonts w:cs="Arial"/>
          <w:i/>
          <w:iCs/>
          <w:sz w:val="18"/>
          <w:szCs w:val="16"/>
        </w:rPr>
      </w:pPr>
    </w:p>
    <w:p w14:paraId="7882E2BE" w14:textId="77777777" w:rsidR="00EA4946" w:rsidRPr="00047E2D" w:rsidRDefault="000D33A6" w:rsidP="000D33A6">
      <w:pPr>
        <w:ind w:left="709"/>
        <w:contextualSpacing/>
        <w:jc w:val="both"/>
        <w:rPr>
          <w:rFonts w:cs="Arial"/>
          <w:i/>
          <w:iCs/>
          <w:sz w:val="18"/>
          <w:szCs w:val="16"/>
          <w:lang w:val="es-CO"/>
        </w:rPr>
      </w:pPr>
      <w:r w:rsidRPr="00047E2D">
        <w:rPr>
          <w:rFonts w:cs="Arial"/>
          <w:b/>
          <w:bCs/>
          <w:i/>
          <w:iCs/>
          <w:sz w:val="18"/>
          <w:szCs w:val="16"/>
        </w:rPr>
        <w:t>P</w:t>
      </w:r>
      <w:r w:rsidR="00EA4946" w:rsidRPr="00047E2D">
        <w:rPr>
          <w:rFonts w:cs="Arial"/>
          <w:b/>
          <w:bCs/>
          <w:i/>
          <w:iCs/>
          <w:sz w:val="18"/>
          <w:szCs w:val="16"/>
        </w:rPr>
        <w:t>arágrafo</w:t>
      </w:r>
      <w:r w:rsidR="00EA4946" w:rsidRPr="00047E2D">
        <w:rPr>
          <w:rFonts w:cs="Arial"/>
          <w:i/>
          <w:iCs/>
          <w:sz w:val="18"/>
          <w:szCs w:val="16"/>
        </w:rPr>
        <w:t xml:space="preserve">. </w:t>
      </w:r>
      <w:r>
        <w:rPr>
          <w:rFonts w:cs="Arial"/>
          <w:i/>
          <w:iCs/>
          <w:sz w:val="18"/>
          <w:szCs w:val="16"/>
        </w:rPr>
        <w:t>L</w:t>
      </w:r>
      <w:r w:rsidR="00EA4946" w:rsidRPr="00047E2D">
        <w:rPr>
          <w:rFonts w:cs="Arial"/>
          <w:i/>
          <w:iCs/>
          <w:sz w:val="18"/>
          <w:szCs w:val="16"/>
        </w:rPr>
        <w:t xml:space="preserve">as operaciones de débito de que trata el presente artículo solo podrán efectuarse a través de transacciones electrónicas mediante el uso de la plataforma de servicios de la entidad bancaria donde se realiza la apertura de la </w:t>
      </w:r>
      <w:r w:rsidR="006D5A82" w:rsidRPr="006D5A82">
        <w:rPr>
          <w:rFonts w:cs="Arial"/>
          <w:i/>
          <w:iCs/>
          <w:sz w:val="18"/>
          <w:szCs w:val="16"/>
        </w:rPr>
        <w:t>Cuenta Maestra</w:t>
      </w:r>
      <w:r w:rsidR="00EA4946" w:rsidRPr="00047E2D">
        <w:rPr>
          <w:rFonts w:cs="Arial"/>
          <w:i/>
          <w:iCs/>
          <w:sz w:val="18"/>
          <w:szCs w:val="16"/>
        </w:rPr>
        <w:t xml:space="preserve"> y de acuerdo a los diferentes canales que estén a disposición de los cuentahabientes</w:t>
      </w:r>
      <w:r w:rsidR="00544A59">
        <w:rPr>
          <w:rFonts w:cs="Arial"/>
          <w:i/>
          <w:iCs/>
          <w:sz w:val="18"/>
          <w:szCs w:val="16"/>
        </w:rPr>
        <w:t>.”</w:t>
      </w:r>
    </w:p>
    <w:p w14:paraId="50417867" w14:textId="77777777" w:rsidR="00140AAE" w:rsidRPr="007A412F" w:rsidRDefault="00140AAE" w:rsidP="00140AAE">
      <w:pPr>
        <w:ind w:left="709"/>
        <w:contextualSpacing/>
        <w:jc w:val="both"/>
        <w:rPr>
          <w:rFonts w:cs="Arial"/>
          <w:i/>
          <w:iCs/>
          <w:sz w:val="18"/>
          <w:szCs w:val="16"/>
          <w:lang w:val="es-CO"/>
        </w:rPr>
      </w:pPr>
    </w:p>
    <w:p w14:paraId="7AB4D81D" w14:textId="77777777" w:rsidR="00F031F5" w:rsidRDefault="006804C5" w:rsidP="005140E1">
      <w:pPr>
        <w:contextualSpacing/>
        <w:jc w:val="both"/>
        <w:rPr>
          <w:rFonts w:cs="Arial"/>
        </w:rPr>
      </w:pPr>
      <w:r>
        <w:rPr>
          <w:rFonts w:cs="Arial"/>
          <w:lang w:val="es-CO"/>
        </w:rPr>
        <w:t>E</w:t>
      </w:r>
      <w:r w:rsidR="00140AAE" w:rsidRPr="00047E2D">
        <w:rPr>
          <w:rFonts w:cs="Arial"/>
          <w:lang w:val="es-CO"/>
        </w:rPr>
        <w:t xml:space="preserve">l </w:t>
      </w:r>
      <w:r w:rsidR="00D8449B">
        <w:rPr>
          <w:rFonts w:cs="Arial"/>
          <w:lang w:val="es-CO"/>
        </w:rPr>
        <w:t xml:space="preserve">artículo 11 de la </w:t>
      </w:r>
      <w:r w:rsidR="00D8449B" w:rsidRPr="001A38D5">
        <w:rPr>
          <w:rFonts w:cs="Arial"/>
          <w:lang w:val="es-CO"/>
        </w:rPr>
        <w:t xml:space="preserve">Resolución </w:t>
      </w:r>
      <w:r w:rsidR="00D8449B">
        <w:rPr>
          <w:rFonts w:cs="Arial"/>
          <w:lang w:val="es-CO"/>
        </w:rPr>
        <w:t xml:space="preserve">Conjunta </w:t>
      </w:r>
      <w:r w:rsidR="00D8449B" w:rsidRPr="001A38D5">
        <w:rPr>
          <w:rFonts w:cs="Arial"/>
          <w:lang w:val="es-CO"/>
        </w:rPr>
        <w:t xml:space="preserve">No. </w:t>
      </w:r>
      <w:r w:rsidR="00D8449B">
        <w:rPr>
          <w:rFonts w:cs="Arial"/>
          <w:lang w:val="es-CO"/>
        </w:rPr>
        <w:t>2248</w:t>
      </w:r>
      <w:r w:rsidR="00D8449B" w:rsidRPr="001A38D5">
        <w:rPr>
          <w:rFonts w:cs="Arial"/>
          <w:lang w:val="es-CO"/>
        </w:rPr>
        <w:t xml:space="preserve"> de 201</w:t>
      </w:r>
      <w:r w:rsidR="00D8449B">
        <w:rPr>
          <w:rFonts w:cs="Arial"/>
          <w:lang w:val="es-CO"/>
        </w:rPr>
        <w:t>8</w:t>
      </w:r>
      <w:r w:rsidR="00D8449B" w:rsidRPr="001A38D5">
        <w:rPr>
          <w:rFonts w:cs="Arial"/>
          <w:lang w:val="es-CO"/>
        </w:rPr>
        <w:t xml:space="preserve"> </w:t>
      </w:r>
      <w:r w:rsidR="00D8449B">
        <w:rPr>
          <w:rFonts w:cs="Arial"/>
          <w:lang w:val="es-CO"/>
        </w:rPr>
        <w:t xml:space="preserve">de los Ministerio de Educación Nacional y Hacienda y Crédito </w:t>
      </w:r>
      <w:r w:rsidR="00843302">
        <w:rPr>
          <w:rFonts w:cs="Arial"/>
          <w:lang w:val="es-CO"/>
        </w:rPr>
        <w:t>Público</w:t>
      </w:r>
      <w:r w:rsidR="00D8449B">
        <w:rPr>
          <w:rFonts w:cs="Arial"/>
          <w:lang w:val="es-CO"/>
        </w:rPr>
        <w:t xml:space="preserve"> </w:t>
      </w:r>
      <w:r w:rsidR="00843302">
        <w:rPr>
          <w:rFonts w:cs="Arial"/>
          <w:lang w:val="es-CO"/>
        </w:rPr>
        <w:t xml:space="preserve">definió los beneficiarios de las </w:t>
      </w:r>
      <w:r w:rsidR="00704219">
        <w:rPr>
          <w:rFonts w:cs="Arial"/>
          <w:lang w:val="es-CO"/>
        </w:rPr>
        <w:t xml:space="preserve">Cuentas Maestras del PAE como aquellas </w:t>
      </w:r>
      <w:r w:rsidR="001A7953">
        <w:rPr>
          <w:rFonts w:cs="Arial"/>
          <w:lang w:val="es-CO"/>
        </w:rPr>
        <w:t xml:space="preserve">personas naturales </w:t>
      </w:r>
      <w:r w:rsidR="001A7953" w:rsidRPr="001A7953">
        <w:rPr>
          <w:rFonts w:cs="Arial"/>
        </w:rPr>
        <w:t xml:space="preserve">o jurídicas de derecho propio o privado qué presten o suministren bienes </w:t>
      </w:r>
      <w:r w:rsidR="001A7953">
        <w:rPr>
          <w:rFonts w:cs="Arial"/>
        </w:rPr>
        <w:t>y/o</w:t>
      </w:r>
      <w:r w:rsidR="001A7953" w:rsidRPr="001A7953">
        <w:rPr>
          <w:rFonts w:cs="Arial"/>
        </w:rPr>
        <w:t xml:space="preserve"> servicios</w:t>
      </w:r>
      <w:r w:rsidR="001A7953">
        <w:rPr>
          <w:rFonts w:cs="Arial"/>
        </w:rPr>
        <w:t xml:space="preserve"> </w:t>
      </w:r>
      <w:r w:rsidR="001A7953" w:rsidRPr="00A25D4F">
        <w:rPr>
          <w:rFonts w:cs="Arial"/>
        </w:rPr>
        <w:t>en el desarrollo del</w:t>
      </w:r>
      <w:r w:rsidR="00A25D4F">
        <w:rPr>
          <w:rFonts w:cs="Arial"/>
        </w:rPr>
        <w:t xml:space="preserve"> PAE</w:t>
      </w:r>
      <w:r>
        <w:rPr>
          <w:rFonts w:cs="Arial"/>
        </w:rPr>
        <w:t>, además</w:t>
      </w:r>
      <w:r w:rsidR="00CD03E6">
        <w:rPr>
          <w:rFonts w:cs="Arial"/>
        </w:rPr>
        <w:t>, el parágrafo incluye</w:t>
      </w:r>
      <w:r w:rsidR="00F031F5">
        <w:rPr>
          <w:rFonts w:cs="Arial"/>
        </w:rPr>
        <w:t>:</w:t>
      </w:r>
    </w:p>
    <w:p w14:paraId="06D3C26E" w14:textId="77777777" w:rsidR="00F031F5" w:rsidRPr="00047E2D" w:rsidRDefault="00F031F5" w:rsidP="00047E2D">
      <w:pPr>
        <w:ind w:left="709"/>
        <w:contextualSpacing/>
        <w:jc w:val="both"/>
        <w:rPr>
          <w:rFonts w:cs="Arial"/>
          <w:i/>
          <w:iCs/>
          <w:sz w:val="18"/>
          <w:szCs w:val="16"/>
        </w:rPr>
      </w:pPr>
    </w:p>
    <w:p w14:paraId="04D6AD0A" w14:textId="77777777" w:rsidR="00F031F5" w:rsidRPr="00047E2D" w:rsidRDefault="00CD03E6" w:rsidP="00047E2D">
      <w:pPr>
        <w:ind w:left="709"/>
        <w:contextualSpacing/>
        <w:jc w:val="both"/>
        <w:rPr>
          <w:rFonts w:cs="Arial"/>
          <w:i/>
          <w:iCs/>
          <w:sz w:val="18"/>
          <w:szCs w:val="16"/>
        </w:rPr>
      </w:pPr>
      <w:r w:rsidRPr="00047E2D">
        <w:rPr>
          <w:rFonts w:cs="Arial"/>
          <w:i/>
          <w:iCs/>
          <w:sz w:val="18"/>
          <w:szCs w:val="16"/>
        </w:rPr>
        <w:t>“</w:t>
      </w:r>
      <w:r w:rsidR="00F031F5">
        <w:rPr>
          <w:rFonts w:cs="Arial"/>
          <w:b/>
          <w:bCs/>
          <w:i/>
          <w:iCs/>
          <w:sz w:val="18"/>
          <w:szCs w:val="16"/>
        </w:rPr>
        <w:t>P</w:t>
      </w:r>
      <w:r w:rsidR="00F031F5" w:rsidRPr="00F031F5">
        <w:rPr>
          <w:rFonts w:cs="Arial"/>
          <w:b/>
          <w:bCs/>
          <w:i/>
          <w:iCs/>
          <w:sz w:val="18"/>
          <w:szCs w:val="16"/>
        </w:rPr>
        <w:t>arágrafo</w:t>
      </w:r>
      <w:r w:rsidR="00F031F5" w:rsidRPr="00047E2D">
        <w:rPr>
          <w:rFonts w:cs="Arial"/>
          <w:b/>
          <w:bCs/>
          <w:i/>
          <w:iCs/>
          <w:sz w:val="18"/>
          <w:szCs w:val="16"/>
        </w:rPr>
        <w:t>:</w:t>
      </w:r>
      <w:r w:rsidR="00F031F5">
        <w:rPr>
          <w:rFonts w:cs="Arial"/>
          <w:i/>
          <w:iCs/>
          <w:sz w:val="18"/>
          <w:szCs w:val="16"/>
        </w:rPr>
        <w:t xml:space="preserve"> </w:t>
      </w:r>
      <w:r w:rsidRPr="00047E2D">
        <w:rPr>
          <w:rFonts w:cs="Arial"/>
          <w:i/>
          <w:iCs/>
          <w:sz w:val="18"/>
          <w:szCs w:val="16"/>
        </w:rPr>
        <w:t>S</w:t>
      </w:r>
      <w:r w:rsidR="00A25D4F" w:rsidRPr="00047E2D">
        <w:rPr>
          <w:rFonts w:cs="Arial"/>
          <w:i/>
          <w:iCs/>
          <w:sz w:val="18"/>
          <w:szCs w:val="16"/>
        </w:rPr>
        <w:t xml:space="preserve">erán </w:t>
      </w:r>
      <w:r w:rsidR="006804C5" w:rsidRPr="00047E2D">
        <w:rPr>
          <w:rFonts w:cs="Arial"/>
          <w:i/>
          <w:iCs/>
          <w:sz w:val="18"/>
          <w:szCs w:val="16"/>
        </w:rPr>
        <w:t>beneficiarios de las Cuentas Maestras de las entidades territoriales los titulares de tributos departamentales y municipales asociados a la ejecución de los recursos del programa de alimentación escolar”</w:t>
      </w:r>
      <w:r w:rsidRPr="00047E2D">
        <w:rPr>
          <w:rFonts w:cs="Arial"/>
          <w:i/>
          <w:iCs/>
          <w:sz w:val="18"/>
          <w:szCs w:val="16"/>
        </w:rPr>
        <w:t xml:space="preserve">. </w:t>
      </w:r>
    </w:p>
    <w:p w14:paraId="3AB8F927" w14:textId="77777777" w:rsidR="00F031F5" w:rsidRDefault="00F031F5" w:rsidP="005140E1">
      <w:pPr>
        <w:contextualSpacing/>
        <w:jc w:val="both"/>
        <w:rPr>
          <w:rFonts w:cs="Arial"/>
        </w:rPr>
      </w:pPr>
    </w:p>
    <w:p w14:paraId="653B2090" w14:textId="77777777" w:rsidR="00A25D4F" w:rsidRDefault="00791F5A" w:rsidP="005140E1">
      <w:pPr>
        <w:contextualSpacing/>
        <w:jc w:val="both"/>
        <w:rPr>
          <w:rFonts w:cs="Arial"/>
        </w:rPr>
      </w:pPr>
      <w:r>
        <w:rPr>
          <w:rFonts w:cs="Arial"/>
        </w:rPr>
        <w:t>D</w:t>
      </w:r>
      <w:r w:rsidR="00F031F5">
        <w:rPr>
          <w:rFonts w:cs="Arial"/>
        </w:rPr>
        <w:t>e este modo</w:t>
      </w:r>
      <w:r>
        <w:rPr>
          <w:rFonts w:cs="Arial"/>
        </w:rPr>
        <w:t xml:space="preserve">, </w:t>
      </w:r>
      <w:r w:rsidR="00F031F5">
        <w:rPr>
          <w:rFonts w:eastAsiaTheme="minorHAnsi" w:cs="Arial"/>
          <w:lang w:val="es-CO"/>
        </w:rPr>
        <w:t>la Entidad Territorial</w:t>
      </w:r>
      <w:r w:rsidRPr="001A38D5">
        <w:rPr>
          <w:rFonts w:eastAsiaTheme="minorHAnsi" w:cs="Arial"/>
          <w:lang w:val="es-CO"/>
        </w:rPr>
        <w:t xml:space="preserve"> deberá aperturar una cuenta para ser inscrita como beneficiaria de la Cuenta Maestra</w:t>
      </w:r>
      <w:r w:rsidR="00F031F5">
        <w:rPr>
          <w:rFonts w:eastAsiaTheme="minorHAnsi" w:cs="Arial"/>
          <w:lang w:val="es-CO"/>
        </w:rPr>
        <w:t xml:space="preserve"> del PAE</w:t>
      </w:r>
      <w:r w:rsidRPr="001A38D5">
        <w:rPr>
          <w:rFonts w:eastAsiaTheme="minorHAnsi" w:cs="Arial"/>
          <w:lang w:val="es-CO"/>
        </w:rPr>
        <w:t xml:space="preserve"> </w:t>
      </w:r>
      <w:r>
        <w:rPr>
          <w:rFonts w:eastAsiaTheme="minorHAnsi" w:cs="Arial"/>
          <w:lang w:val="es-CO"/>
        </w:rPr>
        <w:t>por cada uno de los tributos; es decir</w:t>
      </w:r>
      <w:r w:rsidRPr="001A38D5">
        <w:rPr>
          <w:rFonts w:eastAsiaTheme="minorHAnsi" w:cs="Arial"/>
          <w:lang w:val="es-CO"/>
        </w:rPr>
        <w:t>, tantas cuentas bancarias como sea necesario y en razón al número de tributos que se constituyan como una obligación de los pagos que se realicen con cargo a l</w:t>
      </w:r>
      <w:r w:rsidR="00F031F5">
        <w:rPr>
          <w:rFonts w:eastAsiaTheme="minorHAnsi" w:cs="Arial"/>
          <w:lang w:val="es-CO"/>
        </w:rPr>
        <w:t>os recursos que se administran en esta Cuenta</w:t>
      </w:r>
      <w:r w:rsidRPr="001A38D5">
        <w:rPr>
          <w:rFonts w:eastAsiaTheme="minorHAnsi" w:cs="Arial"/>
          <w:lang w:val="es-CO"/>
        </w:rPr>
        <w:t>.</w:t>
      </w:r>
    </w:p>
    <w:p w14:paraId="285D1486" w14:textId="77777777" w:rsidR="00CD03E6" w:rsidRDefault="00CD03E6" w:rsidP="005140E1">
      <w:pPr>
        <w:contextualSpacing/>
        <w:jc w:val="both"/>
        <w:rPr>
          <w:rFonts w:cs="Arial"/>
          <w:lang w:val="es-CO"/>
        </w:rPr>
      </w:pPr>
    </w:p>
    <w:p w14:paraId="15E914DA" w14:textId="77777777" w:rsidR="007A4C6E" w:rsidRDefault="00A20990" w:rsidP="005140E1">
      <w:pPr>
        <w:contextualSpacing/>
        <w:jc w:val="both"/>
        <w:rPr>
          <w:rFonts w:cs="Arial"/>
          <w:lang w:val="es-CO"/>
        </w:rPr>
      </w:pPr>
      <w:r w:rsidRPr="001A38D5">
        <w:rPr>
          <w:rFonts w:cs="Arial"/>
          <w:lang w:val="es-CO"/>
        </w:rPr>
        <w:t>Así las cosas y de acuerdo con la información disponible en la Plataforma de Integración de Datos - PISIS del Ministerio de Salud y Protección Social sobre la Cuenta Maestra de Alimentación Escolar No.</w:t>
      </w:r>
      <w:r w:rsidRPr="001A38D5">
        <w:rPr>
          <w:rFonts w:cs="Arial"/>
        </w:rPr>
        <w:t xml:space="preserve"> </w:t>
      </w:r>
      <w:r w:rsidRPr="001A38D5">
        <w:rPr>
          <w:rFonts w:cs="Arial"/>
          <w:lang w:val="es-CO"/>
        </w:rPr>
        <w:t>36456549068 de Bancolombia, se evidencian lo siguientes movimientos:</w:t>
      </w:r>
    </w:p>
    <w:p w14:paraId="29D19D34" w14:textId="77777777" w:rsidR="007A4C6E" w:rsidRPr="001A38D5" w:rsidRDefault="007A4C6E" w:rsidP="005140E1">
      <w:pPr>
        <w:contextualSpacing/>
        <w:jc w:val="both"/>
        <w:rPr>
          <w:rFonts w:cs="Arial"/>
          <w:lang w:val="es-CO"/>
        </w:rPr>
      </w:pPr>
    </w:p>
    <w:p w14:paraId="69889B98" w14:textId="77777777" w:rsidR="00A20990" w:rsidRPr="004E0329" w:rsidRDefault="006B7A8B" w:rsidP="007A4C6E">
      <w:pPr>
        <w:pStyle w:val="Prrafodelista"/>
        <w:numPr>
          <w:ilvl w:val="0"/>
          <w:numId w:val="13"/>
        </w:numPr>
        <w:contextualSpacing/>
        <w:jc w:val="both"/>
        <w:rPr>
          <w:rFonts w:cs="Arial"/>
          <w:i/>
          <w:iCs/>
        </w:rPr>
      </w:pPr>
      <w:r w:rsidRPr="007A4C6E">
        <w:rPr>
          <w:rFonts w:cs="Arial"/>
          <w:lang w:val="es-CO"/>
        </w:rPr>
        <w:t>El 15 de octubre de 2019 se registró un movimiento crédito proveniente de la Cuenta Maestra No. 3645657898 de Propósito General por $303,82 millones. Posteriormente, e</w:t>
      </w:r>
      <w:r w:rsidR="00A20990" w:rsidRPr="007A4C6E">
        <w:rPr>
          <w:rFonts w:cs="Arial"/>
          <w:lang w:val="es-CO"/>
        </w:rPr>
        <w:t>l 21 de noviembre de 2019</w:t>
      </w:r>
      <w:r w:rsidR="00A42BED" w:rsidRPr="007A4C6E">
        <w:rPr>
          <w:rFonts w:cs="Arial"/>
          <w:lang w:val="es-CO"/>
        </w:rPr>
        <w:t xml:space="preserve"> se </w:t>
      </w:r>
      <w:r w:rsidR="00AD2374" w:rsidRPr="007A4C6E">
        <w:rPr>
          <w:rFonts w:cs="Arial"/>
          <w:lang w:val="es-CO"/>
        </w:rPr>
        <w:t>registra un egreso</w:t>
      </w:r>
      <w:r w:rsidR="00A20990" w:rsidRPr="007A4C6E">
        <w:rPr>
          <w:rFonts w:cs="Arial"/>
          <w:lang w:val="es-CO"/>
        </w:rPr>
        <w:t xml:space="preserve"> por $303,82 millones</w:t>
      </w:r>
      <w:r w:rsidR="007A4C6E" w:rsidRPr="007A4C6E">
        <w:rPr>
          <w:rFonts w:cs="Arial"/>
          <w:lang w:val="es-CO"/>
        </w:rPr>
        <w:t xml:space="preserve"> desde la Cuenta Maestra del PAE</w:t>
      </w:r>
      <w:r w:rsidR="00A20990" w:rsidRPr="007A4C6E">
        <w:rPr>
          <w:rFonts w:cs="Arial"/>
          <w:lang w:val="es-CO"/>
        </w:rPr>
        <w:t xml:space="preserve"> a la cuenta No. 70900026429 de Bancolombia. </w:t>
      </w:r>
      <w:r w:rsidR="007A4C6E" w:rsidRPr="007A4C6E">
        <w:rPr>
          <w:rFonts w:cs="Arial"/>
          <w:lang w:val="es-CO"/>
        </w:rPr>
        <w:t>Ante lo que l</w:t>
      </w:r>
      <w:r w:rsidR="00A20990" w:rsidRPr="007A4C6E">
        <w:rPr>
          <w:rFonts w:cs="Arial"/>
          <w:lang w:val="es-CO"/>
        </w:rPr>
        <w:t xml:space="preserve">a Entidad Territorial manifiesta en el documento con radicado No. 1-2023-071154 del 16 de agosto de 2023 que se trata de </w:t>
      </w:r>
      <w:r w:rsidR="00A20990" w:rsidRPr="007A4C6E">
        <w:rPr>
          <w:rFonts w:cs="Arial"/>
          <w:i/>
          <w:iCs/>
          <w:lang w:val="es-CO"/>
        </w:rPr>
        <w:t>“</w:t>
      </w:r>
      <w:r w:rsidR="00395594" w:rsidRPr="007A4C6E">
        <w:rPr>
          <w:rFonts w:cs="Arial"/>
          <w:i/>
          <w:iCs/>
          <w:lang w:val="es-CO"/>
        </w:rPr>
        <w:t>[</w:t>
      </w:r>
      <w:r w:rsidR="00A20990" w:rsidRPr="007A4C6E">
        <w:rPr>
          <w:rFonts w:cs="Arial"/>
          <w:i/>
          <w:iCs/>
          <w:lang w:val="es-CO"/>
        </w:rPr>
        <w:t>…</w:t>
      </w:r>
      <w:r w:rsidR="00395594" w:rsidRPr="007A4C6E">
        <w:rPr>
          <w:rFonts w:cs="Arial"/>
          <w:i/>
          <w:iCs/>
          <w:lang w:val="es-CO"/>
        </w:rPr>
        <w:t>]</w:t>
      </w:r>
      <w:r w:rsidR="00A20990" w:rsidRPr="007A4C6E">
        <w:rPr>
          <w:rFonts w:cs="Arial"/>
          <w:i/>
          <w:iCs/>
          <w:lang w:val="es-CO"/>
        </w:rPr>
        <w:t xml:space="preserve"> </w:t>
      </w:r>
      <w:r w:rsidR="00BE341A">
        <w:rPr>
          <w:rFonts w:cs="Arial"/>
          <w:i/>
          <w:iCs/>
          <w:lang w:val="es-CO"/>
        </w:rPr>
        <w:t xml:space="preserve">un Traslado entre cuentas </w:t>
      </w:r>
      <w:r w:rsidR="00A20990" w:rsidRPr="007A4C6E">
        <w:rPr>
          <w:rFonts w:cs="Arial"/>
          <w:i/>
          <w:iCs/>
          <w:lang w:val="es-CO"/>
        </w:rPr>
        <w:t xml:space="preserve">reversando </w:t>
      </w:r>
      <w:r w:rsidR="00A20990" w:rsidRPr="007A4C6E">
        <w:rPr>
          <w:rFonts w:cs="Arial"/>
          <w:i/>
          <w:iCs/>
        </w:rPr>
        <w:t>una supuesta devolución de recursos girados por error el día 15 de octubre de 2019 entre la cuenta maestra del PAE y la cuenta No. 36456547898 correspondiente a la Cuenta Maestra de Propósito General del SGP”.</w:t>
      </w:r>
      <w:r w:rsidR="007A4C6E">
        <w:rPr>
          <w:rFonts w:cs="Arial"/>
          <w:i/>
          <w:iCs/>
        </w:rPr>
        <w:t xml:space="preserve"> </w:t>
      </w:r>
      <w:r w:rsidR="007A4C6E" w:rsidRPr="004E0329">
        <w:rPr>
          <w:rFonts w:cs="Arial"/>
        </w:rPr>
        <w:t>Sin embargo, lo que se puede evidenciar en las transacciones descritas</w:t>
      </w:r>
      <w:r w:rsidR="00AD13C2">
        <w:rPr>
          <w:rFonts w:cs="Arial"/>
        </w:rPr>
        <w:t xml:space="preserve"> es que</w:t>
      </w:r>
      <w:r w:rsidR="007A4C6E">
        <w:rPr>
          <w:rFonts w:cs="Arial"/>
        </w:rPr>
        <w:t xml:space="preserve"> n</w:t>
      </w:r>
      <w:r w:rsidR="00997A2A">
        <w:rPr>
          <w:rFonts w:cs="Arial"/>
        </w:rPr>
        <w:t>o se trata de una reversión</w:t>
      </w:r>
      <w:r w:rsidR="006E2536">
        <w:rPr>
          <w:rFonts w:cs="Arial"/>
        </w:rPr>
        <w:t xml:space="preserve"> entre las cuentas maestras</w:t>
      </w:r>
      <w:r w:rsidR="00997A2A">
        <w:rPr>
          <w:rFonts w:cs="Arial"/>
        </w:rPr>
        <w:t>, sino un traslado de los recursos</w:t>
      </w:r>
      <w:r w:rsidR="006E2536">
        <w:rPr>
          <w:rFonts w:cs="Arial"/>
        </w:rPr>
        <w:t xml:space="preserve"> de la Cuenta Maestra del PAE a una cuenta </w:t>
      </w:r>
      <w:r w:rsidR="00B01B6D">
        <w:rPr>
          <w:rFonts w:cs="Arial"/>
        </w:rPr>
        <w:t>no autorizada y no identificada por la Entidad Territorial</w:t>
      </w:r>
      <w:r w:rsidR="007C02A8">
        <w:rPr>
          <w:rFonts w:cs="Arial"/>
        </w:rPr>
        <w:t xml:space="preserve">, tal como lo indica </w:t>
      </w:r>
      <w:r w:rsidR="005D2BD9">
        <w:rPr>
          <w:rFonts w:cs="Arial"/>
        </w:rPr>
        <w:t xml:space="preserve">en el documento con radicado </w:t>
      </w:r>
      <w:r w:rsidR="005D2BD9" w:rsidRPr="007A4C6E">
        <w:rPr>
          <w:rFonts w:cs="Arial"/>
          <w:lang w:val="es-CO"/>
        </w:rPr>
        <w:t>No. 1-2023-071154 del 16 de agosto de 2023</w:t>
      </w:r>
      <w:r w:rsidR="00B01B6D">
        <w:rPr>
          <w:rFonts w:cs="Arial"/>
        </w:rPr>
        <w:t>.</w:t>
      </w:r>
    </w:p>
    <w:p w14:paraId="38C60FE7" w14:textId="77777777" w:rsidR="007C02A8" w:rsidRPr="004E0329" w:rsidRDefault="007C02A8" w:rsidP="004E0329">
      <w:pPr>
        <w:pStyle w:val="Prrafodelista"/>
        <w:ind w:left="360"/>
        <w:contextualSpacing/>
        <w:jc w:val="both"/>
        <w:rPr>
          <w:rFonts w:cs="Arial"/>
          <w:i/>
          <w:iCs/>
        </w:rPr>
      </w:pPr>
    </w:p>
    <w:p w14:paraId="215CEA29" w14:textId="77777777" w:rsidR="00053565" w:rsidRDefault="007C02A8" w:rsidP="00053565">
      <w:pPr>
        <w:pStyle w:val="Prrafodelista"/>
        <w:numPr>
          <w:ilvl w:val="0"/>
          <w:numId w:val="13"/>
        </w:numPr>
        <w:contextualSpacing/>
        <w:jc w:val="both"/>
        <w:rPr>
          <w:rFonts w:cs="Arial"/>
          <w:i/>
          <w:iCs/>
        </w:rPr>
      </w:pPr>
      <w:r w:rsidRPr="004E0329">
        <w:rPr>
          <w:rFonts w:cs="Arial"/>
        </w:rPr>
        <w:t xml:space="preserve">El 26 de diciembre de 2019 se </w:t>
      </w:r>
      <w:r w:rsidR="00437906" w:rsidRPr="004E0329">
        <w:rPr>
          <w:rFonts w:cs="Arial"/>
        </w:rPr>
        <w:t>registra</w:t>
      </w:r>
      <w:r w:rsidRPr="004E0329">
        <w:rPr>
          <w:rFonts w:cs="Arial"/>
        </w:rPr>
        <w:t xml:space="preserve"> </w:t>
      </w:r>
      <w:r w:rsidR="00437906" w:rsidRPr="004E0329">
        <w:rPr>
          <w:rFonts w:cs="Arial"/>
        </w:rPr>
        <w:t xml:space="preserve">un movimiento crédito </w:t>
      </w:r>
      <w:r w:rsidRPr="004E0329">
        <w:rPr>
          <w:rFonts w:cs="Arial"/>
        </w:rPr>
        <w:t>por $154,15 millones</w:t>
      </w:r>
      <w:r w:rsidR="00437906" w:rsidRPr="004E0329">
        <w:rPr>
          <w:rFonts w:cs="Arial"/>
        </w:rPr>
        <w:t xml:space="preserve"> desde la Cuenta Maestra No. 3645657898 de Propósito General</w:t>
      </w:r>
      <w:r w:rsidRPr="004E0329">
        <w:rPr>
          <w:rFonts w:cs="Arial"/>
        </w:rPr>
        <w:t>,</w:t>
      </w:r>
      <w:r w:rsidRPr="00437906">
        <w:rPr>
          <w:rFonts w:cs="Arial"/>
          <w:i/>
          <w:iCs/>
        </w:rPr>
        <w:t xml:space="preserve"> </w:t>
      </w:r>
      <w:r w:rsidRPr="004E0329">
        <w:rPr>
          <w:rFonts w:cs="Arial"/>
        </w:rPr>
        <w:t>sobre lo que la Entidad manifiesta mediante radicado No. 1-2023-071154 del 16 de agosto de 2023</w:t>
      </w:r>
      <w:r w:rsidR="00437906">
        <w:rPr>
          <w:rFonts w:cs="Arial"/>
          <w:i/>
          <w:iCs/>
        </w:rPr>
        <w:t xml:space="preserve"> </w:t>
      </w:r>
      <w:r w:rsidR="00437906">
        <w:rPr>
          <w:rFonts w:cs="Arial"/>
        </w:rPr>
        <w:t>que</w:t>
      </w:r>
      <w:r w:rsidR="00053565">
        <w:rPr>
          <w:rFonts w:cs="Arial"/>
        </w:rPr>
        <w:t xml:space="preserve"> se trata de </w:t>
      </w:r>
      <w:r w:rsidR="00053565" w:rsidRPr="007A4C6E">
        <w:rPr>
          <w:rFonts w:cs="Arial"/>
          <w:i/>
          <w:iCs/>
          <w:lang w:val="es-CO"/>
        </w:rPr>
        <w:t>“[…]</w:t>
      </w:r>
      <w:r w:rsidR="00053565">
        <w:rPr>
          <w:rFonts w:cs="Arial"/>
          <w:i/>
          <w:iCs/>
        </w:rPr>
        <w:t xml:space="preserve"> </w:t>
      </w:r>
      <w:r w:rsidRPr="007C02A8">
        <w:rPr>
          <w:rFonts w:cs="Arial"/>
          <w:i/>
          <w:iCs/>
        </w:rPr>
        <w:t>traslado de la cuenta 710-039504 del Banco de Occidente por valor de $154.147.106 correspondiente al giro de dos doceavas de recursos del SGP alimentación escolar que no habían sido trasladados en su momento a la cuenta 364-56549068 de Bancolombia donde se manejan los recursos asignados al programa de alimentación escolar”</w:t>
      </w:r>
      <w:r w:rsidR="00053565">
        <w:rPr>
          <w:rFonts w:cs="Arial"/>
          <w:i/>
          <w:iCs/>
        </w:rPr>
        <w:t xml:space="preserve">. </w:t>
      </w:r>
    </w:p>
    <w:p w14:paraId="048FE730" w14:textId="77777777" w:rsidR="00B94896" w:rsidRPr="004E0329" w:rsidRDefault="00B94896" w:rsidP="004E0329">
      <w:pPr>
        <w:pStyle w:val="Prrafodelista"/>
        <w:ind w:left="360"/>
        <w:contextualSpacing/>
        <w:jc w:val="both"/>
        <w:rPr>
          <w:rFonts w:cs="Arial"/>
          <w:i/>
          <w:iCs/>
        </w:rPr>
      </w:pPr>
    </w:p>
    <w:p w14:paraId="1FA4CA12" w14:textId="77777777" w:rsidR="0086733F" w:rsidRDefault="007C02A8" w:rsidP="0086733F">
      <w:pPr>
        <w:pStyle w:val="Prrafodelista"/>
        <w:ind w:left="360"/>
        <w:contextualSpacing/>
        <w:jc w:val="both"/>
      </w:pPr>
      <w:r w:rsidRPr="004E0329">
        <w:t>Sobre l</w:t>
      </w:r>
      <w:r w:rsidR="002107B5">
        <w:t xml:space="preserve">a argumentación de la Entidad Territorial respecto al traslado de recursos </w:t>
      </w:r>
      <w:r w:rsidR="002107B5" w:rsidRPr="002107B5">
        <w:t>por valor de $154</w:t>
      </w:r>
      <w:r w:rsidR="00DB4DCD">
        <w:t xml:space="preserve">,15 millones </w:t>
      </w:r>
      <w:r w:rsidRPr="004E0329">
        <w:t xml:space="preserve">se </w:t>
      </w:r>
      <w:r w:rsidR="00B94896">
        <w:t>puede evidenciar</w:t>
      </w:r>
      <w:r w:rsidR="00C2736C">
        <w:t xml:space="preserve"> en primer lugar</w:t>
      </w:r>
      <w:r w:rsidR="00DB4DCD">
        <w:t xml:space="preserve"> </w:t>
      </w:r>
      <w:r w:rsidRPr="004E0329">
        <w:t>que</w:t>
      </w:r>
      <w:r w:rsidR="00C2736C">
        <w:t>,</w:t>
      </w:r>
      <w:r w:rsidRPr="004E0329">
        <w:t xml:space="preserve"> la Entidad Territorial a diciembre de 2019 administraba los recursos de la AESGPAE en cuentas diferentes a la Cuenta Maestra registrada en el Ministerio de Hacienda y Crédito Público (cuenta 710-039504 del Banco de Occidente), en contravía de lo establecido en el artículo 3 de la Resolución No. 4835 de 2015</w:t>
      </w:r>
      <w:r w:rsidR="00B94896">
        <w:t xml:space="preserve"> del </w:t>
      </w:r>
      <w:r w:rsidR="00B94896" w:rsidRPr="001D3D49">
        <w:t>Ministerio de Hacienda y Crédito Público</w:t>
      </w:r>
      <w:r w:rsidRPr="004E0329">
        <w:t xml:space="preserve"> y de la Circular Externa 019 del 7 de octubre de 2016, mediante la cual se definió el procedimiento para realizar el traslado de los saldos y la cancelación de las cuentas anteriores a las Cuentas Maestras.</w:t>
      </w:r>
      <w:r w:rsidR="00DB4DCD">
        <w:t xml:space="preserve"> </w:t>
      </w:r>
      <w:r w:rsidR="00C2736C">
        <w:t>En segundo lugar</w:t>
      </w:r>
      <w:r w:rsidR="00DB4DCD">
        <w:t xml:space="preserve">, </w:t>
      </w:r>
      <w:r w:rsidR="00927028">
        <w:t xml:space="preserve">la Entidad realizó el traslado de los recursos </w:t>
      </w:r>
      <w:r w:rsidR="00EF3298">
        <w:t>correspondientes a la Asignación Especial para Alimentación Escolar de manera errónea desde la cuenta 710</w:t>
      </w:r>
      <w:r w:rsidR="00EF3298" w:rsidRPr="00EF3298">
        <w:t xml:space="preserve">-039504 del Banco de Occidente </w:t>
      </w:r>
      <w:r w:rsidR="00EF3298">
        <w:t xml:space="preserve">a la </w:t>
      </w:r>
      <w:r w:rsidR="00EF3298" w:rsidRPr="00EF3298">
        <w:t>Cuenta Maestra No. 3645657898 de Propósito General</w:t>
      </w:r>
      <w:r w:rsidR="00EF3298">
        <w:t xml:space="preserve">, </w:t>
      </w:r>
      <w:r w:rsidR="001F2652">
        <w:t xml:space="preserve">girándola finalmente a la Cuenta Maestras del PAE el 26 de diciembre de 2019. </w:t>
      </w:r>
      <w:r w:rsidR="00C2736C">
        <w:t xml:space="preserve">Por último, si bien la Entidad argumenta que </w:t>
      </w:r>
      <w:r w:rsidR="00767505">
        <w:t>los recursos transferidos</w:t>
      </w:r>
      <w:r w:rsidR="00C2736C">
        <w:t xml:space="preserve"> corresponde</w:t>
      </w:r>
      <w:r w:rsidR="00767505">
        <w:t>n</w:t>
      </w:r>
      <w:r w:rsidR="00C2736C">
        <w:t xml:space="preserve"> a</w:t>
      </w:r>
      <w:r w:rsidR="00266A8F" w:rsidRPr="00266A8F">
        <w:t>l giro de dos doceavas de recursos</w:t>
      </w:r>
      <w:r w:rsidR="00266A8F">
        <w:t xml:space="preserve"> de la AESGPAE</w:t>
      </w:r>
      <w:r w:rsidR="00767505">
        <w:t>, no se aclara a qué vigencia corresponden estos recursos y si se hizo reconocimiento de lo</w:t>
      </w:r>
      <w:r w:rsidR="00397C9D">
        <w:t>s</w:t>
      </w:r>
      <w:r w:rsidR="003878E6">
        <w:t xml:space="preserve"> rendimientos financieros generados</w:t>
      </w:r>
      <w:r w:rsidR="00397C9D">
        <w:t xml:space="preserve"> por estos</w:t>
      </w:r>
      <w:r w:rsidR="003878E6">
        <w:t xml:space="preserve"> en las dos cuentas</w:t>
      </w:r>
      <w:r w:rsidR="00397C9D">
        <w:t xml:space="preserve"> bancarias anteriores</w:t>
      </w:r>
      <w:r w:rsidR="003878E6">
        <w:t xml:space="preserve"> </w:t>
      </w:r>
      <w:r w:rsidR="00397C9D">
        <w:t>a la realización de la</w:t>
      </w:r>
      <w:r w:rsidR="003878E6">
        <w:t xml:space="preserve"> transfer</w:t>
      </w:r>
      <w:r w:rsidR="00397C9D">
        <w:t>encia</w:t>
      </w:r>
      <w:r w:rsidR="003878E6">
        <w:t xml:space="preserve"> a la Cuenta Maestra del PAE. </w:t>
      </w:r>
    </w:p>
    <w:p w14:paraId="0FE8DFC5" w14:textId="77777777" w:rsidR="0086733F" w:rsidRDefault="0086733F" w:rsidP="00B94896">
      <w:pPr>
        <w:pStyle w:val="Prrafodelista"/>
        <w:ind w:left="360"/>
        <w:contextualSpacing/>
        <w:jc w:val="both"/>
      </w:pPr>
    </w:p>
    <w:p w14:paraId="73DD4A20" w14:textId="77777777" w:rsidR="00F472B5" w:rsidRPr="00F472B5" w:rsidRDefault="00A20990" w:rsidP="00047E2D">
      <w:pPr>
        <w:pStyle w:val="Prrafodelista"/>
        <w:numPr>
          <w:ilvl w:val="0"/>
          <w:numId w:val="26"/>
        </w:numPr>
        <w:ind w:left="284" w:hanging="284"/>
        <w:jc w:val="both"/>
        <w:rPr>
          <w:lang w:val="es-CO"/>
        </w:rPr>
      </w:pPr>
      <w:r w:rsidRPr="0086733F">
        <w:rPr>
          <w:lang w:val="es-CO"/>
        </w:rPr>
        <w:t>El 7 de abril de 2022 se realizó un egreso por $283,12 millones a la Cuenta Maestra del Propósito General del SGP No. 36456547898 de Bancolombia. En el documento con radicado No. 1-2023-071154 del 16 de agosto de 2023 la Entidad indica que estos recursos corresponden a descuentos de ley</w:t>
      </w:r>
      <w:r w:rsidR="0098658A">
        <w:rPr>
          <w:lang w:val="es-CO"/>
        </w:rPr>
        <w:t xml:space="preserve">. </w:t>
      </w:r>
      <w:r w:rsidR="00F472B5" w:rsidRPr="00F472B5">
        <w:rPr>
          <w:lang w:val="es-CO"/>
        </w:rPr>
        <w:t xml:space="preserve">Al respecto, se debe tener en cuenta que, al tenor de lo dispuesto en el parágrafo del artículo 11 de la Resolución No. 2248 de 2018 de los Ministerios de Hacienda y Crédito Público y de Educación Nacional, en la Cuenta Maestra del Programa de Alimentación Escolar de las Entidades territoriales deberán inscribirse las cuentas beneficiarias para cada uno de los conceptos de retención o descuentos que en el marco de las normas tributarias se determine. </w:t>
      </w:r>
    </w:p>
    <w:p w14:paraId="0B71AB5C" w14:textId="77777777" w:rsidR="00C24D33" w:rsidRDefault="00C24D33" w:rsidP="00C24D33">
      <w:pPr>
        <w:rPr>
          <w:rFonts w:cs="Arial"/>
          <w:lang w:val="es-CO"/>
        </w:rPr>
      </w:pPr>
    </w:p>
    <w:p w14:paraId="22C7941B" w14:textId="77777777" w:rsidR="00AF42AC" w:rsidRPr="001A38D5" w:rsidRDefault="00C24D33" w:rsidP="00047E2D">
      <w:pPr>
        <w:jc w:val="both"/>
        <w:rPr>
          <w:lang w:val="es-ES_tradnl"/>
        </w:rPr>
      </w:pPr>
      <w:r>
        <w:rPr>
          <w:rFonts w:cs="Arial"/>
          <w:lang w:val="es-CO"/>
        </w:rPr>
        <w:t xml:space="preserve">De este modo, se evidencia que las transacciones descritas </w:t>
      </w:r>
      <w:r w:rsidR="00F472B5" w:rsidRPr="00C24D33">
        <w:rPr>
          <w:rFonts w:cs="Arial"/>
          <w:lang w:val="es-CO"/>
        </w:rPr>
        <w:t>no se encuentra</w:t>
      </w:r>
      <w:r>
        <w:rPr>
          <w:rFonts w:cs="Arial"/>
          <w:lang w:val="es-CO"/>
        </w:rPr>
        <w:t>n</w:t>
      </w:r>
      <w:r w:rsidR="00F472B5" w:rsidRPr="00C24D33">
        <w:rPr>
          <w:rFonts w:cs="Arial"/>
          <w:lang w:val="es-CO"/>
        </w:rPr>
        <w:t xml:space="preserve"> contemplada</w:t>
      </w:r>
      <w:r>
        <w:rPr>
          <w:rFonts w:cs="Arial"/>
          <w:lang w:val="es-CO"/>
        </w:rPr>
        <w:t>s</w:t>
      </w:r>
      <w:r w:rsidR="00F472B5" w:rsidRPr="00C24D33">
        <w:rPr>
          <w:rFonts w:cs="Arial"/>
          <w:lang w:val="es-CO"/>
        </w:rPr>
        <w:t xml:space="preserve"> dentro de las</w:t>
      </w:r>
      <w:r>
        <w:rPr>
          <w:rFonts w:cs="Arial"/>
          <w:lang w:val="es-CO"/>
        </w:rPr>
        <w:t xml:space="preserve"> operaciones</w:t>
      </w:r>
      <w:r w:rsidR="00F472B5" w:rsidRPr="00C24D33">
        <w:rPr>
          <w:rFonts w:cs="Arial"/>
          <w:lang w:val="es-CO"/>
        </w:rPr>
        <w:t xml:space="preserve"> </w:t>
      </w:r>
      <w:r>
        <w:rPr>
          <w:rFonts w:cs="Arial"/>
          <w:lang w:val="es-CO"/>
        </w:rPr>
        <w:t xml:space="preserve">débito y crédito </w:t>
      </w:r>
      <w:r w:rsidR="00F472B5" w:rsidRPr="00C24D33">
        <w:rPr>
          <w:rFonts w:cs="Arial"/>
          <w:lang w:val="es-CO"/>
        </w:rPr>
        <w:t>autorizadas para el manejo de la Cuenta Maestra del PAE establecidas en l</w:t>
      </w:r>
      <w:r>
        <w:rPr>
          <w:rFonts w:cs="Arial"/>
          <w:lang w:val="es-CO"/>
        </w:rPr>
        <w:t>os</w:t>
      </w:r>
      <w:r w:rsidR="00F472B5" w:rsidRPr="00C24D33">
        <w:rPr>
          <w:rFonts w:cs="Arial"/>
          <w:lang w:val="es-CO"/>
        </w:rPr>
        <w:t xml:space="preserve"> artículo</w:t>
      </w:r>
      <w:r>
        <w:rPr>
          <w:rFonts w:cs="Arial"/>
          <w:lang w:val="es-CO"/>
        </w:rPr>
        <w:t>s 7 y</w:t>
      </w:r>
      <w:r w:rsidR="00F472B5" w:rsidRPr="00C24D33">
        <w:rPr>
          <w:rFonts w:cs="Arial"/>
          <w:lang w:val="es-CO"/>
        </w:rPr>
        <w:t xml:space="preserve"> 8 de la Resolución No. 2248 de 2018 de los Ministerios de Hacienda y Crédito Público y de Educación Nacional.</w:t>
      </w:r>
      <w:r w:rsidR="004B3F11">
        <w:rPr>
          <w:rFonts w:cs="Arial"/>
          <w:lang w:val="es-CO"/>
        </w:rPr>
        <w:t xml:space="preserve"> </w:t>
      </w:r>
    </w:p>
    <w:p w14:paraId="5D89A5AD" w14:textId="77777777" w:rsidR="00A20990" w:rsidRPr="001A38D5" w:rsidRDefault="00A20990" w:rsidP="005140E1">
      <w:pPr>
        <w:contextualSpacing/>
        <w:jc w:val="both"/>
        <w:rPr>
          <w:rFonts w:cs="Arial"/>
          <w:lang w:val="es-CO"/>
        </w:rPr>
      </w:pPr>
    </w:p>
    <w:p w14:paraId="04A5BDD6" w14:textId="77777777" w:rsidR="00A20990" w:rsidRPr="001A38D5" w:rsidRDefault="00A20990" w:rsidP="005140E1">
      <w:pPr>
        <w:pStyle w:val="Sinespaciado"/>
        <w:contextualSpacing/>
        <w:jc w:val="both"/>
        <w:rPr>
          <w:rFonts w:ascii="Verdana" w:hAnsi="Verdana" w:cs="Arial"/>
          <w:b/>
        </w:rPr>
      </w:pPr>
      <w:r w:rsidRPr="001A38D5">
        <w:rPr>
          <w:rFonts w:ascii="Verdana" w:hAnsi="Verdana" w:cs="Arial"/>
          <w:b/>
        </w:rPr>
        <w:t>Evidencias:</w:t>
      </w:r>
    </w:p>
    <w:p w14:paraId="65706201" w14:textId="77777777" w:rsidR="00A20990" w:rsidRPr="001A38D5" w:rsidRDefault="00A20990" w:rsidP="005140E1">
      <w:pPr>
        <w:contextualSpacing/>
        <w:jc w:val="both"/>
        <w:rPr>
          <w:rFonts w:cs="Arial"/>
          <w:lang w:val="es-CO"/>
        </w:rPr>
      </w:pPr>
    </w:p>
    <w:p w14:paraId="236CA119"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Obra en el expediente virtual el siguiente material probatorio:</w:t>
      </w:r>
    </w:p>
    <w:p w14:paraId="196D02AB" w14:textId="77777777" w:rsidR="00A20990" w:rsidRPr="001A38D5" w:rsidRDefault="00A20990" w:rsidP="005140E1">
      <w:pPr>
        <w:pStyle w:val="Sinespaciado"/>
        <w:contextualSpacing/>
        <w:jc w:val="both"/>
        <w:rPr>
          <w:rFonts w:ascii="Verdana" w:hAnsi="Verdana" w:cs="Arial"/>
        </w:rPr>
      </w:pPr>
    </w:p>
    <w:p w14:paraId="060C11A6" w14:textId="77777777" w:rsidR="004263DF" w:rsidRPr="004263DF" w:rsidRDefault="004263DF" w:rsidP="005140E1">
      <w:pPr>
        <w:widowControl/>
        <w:numPr>
          <w:ilvl w:val="0"/>
          <w:numId w:val="13"/>
        </w:numPr>
        <w:autoSpaceDE/>
        <w:autoSpaceDN/>
        <w:contextualSpacing/>
        <w:jc w:val="both"/>
        <w:rPr>
          <w:rFonts w:eastAsia="Times New Roman" w:cs="Arial"/>
          <w:color w:val="000000" w:themeColor="text1"/>
          <w:sz w:val="20"/>
          <w:szCs w:val="20"/>
          <w:lang w:eastAsia="es-CO"/>
        </w:rPr>
      </w:pPr>
      <w:r w:rsidRPr="004263DF">
        <w:rPr>
          <w:rFonts w:eastAsia="Arial" w:cs="Arial"/>
          <w:sz w:val="20"/>
          <w:szCs w:val="20"/>
          <w:lang w:val="es-CO"/>
        </w:rPr>
        <w:t>Reporte del Sistema PISIS de la Cuenta Maestra de Alimentación Escolar No. 36456549068 de Bancolombia. Municipio de Villavicencio, Meta – Sector Alimentación Escolar. Serie: “</w:t>
      </w:r>
      <w:r w:rsidRPr="004263DF">
        <w:rPr>
          <w:rFonts w:eastAsia="Arial" w:cs="Arial"/>
          <w:i/>
          <w:sz w:val="20"/>
          <w:szCs w:val="20"/>
          <w:lang w:val="es-CO"/>
        </w:rPr>
        <w:t>Historial de Seguimiento y Control a los Recursos del Sistema General de Participaciones</w:t>
      </w:r>
      <w:r w:rsidRPr="004263DF">
        <w:rPr>
          <w:rFonts w:eastAsia="Arial" w:cs="Arial"/>
          <w:sz w:val="20"/>
          <w:szCs w:val="20"/>
          <w:lang w:val="es-CO"/>
        </w:rPr>
        <w:t xml:space="preserve"> – </w:t>
      </w:r>
      <w:r w:rsidRPr="004263DF">
        <w:rPr>
          <w:rFonts w:eastAsia="Arial" w:cs="Arial"/>
          <w:i/>
          <w:sz w:val="20"/>
          <w:szCs w:val="20"/>
          <w:lang w:val="es-CO"/>
        </w:rPr>
        <w:t>Antecedentes</w:t>
      </w:r>
      <w:r w:rsidRPr="004263DF">
        <w:rPr>
          <w:rFonts w:eastAsia="Arial" w:cs="Arial"/>
          <w:sz w:val="20"/>
          <w:szCs w:val="20"/>
          <w:lang w:val="es-CO"/>
        </w:rPr>
        <w:t>”. Expediente digital No. 52/2018/D028-PREDI.</w:t>
      </w:r>
    </w:p>
    <w:p w14:paraId="180DB146" w14:textId="77777777" w:rsidR="004263DF" w:rsidRPr="004263DF" w:rsidRDefault="00425319" w:rsidP="005140E1">
      <w:pPr>
        <w:pStyle w:val="Prrafodelista"/>
        <w:widowControl/>
        <w:autoSpaceDE/>
        <w:autoSpaceDN/>
        <w:ind w:left="360"/>
        <w:contextualSpacing/>
        <w:jc w:val="both"/>
        <w:rPr>
          <w:rFonts w:eastAsia="Times New Roman" w:cs="Arial"/>
          <w:color w:val="000000" w:themeColor="text1"/>
          <w:sz w:val="16"/>
          <w:szCs w:val="20"/>
          <w:lang w:eastAsia="es-CO"/>
        </w:rPr>
      </w:pPr>
      <w:hyperlink r:id="rId48" w:history="1">
        <w:r w:rsidR="004263DF" w:rsidRPr="004263DF">
          <w:rPr>
            <w:rStyle w:val="Hipervnculo"/>
            <w:rFonts w:eastAsia="Times New Roman" w:cs="Arial"/>
            <w:sz w:val="16"/>
            <w:szCs w:val="20"/>
            <w:lang w:eastAsia="es-CO"/>
          </w:rPr>
          <w:t>http://portalgestiondoc.minhacienda.red/PortalEmpleado/viewer.jsp?config=g/sE5TYYZBONXNciclJTo9X3FwoJlhCmznTRGENUpjH4D3YYLKiT1Ph9a5GFZdXgHvTu3FNIQ8ronG3Tpv0FPEUWJ1tPkF3RCHm/znUI5+ygdF1RGbAVvV6CjzWsPcBuqWJs9sYkY5rP7AG5cBv0Mc5EDMWtc6gkxPkaewqRChmOR68Sz5DD/Hn0TVuLK7EK&amp;guid=5b8a275118abe00669632d9&amp;idrepository=879</w:t>
        </w:r>
      </w:hyperlink>
      <w:r w:rsidR="004263DF" w:rsidRPr="004263DF">
        <w:rPr>
          <w:rFonts w:eastAsia="Times New Roman" w:cs="Arial"/>
          <w:color w:val="000000" w:themeColor="text1"/>
          <w:sz w:val="16"/>
          <w:szCs w:val="20"/>
          <w:lang w:eastAsia="es-CO"/>
        </w:rPr>
        <w:t xml:space="preserve"> </w:t>
      </w:r>
    </w:p>
    <w:p w14:paraId="60568519" w14:textId="77777777" w:rsidR="004263DF" w:rsidRPr="004263DF" w:rsidRDefault="004263DF" w:rsidP="005140E1">
      <w:pPr>
        <w:widowControl/>
        <w:numPr>
          <w:ilvl w:val="0"/>
          <w:numId w:val="13"/>
        </w:numPr>
        <w:autoSpaceDE/>
        <w:autoSpaceDN/>
        <w:contextualSpacing/>
        <w:jc w:val="both"/>
        <w:rPr>
          <w:rFonts w:eastAsia="Times New Roman" w:cs="Arial"/>
          <w:color w:val="000000" w:themeColor="text1"/>
          <w:sz w:val="20"/>
          <w:szCs w:val="20"/>
          <w:lang w:eastAsia="es-CO"/>
        </w:rPr>
      </w:pPr>
      <w:r w:rsidRPr="004263DF">
        <w:rPr>
          <w:rFonts w:eastAsia="Times New Roman" w:cs="Arial"/>
          <w:color w:val="000000" w:themeColor="text1"/>
          <w:sz w:val="20"/>
          <w:szCs w:val="20"/>
          <w:lang w:eastAsia="es-CO"/>
        </w:rPr>
        <w:t xml:space="preserve">Oficio con radicado No. 1-2023-071154 del 16 de agosto de 2023. </w:t>
      </w:r>
      <w:r w:rsidRPr="004263DF">
        <w:rPr>
          <w:rFonts w:eastAsia="Arial" w:cs="Arial"/>
          <w:sz w:val="20"/>
          <w:szCs w:val="20"/>
          <w:lang w:val="es-CO"/>
        </w:rPr>
        <w:t>Municipio de Villavicencio, Meta – Sector Alimentación Escolar. Serie: “</w:t>
      </w:r>
      <w:r w:rsidRPr="004263DF">
        <w:rPr>
          <w:rFonts w:eastAsia="Arial" w:cs="Arial"/>
          <w:i/>
          <w:sz w:val="20"/>
          <w:szCs w:val="20"/>
          <w:lang w:val="es-CO"/>
        </w:rPr>
        <w:t>Historial de Seguimiento y Control a los Recursos del Sistema General de Participaciones</w:t>
      </w:r>
      <w:r w:rsidRPr="004263DF">
        <w:rPr>
          <w:rFonts w:eastAsia="Arial" w:cs="Arial"/>
          <w:sz w:val="20"/>
          <w:szCs w:val="20"/>
          <w:lang w:val="es-CO"/>
        </w:rPr>
        <w:t xml:space="preserve"> – </w:t>
      </w:r>
      <w:r w:rsidRPr="004263DF">
        <w:rPr>
          <w:rFonts w:eastAsia="Arial" w:cs="Arial"/>
          <w:i/>
          <w:sz w:val="20"/>
          <w:szCs w:val="20"/>
          <w:lang w:val="es-CO"/>
        </w:rPr>
        <w:t>Antecedentes</w:t>
      </w:r>
      <w:r w:rsidRPr="004263DF">
        <w:rPr>
          <w:rFonts w:eastAsia="Arial" w:cs="Arial"/>
          <w:sz w:val="20"/>
          <w:szCs w:val="20"/>
          <w:lang w:val="es-CO"/>
        </w:rPr>
        <w:t>”. Expediente digital No. 52/2018/D028-PREDI.</w:t>
      </w:r>
    </w:p>
    <w:p w14:paraId="723CF289" w14:textId="77777777" w:rsidR="004263DF" w:rsidRPr="004263DF" w:rsidRDefault="00425319" w:rsidP="005140E1">
      <w:pPr>
        <w:ind w:left="360"/>
        <w:contextualSpacing/>
        <w:rPr>
          <w:rFonts w:cs="Arial"/>
          <w:sz w:val="16"/>
          <w:szCs w:val="20"/>
          <w:lang w:val="es-CO"/>
        </w:rPr>
      </w:pPr>
      <w:hyperlink r:id="rId49" w:history="1">
        <w:r w:rsidR="004263DF" w:rsidRPr="004263DF">
          <w:rPr>
            <w:rStyle w:val="Hipervnculo"/>
            <w:rFonts w:cs="Arial"/>
            <w:sz w:val="16"/>
            <w:szCs w:val="20"/>
            <w:lang w:val="es-CO"/>
          </w:rPr>
          <w:t>http://portalgestiondoc.minhacienda.red/PortalEmpleado/viewer.jsp?config=5Q6B6aPGzyRCAq9xkWYVxGjUXYmUksKymz1cyo97NtOjgCR14b4mtzLzoRHfZp9hhIfrH2XOZqWVSCV8ZndJI0LMvL6NdXzXRxtFN3WXt89ayzvKagwe8AhBDWXKcog5C7ykh7i5aUoCOCwl64cSa9Y1ZzbaONRDYrzpBs23EVBIShNdiOTPf2kQg69WIWD6&amp;guid=5b8a275118abe00669650ef&amp;idrepository=879</w:t>
        </w:r>
      </w:hyperlink>
      <w:r w:rsidR="004263DF" w:rsidRPr="004263DF">
        <w:rPr>
          <w:rFonts w:cs="Arial"/>
          <w:sz w:val="16"/>
          <w:szCs w:val="20"/>
          <w:lang w:val="es-CO"/>
        </w:rPr>
        <w:t xml:space="preserve"> </w:t>
      </w:r>
    </w:p>
    <w:p w14:paraId="27316589" w14:textId="77777777" w:rsidR="004263DF" w:rsidRPr="004263DF" w:rsidRDefault="004263DF" w:rsidP="005140E1">
      <w:pPr>
        <w:widowControl/>
        <w:numPr>
          <w:ilvl w:val="0"/>
          <w:numId w:val="13"/>
        </w:numPr>
        <w:autoSpaceDE/>
        <w:autoSpaceDN/>
        <w:contextualSpacing/>
        <w:jc w:val="both"/>
        <w:rPr>
          <w:rFonts w:eastAsia="Times New Roman" w:cs="Arial"/>
          <w:color w:val="000000" w:themeColor="text1"/>
          <w:sz w:val="20"/>
          <w:szCs w:val="20"/>
          <w:lang w:eastAsia="es-CO"/>
        </w:rPr>
      </w:pPr>
      <w:r w:rsidRPr="004263DF">
        <w:rPr>
          <w:rFonts w:cs="Arial"/>
          <w:sz w:val="20"/>
          <w:szCs w:val="20"/>
          <w:lang w:val="es-CO"/>
        </w:rPr>
        <w:t>Traslado de la Cuenta Maestra de ahorros No. 3645657898 a la cuenta 36456549068</w:t>
      </w:r>
      <w:r w:rsidRPr="004263DF">
        <w:rPr>
          <w:rFonts w:eastAsia="Times New Roman" w:cs="Arial"/>
          <w:color w:val="000000" w:themeColor="text1"/>
          <w:sz w:val="20"/>
          <w:szCs w:val="20"/>
          <w:lang w:eastAsia="es-CO"/>
        </w:rPr>
        <w:t xml:space="preserve">. </w:t>
      </w:r>
      <w:r w:rsidRPr="004263DF">
        <w:rPr>
          <w:rFonts w:eastAsia="Arial" w:cs="Arial"/>
          <w:sz w:val="20"/>
          <w:szCs w:val="20"/>
          <w:lang w:val="es-CO"/>
        </w:rPr>
        <w:t>Municipio de Villavicencio, Meta – Sector Alimentación Escolar. Serie: “</w:t>
      </w:r>
      <w:r w:rsidRPr="004263DF">
        <w:rPr>
          <w:rFonts w:eastAsia="Arial" w:cs="Arial"/>
          <w:i/>
          <w:sz w:val="20"/>
          <w:szCs w:val="20"/>
          <w:lang w:val="es-CO"/>
        </w:rPr>
        <w:t>Historial de Seguimiento y Control a los Recursos del Sistema General de Participaciones</w:t>
      </w:r>
      <w:r w:rsidRPr="004263DF">
        <w:rPr>
          <w:rFonts w:eastAsia="Arial" w:cs="Arial"/>
          <w:sz w:val="20"/>
          <w:szCs w:val="20"/>
          <w:lang w:val="es-CO"/>
        </w:rPr>
        <w:t xml:space="preserve"> – </w:t>
      </w:r>
      <w:r w:rsidRPr="004263DF">
        <w:rPr>
          <w:rFonts w:eastAsia="Arial" w:cs="Arial"/>
          <w:i/>
          <w:sz w:val="20"/>
          <w:szCs w:val="20"/>
          <w:lang w:val="es-CO"/>
        </w:rPr>
        <w:t>Antecedentes</w:t>
      </w:r>
      <w:r w:rsidRPr="004263DF">
        <w:rPr>
          <w:rFonts w:eastAsia="Arial" w:cs="Arial"/>
          <w:sz w:val="20"/>
          <w:szCs w:val="20"/>
          <w:lang w:val="es-CO"/>
        </w:rPr>
        <w:t>”. Expediente digital No. 52/2018/D028-PREDI.</w:t>
      </w:r>
    </w:p>
    <w:p w14:paraId="2D1104AC" w14:textId="77777777" w:rsidR="004263DF" w:rsidRPr="004263DF" w:rsidRDefault="00425319" w:rsidP="005140E1">
      <w:pPr>
        <w:widowControl/>
        <w:autoSpaceDE/>
        <w:autoSpaceDN/>
        <w:ind w:left="360"/>
        <w:contextualSpacing/>
        <w:jc w:val="both"/>
        <w:rPr>
          <w:rFonts w:eastAsia="Times New Roman" w:cs="Arial"/>
          <w:color w:val="000000" w:themeColor="text1"/>
          <w:sz w:val="16"/>
          <w:szCs w:val="20"/>
          <w:lang w:eastAsia="es-CO"/>
        </w:rPr>
      </w:pPr>
      <w:hyperlink r:id="rId50" w:history="1">
        <w:r w:rsidR="004263DF" w:rsidRPr="004263DF">
          <w:rPr>
            <w:rStyle w:val="Hipervnculo"/>
            <w:rFonts w:eastAsia="Times New Roman" w:cs="Arial"/>
            <w:sz w:val="16"/>
            <w:szCs w:val="20"/>
            <w:lang w:eastAsia="es-CO"/>
          </w:rPr>
          <w:t>http://portalgestiondoc.minhacienda.red/PortalEmpleado/viewer.jsp?config=dOIyUjERFnBZ1K2vCglvDtwB4mvwH1mmMlS3LmvP0nU7p7hcsQLdfftuRLnu4+1e+7elmJy1NrIgv9TgPafls04Ctz7CGnP7iES4apJlZvP6XYqFk6FL8kK98/Ws0GwaS2g+SNaLX4DylG2np7zkJ7YW2m9iHuCo4E1Sv2MxGxuaHUVcROY3YkpmAtRrRXQN&amp;guid=5b8a275118abe00669650f1&amp;idrepository=879</w:t>
        </w:r>
      </w:hyperlink>
      <w:r w:rsidR="004263DF" w:rsidRPr="004263DF">
        <w:rPr>
          <w:rFonts w:eastAsia="Times New Roman" w:cs="Arial"/>
          <w:color w:val="000000" w:themeColor="text1"/>
          <w:sz w:val="16"/>
          <w:szCs w:val="20"/>
          <w:lang w:eastAsia="es-CO"/>
        </w:rPr>
        <w:t xml:space="preserve"> </w:t>
      </w:r>
    </w:p>
    <w:p w14:paraId="00ED1467" w14:textId="77777777" w:rsidR="004263DF" w:rsidRPr="004263DF" w:rsidRDefault="004263DF" w:rsidP="005140E1">
      <w:pPr>
        <w:widowControl/>
        <w:numPr>
          <w:ilvl w:val="0"/>
          <w:numId w:val="13"/>
        </w:numPr>
        <w:autoSpaceDE/>
        <w:autoSpaceDN/>
        <w:contextualSpacing/>
        <w:jc w:val="both"/>
        <w:rPr>
          <w:rFonts w:eastAsia="Times New Roman" w:cs="Arial"/>
          <w:color w:val="000000" w:themeColor="text1"/>
          <w:sz w:val="20"/>
          <w:szCs w:val="20"/>
          <w:lang w:eastAsia="es-CO"/>
        </w:rPr>
      </w:pPr>
      <w:r w:rsidRPr="004263DF">
        <w:rPr>
          <w:rFonts w:eastAsia="Times New Roman" w:cs="Arial"/>
          <w:color w:val="000000" w:themeColor="text1"/>
          <w:sz w:val="20"/>
          <w:szCs w:val="20"/>
          <w:lang w:eastAsia="es-CO"/>
        </w:rPr>
        <w:t xml:space="preserve">Orden de pago 10357 del 26 de diciembre de 2020 y comprobante de egreso 511 del 8 de febrero de 2021. </w:t>
      </w:r>
      <w:r w:rsidRPr="004263DF">
        <w:rPr>
          <w:rFonts w:eastAsia="Arial" w:cs="Arial"/>
          <w:sz w:val="20"/>
          <w:szCs w:val="20"/>
          <w:lang w:val="es-CO"/>
        </w:rPr>
        <w:t>Municipio de Villavicencio, Meta – Sector Alimentación Escolar. Serie: “</w:t>
      </w:r>
      <w:r w:rsidRPr="004263DF">
        <w:rPr>
          <w:rFonts w:eastAsia="Arial" w:cs="Arial"/>
          <w:i/>
          <w:sz w:val="20"/>
          <w:szCs w:val="20"/>
          <w:lang w:val="es-CO"/>
        </w:rPr>
        <w:t>Historial de Seguimiento y Control a los Recursos del Sistema General de Participaciones</w:t>
      </w:r>
      <w:r w:rsidRPr="004263DF">
        <w:rPr>
          <w:rFonts w:eastAsia="Arial" w:cs="Arial"/>
          <w:sz w:val="20"/>
          <w:szCs w:val="20"/>
          <w:lang w:val="es-CO"/>
        </w:rPr>
        <w:t xml:space="preserve"> – </w:t>
      </w:r>
      <w:r w:rsidRPr="004263DF">
        <w:rPr>
          <w:rFonts w:eastAsia="Arial" w:cs="Arial"/>
          <w:i/>
          <w:sz w:val="20"/>
          <w:szCs w:val="20"/>
          <w:lang w:val="es-CO"/>
        </w:rPr>
        <w:t>Antecedentes</w:t>
      </w:r>
      <w:r w:rsidRPr="004263DF">
        <w:rPr>
          <w:rFonts w:eastAsia="Arial" w:cs="Arial"/>
          <w:sz w:val="20"/>
          <w:szCs w:val="20"/>
          <w:lang w:val="es-CO"/>
        </w:rPr>
        <w:t>”. Expediente digital No. 52/2018/D028-PREDI.</w:t>
      </w:r>
    </w:p>
    <w:p w14:paraId="223465B2" w14:textId="77777777" w:rsidR="00A20990" w:rsidRPr="004263DF" w:rsidRDefault="00425319" w:rsidP="005140E1">
      <w:pPr>
        <w:widowControl/>
        <w:autoSpaceDE/>
        <w:autoSpaceDN/>
        <w:ind w:left="360"/>
        <w:contextualSpacing/>
        <w:jc w:val="both"/>
        <w:rPr>
          <w:rFonts w:eastAsia="Times New Roman" w:cs="Arial"/>
          <w:sz w:val="16"/>
          <w:szCs w:val="20"/>
          <w:lang w:eastAsia="es-CO"/>
        </w:rPr>
      </w:pPr>
      <w:hyperlink r:id="rId51" w:history="1">
        <w:r w:rsidR="004263DF" w:rsidRPr="004263DF">
          <w:rPr>
            <w:rStyle w:val="Hipervnculo"/>
            <w:rFonts w:eastAsia="Times New Roman" w:cs="Arial"/>
            <w:sz w:val="16"/>
            <w:szCs w:val="20"/>
            <w:lang w:eastAsia="es-CO"/>
          </w:rPr>
          <w:t>http://portalgestiondoc.minhacienda.red/PortalEmpleado/viewer.jsp?config=S9sACvUx109MikEsRE6Sjhd9AgN/TOwESsmWDD+FVtYIklH7zw5bL3lCLzhNC6VrpyXazBkCX3Qcr0Ay05D3pScXqe0fgnEAUzRlb4HVwtjp/Skkuc5rSt9SR+kvEdxGLhDiXxIpVMqBFwgXwB9HnEichbokNotzXllHIBqtjVhbUazZNQxee3HhSonisc5F&amp;guid=5b8a275118abe00669650f3&amp;idrepository=879</w:t>
        </w:r>
      </w:hyperlink>
    </w:p>
    <w:p w14:paraId="4F2E32EF" w14:textId="77777777" w:rsidR="00133FCB" w:rsidRPr="001A38D5" w:rsidRDefault="00133FCB" w:rsidP="005140E1">
      <w:pPr>
        <w:widowControl/>
        <w:autoSpaceDE/>
        <w:autoSpaceDN/>
        <w:contextualSpacing/>
        <w:jc w:val="both"/>
        <w:rPr>
          <w:rFonts w:eastAsia="Times New Roman" w:cs="Arial"/>
          <w:lang w:eastAsia="es-CO"/>
        </w:rPr>
      </w:pPr>
    </w:p>
    <w:p w14:paraId="3A64D4ED" w14:textId="77777777" w:rsidR="00A20990" w:rsidRPr="007A412F" w:rsidRDefault="00A20990" w:rsidP="005140E1">
      <w:pPr>
        <w:pStyle w:val="Ttulo2"/>
        <w:numPr>
          <w:ilvl w:val="0"/>
          <w:numId w:val="0"/>
        </w:numPr>
        <w:contextualSpacing/>
        <w:jc w:val="both"/>
        <w:rPr>
          <w:rFonts w:ascii="Verdana" w:hAnsi="Verdana"/>
          <w:u w:val="none"/>
        </w:rPr>
      </w:pPr>
      <w:r w:rsidRPr="007A412F">
        <w:rPr>
          <w:rFonts w:ascii="Verdana" w:hAnsi="Verdana"/>
          <w:u w:val="none"/>
        </w:rPr>
        <w:t xml:space="preserve">EVENTO DE RIESGO 9.10. </w:t>
      </w:r>
      <w:r w:rsidRPr="007A412F">
        <w:rPr>
          <w:rFonts w:ascii="Verdana" w:hAnsi="Verdana"/>
          <w:b w:val="0"/>
          <w:bCs w:val="0"/>
          <w:u w:val="none"/>
        </w:rPr>
        <w:t>“</w:t>
      </w:r>
      <w:r w:rsidRPr="007A412F">
        <w:rPr>
          <w:rFonts w:ascii="Verdana" w:hAnsi="Verdana"/>
          <w:b w:val="0"/>
          <w:bCs w:val="0"/>
          <w:i/>
          <w:iCs/>
          <w:u w:val="none"/>
        </w:rPr>
        <w:t>No publicar los actos administrativos, contratos, convenios e informes, cuando la ley lo exija</w:t>
      </w:r>
      <w:r w:rsidRPr="007A412F">
        <w:rPr>
          <w:rFonts w:ascii="Verdana" w:hAnsi="Verdana"/>
          <w:b w:val="0"/>
          <w:bCs w:val="0"/>
          <w:u w:val="none"/>
        </w:rPr>
        <w:t>”.</w:t>
      </w:r>
    </w:p>
    <w:p w14:paraId="49495F04" w14:textId="77777777" w:rsidR="00A20990" w:rsidRPr="007A412F" w:rsidRDefault="00A20990" w:rsidP="005140E1">
      <w:pPr>
        <w:spacing w:before="100" w:beforeAutospacing="1" w:after="100" w:afterAutospacing="1"/>
        <w:contextualSpacing/>
        <w:jc w:val="both"/>
        <w:rPr>
          <w:rFonts w:eastAsia="Times New Roman" w:cs="Arial"/>
          <w:b/>
          <w:bCs/>
          <w:lang w:val="es-CO" w:eastAsia="es-CO"/>
        </w:rPr>
      </w:pPr>
      <w:r w:rsidRPr="007A412F">
        <w:rPr>
          <w:rFonts w:eastAsia="Times New Roman" w:cs="Arial"/>
          <w:b/>
          <w:bCs/>
          <w:lang w:val="es-CO" w:eastAsia="es-CO"/>
        </w:rPr>
        <w:t xml:space="preserve">Publicación omisa o extemporánea de los documentos relacionados con los procesos contractuales para la prestación del </w:t>
      </w:r>
      <w:r w:rsidR="00741217" w:rsidRPr="007A412F">
        <w:rPr>
          <w:rFonts w:eastAsia="Times New Roman" w:cs="Arial"/>
          <w:b/>
          <w:bCs/>
          <w:lang w:val="es-CO" w:eastAsia="es-CO"/>
        </w:rPr>
        <w:t>S</w:t>
      </w:r>
      <w:r w:rsidRPr="007A412F">
        <w:rPr>
          <w:rFonts w:eastAsia="Times New Roman" w:cs="Arial"/>
          <w:b/>
          <w:bCs/>
          <w:lang w:val="es-CO" w:eastAsia="es-CO"/>
        </w:rPr>
        <w:t xml:space="preserve">ervicio de </w:t>
      </w:r>
      <w:r w:rsidR="00741217" w:rsidRPr="007A412F">
        <w:rPr>
          <w:rFonts w:eastAsia="Times New Roman" w:cs="Arial"/>
          <w:b/>
          <w:bCs/>
          <w:lang w:val="es-CO" w:eastAsia="es-CO"/>
        </w:rPr>
        <w:t>A</w:t>
      </w:r>
      <w:r w:rsidRPr="007A412F">
        <w:rPr>
          <w:rFonts w:eastAsia="Times New Roman" w:cs="Arial"/>
          <w:b/>
          <w:bCs/>
          <w:lang w:val="es-CO" w:eastAsia="es-CO"/>
        </w:rPr>
        <w:t xml:space="preserve">limentación </w:t>
      </w:r>
      <w:r w:rsidR="00741217" w:rsidRPr="007A412F">
        <w:rPr>
          <w:rFonts w:eastAsia="Times New Roman" w:cs="Arial"/>
          <w:b/>
          <w:bCs/>
          <w:lang w:val="es-CO" w:eastAsia="es-CO"/>
        </w:rPr>
        <w:t>E</w:t>
      </w:r>
      <w:r w:rsidRPr="007A412F">
        <w:rPr>
          <w:rFonts w:eastAsia="Times New Roman" w:cs="Arial"/>
          <w:b/>
          <w:bCs/>
          <w:lang w:val="es-CO" w:eastAsia="es-CO"/>
        </w:rPr>
        <w:t>scolar.</w:t>
      </w:r>
    </w:p>
    <w:p w14:paraId="1ECEEAE8" w14:textId="77777777" w:rsidR="00A20990" w:rsidRPr="001A38D5" w:rsidRDefault="00A20990" w:rsidP="005140E1">
      <w:pPr>
        <w:pStyle w:val="paragraph"/>
        <w:spacing w:before="0" w:beforeAutospacing="0" w:after="0" w:afterAutospacing="0"/>
        <w:contextualSpacing/>
        <w:jc w:val="both"/>
        <w:textAlignment w:val="baseline"/>
        <w:rPr>
          <w:rStyle w:val="eop"/>
          <w:rFonts w:ascii="Verdana" w:eastAsia="Verdana" w:hAnsi="Verdana" w:cs="Arial"/>
          <w:sz w:val="22"/>
          <w:szCs w:val="22"/>
          <w:lang w:val="es-ES" w:eastAsia="en-US"/>
        </w:rPr>
      </w:pPr>
      <w:r w:rsidRPr="001A38D5">
        <w:rPr>
          <w:rStyle w:val="normaltextrun"/>
          <w:rFonts w:ascii="Verdana" w:hAnsi="Verdana" w:cs="Arial"/>
          <w:sz w:val="22"/>
          <w:szCs w:val="22"/>
          <w:lang w:val="es-ES"/>
        </w:rPr>
        <w:t>El artículo 2.1.1.2.1.7. del Decreto 1081 de 2015, referente a la Publicación de la información contractual, establece que:</w:t>
      </w:r>
    </w:p>
    <w:p w14:paraId="03168094" w14:textId="77777777" w:rsidR="00A20990" w:rsidRPr="001A38D5" w:rsidRDefault="00A20990" w:rsidP="005140E1">
      <w:pPr>
        <w:pStyle w:val="paragraph"/>
        <w:spacing w:before="0" w:beforeAutospacing="0" w:after="0" w:afterAutospacing="0"/>
        <w:contextualSpacing/>
        <w:jc w:val="both"/>
        <w:textAlignment w:val="baseline"/>
        <w:rPr>
          <w:rFonts w:ascii="Verdana" w:hAnsi="Verdana" w:cs="Arial"/>
        </w:rPr>
      </w:pPr>
    </w:p>
    <w:p w14:paraId="114F6D62" w14:textId="77777777" w:rsidR="00A20990" w:rsidRPr="007A412F" w:rsidRDefault="00A20990" w:rsidP="005140E1">
      <w:pPr>
        <w:pStyle w:val="paragraph"/>
        <w:spacing w:before="0" w:beforeAutospacing="0" w:after="0" w:afterAutospacing="0"/>
        <w:ind w:left="709"/>
        <w:contextualSpacing/>
        <w:jc w:val="both"/>
        <w:textAlignment w:val="baseline"/>
        <w:rPr>
          <w:rStyle w:val="eop"/>
          <w:rFonts w:ascii="Verdana" w:hAnsi="Verdana" w:cs="Arial"/>
          <w:sz w:val="18"/>
          <w:szCs w:val="18"/>
        </w:rPr>
      </w:pPr>
      <w:r w:rsidRPr="007A412F">
        <w:rPr>
          <w:rStyle w:val="normaltextrun"/>
          <w:rFonts w:ascii="Verdana" w:hAnsi="Verdana" w:cs="Arial"/>
          <w:sz w:val="18"/>
          <w:szCs w:val="18"/>
          <w:lang w:val="es-ES"/>
        </w:rPr>
        <w:t>“</w:t>
      </w:r>
      <w:r w:rsidRPr="007A412F">
        <w:rPr>
          <w:rStyle w:val="normaltextrun"/>
          <w:rFonts w:ascii="Verdana" w:hAnsi="Verdana" w:cs="Arial"/>
          <w:i/>
          <w:iCs/>
          <w:sz w:val="18"/>
          <w:szCs w:val="18"/>
          <w:lang w:val="es-ES"/>
        </w:rPr>
        <w:t xml:space="preserve">[…]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Los sujetos obligados que contratan con cargo a recursos públicos deben publicar la información de su gestión contractual en el plazo previsto en el artículo 19 del Decreto 1510 de 2013, o el que lo modifique, sustituya o adicione [artículo 2.2.1.1.1.7.1 del Decreto 1082 de 2015]. Los sujetos obligados que contratan con recursos públicos y recursos </w:t>
      </w:r>
      <w:r w:rsidR="003203FD" w:rsidRPr="007A412F">
        <w:rPr>
          <w:rStyle w:val="normaltextrun"/>
          <w:rFonts w:ascii="Verdana" w:hAnsi="Verdana" w:cs="Arial"/>
          <w:i/>
          <w:iCs/>
          <w:sz w:val="18"/>
          <w:szCs w:val="18"/>
          <w:lang w:val="es-ES"/>
        </w:rPr>
        <w:t>privados</w:t>
      </w:r>
      <w:r w:rsidRPr="007A412F">
        <w:rPr>
          <w:rStyle w:val="normaltextrun"/>
          <w:rFonts w:ascii="Verdana" w:hAnsi="Verdana" w:cs="Arial"/>
          <w:i/>
          <w:iCs/>
          <w:sz w:val="18"/>
          <w:szCs w:val="18"/>
          <w:lang w:val="es-ES"/>
        </w:rPr>
        <w:t xml:space="preserve"> deben publicar la información de su gestión contractual con cargo a recursos públicos en el Sistema Electrónico para la Contratación Pública (SECOP)</w:t>
      </w:r>
      <w:r w:rsidRPr="007A412F">
        <w:rPr>
          <w:rStyle w:val="normaltextrun"/>
          <w:rFonts w:ascii="Verdana" w:hAnsi="Verdana" w:cs="Arial"/>
          <w:sz w:val="18"/>
          <w:szCs w:val="18"/>
          <w:lang w:val="es-ES"/>
        </w:rPr>
        <w:t>”.</w:t>
      </w:r>
    </w:p>
    <w:p w14:paraId="2F240440" w14:textId="77777777" w:rsidR="00A20990" w:rsidRPr="001A38D5" w:rsidRDefault="00A20990" w:rsidP="005140E1">
      <w:pPr>
        <w:pStyle w:val="paragraph"/>
        <w:spacing w:before="0" w:beforeAutospacing="0" w:after="0" w:afterAutospacing="0"/>
        <w:contextualSpacing/>
        <w:jc w:val="both"/>
        <w:textAlignment w:val="baseline"/>
        <w:rPr>
          <w:rFonts w:ascii="Verdana" w:hAnsi="Verdana" w:cs="Arial"/>
          <w:sz w:val="28"/>
          <w:szCs w:val="28"/>
        </w:rPr>
      </w:pPr>
    </w:p>
    <w:p w14:paraId="13C3C5D9" w14:textId="77777777" w:rsidR="00A20990" w:rsidRPr="001A38D5" w:rsidRDefault="00A20990" w:rsidP="005140E1">
      <w:pPr>
        <w:pStyle w:val="paragraph"/>
        <w:spacing w:before="0" w:beforeAutospacing="0" w:after="0" w:afterAutospacing="0"/>
        <w:contextualSpacing/>
        <w:jc w:val="both"/>
        <w:textAlignment w:val="baseline"/>
        <w:rPr>
          <w:rStyle w:val="eop"/>
          <w:rFonts w:ascii="Verdana" w:hAnsi="Verdana" w:cs="Arial"/>
          <w:sz w:val="22"/>
          <w:szCs w:val="22"/>
          <w:lang w:val="es-ES"/>
        </w:rPr>
      </w:pPr>
      <w:r w:rsidRPr="001A38D5">
        <w:rPr>
          <w:rStyle w:val="normaltextrun"/>
          <w:rFonts w:ascii="Verdana" w:hAnsi="Verdana" w:cs="Arial"/>
          <w:sz w:val="22"/>
          <w:szCs w:val="22"/>
          <w:lang w:val="es-ES"/>
        </w:rPr>
        <w:t>De la misma forma, el artículo 2.1.1.2.1.8 del Decreto 1081 de 2015 determina que: “</w:t>
      </w:r>
      <w:r w:rsidRPr="007A412F">
        <w:rPr>
          <w:rStyle w:val="normaltextrun"/>
          <w:rFonts w:ascii="Verdana" w:hAnsi="Verdana" w:cs="Arial"/>
          <w:i/>
          <w:iCs/>
          <w:sz w:val="22"/>
          <w:szCs w:val="22"/>
          <w:lang w:val="es-ES"/>
        </w:rPr>
        <w:t xml:space="preserve">[…] </w:t>
      </w:r>
      <w:r w:rsidRPr="001A38D5">
        <w:rPr>
          <w:rStyle w:val="normaltextrun"/>
          <w:rFonts w:ascii="Verdana" w:hAnsi="Verdana" w:cs="Arial"/>
          <w:i/>
          <w:iCs/>
          <w:sz w:val="22"/>
          <w:szCs w:val="22"/>
          <w:lang w:val="es-ES"/>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1A38D5">
        <w:rPr>
          <w:rStyle w:val="normaltextrun"/>
          <w:rFonts w:ascii="Verdana" w:hAnsi="Verdana" w:cs="Arial"/>
          <w:sz w:val="22"/>
          <w:szCs w:val="22"/>
          <w:lang w:val="es-ES"/>
        </w:rPr>
        <w:t>”, en el entendido en que tendrán que ser publicados todos los documentos que respalden el proceso de contratación y ejecución.</w:t>
      </w:r>
    </w:p>
    <w:p w14:paraId="5889CAF4" w14:textId="77777777" w:rsidR="00A20990" w:rsidRPr="001A38D5" w:rsidRDefault="00A20990" w:rsidP="005140E1">
      <w:pPr>
        <w:pStyle w:val="paragraph"/>
        <w:spacing w:before="0" w:beforeAutospacing="0" w:after="0" w:afterAutospacing="0"/>
        <w:contextualSpacing/>
        <w:jc w:val="both"/>
        <w:textAlignment w:val="baseline"/>
        <w:rPr>
          <w:rStyle w:val="eop"/>
          <w:rFonts w:ascii="Verdana" w:hAnsi="Verdana" w:cs="Arial"/>
          <w:sz w:val="22"/>
          <w:szCs w:val="22"/>
          <w:lang w:val="es-ES"/>
        </w:rPr>
      </w:pPr>
    </w:p>
    <w:p w14:paraId="393BEA87" w14:textId="77777777" w:rsidR="00A20990" w:rsidRPr="001A38D5" w:rsidRDefault="00A20990" w:rsidP="005140E1">
      <w:pPr>
        <w:contextualSpacing/>
        <w:jc w:val="both"/>
        <w:rPr>
          <w:rFonts w:cs="Arial"/>
        </w:rPr>
      </w:pPr>
      <w:r w:rsidRPr="001A38D5">
        <w:rPr>
          <w:rStyle w:val="normaltextrun"/>
          <w:rFonts w:cs="Arial"/>
        </w:rPr>
        <w:t xml:space="preserve">En relación con </w:t>
      </w:r>
      <w:r w:rsidRPr="001A38D5">
        <w:rPr>
          <w:rFonts w:cs="Arial"/>
          <w:lang w:val="es-CO"/>
        </w:rPr>
        <w:t xml:space="preserve">la </w:t>
      </w:r>
      <w:r w:rsidRPr="001A38D5">
        <w:rPr>
          <w:rFonts w:cs="Arial"/>
        </w:rPr>
        <w:t xml:space="preserve">publicidad de </w:t>
      </w:r>
      <w:r w:rsidR="00741217">
        <w:rPr>
          <w:rFonts w:cs="Arial"/>
        </w:rPr>
        <w:t>los</w:t>
      </w:r>
      <w:r w:rsidRPr="001A38D5">
        <w:rPr>
          <w:rFonts w:cs="Arial"/>
        </w:rPr>
        <w:t xml:space="preserve"> instrumentos de </w:t>
      </w:r>
      <w:r w:rsidR="00741217">
        <w:rPr>
          <w:rFonts w:cs="Arial"/>
        </w:rPr>
        <w:t>a</w:t>
      </w:r>
      <w:r w:rsidRPr="001A38D5">
        <w:rPr>
          <w:rFonts w:cs="Arial"/>
        </w:rPr>
        <w:t xml:space="preserve">gregación de </w:t>
      </w:r>
      <w:r w:rsidR="00741217">
        <w:rPr>
          <w:rFonts w:cs="Arial"/>
        </w:rPr>
        <w:t>la d</w:t>
      </w:r>
      <w:r w:rsidRPr="001A38D5">
        <w:rPr>
          <w:rFonts w:cs="Arial"/>
        </w:rPr>
        <w:t>emanda</w:t>
      </w:r>
      <w:r w:rsidRPr="001A38D5">
        <w:rPr>
          <w:rFonts w:cs="Arial"/>
          <w:lang w:val="es-CO"/>
        </w:rPr>
        <w:t xml:space="preserve"> l</w:t>
      </w:r>
      <w:r w:rsidRPr="001A38D5">
        <w:rPr>
          <w:rFonts w:cs="Arial"/>
        </w:rPr>
        <w:t xml:space="preserve">a Ley 1150 de 2007 y el Decreto Ley 019 de 2012, establece que estos deberán publicarse en SECOP. En el caso de las </w:t>
      </w:r>
      <w:r w:rsidR="00741217">
        <w:rPr>
          <w:rFonts w:cs="Arial"/>
        </w:rPr>
        <w:t>ó</w:t>
      </w:r>
      <w:r w:rsidRPr="001A38D5">
        <w:rPr>
          <w:rFonts w:cs="Arial"/>
        </w:rPr>
        <w:t xml:space="preserve">rdenes de </w:t>
      </w:r>
      <w:r w:rsidR="00741217">
        <w:rPr>
          <w:rFonts w:cs="Arial"/>
        </w:rPr>
        <w:t>c</w:t>
      </w:r>
      <w:r w:rsidRPr="001A38D5">
        <w:rPr>
          <w:rFonts w:cs="Arial"/>
        </w:rPr>
        <w:t xml:space="preserve">ompra, estas deberán publicarse en la Tienda Virtual del Estado Colombiano, plataforma que hace parte integral del SECOP y a través de la cual se gestionan las adquisiciones de las </w:t>
      </w:r>
      <w:r w:rsidR="00741217">
        <w:rPr>
          <w:rFonts w:cs="Arial"/>
        </w:rPr>
        <w:t>e</w:t>
      </w:r>
      <w:r w:rsidRPr="001A38D5">
        <w:rPr>
          <w:rFonts w:cs="Arial"/>
        </w:rPr>
        <w:t xml:space="preserve">ntidades </w:t>
      </w:r>
      <w:r w:rsidR="00741217">
        <w:rPr>
          <w:rFonts w:cs="Arial"/>
        </w:rPr>
        <w:t>e</w:t>
      </w:r>
      <w:r w:rsidRPr="001A38D5">
        <w:rPr>
          <w:rFonts w:cs="Arial"/>
        </w:rPr>
        <w:t xml:space="preserve">statales al amparo de </w:t>
      </w:r>
      <w:r w:rsidR="00741217">
        <w:rPr>
          <w:rFonts w:cs="Arial"/>
        </w:rPr>
        <w:t>a</w:t>
      </w:r>
      <w:r w:rsidRPr="001A38D5">
        <w:rPr>
          <w:rFonts w:cs="Arial"/>
        </w:rPr>
        <w:t xml:space="preserve">cuerdos </w:t>
      </w:r>
      <w:r w:rsidR="00741217">
        <w:rPr>
          <w:rFonts w:cs="Arial"/>
        </w:rPr>
        <w:t>m</w:t>
      </w:r>
      <w:r w:rsidRPr="001A38D5">
        <w:rPr>
          <w:rFonts w:cs="Arial"/>
        </w:rPr>
        <w:t xml:space="preserve">arco de </w:t>
      </w:r>
      <w:r w:rsidR="00741217">
        <w:rPr>
          <w:rFonts w:cs="Arial"/>
        </w:rPr>
        <w:t>p</w:t>
      </w:r>
      <w:r w:rsidRPr="001A38D5">
        <w:rPr>
          <w:rFonts w:cs="Arial"/>
        </w:rPr>
        <w:t xml:space="preserve">recios y otros </w:t>
      </w:r>
      <w:r w:rsidR="00741217">
        <w:rPr>
          <w:rFonts w:cs="Arial"/>
        </w:rPr>
        <w:t>i</w:t>
      </w:r>
      <w:r w:rsidRPr="001A38D5">
        <w:rPr>
          <w:rFonts w:cs="Arial"/>
        </w:rPr>
        <w:t xml:space="preserve">nstrumentos de </w:t>
      </w:r>
      <w:r w:rsidR="00741217">
        <w:rPr>
          <w:rFonts w:cs="Arial"/>
        </w:rPr>
        <w:t>a</w:t>
      </w:r>
      <w:r w:rsidRPr="001A38D5">
        <w:rPr>
          <w:rFonts w:cs="Arial"/>
        </w:rPr>
        <w:t xml:space="preserve">gregación de </w:t>
      </w:r>
      <w:r w:rsidR="00741217">
        <w:rPr>
          <w:rFonts w:cs="Arial"/>
        </w:rPr>
        <w:t>la d</w:t>
      </w:r>
      <w:r w:rsidRPr="001A38D5">
        <w:rPr>
          <w:rFonts w:cs="Arial"/>
        </w:rPr>
        <w:t xml:space="preserve">emanda, así como la adquisición de bienes en </w:t>
      </w:r>
      <w:r w:rsidR="00741217">
        <w:rPr>
          <w:rFonts w:cs="Arial"/>
        </w:rPr>
        <w:t>g</w:t>
      </w:r>
      <w:r w:rsidRPr="001A38D5">
        <w:rPr>
          <w:rFonts w:cs="Arial"/>
        </w:rPr>
        <w:t xml:space="preserve">randes </w:t>
      </w:r>
      <w:r w:rsidR="00741217">
        <w:rPr>
          <w:rFonts w:cs="Arial"/>
        </w:rPr>
        <w:t>s</w:t>
      </w:r>
      <w:r w:rsidRPr="001A38D5">
        <w:rPr>
          <w:rFonts w:cs="Arial"/>
        </w:rPr>
        <w:t xml:space="preserve">uperficies. Así, las operaciones que se realizan a través de la Tienda Virtual del Estado Colombiano cumplen con el principio de publicidad al quedar registradas en la página </w:t>
      </w:r>
      <w:r w:rsidR="00C526C9" w:rsidRPr="007A412F">
        <w:rPr>
          <w:rFonts w:cs="Arial"/>
          <w:i/>
          <w:iCs/>
        </w:rPr>
        <w:t>W</w:t>
      </w:r>
      <w:r w:rsidRPr="007A412F">
        <w:rPr>
          <w:rFonts w:cs="Arial"/>
          <w:i/>
          <w:iCs/>
        </w:rPr>
        <w:t>eb</w:t>
      </w:r>
      <w:r w:rsidRPr="001A38D5">
        <w:rPr>
          <w:rFonts w:cs="Arial"/>
        </w:rPr>
        <w:t xml:space="preserve"> de Colombia Compra Eficiente, en el enlace: </w:t>
      </w:r>
      <w:hyperlink r:id="rId52" w:history="1">
        <w:r w:rsidR="00741217" w:rsidRPr="007A412F">
          <w:rPr>
            <w:rStyle w:val="Hipervnculo"/>
            <w:rFonts w:cs="Arial"/>
            <w:sz w:val="21"/>
            <w:szCs w:val="21"/>
          </w:rPr>
          <w:t>http://www.colombiacompra.gov.co/amp-ordenes-de-compra</w:t>
        </w:r>
      </w:hyperlink>
      <w:r w:rsidRPr="007A412F">
        <w:rPr>
          <w:rFonts w:cs="Arial"/>
          <w:sz w:val="21"/>
          <w:szCs w:val="21"/>
        </w:rPr>
        <w:t>.</w:t>
      </w:r>
      <w:r w:rsidR="009B5699">
        <w:rPr>
          <w:rFonts w:cs="Arial"/>
        </w:rPr>
        <w:t xml:space="preserve"> </w:t>
      </w:r>
      <w:r w:rsidRPr="001A38D5">
        <w:rPr>
          <w:rFonts w:cs="Arial"/>
        </w:rPr>
        <w:t xml:space="preserve">En consecuencia, la </w:t>
      </w:r>
      <w:r w:rsidR="00C526C9">
        <w:rPr>
          <w:rFonts w:cs="Arial"/>
        </w:rPr>
        <w:t>e</w:t>
      </w:r>
      <w:r w:rsidRPr="001A38D5">
        <w:rPr>
          <w:rFonts w:cs="Arial"/>
        </w:rPr>
        <w:t xml:space="preserve">ntidad </w:t>
      </w:r>
      <w:r w:rsidR="00C526C9">
        <w:rPr>
          <w:rFonts w:cs="Arial"/>
        </w:rPr>
        <w:t>c</w:t>
      </w:r>
      <w:r w:rsidRPr="001A38D5">
        <w:rPr>
          <w:rFonts w:cs="Arial"/>
        </w:rPr>
        <w:t xml:space="preserve">ompradora no debe publicar nuevamente la </w:t>
      </w:r>
      <w:r w:rsidR="00C526C9">
        <w:rPr>
          <w:rFonts w:cs="Arial"/>
        </w:rPr>
        <w:t>o</w:t>
      </w:r>
      <w:r w:rsidRPr="001A38D5">
        <w:rPr>
          <w:rFonts w:cs="Arial"/>
        </w:rPr>
        <w:t xml:space="preserve">rden de </w:t>
      </w:r>
      <w:r w:rsidR="00C526C9">
        <w:rPr>
          <w:rFonts w:cs="Arial"/>
        </w:rPr>
        <w:t>c</w:t>
      </w:r>
      <w:r w:rsidRPr="001A38D5">
        <w:rPr>
          <w:rFonts w:cs="Arial"/>
        </w:rPr>
        <w:t>ompra como un contrato independiente en el SECOP, pues estaría duplicando el registro y afectando la calidad de la información del sistema de compra y contratación pública.</w:t>
      </w:r>
    </w:p>
    <w:p w14:paraId="4AA1087F" w14:textId="77777777" w:rsidR="00A20990" w:rsidRPr="001A38D5" w:rsidRDefault="00A20990" w:rsidP="005140E1">
      <w:pPr>
        <w:contextualSpacing/>
        <w:jc w:val="both"/>
        <w:rPr>
          <w:rFonts w:cs="Arial"/>
        </w:rPr>
      </w:pPr>
    </w:p>
    <w:p w14:paraId="1ECFC69B" w14:textId="77777777" w:rsidR="00A20990" w:rsidRPr="001A38D5" w:rsidRDefault="00A20990" w:rsidP="005140E1">
      <w:pPr>
        <w:contextualSpacing/>
        <w:jc w:val="both"/>
        <w:rPr>
          <w:rStyle w:val="normaltextrun"/>
          <w:rFonts w:cs="Arial"/>
        </w:rPr>
      </w:pPr>
      <w:r w:rsidRPr="001A38D5">
        <w:rPr>
          <w:rStyle w:val="normaltextrun"/>
          <w:rFonts w:cs="Arial"/>
        </w:rPr>
        <w:t>A partir de estas referencias, la Dirección General de Apoyo Fiscal consultó en el SECOP los procesos contractuales publicados por el Municipio, durante las vigencias 2019-2022, adelantados en la administración y ejecución de los recursos de la Asignación Especial para la Alimentación Escolar del Sistema General de Participaciones, observando lo siguiente:</w:t>
      </w:r>
    </w:p>
    <w:p w14:paraId="2402F350" w14:textId="77777777" w:rsidR="00A20990" w:rsidRPr="001A38D5" w:rsidRDefault="00A20990" w:rsidP="005140E1">
      <w:pPr>
        <w:contextualSpacing/>
        <w:jc w:val="both"/>
        <w:rPr>
          <w:rFonts w:cs="Arial"/>
          <w:lang w:val="es-CO"/>
        </w:rPr>
      </w:pPr>
    </w:p>
    <w:p w14:paraId="203D1716"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21</w:t>
      </w:r>
      <w:r w:rsidRPr="007A412F">
        <w:rPr>
          <w:rFonts w:ascii="Verdana" w:hAnsi="Verdana"/>
          <w:color w:val="auto"/>
          <w:sz w:val="20"/>
          <w:szCs w:val="20"/>
        </w:rPr>
        <w:fldChar w:fldCharType="end"/>
      </w:r>
      <w:r w:rsidRPr="007A412F">
        <w:rPr>
          <w:rFonts w:ascii="Verdana" w:hAnsi="Verdana"/>
          <w:color w:val="auto"/>
          <w:sz w:val="20"/>
          <w:szCs w:val="20"/>
        </w:rPr>
        <w:t xml:space="preserve"> Documentos de los Procesos Contractuales publicados en el Sistema Electrónico de Contratación Pública del Municipio de Villavicencio para las vigencias 2019-2022.</w:t>
      </w:r>
    </w:p>
    <w:tbl>
      <w:tblPr>
        <w:tblW w:w="5867" w:type="pct"/>
        <w:jc w:val="center"/>
        <w:tblLayout w:type="fixed"/>
        <w:tblCellMar>
          <w:left w:w="70" w:type="dxa"/>
          <w:right w:w="70" w:type="dxa"/>
        </w:tblCellMar>
        <w:tblLook w:val="04A0" w:firstRow="1" w:lastRow="0" w:firstColumn="1" w:lastColumn="0" w:noHBand="0" w:noVBand="1"/>
      </w:tblPr>
      <w:tblGrid>
        <w:gridCol w:w="1090"/>
        <w:gridCol w:w="653"/>
        <w:gridCol w:w="705"/>
        <w:gridCol w:w="619"/>
        <w:gridCol w:w="653"/>
        <w:gridCol w:w="683"/>
        <w:gridCol w:w="624"/>
        <w:gridCol w:w="653"/>
        <w:gridCol w:w="653"/>
        <w:gridCol w:w="778"/>
        <w:gridCol w:w="628"/>
        <w:gridCol w:w="628"/>
        <w:gridCol w:w="628"/>
        <w:gridCol w:w="628"/>
        <w:gridCol w:w="628"/>
        <w:gridCol w:w="772"/>
      </w:tblGrid>
      <w:tr w:rsidR="001A38D5" w:rsidRPr="001A38D5" w14:paraId="56B955BF" w14:textId="77777777" w:rsidTr="009E74D6">
        <w:trPr>
          <w:trHeight w:val="20"/>
          <w:tblHeader/>
          <w:jc w:val="center"/>
        </w:trPr>
        <w:tc>
          <w:tcPr>
            <w:tcW w:w="494"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2AB645B" w14:textId="77777777" w:rsidR="00A20990" w:rsidRPr="009E74D6" w:rsidRDefault="00A20990" w:rsidP="005140E1">
            <w:pPr>
              <w:contextualSpacing/>
              <w:jc w:val="center"/>
              <w:rPr>
                <w:rFonts w:eastAsia="Times New Roman" w:cs="Arial"/>
                <w:b/>
                <w:bCs/>
                <w:sz w:val="16"/>
                <w:szCs w:val="16"/>
                <w:lang w:val="es-CO" w:eastAsia="es-CO"/>
              </w:rPr>
            </w:pPr>
            <w:r w:rsidRPr="009E74D6">
              <w:rPr>
                <w:rFonts w:eastAsia="Times New Roman" w:cs="Arial"/>
                <w:b/>
                <w:bCs/>
                <w:sz w:val="16"/>
                <w:szCs w:val="16"/>
                <w:lang w:eastAsia="es-CO"/>
              </w:rPr>
              <w:t>Vigencia</w:t>
            </w:r>
          </w:p>
        </w:tc>
        <w:tc>
          <w:tcPr>
            <w:tcW w:w="615" w:type="pct"/>
            <w:gridSpan w:val="2"/>
            <w:tcBorders>
              <w:top w:val="single" w:sz="4" w:space="0" w:color="auto"/>
              <w:left w:val="nil"/>
              <w:bottom w:val="single" w:sz="4" w:space="0" w:color="auto"/>
              <w:right w:val="single" w:sz="4" w:space="0" w:color="000000"/>
            </w:tcBorders>
            <w:shd w:val="clear" w:color="auto" w:fill="FFC000"/>
            <w:vAlign w:val="center"/>
            <w:hideMark/>
          </w:tcPr>
          <w:p w14:paraId="6435EE31" w14:textId="77777777" w:rsidR="00A20990" w:rsidRPr="009E74D6" w:rsidRDefault="00A20990" w:rsidP="005140E1">
            <w:pPr>
              <w:contextualSpacing/>
              <w:jc w:val="center"/>
              <w:rPr>
                <w:rFonts w:eastAsia="Times New Roman" w:cs="Arial"/>
                <w:b/>
                <w:bCs/>
                <w:sz w:val="16"/>
                <w:szCs w:val="16"/>
                <w:lang w:val="es-CO" w:eastAsia="es-CO"/>
              </w:rPr>
            </w:pPr>
            <w:r w:rsidRPr="009E74D6">
              <w:rPr>
                <w:rFonts w:eastAsia="Times New Roman" w:cs="Arial"/>
                <w:b/>
                <w:bCs/>
                <w:sz w:val="16"/>
                <w:szCs w:val="16"/>
                <w:lang w:eastAsia="es-CO"/>
              </w:rPr>
              <w:t>2019</w:t>
            </w:r>
          </w:p>
        </w:tc>
        <w:tc>
          <w:tcPr>
            <w:tcW w:w="887" w:type="pct"/>
            <w:gridSpan w:val="3"/>
            <w:tcBorders>
              <w:top w:val="single" w:sz="4" w:space="0" w:color="auto"/>
              <w:left w:val="nil"/>
              <w:bottom w:val="single" w:sz="4" w:space="0" w:color="auto"/>
              <w:right w:val="single" w:sz="4" w:space="0" w:color="auto"/>
            </w:tcBorders>
            <w:shd w:val="clear" w:color="auto" w:fill="FFC000"/>
            <w:vAlign w:val="center"/>
            <w:hideMark/>
          </w:tcPr>
          <w:p w14:paraId="03FFC6AA" w14:textId="77777777" w:rsidR="00A20990" w:rsidRPr="009E74D6" w:rsidRDefault="00A20990" w:rsidP="005140E1">
            <w:pPr>
              <w:contextualSpacing/>
              <w:jc w:val="center"/>
              <w:rPr>
                <w:rFonts w:eastAsia="Times New Roman" w:cs="Arial"/>
                <w:b/>
                <w:bCs/>
                <w:sz w:val="16"/>
                <w:szCs w:val="16"/>
                <w:lang w:val="es-CO" w:eastAsia="es-CO"/>
              </w:rPr>
            </w:pPr>
            <w:r w:rsidRPr="009E74D6">
              <w:rPr>
                <w:rFonts w:eastAsia="Times New Roman" w:cs="Arial"/>
                <w:b/>
                <w:bCs/>
                <w:sz w:val="16"/>
                <w:szCs w:val="16"/>
                <w:lang w:eastAsia="es-CO"/>
              </w:rPr>
              <w:t>2020</w:t>
            </w:r>
          </w:p>
        </w:tc>
        <w:tc>
          <w:tcPr>
            <w:tcW w:w="1227" w:type="pct"/>
            <w:gridSpan w:val="4"/>
            <w:tcBorders>
              <w:top w:val="single" w:sz="4" w:space="0" w:color="auto"/>
              <w:left w:val="nil"/>
              <w:bottom w:val="single" w:sz="4" w:space="0" w:color="auto"/>
              <w:right w:val="single" w:sz="4" w:space="0" w:color="000000"/>
            </w:tcBorders>
            <w:shd w:val="clear" w:color="auto" w:fill="FFC000"/>
            <w:vAlign w:val="center"/>
            <w:hideMark/>
          </w:tcPr>
          <w:p w14:paraId="06751AB7" w14:textId="77777777" w:rsidR="00A20990" w:rsidRPr="009E74D6" w:rsidRDefault="00A20990" w:rsidP="005140E1">
            <w:pPr>
              <w:contextualSpacing/>
              <w:jc w:val="center"/>
              <w:rPr>
                <w:rFonts w:eastAsia="Times New Roman" w:cs="Arial"/>
                <w:b/>
                <w:bCs/>
                <w:sz w:val="16"/>
                <w:szCs w:val="16"/>
                <w:lang w:val="es-CO" w:eastAsia="es-CO"/>
              </w:rPr>
            </w:pPr>
            <w:r w:rsidRPr="009E74D6">
              <w:rPr>
                <w:rFonts w:eastAsia="Times New Roman" w:cs="Arial"/>
                <w:b/>
                <w:bCs/>
                <w:sz w:val="16"/>
                <w:szCs w:val="16"/>
                <w:lang w:eastAsia="es-CO"/>
              </w:rPr>
              <w:t>2021</w:t>
            </w:r>
          </w:p>
        </w:tc>
        <w:tc>
          <w:tcPr>
            <w:tcW w:w="1777" w:type="pct"/>
            <w:gridSpan w:val="6"/>
            <w:tcBorders>
              <w:top w:val="single" w:sz="4" w:space="0" w:color="auto"/>
              <w:left w:val="nil"/>
              <w:bottom w:val="single" w:sz="4" w:space="0" w:color="auto"/>
              <w:right w:val="single" w:sz="4" w:space="0" w:color="000000"/>
            </w:tcBorders>
            <w:shd w:val="clear" w:color="auto" w:fill="FFC000"/>
            <w:vAlign w:val="center"/>
            <w:hideMark/>
          </w:tcPr>
          <w:p w14:paraId="558E7F5F" w14:textId="77777777" w:rsidR="00A20990" w:rsidRPr="009E74D6" w:rsidRDefault="00A20990" w:rsidP="005140E1">
            <w:pPr>
              <w:contextualSpacing/>
              <w:jc w:val="center"/>
              <w:rPr>
                <w:rFonts w:eastAsia="Times New Roman" w:cs="Arial"/>
                <w:b/>
                <w:bCs/>
                <w:sz w:val="16"/>
                <w:szCs w:val="16"/>
                <w:lang w:val="es-CO" w:eastAsia="es-CO"/>
              </w:rPr>
            </w:pPr>
            <w:r w:rsidRPr="009E74D6">
              <w:rPr>
                <w:rFonts w:eastAsia="Times New Roman" w:cs="Arial"/>
                <w:b/>
                <w:bCs/>
                <w:sz w:val="16"/>
                <w:szCs w:val="16"/>
                <w:lang w:eastAsia="es-CO"/>
              </w:rPr>
              <w:t>2022</w:t>
            </w:r>
          </w:p>
        </w:tc>
      </w:tr>
      <w:tr w:rsidR="001A38D5" w:rsidRPr="001A38D5" w14:paraId="17A2B241" w14:textId="77777777" w:rsidTr="009E74D6">
        <w:trPr>
          <w:trHeight w:val="20"/>
          <w:tblHeader/>
          <w:jc w:val="center"/>
        </w:trPr>
        <w:tc>
          <w:tcPr>
            <w:tcW w:w="494" w:type="pct"/>
            <w:vMerge w:val="restart"/>
            <w:tcBorders>
              <w:top w:val="nil"/>
              <w:left w:val="single" w:sz="4" w:space="0" w:color="auto"/>
              <w:bottom w:val="single" w:sz="4" w:space="0" w:color="auto"/>
              <w:right w:val="single" w:sz="4" w:space="0" w:color="auto"/>
            </w:tcBorders>
            <w:shd w:val="clear" w:color="auto" w:fill="FFC000"/>
            <w:vAlign w:val="center"/>
            <w:hideMark/>
          </w:tcPr>
          <w:p w14:paraId="1F1B725B" w14:textId="77777777" w:rsidR="00A20990" w:rsidRPr="009E74D6" w:rsidRDefault="00A20990" w:rsidP="005140E1">
            <w:pPr>
              <w:contextualSpacing/>
              <w:rPr>
                <w:rFonts w:eastAsia="Times New Roman" w:cs="Arial"/>
                <w:b/>
                <w:bCs/>
                <w:sz w:val="12"/>
                <w:szCs w:val="12"/>
                <w:lang w:val="es-CO" w:eastAsia="es-CO"/>
              </w:rPr>
            </w:pPr>
            <w:r w:rsidRPr="009E74D6">
              <w:rPr>
                <w:rFonts w:eastAsia="Times New Roman" w:cs="Arial"/>
                <w:b/>
                <w:bCs/>
                <w:sz w:val="12"/>
                <w:szCs w:val="12"/>
                <w:lang w:eastAsia="es-CO"/>
              </w:rPr>
              <w:t>Documentos</w:t>
            </w:r>
          </w:p>
        </w:tc>
        <w:tc>
          <w:tcPr>
            <w:tcW w:w="296" w:type="pct"/>
            <w:tcBorders>
              <w:top w:val="nil"/>
              <w:left w:val="nil"/>
              <w:bottom w:val="single" w:sz="4" w:space="0" w:color="auto"/>
              <w:right w:val="single" w:sz="4" w:space="0" w:color="auto"/>
            </w:tcBorders>
            <w:shd w:val="clear" w:color="auto" w:fill="FFC000"/>
            <w:vAlign w:val="center"/>
            <w:hideMark/>
          </w:tcPr>
          <w:p w14:paraId="7AFECB19" w14:textId="77777777" w:rsidR="00A20990" w:rsidRPr="009E74D6" w:rsidRDefault="00425319" w:rsidP="005140E1">
            <w:pPr>
              <w:contextualSpacing/>
              <w:jc w:val="center"/>
              <w:rPr>
                <w:rFonts w:eastAsia="Times New Roman" w:cs="Arial"/>
                <w:b/>
                <w:bCs/>
                <w:sz w:val="12"/>
                <w:szCs w:val="12"/>
                <w:u w:val="single"/>
                <w:lang w:val="es-CO" w:eastAsia="es-CO"/>
              </w:rPr>
            </w:pPr>
            <w:hyperlink r:id="rId53" w:history="1">
              <w:r w:rsidR="00A20990" w:rsidRPr="009E74D6">
                <w:rPr>
                  <w:rFonts w:eastAsia="Times New Roman" w:cs="Arial"/>
                  <w:b/>
                  <w:bCs/>
                  <w:sz w:val="12"/>
                  <w:szCs w:val="12"/>
                  <w:u w:val="single"/>
                  <w:lang w:val="es-CO" w:eastAsia="es-CO"/>
                </w:rPr>
                <w:t>LP-026 DE 2018</w:t>
              </w:r>
            </w:hyperlink>
          </w:p>
        </w:tc>
        <w:tc>
          <w:tcPr>
            <w:tcW w:w="320" w:type="pct"/>
            <w:tcBorders>
              <w:top w:val="nil"/>
              <w:left w:val="nil"/>
              <w:bottom w:val="single" w:sz="4" w:space="0" w:color="auto"/>
              <w:right w:val="single" w:sz="4" w:space="0" w:color="auto"/>
            </w:tcBorders>
            <w:shd w:val="clear" w:color="auto" w:fill="FFC000"/>
            <w:vAlign w:val="center"/>
            <w:hideMark/>
          </w:tcPr>
          <w:p w14:paraId="1BC26735" w14:textId="77777777" w:rsidR="00A20990" w:rsidRPr="009E74D6" w:rsidRDefault="00425319" w:rsidP="005140E1">
            <w:pPr>
              <w:contextualSpacing/>
              <w:jc w:val="center"/>
              <w:rPr>
                <w:rFonts w:eastAsia="Times New Roman" w:cs="Arial"/>
                <w:b/>
                <w:bCs/>
                <w:sz w:val="12"/>
                <w:szCs w:val="12"/>
                <w:u w:val="single"/>
                <w:lang w:val="es-CO" w:eastAsia="es-CO"/>
              </w:rPr>
            </w:pPr>
            <w:hyperlink r:id="rId54" w:history="1">
              <w:r w:rsidR="00A20990" w:rsidRPr="009E74D6">
                <w:rPr>
                  <w:rFonts w:eastAsia="Times New Roman" w:cs="Arial"/>
                  <w:b/>
                  <w:bCs/>
                  <w:sz w:val="12"/>
                  <w:szCs w:val="12"/>
                  <w:u w:val="single"/>
                  <w:lang w:val="es-CO" w:eastAsia="es-CO"/>
                </w:rPr>
                <w:t>LP-003 DE 2019</w:t>
              </w:r>
            </w:hyperlink>
          </w:p>
        </w:tc>
        <w:tc>
          <w:tcPr>
            <w:tcW w:w="281" w:type="pct"/>
            <w:tcBorders>
              <w:top w:val="nil"/>
              <w:left w:val="nil"/>
              <w:bottom w:val="single" w:sz="4" w:space="0" w:color="auto"/>
              <w:right w:val="single" w:sz="4" w:space="0" w:color="auto"/>
            </w:tcBorders>
            <w:shd w:val="clear" w:color="auto" w:fill="FFC000"/>
            <w:vAlign w:val="center"/>
            <w:hideMark/>
          </w:tcPr>
          <w:p w14:paraId="0BFE301A" w14:textId="77777777" w:rsidR="00A20990" w:rsidRPr="009E74D6" w:rsidRDefault="00425319" w:rsidP="005140E1">
            <w:pPr>
              <w:contextualSpacing/>
              <w:jc w:val="center"/>
              <w:rPr>
                <w:rFonts w:eastAsia="Times New Roman" w:cs="Arial"/>
                <w:b/>
                <w:bCs/>
                <w:sz w:val="12"/>
                <w:szCs w:val="12"/>
                <w:u w:val="single"/>
                <w:lang w:val="es-CO" w:eastAsia="es-CO"/>
              </w:rPr>
            </w:pPr>
            <w:hyperlink r:id="rId55" w:history="1">
              <w:r w:rsidR="00A20990" w:rsidRPr="009E74D6">
                <w:rPr>
                  <w:rFonts w:eastAsia="Times New Roman" w:cs="Arial"/>
                  <w:b/>
                  <w:bCs/>
                  <w:sz w:val="12"/>
                  <w:szCs w:val="12"/>
                  <w:u w:val="single"/>
                  <w:lang w:val="es-CO" w:eastAsia="es-CO"/>
                </w:rPr>
                <w:t>CD-570-2020</w:t>
              </w:r>
            </w:hyperlink>
          </w:p>
        </w:tc>
        <w:tc>
          <w:tcPr>
            <w:tcW w:w="296" w:type="pct"/>
            <w:tcBorders>
              <w:top w:val="nil"/>
              <w:left w:val="nil"/>
              <w:bottom w:val="single" w:sz="4" w:space="0" w:color="auto"/>
              <w:right w:val="single" w:sz="4" w:space="0" w:color="auto"/>
            </w:tcBorders>
            <w:shd w:val="clear" w:color="auto" w:fill="FFC000"/>
            <w:vAlign w:val="center"/>
            <w:hideMark/>
          </w:tcPr>
          <w:p w14:paraId="318812BD" w14:textId="77777777" w:rsidR="00A20990" w:rsidRPr="009E74D6" w:rsidRDefault="00425319" w:rsidP="005140E1">
            <w:pPr>
              <w:contextualSpacing/>
              <w:jc w:val="center"/>
              <w:rPr>
                <w:rFonts w:eastAsia="Times New Roman" w:cs="Arial"/>
                <w:b/>
                <w:bCs/>
                <w:sz w:val="12"/>
                <w:szCs w:val="12"/>
                <w:u w:val="single"/>
                <w:lang w:val="es-CO" w:eastAsia="es-CO"/>
              </w:rPr>
            </w:pPr>
            <w:hyperlink r:id="rId56" w:history="1">
              <w:r w:rsidR="00A20990" w:rsidRPr="009E74D6">
                <w:rPr>
                  <w:rFonts w:eastAsia="Times New Roman" w:cs="Arial"/>
                  <w:b/>
                  <w:bCs/>
                  <w:sz w:val="12"/>
                  <w:szCs w:val="12"/>
                  <w:u w:val="single"/>
                  <w:lang w:val="es-CO" w:eastAsia="es-CO"/>
                </w:rPr>
                <w:t>LP-021 de 2019</w:t>
              </w:r>
            </w:hyperlink>
          </w:p>
        </w:tc>
        <w:tc>
          <w:tcPr>
            <w:tcW w:w="310" w:type="pct"/>
            <w:tcBorders>
              <w:top w:val="nil"/>
              <w:left w:val="nil"/>
              <w:bottom w:val="single" w:sz="4" w:space="0" w:color="auto"/>
              <w:right w:val="single" w:sz="4" w:space="0" w:color="auto"/>
            </w:tcBorders>
            <w:shd w:val="clear" w:color="auto" w:fill="FFC000"/>
            <w:vAlign w:val="center"/>
            <w:hideMark/>
          </w:tcPr>
          <w:p w14:paraId="4C43A677" w14:textId="77777777" w:rsidR="00A20990" w:rsidRPr="009E74D6" w:rsidRDefault="00425319" w:rsidP="005140E1">
            <w:pPr>
              <w:contextualSpacing/>
              <w:jc w:val="center"/>
              <w:rPr>
                <w:rFonts w:eastAsia="Times New Roman" w:cs="Arial"/>
                <w:b/>
                <w:bCs/>
                <w:sz w:val="12"/>
                <w:szCs w:val="12"/>
                <w:u w:val="single"/>
                <w:lang w:val="es-CO" w:eastAsia="es-CO"/>
              </w:rPr>
            </w:pPr>
            <w:hyperlink r:id="rId57" w:anchor="Evaluation" w:history="1">
              <w:r w:rsidR="00A20990" w:rsidRPr="009E74D6">
                <w:rPr>
                  <w:rFonts w:eastAsia="Times New Roman" w:cs="Arial"/>
                  <w:b/>
                  <w:bCs/>
                  <w:sz w:val="12"/>
                  <w:szCs w:val="12"/>
                  <w:u w:val="single"/>
                  <w:lang w:val="es-CO" w:eastAsia="es-CO"/>
                </w:rPr>
                <w:t>LP-006-2020</w:t>
              </w:r>
            </w:hyperlink>
          </w:p>
        </w:tc>
        <w:tc>
          <w:tcPr>
            <w:tcW w:w="283" w:type="pct"/>
            <w:tcBorders>
              <w:top w:val="nil"/>
              <w:left w:val="nil"/>
              <w:bottom w:val="single" w:sz="4" w:space="0" w:color="auto"/>
              <w:right w:val="single" w:sz="4" w:space="0" w:color="auto"/>
            </w:tcBorders>
            <w:shd w:val="clear" w:color="auto" w:fill="FFC000"/>
            <w:vAlign w:val="center"/>
            <w:hideMark/>
          </w:tcPr>
          <w:p w14:paraId="5A55F9D9" w14:textId="77777777" w:rsidR="00A20990" w:rsidRPr="009E74D6" w:rsidRDefault="00425319" w:rsidP="005140E1">
            <w:pPr>
              <w:contextualSpacing/>
              <w:jc w:val="center"/>
              <w:rPr>
                <w:rFonts w:eastAsia="Times New Roman" w:cs="Arial"/>
                <w:b/>
                <w:bCs/>
                <w:sz w:val="12"/>
                <w:szCs w:val="12"/>
                <w:u w:val="single"/>
                <w:lang w:val="es-CO" w:eastAsia="es-CO"/>
              </w:rPr>
            </w:pPr>
            <w:hyperlink r:id="rId58" w:history="1">
              <w:r w:rsidR="00A20990" w:rsidRPr="009E74D6">
                <w:rPr>
                  <w:rFonts w:eastAsia="Times New Roman" w:cs="Arial"/>
                  <w:b/>
                  <w:bCs/>
                  <w:sz w:val="12"/>
                  <w:szCs w:val="12"/>
                  <w:u w:val="single"/>
                  <w:lang w:val="es-CO" w:eastAsia="es-CO"/>
                </w:rPr>
                <w:t>CD-1070-2021</w:t>
              </w:r>
            </w:hyperlink>
          </w:p>
        </w:tc>
        <w:tc>
          <w:tcPr>
            <w:tcW w:w="296" w:type="pct"/>
            <w:tcBorders>
              <w:top w:val="nil"/>
              <w:left w:val="nil"/>
              <w:bottom w:val="single" w:sz="4" w:space="0" w:color="auto"/>
              <w:right w:val="single" w:sz="4" w:space="0" w:color="auto"/>
            </w:tcBorders>
            <w:shd w:val="clear" w:color="auto" w:fill="FFC000"/>
            <w:vAlign w:val="center"/>
            <w:hideMark/>
          </w:tcPr>
          <w:p w14:paraId="2F5ED2C6" w14:textId="77777777" w:rsidR="00A20990" w:rsidRPr="009E74D6" w:rsidRDefault="00425319" w:rsidP="005140E1">
            <w:pPr>
              <w:contextualSpacing/>
              <w:jc w:val="center"/>
              <w:rPr>
                <w:rFonts w:eastAsia="Times New Roman" w:cs="Arial"/>
                <w:b/>
                <w:bCs/>
                <w:sz w:val="12"/>
                <w:szCs w:val="12"/>
                <w:u w:val="single"/>
                <w:lang w:val="es-CO" w:eastAsia="es-CO"/>
              </w:rPr>
            </w:pPr>
            <w:hyperlink r:id="rId59" w:history="1">
              <w:r w:rsidR="00A20990" w:rsidRPr="009E74D6">
                <w:rPr>
                  <w:rFonts w:eastAsia="Times New Roman" w:cs="Arial"/>
                  <w:b/>
                  <w:bCs/>
                  <w:sz w:val="12"/>
                  <w:szCs w:val="12"/>
                  <w:u w:val="single"/>
                  <w:lang w:val="es-CO" w:eastAsia="es-CO"/>
                </w:rPr>
                <w:t>Orden de compra 66808</w:t>
              </w:r>
            </w:hyperlink>
          </w:p>
        </w:tc>
        <w:tc>
          <w:tcPr>
            <w:tcW w:w="296" w:type="pct"/>
            <w:tcBorders>
              <w:top w:val="nil"/>
              <w:left w:val="nil"/>
              <w:bottom w:val="single" w:sz="4" w:space="0" w:color="auto"/>
              <w:right w:val="single" w:sz="4" w:space="0" w:color="auto"/>
            </w:tcBorders>
            <w:shd w:val="clear" w:color="auto" w:fill="FFC000"/>
            <w:vAlign w:val="center"/>
            <w:hideMark/>
          </w:tcPr>
          <w:p w14:paraId="63C8C0B5" w14:textId="77777777" w:rsidR="00A20990" w:rsidRPr="009E74D6" w:rsidRDefault="00425319" w:rsidP="005140E1">
            <w:pPr>
              <w:contextualSpacing/>
              <w:jc w:val="center"/>
              <w:rPr>
                <w:rFonts w:eastAsia="Times New Roman" w:cs="Arial"/>
                <w:b/>
                <w:bCs/>
                <w:sz w:val="12"/>
                <w:szCs w:val="12"/>
                <w:u w:val="single"/>
                <w:lang w:val="es-CO" w:eastAsia="es-CO"/>
              </w:rPr>
            </w:pPr>
            <w:hyperlink r:id="rId60" w:history="1">
              <w:r w:rsidR="00A20990" w:rsidRPr="009E74D6">
                <w:rPr>
                  <w:rFonts w:eastAsia="Times New Roman" w:cs="Arial"/>
                  <w:b/>
                  <w:bCs/>
                  <w:sz w:val="12"/>
                  <w:szCs w:val="12"/>
                  <w:u w:val="single"/>
                  <w:lang w:val="es-CO" w:eastAsia="es-CO"/>
                </w:rPr>
                <w:t>Orden de compra 72682</w:t>
              </w:r>
            </w:hyperlink>
          </w:p>
        </w:tc>
        <w:tc>
          <w:tcPr>
            <w:tcW w:w="353" w:type="pct"/>
            <w:tcBorders>
              <w:top w:val="nil"/>
              <w:left w:val="nil"/>
              <w:bottom w:val="single" w:sz="4" w:space="0" w:color="auto"/>
              <w:right w:val="single" w:sz="4" w:space="0" w:color="auto"/>
            </w:tcBorders>
            <w:shd w:val="clear" w:color="auto" w:fill="FFC000"/>
            <w:vAlign w:val="center"/>
            <w:hideMark/>
          </w:tcPr>
          <w:p w14:paraId="2795C43C" w14:textId="77777777" w:rsidR="00A20990" w:rsidRPr="009E74D6" w:rsidRDefault="00425319" w:rsidP="005140E1">
            <w:pPr>
              <w:contextualSpacing/>
              <w:jc w:val="center"/>
              <w:rPr>
                <w:rFonts w:eastAsia="Times New Roman" w:cs="Arial"/>
                <w:b/>
                <w:bCs/>
                <w:sz w:val="12"/>
                <w:szCs w:val="12"/>
                <w:u w:val="single"/>
                <w:lang w:val="es-CO" w:eastAsia="es-CO"/>
              </w:rPr>
            </w:pPr>
            <w:hyperlink r:id="rId61" w:history="1">
              <w:r w:rsidR="00A20990" w:rsidRPr="009E74D6">
                <w:rPr>
                  <w:rFonts w:eastAsia="Times New Roman" w:cs="Arial"/>
                  <w:b/>
                  <w:bCs/>
                  <w:sz w:val="12"/>
                  <w:szCs w:val="12"/>
                  <w:u w:val="single"/>
                  <w:lang w:val="es-CO" w:eastAsia="es-CO"/>
                </w:rPr>
                <w:t>Orden de compra 77691</w:t>
              </w:r>
            </w:hyperlink>
          </w:p>
        </w:tc>
        <w:tc>
          <w:tcPr>
            <w:tcW w:w="285" w:type="pct"/>
            <w:tcBorders>
              <w:top w:val="nil"/>
              <w:left w:val="nil"/>
              <w:bottom w:val="single" w:sz="4" w:space="0" w:color="auto"/>
              <w:right w:val="single" w:sz="4" w:space="0" w:color="auto"/>
            </w:tcBorders>
            <w:shd w:val="clear" w:color="auto" w:fill="FFC000"/>
            <w:vAlign w:val="center"/>
            <w:hideMark/>
          </w:tcPr>
          <w:p w14:paraId="3795FB87" w14:textId="77777777" w:rsidR="00A20990" w:rsidRPr="009E74D6" w:rsidRDefault="00425319" w:rsidP="005140E1">
            <w:pPr>
              <w:contextualSpacing/>
              <w:jc w:val="center"/>
              <w:rPr>
                <w:rFonts w:eastAsia="Times New Roman" w:cs="Arial"/>
                <w:b/>
                <w:bCs/>
                <w:sz w:val="12"/>
                <w:szCs w:val="12"/>
                <w:u w:val="single"/>
                <w:lang w:val="es-CO" w:eastAsia="es-CO"/>
              </w:rPr>
            </w:pPr>
            <w:hyperlink r:id="rId62" w:history="1">
              <w:r w:rsidR="00A20990" w:rsidRPr="009E74D6">
                <w:rPr>
                  <w:rFonts w:eastAsia="Times New Roman" w:cs="Arial"/>
                  <w:b/>
                  <w:bCs/>
                  <w:sz w:val="12"/>
                  <w:szCs w:val="12"/>
                  <w:u w:val="single"/>
                  <w:lang w:val="es-CO" w:eastAsia="es-CO"/>
                </w:rPr>
                <w:t>CD-1819-2022</w:t>
              </w:r>
            </w:hyperlink>
          </w:p>
        </w:tc>
        <w:tc>
          <w:tcPr>
            <w:tcW w:w="285" w:type="pct"/>
            <w:tcBorders>
              <w:top w:val="nil"/>
              <w:left w:val="nil"/>
              <w:bottom w:val="single" w:sz="4" w:space="0" w:color="auto"/>
              <w:right w:val="single" w:sz="4" w:space="0" w:color="auto"/>
            </w:tcBorders>
            <w:shd w:val="clear" w:color="auto" w:fill="FFC000"/>
            <w:vAlign w:val="center"/>
            <w:hideMark/>
          </w:tcPr>
          <w:p w14:paraId="0FDF39B2" w14:textId="77777777" w:rsidR="00A20990" w:rsidRPr="009E74D6" w:rsidRDefault="00425319" w:rsidP="005140E1">
            <w:pPr>
              <w:contextualSpacing/>
              <w:jc w:val="center"/>
              <w:rPr>
                <w:rFonts w:eastAsia="Times New Roman" w:cs="Arial"/>
                <w:b/>
                <w:bCs/>
                <w:sz w:val="12"/>
                <w:szCs w:val="12"/>
                <w:u w:val="single"/>
                <w:lang w:val="es-CO" w:eastAsia="es-CO"/>
              </w:rPr>
            </w:pPr>
            <w:hyperlink r:id="rId63" w:history="1">
              <w:r w:rsidR="00A20990" w:rsidRPr="009E74D6">
                <w:rPr>
                  <w:rFonts w:eastAsia="Times New Roman" w:cs="Arial"/>
                  <w:b/>
                  <w:bCs/>
                  <w:sz w:val="12"/>
                  <w:szCs w:val="12"/>
                  <w:u w:val="single"/>
                  <w:lang w:val="es-CO" w:eastAsia="es-CO"/>
                </w:rPr>
                <w:t>LP-011-2021</w:t>
              </w:r>
            </w:hyperlink>
          </w:p>
        </w:tc>
        <w:tc>
          <w:tcPr>
            <w:tcW w:w="285" w:type="pct"/>
            <w:tcBorders>
              <w:top w:val="nil"/>
              <w:left w:val="nil"/>
              <w:bottom w:val="single" w:sz="4" w:space="0" w:color="auto"/>
              <w:right w:val="single" w:sz="4" w:space="0" w:color="auto"/>
            </w:tcBorders>
            <w:shd w:val="clear" w:color="auto" w:fill="FFC000"/>
            <w:vAlign w:val="center"/>
            <w:hideMark/>
          </w:tcPr>
          <w:p w14:paraId="01B5185E" w14:textId="77777777" w:rsidR="00A20990" w:rsidRPr="009E74D6" w:rsidRDefault="00425319" w:rsidP="005140E1">
            <w:pPr>
              <w:contextualSpacing/>
              <w:jc w:val="center"/>
              <w:rPr>
                <w:rFonts w:eastAsia="Times New Roman" w:cs="Arial"/>
                <w:b/>
                <w:bCs/>
                <w:sz w:val="12"/>
                <w:szCs w:val="12"/>
                <w:u w:val="single"/>
                <w:lang w:val="es-CO" w:eastAsia="es-CO"/>
              </w:rPr>
            </w:pPr>
            <w:hyperlink r:id="rId64" w:history="1">
              <w:r w:rsidR="00A20990" w:rsidRPr="009E74D6">
                <w:rPr>
                  <w:rFonts w:eastAsia="Times New Roman" w:cs="Arial"/>
                  <w:b/>
                  <w:bCs/>
                  <w:sz w:val="12"/>
                  <w:szCs w:val="12"/>
                  <w:u w:val="single"/>
                  <w:lang w:val="es-CO" w:eastAsia="es-CO"/>
                </w:rPr>
                <w:t>CD-1689-2022</w:t>
              </w:r>
            </w:hyperlink>
          </w:p>
        </w:tc>
        <w:tc>
          <w:tcPr>
            <w:tcW w:w="285" w:type="pct"/>
            <w:tcBorders>
              <w:top w:val="nil"/>
              <w:left w:val="nil"/>
              <w:bottom w:val="single" w:sz="4" w:space="0" w:color="auto"/>
              <w:right w:val="single" w:sz="4" w:space="0" w:color="auto"/>
            </w:tcBorders>
            <w:shd w:val="clear" w:color="auto" w:fill="FFC000"/>
            <w:vAlign w:val="center"/>
            <w:hideMark/>
          </w:tcPr>
          <w:p w14:paraId="1B747231" w14:textId="77777777" w:rsidR="00A20990" w:rsidRPr="009E74D6" w:rsidRDefault="00425319" w:rsidP="005140E1">
            <w:pPr>
              <w:contextualSpacing/>
              <w:jc w:val="center"/>
              <w:rPr>
                <w:rFonts w:eastAsia="Times New Roman" w:cs="Arial"/>
                <w:b/>
                <w:bCs/>
                <w:sz w:val="12"/>
                <w:szCs w:val="12"/>
                <w:u w:val="single"/>
                <w:lang w:val="es-CO" w:eastAsia="es-CO"/>
              </w:rPr>
            </w:pPr>
            <w:hyperlink r:id="rId65" w:history="1">
              <w:r w:rsidR="00A20990" w:rsidRPr="009E74D6">
                <w:rPr>
                  <w:rFonts w:eastAsia="Times New Roman" w:cs="Arial"/>
                  <w:b/>
                  <w:bCs/>
                  <w:sz w:val="12"/>
                  <w:szCs w:val="12"/>
                  <w:u w:val="single"/>
                  <w:lang w:val="es-CO" w:eastAsia="es-CO"/>
                </w:rPr>
                <w:t>LP-005-2022</w:t>
              </w:r>
            </w:hyperlink>
          </w:p>
        </w:tc>
        <w:tc>
          <w:tcPr>
            <w:tcW w:w="285" w:type="pct"/>
            <w:tcBorders>
              <w:top w:val="nil"/>
              <w:left w:val="nil"/>
              <w:bottom w:val="single" w:sz="4" w:space="0" w:color="auto"/>
              <w:right w:val="single" w:sz="4" w:space="0" w:color="auto"/>
            </w:tcBorders>
            <w:shd w:val="clear" w:color="auto" w:fill="FFC000"/>
            <w:vAlign w:val="center"/>
            <w:hideMark/>
          </w:tcPr>
          <w:p w14:paraId="5D4D8370" w14:textId="77777777" w:rsidR="00A20990" w:rsidRPr="009E74D6" w:rsidRDefault="00425319" w:rsidP="005140E1">
            <w:pPr>
              <w:contextualSpacing/>
              <w:jc w:val="center"/>
              <w:rPr>
                <w:rFonts w:eastAsia="Times New Roman" w:cs="Arial"/>
                <w:b/>
                <w:bCs/>
                <w:sz w:val="12"/>
                <w:szCs w:val="12"/>
                <w:u w:val="single"/>
                <w:lang w:val="es-CO" w:eastAsia="es-CO"/>
              </w:rPr>
            </w:pPr>
            <w:hyperlink r:id="rId66" w:history="1">
              <w:r w:rsidR="00A20990" w:rsidRPr="009E74D6">
                <w:rPr>
                  <w:rFonts w:eastAsia="Times New Roman" w:cs="Arial"/>
                  <w:b/>
                  <w:bCs/>
                  <w:sz w:val="12"/>
                  <w:szCs w:val="12"/>
                  <w:u w:val="single"/>
                  <w:lang w:val="es-CO" w:eastAsia="es-CO"/>
                </w:rPr>
                <w:t>CD-3502-2022</w:t>
              </w:r>
            </w:hyperlink>
          </w:p>
        </w:tc>
        <w:tc>
          <w:tcPr>
            <w:tcW w:w="353" w:type="pct"/>
            <w:tcBorders>
              <w:top w:val="nil"/>
              <w:left w:val="nil"/>
              <w:bottom w:val="single" w:sz="4" w:space="0" w:color="auto"/>
              <w:right w:val="single" w:sz="4" w:space="0" w:color="auto"/>
            </w:tcBorders>
            <w:shd w:val="clear" w:color="auto" w:fill="FFC000"/>
            <w:vAlign w:val="center"/>
            <w:hideMark/>
          </w:tcPr>
          <w:p w14:paraId="01B85508" w14:textId="77777777" w:rsidR="00A20990" w:rsidRPr="009E74D6" w:rsidRDefault="00425319" w:rsidP="005140E1">
            <w:pPr>
              <w:contextualSpacing/>
              <w:jc w:val="center"/>
              <w:rPr>
                <w:rFonts w:eastAsia="Times New Roman" w:cs="Arial"/>
                <w:b/>
                <w:bCs/>
                <w:sz w:val="12"/>
                <w:szCs w:val="12"/>
                <w:u w:val="single"/>
                <w:lang w:val="es-CO" w:eastAsia="es-CO"/>
              </w:rPr>
            </w:pPr>
            <w:hyperlink r:id="rId67" w:history="1">
              <w:r w:rsidR="00A20990" w:rsidRPr="009E74D6">
                <w:rPr>
                  <w:rFonts w:eastAsia="Times New Roman" w:cs="Arial"/>
                  <w:b/>
                  <w:bCs/>
                  <w:sz w:val="12"/>
                  <w:szCs w:val="12"/>
                  <w:u w:val="single"/>
                  <w:lang w:val="es-CO" w:eastAsia="es-CO"/>
                </w:rPr>
                <w:t xml:space="preserve">LP-009-2022 </w:t>
              </w:r>
            </w:hyperlink>
          </w:p>
        </w:tc>
      </w:tr>
      <w:tr w:rsidR="001A38D5" w:rsidRPr="001A38D5" w14:paraId="1833113C" w14:textId="77777777" w:rsidTr="009E74D6">
        <w:trPr>
          <w:trHeight w:val="20"/>
          <w:tblHeader/>
          <w:jc w:val="center"/>
        </w:trPr>
        <w:tc>
          <w:tcPr>
            <w:tcW w:w="494" w:type="pct"/>
            <w:vMerge/>
            <w:tcBorders>
              <w:top w:val="nil"/>
              <w:left w:val="single" w:sz="4" w:space="0" w:color="auto"/>
              <w:bottom w:val="single" w:sz="4" w:space="0" w:color="auto"/>
              <w:right w:val="single" w:sz="4" w:space="0" w:color="auto"/>
            </w:tcBorders>
            <w:shd w:val="clear" w:color="auto" w:fill="FFC000"/>
            <w:vAlign w:val="center"/>
            <w:hideMark/>
          </w:tcPr>
          <w:p w14:paraId="579D30BF" w14:textId="77777777" w:rsidR="00A20990" w:rsidRPr="009E74D6" w:rsidRDefault="00A20990" w:rsidP="005140E1">
            <w:pPr>
              <w:contextualSpacing/>
              <w:rPr>
                <w:rFonts w:eastAsia="Times New Roman" w:cs="Arial"/>
                <w:b/>
                <w:bCs/>
                <w:sz w:val="12"/>
                <w:szCs w:val="12"/>
                <w:lang w:val="es-CO" w:eastAsia="es-CO"/>
              </w:rPr>
            </w:pPr>
          </w:p>
        </w:tc>
        <w:tc>
          <w:tcPr>
            <w:tcW w:w="296" w:type="pct"/>
            <w:tcBorders>
              <w:top w:val="nil"/>
              <w:left w:val="nil"/>
              <w:bottom w:val="single" w:sz="4" w:space="0" w:color="auto"/>
              <w:right w:val="single" w:sz="4" w:space="0" w:color="auto"/>
            </w:tcBorders>
            <w:shd w:val="clear" w:color="auto" w:fill="FFC000"/>
            <w:vAlign w:val="center"/>
            <w:hideMark/>
          </w:tcPr>
          <w:p w14:paraId="4463E4A8"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077 de 2019</w:t>
            </w:r>
          </w:p>
        </w:tc>
        <w:tc>
          <w:tcPr>
            <w:tcW w:w="320" w:type="pct"/>
            <w:tcBorders>
              <w:top w:val="nil"/>
              <w:left w:val="nil"/>
              <w:bottom w:val="single" w:sz="4" w:space="0" w:color="auto"/>
              <w:right w:val="single" w:sz="4" w:space="0" w:color="auto"/>
            </w:tcBorders>
            <w:shd w:val="clear" w:color="auto" w:fill="FFC000"/>
            <w:vAlign w:val="center"/>
            <w:hideMark/>
          </w:tcPr>
          <w:p w14:paraId="4747CFA2"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1198 de 2019</w:t>
            </w:r>
          </w:p>
        </w:tc>
        <w:tc>
          <w:tcPr>
            <w:tcW w:w="281" w:type="pct"/>
            <w:tcBorders>
              <w:top w:val="nil"/>
              <w:left w:val="nil"/>
              <w:bottom w:val="single" w:sz="4" w:space="0" w:color="auto"/>
              <w:right w:val="single" w:sz="4" w:space="0" w:color="auto"/>
            </w:tcBorders>
            <w:shd w:val="clear" w:color="auto" w:fill="FFC000"/>
            <w:vAlign w:val="center"/>
            <w:hideMark/>
          </w:tcPr>
          <w:p w14:paraId="28F54216"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594 de 2020</w:t>
            </w:r>
          </w:p>
        </w:tc>
        <w:tc>
          <w:tcPr>
            <w:tcW w:w="296" w:type="pct"/>
            <w:tcBorders>
              <w:top w:val="nil"/>
              <w:left w:val="nil"/>
              <w:bottom w:val="single" w:sz="4" w:space="0" w:color="auto"/>
              <w:right w:val="single" w:sz="4" w:space="0" w:color="auto"/>
            </w:tcBorders>
            <w:shd w:val="clear" w:color="auto" w:fill="FFC000"/>
            <w:vAlign w:val="center"/>
            <w:hideMark/>
          </w:tcPr>
          <w:p w14:paraId="63F4FD5D"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049 de 2020</w:t>
            </w:r>
          </w:p>
        </w:tc>
        <w:tc>
          <w:tcPr>
            <w:tcW w:w="310" w:type="pct"/>
            <w:tcBorders>
              <w:top w:val="nil"/>
              <w:left w:val="nil"/>
              <w:bottom w:val="single" w:sz="4" w:space="0" w:color="auto"/>
              <w:right w:val="single" w:sz="4" w:space="0" w:color="auto"/>
            </w:tcBorders>
            <w:shd w:val="clear" w:color="auto" w:fill="FFC000"/>
            <w:vAlign w:val="center"/>
            <w:hideMark/>
          </w:tcPr>
          <w:p w14:paraId="48A8BB8A"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1961 de 2020</w:t>
            </w:r>
          </w:p>
        </w:tc>
        <w:tc>
          <w:tcPr>
            <w:tcW w:w="283" w:type="pct"/>
            <w:tcBorders>
              <w:top w:val="nil"/>
              <w:left w:val="nil"/>
              <w:bottom w:val="single" w:sz="4" w:space="0" w:color="auto"/>
              <w:right w:val="single" w:sz="4" w:space="0" w:color="auto"/>
            </w:tcBorders>
            <w:shd w:val="clear" w:color="auto" w:fill="FFC000"/>
            <w:vAlign w:val="center"/>
            <w:hideMark/>
          </w:tcPr>
          <w:p w14:paraId="0C2F8669"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Convenio No. 1104 de 2021</w:t>
            </w:r>
          </w:p>
        </w:tc>
        <w:tc>
          <w:tcPr>
            <w:tcW w:w="296" w:type="pct"/>
            <w:tcBorders>
              <w:top w:val="nil"/>
              <w:left w:val="nil"/>
              <w:bottom w:val="single" w:sz="4" w:space="0" w:color="auto"/>
              <w:right w:val="single" w:sz="4" w:space="0" w:color="auto"/>
            </w:tcBorders>
            <w:shd w:val="clear" w:color="auto" w:fill="FFC000"/>
            <w:vAlign w:val="center"/>
            <w:hideMark/>
          </w:tcPr>
          <w:p w14:paraId="1644257E"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939 de 2021</w:t>
            </w:r>
          </w:p>
        </w:tc>
        <w:tc>
          <w:tcPr>
            <w:tcW w:w="296" w:type="pct"/>
            <w:tcBorders>
              <w:top w:val="nil"/>
              <w:left w:val="nil"/>
              <w:bottom w:val="single" w:sz="4" w:space="0" w:color="auto"/>
              <w:right w:val="single" w:sz="4" w:space="0" w:color="auto"/>
            </w:tcBorders>
            <w:shd w:val="clear" w:color="auto" w:fill="FFC000"/>
            <w:vAlign w:val="center"/>
            <w:hideMark/>
          </w:tcPr>
          <w:p w14:paraId="4F5F00DB"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1346 de 2021</w:t>
            </w:r>
          </w:p>
        </w:tc>
        <w:tc>
          <w:tcPr>
            <w:tcW w:w="353" w:type="pct"/>
            <w:tcBorders>
              <w:top w:val="nil"/>
              <w:left w:val="nil"/>
              <w:bottom w:val="single" w:sz="4" w:space="0" w:color="auto"/>
              <w:right w:val="single" w:sz="4" w:space="0" w:color="auto"/>
            </w:tcBorders>
            <w:shd w:val="clear" w:color="auto" w:fill="FFC000"/>
            <w:vAlign w:val="center"/>
            <w:hideMark/>
          </w:tcPr>
          <w:p w14:paraId="0AB0A03D"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2014 de 2021</w:t>
            </w:r>
          </w:p>
        </w:tc>
        <w:tc>
          <w:tcPr>
            <w:tcW w:w="285" w:type="pct"/>
            <w:tcBorders>
              <w:top w:val="nil"/>
              <w:left w:val="nil"/>
              <w:bottom w:val="single" w:sz="4" w:space="0" w:color="auto"/>
              <w:right w:val="single" w:sz="4" w:space="0" w:color="auto"/>
            </w:tcBorders>
            <w:shd w:val="clear" w:color="auto" w:fill="FFC000"/>
            <w:vAlign w:val="center"/>
            <w:hideMark/>
          </w:tcPr>
          <w:p w14:paraId="34FFECFF"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Convenio No. 1932 de 2022</w:t>
            </w:r>
          </w:p>
        </w:tc>
        <w:tc>
          <w:tcPr>
            <w:tcW w:w="285" w:type="pct"/>
            <w:tcBorders>
              <w:top w:val="nil"/>
              <w:left w:val="nil"/>
              <w:bottom w:val="single" w:sz="4" w:space="0" w:color="auto"/>
              <w:right w:val="single" w:sz="4" w:space="0" w:color="auto"/>
            </w:tcBorders>
            <w:shd w:val="clear" w:color="auto" w:fill="FFC000"/>
            <w:vAlign w:val="center"/>
            <w:hideMark/>
          </w:tcPr>
          <w:p w14:paraId="5933CC40"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1719 de 2022</w:t>
            </w:r>
          </w:p>
        </w:tc>
        <w:tc>
          <w:tcPr>
            <w:tcW w:w="285" w:type="pct"/>
            <w:tcBorders>
              <w:top w:val="nil"/>
              <w:left w:val="nil"/>
              <w:bottom w:val="single" w:sz="4" w:space="0" w:color="auto"/>
              <w:right w:val="single" w:sz="4" w:space="0" w:color="auto"/>
            </w:tcBorders>
            <w:shd w:val="clear" w:color="auto" w:fill="FFC000"/>
            <w:vAlign w:val="center"/>
            <w:hideMark/>
          </w:tcPr>
          <w:p w14:paraId="332F9662"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1739 de 2022</w:t>
            </w:r>
          </w:p>
        </w:tc>
        <w:tc>
          <w:tcPr>
            <w:tcW w:w="285" w:type="pct"/>
            <w:tcBorders>
              <w:top w:val="nil"/>
              <w:left w:val="nil"/>
              <w:bottom w:val="single" w:sz="4" w:space="0" w:color="auto"/>
              <w:right w:val="single" w:sz="4" w:space="0" w:color="auto"/>
            </w:tcBorders>
            <w:shd w:val="clear" w:color="auto" w:fill="FFC000"/>
            <w:vAlign w:val="center"/>
            <w:hideMark/>
          </w:tcPr>
          <w:p w14:paraId="43A8ECFE"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1825 de 2022</w:t>
            </w:r>
          </w:p>
        </w:tc>
        <w:tc>
          <w:tcPr>
            <w:tcW w:w="285" w:type="pct"/>
            <w:tcBorders>
              <w:top w:val="nil"/>
              <w:left w:val="nil"/>
              <w:bottom w:val="single" w:sz="4" w:space="0" w:color="auto"/>
              <w:right w:val="single" w:sz="4" w:space="0" w:color="auto"/>
            </w:tcBorders>
            <w:shd w:val="clear" w:color="auto" w:fill="FFC000"/>
            <w:vAlign w:val="center"/>
            <w:hideMark/>
          </w:tcPr>
          <w:p w14:paraId="42989960"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3122 de 2022</w:t>
            </w:r>
          </w:p>
        </w:tc>
        <w:tc>
          <w:tcPr>
            <w:tcW w:w="353" w:type="pct"/>
            <w:tcBorders>
              <w:top w:val="nil"/>
              <w:left w:val="nil"/>
              <w:bottom w:val="single" w:sz="4" w:space="0" w:color="auto"/>
              <w:right w:val="single" w:sz="4" w:space="0" w:color="auto"/>
            </w:tcBorders>
            <w:shd w:val="clear" w:color="auto" w:fill="FFC000"/>
            <w:vAlign w:val="center"/>
            <w:hideMark/>
          </w:tcPr>
          <w:p w14:paraId="7340CE31"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Contrato No. 3369 de 2022</w:t>
            </w:r>
          </w:p>
        </w:tc>
      </w:tr>
      <w:tr w:rsidR="001A38D5" w:rsidRPr="001A38D5" w14:paraId="341665F9" w14:textId="77777777" w:rsidTr="009E74D6">
        <w:trPr>
          <w:trHeight w:val="20"/>
          <w:jc w:val="center"/>
        </w:trPr>
        <w:tc>
          <w:tcPr>
            <w:tcW w:w="494" w:type="pct"/>
            <w:tcBorders>
              <w:top w:val="nil"/>
              <w:left w:val="single" w:sz="4" w:space="0" w:color="auto"/>
              <w:bottom w:val="single" w:sz="4" w:space="0" w:color="auto"/>
              <w:right w:val="single" w:sz="4" w:space="0" w:color="auto"/>
            </w:tcBorders>
            <w:shd w:val="clear" w:color="auto" w:fill="FFC000"/>
            <w:vAlign w:val="center"/>
            <w:hideMark/>
          </w:tcPr>
          <w:p w14:paraId="7A28DFC5" w14:textId="77777777" w:rsidR="00A20990" w:rsidRPr="009E74D6" w:rsidRDefault="00A20990" w:rsidP="005140E1">
            <w:pPr>
              <w:contextualSpacing/>
              <w:rPr>
                <w:rFonts w:eastAsia="Times New Roman" w:cs="Arial"/>
                <w:b/>
                <w:bCs/>
                <w:sz w:val="12"/>
                <w:szCs w:val="12"/>
                <w:lang w:val="es-CO" w:eastAsia="es-CO"/>
              </w:rPr>
            </w:pPr>
            <w:r w:rsidRPr="009E74D6">
              <w:rPr>
                <w:rFonts w:eastAsia="Times New Roman" w:cs="Arial"/>
                <w:b/>
                <w:bCs/>
                <w:sz w:val="12"/>
                <w:szCs w:val="12"/>
                <w:lang w:eastAsia="es-CO"/>
              </w:rPr>
              <w:t>Etapa precontractual</w:t>
            </w:r>
          </w:p>
        </w:tc>
        <w:tc>
          <w:tcPr>
            <w:tcW w:w="296" w:type="pct"/>
            <w:tcBorders>
              <w:top w:val="nil"/>
              <w:left w:val="nil"/>
              <w:bottom w:val="single" w:sz="4" w:space="0" w:color="auto"/>
              <w:right w:val="single" w:sz="4" w:space="0" w:color="auto"/>
            </w:tcBorders>
            <w:shd w:val="clear" w:color="auto" w:fill="FFC000"/>
            <w:vAlign w:val="center"/>
            <w:hideMark/>
          </w:tcPr>
          <w:p w14:paraId="0D1D7285"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eastAsia="es-CO"/>
              </w:rPr>
              <w:t> </w:t>
            </w:r>
          </w:p>
        </w:tc>
        <w:tc>
          <w:tcPr>
            <w:tcW w:w="320" w:type="pct"/>
            <w:tcBorders>
              <w:top w:val="nil"/>
              <w:left w:val="nil"/>
              <w:bottom w:val="single" w:sz="4" w:space="0" w:color="auto"/>
              <w:right w:val="single" w:sz="4" w:space="0" w:color="auto"/>
            </w:tcBorders>
            <w:shd w:val="clear" w:color="auto" w:fill="FFC000"/>
            <w:vAlign w:val="center"/>
            <w:hideMark/>
          </w:tcPr>
          <w:p w14:paraId="3DBF05CC"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eastAsia="es-CO"/>
              </w:rPr>
              <w:t> </w:t>
            </w:r>
          </w:p>
        </w:tc>
        <w:tc>
          <w:tcPr>
            <w:tcW w:w="281" w:type="pct"/>
            <w:tcBorders>
              <w:top w:val="nil"/>
              <w:left w:val="nil"/>
              <w:bottom w:val="single" w:sz="4" w:space="0" w:color="auto"/>
              <w:right w:val="single" w:sz="4" w:space="0" w:color="auto"/>
            </w:tcBorders>
            <w:shd w:val="clear" w:color="auto" w:fill="FFC000"/>
            <w:vAlign w:val="center"/>
            <w:hideMark/>
          </w:tcPr>
          <w:p w14:paraId="644E46C3"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eastAsia="es-CO"/>
              </w:rPr>
              <w:t> </w:t>
            </w:r>
          </w:p>
        </w:tc>
        <w:tc>
          <w:tcPr>
            <w:tcW w:w="296" w:type="pct"/>
            <w:tcBorders>
              <w:top w:val="nil"/>
              <w:left w:val="nil"/>
              <w:bottom w:val="single" w:sz="4" w:space="0" w:color="auto"/>
              <w:right w:val="single" w:sz="4" w:space="0" w:color="auto"/>
            </w:tcBorders>
            <w:shd w:val="clear" w:color="auto" w:fill="FFC000"/>
            <w:vAlign w:val="center"/>
            <w:hideMark/>
          </w:tcPr>
          <w:p w14:paraId="29FD9702"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eastAsia="es-CO"/>
              </w:rPr>
              <w:t> </w:t>
            </w:r>
          </w:p>
        </w:tc>
        <w:tc>
          <w:tcPr>
            <w:tcW w:w="310" w:type="pct"/>
            <w:tcBorders>
              <w:top w:val="nil"/>
              <w:left w:val="nil"/>
              <w:bottom w:val="single" w:sz="4" w:space="0" w:color="auto"/>
              <w:right w:val="single" w:sz="4" w:space="0" w:color="auto"/>
            </w:tcBorders>
            <w:shd w:val="clear" w:color="auto" w:fill="FFC000"/>
            <w:vAlign w:val="center"/>
            <w:hideMark/>
          </w:tcPr>
          <w:p w14:paraId="0096FE59"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eastAsia="es-CO"/>
              </w:rPr>
              <w:t> </w:t>
            </w:r>
          </w:p>
        </w:tc>
        <w:tc>
          <w:tcPr>
            <w:tcW w:w="283" w:type="pct"/>
            <w:tcBorders>
              <w:top w:val="nil"/>
              <w:left w:val="nil"/>
              <w:bottom w:val="single" w:sz="4" w:space="0" w:color="auto"/>
              <w:right w:val="single" w:sz="4" w:space="0" w:color="auto"/>
            </w:tcBorders>
            <w:shd w:val="clear" w:color="auto" w:fill="FFC000"/>
            <w:vAlign w:val="center"/>
            <w:hideMark/>
          </w:tcPr>
          <w:p w14:paraId="3BA84EE9"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eastAsia="es-CO"/>
              </w:rPr>
              <w:t> </w:t>
            </w:r>
          </w:p>
        </w:tc>
        <w:tc>
          <w:tcPr>
            <w:tcW w:w="296" w:type="pct"/>
            <w:tcBorders>
              <w:top w:val="nil"/>
              <w:left w:val="nil"/>
              <w:bottom w:val="single" w:sz="4" w:space="0" w:color="auto"/>
              <w:right w:val="single" w:sz="4" w:space="0" w:color="auto"/>
            </w:tcBorders>
            <w:shd w:val="clear" w:color="auto" w:fill="FFC000"/>
            <w:vAlign w:val="center"/>
            <w:hideMark/>
          </w:tcPr>
          <w:p w14:paraId="42E80B6D"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 </w:t>
            </w:r>
          </w:p>
        </w:tc>
        <w:tc>
          <w:tcPr>
            <w:tcW w:w="296" w:type="pct"/>
            <w:tcBorders>
              <w:top w:val="nil"/>
              <w:left w:val="nil"/>
              <w:bottom w:val="single" w:sz="4" w:space="0" w:color="auto"/>
              <w:right w:val="single" w:sz="4" w:space="0" w:color="auto"/>
            </w:tcBorders>
            <w:shd w:val="clear" w:color="auto" w:fill="FFC000"/>
            <w:vAlign w:val="center"/>
            <w:hideMark/>
          </w:tcPr>
          <w:p w14:paraId="5B0B1E2D"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 </w:t>
            </w:r>
          </w:p>
        </w:tc>
        <w:tc>
          <w:tcPr>
            <w:tcW w:w="353" w:type="pct"/>
            <w:tcBorders>
              <w:top w:val="nil"/>
              <w:left w:val="nil"/>
              <w:bottom w:val="single" w:sz="4" w:space="0" w:color="auto"/>
              <w:right w:val="single" w:sz="4" w:space="0" w:color="auto"/>
            </w:tcBorders>
            <w:shd w:val="clear" w:color="auto" w:fill="FFC000"/>
            <w:vAlign w:val="center"/>
            <w:hideMark/>
          </w:tcPr>
          <w:p w14:paraId="54918C6C"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 </w:t>
            </w:r>
          </w:p>
        </w:tc>
        <w:tc>
          <w:tcPr>
            <w:tcW w:w="285" w:type="pct"/>
            <w:tcBorders>
              <w:top w:val="nil"/>
              <w:left w:val="nil"/>
              <w:bottom w:val="single" w:sz="4" w:space="0" w:color="auto"/>
              <w:right w:val="single" w:sz="4" w:space="0" w:color="auto"/>
            </w:tcBorders>
            <w:shd w:val="clear" w:color="auto" w:fill="FFC000"/>
            <w:vAlign w:val="center"/>
            <w:hideMark/>
          </w:tcPr>
          <w:p w14:paraId="6EC4F089"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 </w:t>
            </w:r>
          </w:p>
        </w:tc>
        <w:tc>
          <w:tcPr>
            <w:tcW w:w="285" w:type="pct"/>
            <w:tcBorders>
              <w:top w:val="nil"/>
              <w:left w:val="nil"/>
              <w:bottom w:val="single" w:sz="4" w:space="0" w:color="auto"/>
              <w:right w:val="single" w:sz="4" w:space="0" w:color="auto"/>
            </w:tcBorders>
            <w:shd w:val="clear" w:color="auto" w:fill="FFC000"/>
            <w:vAlign w:val="center"/>
            <w:hideMark/>
          </w:tcPr>
          <w:p w14:paraId="144CA7CA"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 </w:t>
            </w:r>
          </w:p>
        </w:tc>
        <w:tc>
          <w:tcPr>
            <w:tcW w:w="285" w:type="pct"/>
            <w:tcBorders>
              <w:top w:val="nil"/>
              <w:left w:val="nil"/>
              <w:bottom w:val="single" w:sz="4" w:space="0" w:color="auto"/>
              <w:right w:val="single" w:sz="4" w:space="0" w:color="auto"/>
            </w:tcBorders>
            <w:shd w:val="clear" w:color="auto" w:fill="FFC000"/>
            <w:vAlign w:val="center"/>
            <w:hideMark/>
          </w:tcPr>
          <w:p w14:paraId="5BCDB923"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 </w:t>
            </w:r>
          </w:p>
        </w:tc>
        <w:tc>
          <w:tcPr>
            <w:tcW w:w="285" w:type="pct"/>
            <w:tcBorders>
              <w:top w:val="nil"/>
              <w:left w:val="nil"/>
              <w:bottom w:val="single" w:sz="4" w:space="0" w:color="auto"/>
              <w:right w:val="single" w:sz="4" w:space="0" w:color="auto"/>
            </w:tcBorders>
            <w:shd w:val="clear" w:color="auto" w:fill="FFC000"/>
            <w:vAlign w:val="center"/>
            <w:hideMark/>
          </w:tcPr>
          <w:p w14:paraId="7E445BDD"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 </w:t>
            </w:r>
          </w:p>
        </w:tc>
        <w:tc>
          <w:tcPr>
            <w:tcW w:w="285" w:type="pct"/>
            <w:tcBorders>
              <w:top w:val="nil"/>
              <w:left w:val="nil"/>
              <w:bottom w:val="single" w:sz="4" w:space="0" w:color="auto"/>
              <w:right w:val="single" w:sz="4" w:space="0" w:color="auto"/>
            </w:tcBorders>
            <w:shd w:val="clear" w:color="auto" w:fill="FFC000"/>
            <w:vAlign w:val="center"/>
            <w:hideMark/>
          </w:tcPr>
          <w:p w14:paraId="1F85198F"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val="es-CO" w:eastAsia="es-CO"/>
              </w:rPr>
              <w:t> </w:t>
            </w:r>
          </w:p>
        </w:tc>
        <w:tc>
          <w:tcPr>
            <w:tcW w:w="353" w:type="pct"/>
            <w:tcBorders>
              <w:top w:val="nil"/>
              <w:left w:val="nil"/>
              <w:bottom w:val="single" w:sz="4" w:space="0" w:color="auto"/>
              <w:right w:val="single" w:sz="4" w:space="0" w:color="auto"/>
            </w:tcBorders>
            <w:shd w:val="clear" w:color="auto" w:fill="FFC000"/>
            <w:vAlign w:val="center"/>
            <w:hideMark/>
          </w:tcPr>
          <w:p w14:paraId="5032488F" w14:textId="77777777" w:rsidR="00A20990" w:rsidRPr="009E74D6" w:rsidRDefault="00A20990" w:rsidP="005140E1">
            <w:pPr>
              <w:contextualSpacing/>
              <w:jc w:val="center"/>
              <w:rPr>
                <w:rFonts w:eastAsia="Times New Roman" w:cs="Arial"/>
                <w:b/>
                <w:bCs/>
                <w:sz w:val="12"/>
                <w:szCs w:val="12"/>
                <w:lang w:val="es-CO" w:eastAsia="es-CO"/>
              </w:rPr>
            </w:pPr>
            <w:r w:rsidRPr="009E74D6">
              <w:rPr>
                <w:rFonts w:eastAsia="Times New Roman" w:cs="Arial"/>
                <w:b/>
                <w:bCs/>
                <w:sz w:val="12"/>
                <w:szCs w:val="12"/>
                <w:lang w:eastAsia="es-CO"/>
              </w:rPr>
              <w:t> </w:t>
            </w:r>
          </w:p>
        </w:tc>
      </w:tr>
      <w:tr w:rsidR="001A38D5" w:rsidRPr="001A38D5" w14:paraId="6ECCEFBD"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5A52DAF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Aviso de convocatoria</w:t>
            </w:r>
          </w:p>
        </w:tc>
        <w:tc>
          <w:tcPr>
            <w:tcW w:w="296" w:type="pct"/>
            <w:tcBorders>
              <w:top w:val="nil"/>
              <w:left w:val="nil"/>
              <w:bottom w:val="single" w:sz="4" w:space="0" w:color="auto"/>
              <w:right w:val="single" w:sz="4" w:space="0" w:color="auto"/>
            </w:tcBorders>
            <w:shd w:val="clear" w:color="auto" w:fill="auto"/>
            <w:vAlign w:val="center"/>
          </w:tcPr>
          <w:p w14:paraId="37A844C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4D642FF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1791A34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auto"/>
            <w:vAlign w:val="center"/>
            <w:hideMark/>
          </w:tcPr>
          <w:p w14:paraId="49318E4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0D2BBEB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6241320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7A29EAF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3527380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3C9D56F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7B1DDCD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43AE8DF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1A88C61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0C247B9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6EA6D0E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auto"/>
            <w:vAlign w:val="center"/>
            <w:hideMark/>
          </w:tcPr>
          <w:p w14:paraId="10AA42A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520DEDF3"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4716206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Proyecto de pliego de condiciones </w:t>
            </w:r>
          </w:p>
        </w:tc>
        <w:tc>
          <w:tcPr>
            <w:tcW w:w="296" w:type="pct"/>
            <w:tcBorders>
              <w:top w:val="nil"/>
              <w:left w:val="nil"/>
              <w:bottom w:val="single" w:sz="4" w:space="0" w:color="auto"/>
              <w:right w:val="single" w:sz="4" w:space="0" w:color="auto"/>
            </w:tcBorders>
            <w:shd w:val="clear" w:color="auto" w:fill="auto"/>
            <w:vAlign w:val="center"/>
          </w:tcPr>
          <w:p w14:paraId="36E58A8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1F00FE1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042195E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auto"/>
            <w:vAlign w:val="center"/>
            <w:hideMark/>
          </w:tcPr>
          <w:p w14:paraId="1780599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31F9E92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5B73055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66A1AC7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6361DF0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3CB5867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1AF4D0F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3D02252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1657CED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41A7C6A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5C7C003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auto"/>
            <w:vAlign w:val="center"/>
            <w:hideMark/>
          </w:tcPr>
          <w:p w14:paraId="1C21A6E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7CA94921"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7B6E55E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Pliego de condiciones</w:t>
            </w:r>
          </w:p>
        </w:tc>
        <w:tc>
          <w:tcPr>
            <w:tcW w:w="296" w:type="pct"/>
            <w:tcBorders>
              <w:top w:val="nil"/>
              <w:left w:val="nil"/>
              <w:bottom w:val="single" w:sz="4" w:space="0" w:color="auto"/>
              <w:right w:val="single" w:sz="4" w:space="0" w:color="auto"/>
            </w:tcBorders>
            <w:shd w:val="clear" w:color="auto" w:fill="auto"/>
            <w:vAlign w:val="center"/>
          </w:tcPr>
          <w:p w14:paraId="52E325F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6F351A1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6336297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auto"/>
            <w:vAlign w:val="center"/>
            <w:hideMark/>
          </w:tcPr>
          <w:p w14:paraId="2FE176B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77937AE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6FDEF3D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573E608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0F0A86B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21DE181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604F9B8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690F3E9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08E14D4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465E3A2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27EA3EE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auto"/>
            <w:vAlign w:val="center"/>
            <w:hideMark/>
          </w:tcPr>
          <w:p w14:paraId="607B7E4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7D427274"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05676C2E"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Estudios y documentos previos</w:t>
            </w:r>
          </w:p>
        </w:tc>
        <w:tc>
          <w:tcPr>
            <w:tcW w:w="296" w:type="pct"/>
            <w:tcBorders>
              <w:top w:val="nil"/>
              <w:left w:val="nil"/>
              <w:bottom w:val="single" w:sz="4" w:space="0" w:color="auto"/>
              <w:right w:val="single" w:sz="4" w:space="0" w:color="auto"/>
            </w:tcBorders>
            <w:shd w:val="clear" w:color="auto" w:fill="auto"/>
            <w:vAlign w:val="center"/>
          </w:tcPr>
          <w:p w14:paraId="6BADD77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0730816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6AE1C9E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auto"/>
            <w:vAlign w:val="center"/>
            <w:hideMark/>
          </w:tcPr>
          <w:p w14:paraId="730B693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17CFB20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15EE858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7A862A1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080AAE1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1CC4B50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41622BE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6E3C277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14C40B6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3FF6475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661C5F3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53" w:type="pct"/>
            <w:tcBorders>
              <w:top w:val="nil"/>
              <w:left w:val="nil"/>
              <w:bottom w:val="single" w:sz="4" w:space="0" w:color="auto"/>
              <w:right w:val="single" w:sz="4" w:space="0" w:color="auto"/>
            </w:tcBorders>
            <w:shd w:val="clear" w:color="auto" w:fill="auto"/>
            <w:vAlign w:val="center"/>
            <w:hideMark/>
          </w:tcPr>
          <w:p w14:paraId="697D0C0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2B110DA7"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792DC22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Estudios del sector</w:t>
            </w:r>
          </w:p>
        </w:tc>
        <w:tc>
          <w:tcPr>
            <w:tcW w:w="296" w:type="pct"/>
            <w:tcBorders>
              <w:top w:val="nil"/>
              <w:left w:val="nil"/>
              <w:bottom w:val="single" w:sz="4" w:space="0" w:color="auto"/>
              <w:right w:val="single" w:sz="4" w:space="0" w:color="auto"/>
            </w:tcBorders>
            <w:shd w:val="clear" w:color="auto" w:fill="auto"/>
            <w:vAlign w:val="center"/>
          </w:tcPr>
          <w:p w14:paraId="6B7E2F4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62E994C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35FDA79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auto"/>
            <w:vAlign w:val="center"/>
            <w:hideMark/>
          </w:tcPr>
          <w:p w14:paraId="5F12BA5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6C82C8A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7058D24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1A89158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180B235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7E56EDB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67EB232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42B18C7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30670C5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7C50841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37E98D6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353" w:type="pct"/>
            <w:tcBorders>
              <w:top w:val="nil"/>
              <w:left w:val="nil"/>
              <w:bottom w:val="single" w:sz="4" w:space="0" w:color="auto"/>
              <w:right w:val="single" w:sz="4" w:space="0" w:color="auto"/>
            </w:tcBorders>
            <w:shd w:val="clear" w:color="auto" w:fill="auto"/>
            <w:vAlign w:val="center"/>
            <w:hideMark/>
          </w:tcPr>
          <w:p w14:paraId="15E270E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13A61FA5"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4845960F"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Observaciones y respuesta a observaciones </w:t>
            </w:r>
          </w:p>
        </w:tc>
        <w:tc>
          <w:tcPr>
            <w:tcW w:w="296" w:type="pct"/>
            <w:tcBorders>
              <w:top w:val="nil"/>
              <w:left w:val="nil"/>
              <w:bottom w:val="single" w:sz="4" w:space="0" w:color="auto"/>
              <w:right w:val="single" w:sz="4" w:space="0" w:color="auto"/>
            </w:tcBorders>
            <w:shd w:val="clear" w:color="auto" w:fill="auto"/>
            <w:vAlign w:val="center"/>
          </w:tcPr>
          <w:p w14:paraId="309AA7D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382606F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25E661D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auto"/>
            <w:vAlign w:val="center"/>
            <w:hideMark/>
          </w:tcPr>
          <w:p w14:paraId="12433CD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388284A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02281ED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5833D09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56D6B47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05D6D24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1D4E212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595B68F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22D7306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3469141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3E33CDE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auto"/>
            <w:vAlign w:val="center"/>
            <w:hideMark/>
          </w:tcPr>
          <w:p w14:paraId="646F0F2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17D79B68"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6718BEC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Resolución de apertura</w:t>
            </w:r>
          </w:p>
        </w:tc>
        <w:tc>
          <w:tcPr>
            <w:tcW w:w="296" w:type="pct"/>
            <w:tcBorders>
              <w:top w:val="nil"/>
              <w:left w:val="nil"/>
              <w:bottom w:val="single" w:sz="4" w:space="0" w:color="auto"/>
              <w:right w:val="single" w:sz="4" w:space="0" w:color="auto"/>
            </w:tcBorders>
            <w:shd w:val="clear" w:color="auto" w:fill="auto"/>
            <w:vAlign w:val="center"/>
          </w:tcPr>
          <w:p w14:paraId="3B5CB1B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6E1A7AE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08E96CA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auto"/>
            <w:vAlign w:val="center"/>
            <w:hideMark/>
          </w:tcPr>
          <w:p w14:paraId="7DF8E9E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51320A1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07BA508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11AF1C2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05D82CB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5136FC9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4585A7A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337D168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60D6B5C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2808609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646F789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auto"/>
            <w:vAlign w:val="center"/>
            <w:hideMark/>
          </w:tcPr>
          <w:p w14:paraId="237342D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49FDA343"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457196D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Adendas</w:t>
            </w:r>
          </w:p>
        </w:tc>
        <w:tc>
          <w:tcPr>
            <w:tcW w:w="296" w:type="pct"/>
            <w:tcBorders>
              <w:top w:val="nil"/>
              <w:left w:val="nil"/>
              <w:bottom w:val="single" w:sz="4" w:space="0" w:color="auto"/>
              <w:right w:val="single" w:sz="4" w:space="0" w:color="auto"/>
            </w:tcBorders>
            <w:shd w:val="clear" w:color="auto" w:fill="auto"/>
            <w:vAlign w:val="center"/>
          </w:tcPr>
          <w:p w14:paraId="31B4501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6D71F6C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4814D10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auto"/>
            <w:vAlign w:val="center"/>
            <w:hideMark/>
          </w:tcPr>
          <w:p w14:paraId="61A42EA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729E4AC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3DA6ADA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3E60838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17A3DF0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04AF5CA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5682D92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74D1562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1DE2FDB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282C56E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480DEA2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auto"/>
            <w:vAlign w:val="center"/>
            <w:hideMark/>
          </w:tcPr>
          <w:p w14:paraId="58DDA48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655FCE62"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226D217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Evaluación de la licitación</w:t>
            </w:r>
          </w:p>
        </w:tc>
        <w:tc>
          <w:tcPr>
            <w:tcW w:w="296" w:type="pct"/>
            <w:tcBorders>
              <w:top w:val="nil"/>
              <w:left w:val="nil"/>
              <w:bottom w:val="single" w:sz="4" w:space="0" w:color="auto"/>
              <w:right w:val="single" w:sz="4" w:space="0" w:color="auto"/>
            </w:tcBorders>
            <w:shd w:val="clear" w:color="auto" w:fill="auto"/>
            <w:vAlign w:val="center"/>
          </w:tcPr>
          <w:p w14:paraId="4FA9FA8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46FC98C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637F048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auto"/>
            <w:vAlign w:val="center"/>
            <w:hideMark/>
          </w:tcPr>
          <w:p w14:paraId="1ADDAC4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4525DAB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58451CB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6E6B57B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2711136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5521022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6E5C2F1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6187638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22028B6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56AB12A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7BF7BD3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auto"/>
            <w:vAlign w:val="center"/>
            <w:hideMark/>
          </w:tcPr>
          <w:p w14:paraId="6A23401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6BBAE603"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277D7FBD"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Acta de adjudicación</w:t>
            </w:r>
          </w:p>
        </w:tc>
        <w:tc>
          <w:tcPr>
            <w:tcW w:w="296" w:type="pct"/>
            <w:tcBorders>
              <w:top w:val="nil"/>
              <w:left w:val="nil"/>
              <w:bottom w:val="single" w:sz="4" w:space="0" w:color="auto"/>
              <w:right w:val="single" w:sz="4" w:space="0" w:color="auto"/>
            </w:tcBorders>
            <w:shd w:val="clear" w:color="auto" w:fill="auto"/>
            <w:vAlign w:val="center"/>
            <w:hideMark/>
          </w:tcPr>
          <w:p w14:paraId="149A2BF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7996307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11CE683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auto"/>
            <w:vAlign w:val="center"/>
            <w:hideMark/>
          </w:tcPr>
          <w:p w14:paraId="3680491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727FD12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2C8816B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7BDD52C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74BEBC9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5455F48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00939D4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3A04FD9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6C81530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385C5D8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4A7C363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auto"/>
            <w:vAlign w:val="center"/>
            <w:hideMark/>
          </w:tcPr>
          <w:p w14:paraId="1A37DA3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1075905E" w14:textId="77777777" w:rsidTr="009E74D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7C16FB38"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Resolución de Adjudicación</w:t>
            </w:r>
          </w:p>
        </w:tc>
        <w:tc>
          <w:tcPr>
            <w:tcW w:w="296" w:type="pct"/>
            <w:tcBorders>
              <w:top w:val="nil"/>
              <w:left w:val="nil"/>
              <w:bottom w:val="single" w:sz="4" w:space="0" w:color="auto"/>
              <w:right w:val="single" w:sz="4" w:space="0" w:color="auto"/>
            </w:tcBorders>
            <w:shd w:val="clear" w:color="auto" w:fill="auto"/>
            <w:vAlign w:val="center"/>
            <w:hideMark/>
          </w:tcPr>
          <w:p w14:paraId="18B0968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498C2E6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21DE2D4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auto"/>
            <w:vAlign w:val="center"/>
            <w:hideMark/>
          </w:tcPr>
          <w:p w14:paraId="637C6F5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37C80EF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10F2A93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48537A0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457C40F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4AD5444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72AA58D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0C1F67F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2BE4D86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054FE26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64AD7F9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auto"/>
            <w:vAlign w:val="center"/>
            <w:hideMark/>
          </w:tcPr>
          <w:p w14:paraId="6F043BC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4E0957DA" w14:textId="77777777" w:rsidTr="009E74D6">
        <w:trPr>
          <w:trHeight w:val="20"/>
          <w:jc w:val="center"/>
        </w:trPr>
        <w:tc>
          <w:tcPr>
            <w:tcW w:w="4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930289D" w14:textId="77777777" w:rsidR="00A20990" w:rsidRPr="001A38D5" w:rsidRDefault="00A20990" w:rsidP="005140E1">
            <w:pPr>
              <w:contextualSpacing/>
              <w:rPr>
                <w:rFonts w:eastAsia="Times New Roman" w:cs="Arial"/>
                <w:b/>
                <w:bCs/>
                <w:sz w:val="14"/>
                <w:szCs w:val="14"/>
                <w:lang w:val="es-CO" w:eastAsia="es-CO"/>
              </w:rPr>
            </w:pPr>
            <w:r w:rsidRPr="001A38D5">
              <w:rPr>
                <w:rFonts w:eastAsia="Times New Roman" w:cs="Arial"/>
                <w:b/>
                <w:bCs/>
                <w:sz w:val="14"/>
                <w:szCs w:val="14"/>
                <w:lang w:eastAsia="es-CO"/>
              </w:rPr>
              <w:t>Ejecución</w:t>
            </w:r>
          </w:p>
        </w:tc>
        <w:tc>
          <w:tcPr>
            <w:tcW w:w="296" w:type="pct"/>
            <w:tcBorders>
              <w:top w:val="single" w:sz="4" w:space="0" w:color="auto"/>
              <w:left w:val="nil"/>
              <w:bottom w:val="single" w:sz="4" w:space="0" w:color="auto"/>
              <w:right w:val="single" w:sz="4" w:space="0" w:color="auto"/>
            </w:tcBorders>
            <w:shd w:val="clear" w:color="000000" w:fill="FFC000"/>
            <w:vAlign w:val="center"/>
            <w:hideMark/>
          </w:tcPr>
          <w:p w14:paraId="1792C6EF" w14:textId="77777777" w:rsidR="00A20990" w:rsidRPr="001A38D5" w:rsidRDefault="00A20990" w:rsidP="005140E1">
            <w:pPr>
              <w:contextualSpacing/>
              <w:jc w:val="center"/>
              <w:rPr>
                <w:rFonts w:eastAsia="Times New Roman" w:cs="Arial"/>
                <w:b/>
                <w:bCs/>
                <w:sz w:val="16"/>
                <w:szCs w:val="16"/>
                <w:lang w:val="es-CO" w:eastAsia="es-CO"/>
              </w:rPr>
            </w:pPr>
          </w:p>
        </w:tc>
        <w:tc>
          <w:tcPr>
            <w:tcW w:w="320" w:type="pct"/>
            <w:tcBorders>
              <w:top w:val="single" w:sz="4" w:space="0" w:color="auto"/>
              <w:left w:val="nil"/>
              <w:bottom w:val="single" w:sz="4" w:space="0" w:color="auto"/>
              <w:right w:val="single" w:sz="4" w:space="0" w:color="auto"/>
            </w:tcBorders>
            <w:shd w:val="clear" w:color="000000" w:fill="FFC000"/>
            <w:vAlign w:val="center"/>
            <w:hideMark/>
          </w:tcPr>
          <w:p w14:paraId="74E685A1" w14:textId="77777777" w:rsidR="00A20990" w:rsidRPr="001A38D5" w:rsidRDefault="00A20990" w:rsidP="005140E1">
            <w:pPr>
              <w:contextualSpacing/>
              <w:jc w:val="center"/>
              <w:rPr>
                <w:rFonts w:eastAsia="Times New Roman" w:cs="Arial"/>
                <w:b/>
                <w:bCs/>
                <w:sz w:val="16"/>
                <w:szCs w:val="16"/>
                <w:lang w:val="es-CO" w:eastAsia="es-CO"/>
              </w:rPr>
            </w:pPr>
          </w:p>
        </w:tc>
        <w:tc>
          <w:tcPr>
            <w:tcW w:w="281" w:type="pct"/>
            <w:tcBorders>
              <w:top w:val="single" w:sz="4" w:space="0" w:color="auto"/>
              <w:left w:val="nil"/>
              <w:bottom w:val="single" w:sz="4" w:space="0" w:color="auto"/>
              <w:right w:val="single" w:sz="4" w:space="0" w:color="auto"/>
            </w:tcBorders>
            <w:shd w:val="clear" w:color="000000" w:fill="FFC000"/>
            <w:vAlign w:val="center"/>
            <w:hideMark/>
          </w:tcPr>
          <w:p w14:paraId="4AA16447" w14:textId="77777777" w:rsidR="00A20990" w:rsidRPr="001A38D5" w:rsidRDefault="00A20990" w:rsidP="005140E1">
            <w:pPr>
              <w:contextualSpacing/>
              <w:jc w:val="center"/>
              <w:rPr>
                <w:rFonts w:eastAsia="Times New Roman" w:cs="Arial"/>
                <w:b/>
                <w:bCs/>
                <w:sz w:val="16"/>
                <w:szCs w:val="16"/>
                <w:lang w:val="es-CO" w:eastAsia="es-CO"/>
              </w:rPr>
            </w:pPr>
          </w:p>
        </w:tc>
        <w:tc>
          <w:tcPr>
            <w:tcW w:w="296" w:type="pct"/>
            <w:tcBorders>
              <w:top w:val="single" w:sz="4" w:space="0" w:color="auto"/>
              <w:left w:val="nil"/>
              <w:bottom w:val="single" w:sz="4" w:space="0" w:color="auto"/>
              <w:right w:val="single" w:sz="4" w:space="0" w:color="auto"/>
            </w:tcBorders>
            <w:shd w:val="clear" w:color="000000" w:fill="FFC000"/>
            <w:vAlign w:val="center"/>
            <w:hideMark/>
          </w:tcPr>
          <w:p w14:paraId="2C90DC20" w14:textId="77777777" w:rsidR="00A20990" w:rsidRPr="001A38D5" w:rsidRDefault="00A20990" w:rsidP="005140E1">
            <w:pPr>
              <w:contextualSpacing/>
              <w:jc w:val="center"/>
              <w:rPr>
                <w:rFonts w:eastAsia="Times New Roman" w:cs="Arial"/>
                <w:b/>
                <w:bCs/>
                <w:sz w:val="16"/>
                <w:szCs w:val="16"/>
                <w:lang w:val="es-CO" w:eastAsia="es-CO"/>
              </w:rPr>
            </w:pPr>
          </w:p>
        </w:tc>
        <w:tc>
          <w:tcPr>
            <w:tcW w:w="310" w:type="pct"/>
            <w:tcBorders>
              <w:top w:val="single" w:sz="4" w:space="0" w:color="auto"/>
              <w:left w:val="nil"/>
              <w:bottom w:val="single" w:sz="4" w:space="0" w:color="auto"/>
              <w:right w:val="single" w:sz="4" w:space="0" w:color="auto"/>
            </w:tcBorders>
            <w:shd w:val="clear" w:color="000000" w:fill="FFC000"/>
            <w:vAlign w:val="center"/>
            <w:hideMark/>
          </w:tcPr>
          <w:p w14:paraId="4C59736B" w14:textId="77777777" w:rsidR="00A20990" w:rsidRPr="001A38D5" w:rsidRDefault="00A20990" w:rsidP="005140E1">
            <w:pPr>
              <w:contextualSpacing/>
              <w:jc w:val="center"/>
              <w:rPr>
                <w:rFonts w:eastAsia="Times New Roman" w:cs="Arial"/>
                <w:b/>
                <w:bCs/>
                <w:sz w:val="16"/>
                <w:szCs w:val="16"/>
                <w:lang w:val="es-CO" w:eastAsia="es-CO"/>
              </w:rPr>
            </w:pPr>
          </w:p>
        </w:tc>
        <w:tc>
          <w:tcPr>
            <w:tcW w:w="283" w:type="pct"/>
            <w:tcBorders>
              <w:top w:val="single" w:sz="4" w:space="0" w:color="auto"/>
              <w:left w:val="nil"/>
              <w:bottom w:val="single" w:sz="4" w:space="0" w:color="auto"/>
              <w:right w:val="single" w:sz="4" w:space="0" w:color="auto"/>
            </w:tcBorders>
            <w:shd w:val="clear" w:color="000000" w:fill="FFC000"/>
            <w:vAlign w:val="center"/>
            <w:hideMark/>
          </w:tcPr>
          <w:p w14:paraId="1EADA7C4" w14:textId="77777777" w:rsidR="00A20990" w:rsidRPr="001A38D5" w:rsidRDefault="00A20990" w:rsidP="005140E1">
            <w:pPr>
              <w:contextualSpacing/>
              <w:jc w:val="center"/>
              <w:rPr>
                <w:rFonts w:eastAsia="Times New Roman" w:cs="Arial"/>
                <w:b/>
                <w:bCs/>
                <w:sz w:val="16"/>
                <w:szCs w:val="16"/>
                <w:lang w:val="es-CO" w:eastAsia="es-CO"/>
              </w:rPr>
            </w:pPr>
          </w:p>
        </w:tc>
        <w:tc>
          <w:tcPr>
            <w:tcW w:w="296" w:type="pct"/>
            <w:tcBorders>
              <w:top w:val="single" w:sz="4" w:space="0" w:color="auto"/>
              <w:left w:val="nil"/>
              <w:bottom w:val="single" w:sz="4" w:space="0" w:color="auto"/>
              <w:right w:val="single" w:sz="4" w:space="0" w:color="auto"/>
            </w:tcBorders>
            <w:shd w:val="clear" w:color="000000" w:fill="FFC000"/>
            <w:vAlign w:val="center"/>
            <w:hideMark/>
          </w:tcPr>
          <w:p w14:paraId="0709C028" w14:textId="77777777" w:rsidR="00A20990" w:rsidRPr="001A38D5" w:rsidRDefault="00A20990" w:rsidP="005140E1">
            <w:pPr>
              <w:contextualSpacing/>
              <w:jc w:val="center"/>
              <w:rPr>
                <w:rFonts w:eastAsia="Times New Roman" w:cs="Arial"/>
                <w:b/>
                <w:bCs/>
                <w:sz w:val="16"/>
                <w:szCs w:val="16"/>
                <w:lang w:val="es-CO" w:eastAsia="es-CO"/>
              </w:rPr>
            </w:pPr>
          </w:p>
        </w:tc>
        <w:tc>
          <w:tcPr>
            <w:tcW w:w="296" w:type="pct"/>
            <w:tcBorders>
              <w:top w:val="single" w:sz="4" w:space="0" w:color="auto"/>
              <w:left w:val="nil"/>
              <w:bottom w:val="single" w:sz="4" w:space="0" w:color="auto"/>
              <w:right w:val="single" w:sz="4" w:space="0" w:color="auto"/>
            </w:tcBorders>
            <w:shd w:val="clear" w:color="000000" w:fill="FFC000"/>
            <w:vAlign w:val="center"/>
            <w:hideMark/>
          </w:tcPr>
          <w:p w14:paraId="1C1D699E" w14:textId="77777777" w:rsidR="00A20990" w:rsidRPr="001A38D5" w:rsidRDefault="00A20990" w:rsidP="005140E1">
            <w:pPr>
              <w:contextualSpacing/>
              <w:jc w:val="center"/>
              <w:rPr>
                <w:rFonts w:eastAsia="Times New Roman" w:cs="Arial"/>
                <w:b/>
                <w:bCs/>
                <w:sz w:val="16"/>
                <w:szCs w:val="16"/>
                <w:lang w:val="es-CO" w:eastAsia="es-CO"/>
              </w:rPr>
            </w:pPr>
          </w:p>
        </w:tc>
        <w:tc>
          <w:tcPr>
            <w:tcW w:w="353" w:type="pct"/>
            <w:tcBorders>
              <w:top w:val="single" w:sz="4" w:space="0" w:color="auto"/>
              <w:left w:val="nil"/>
              <w:bottom w:val="single" w:sz="4" w:space="0" w:color="auto"/>
              <w:right w:val="single" w:sz="4" w:space="0" w:color="auto"/>
            </w:tcBorders>
            <w:shd w:val="clear" w:color="000000" w:fill="FFC000"/>
            <w:vAlign w:val="center"/>
            <w:hideMark/>
          </w:tcPr>
          <w:p w14:paraId="2F6996E2" w14:textId="77777777" w:rsidR="00A20990" w:rsidRPr="001A38D5" w:rsidRDefault="00A20990" w:rsidP="005140E1">
            <w:pPr>
              <w:contextualSpacing/>
              <w:jc w:val="center"/>
              <w:rPr>
                <w:rFonts w:eastAsia="Times New Roman" w:cs="Arial"/>
                <w:b/>
                <w:bCs/>
                <w:sz w:val="16"/>
                <w:szCs w:val="16"/>
                <w:lang w:val="es-CO" w:eastAsia="es-CO"/>
              </w:rPr>
            </w:pPr>
          </w:p>
        </w:tc>
        <w:tc>
          <w:tcPr>
            <w:tcW w:w="285" w:type="pct"/>
            <w:tcBorders>
              <w:top w:val="single" w:sz="4" w:space="0" w:color="auto"/>
              <w:left w:val="nil"/>
              <w:bottom w:val="single" w:sz="4" w:space="0" w:color="auto"/>
              <w:right w:val="single" w:sz="4" w:space="0" w:color="auto"/>
            </w:tcBorders>
            <w:shd w:val="clear" w:color="000000" w:fill="FFC000"/>
            <w:vAlign w:val="center"/>
            <w:hideMark/>
          </w:tcPr>
          <w:p w14:paraId="00CE36B2" w14:textId="77777777" w:rsidR="00A20990" w:rsidRPr="001A38D5" w:rsidRDefault="00A20990" w:rsidP="005140E1">
            <w:pPr>
              <w:contextualSpacing/>
              <w:jc w:val="center"/>
              <w:rPr>
                <w:rFonts w:eastAsia="Times New Roman" w:cs="Arial"/>
                <w:b/>
                <w:bCs/>
                <w:sz w:val="16"/>
                <w:szCs w:val="16"/>
                <w:lang w:val="es-CO" w:eastAsia="es-CO"/>
              </w:rPr>
            </w:pPr>
          </w:p>
        </w:tc>
        <w:tc>
          <w:tcPr>
            <w:tcW w:w="285" w:type="pct"/>
            <w:tcBorders>
              <w:top w:val="single" w:sz="4" w:space="0" w:color="auto"/>
              <w:left w:val="nil"/>
              <w:bottom w:val="single" w:sz="4" w:space="0" w:color="auto"/>
              <w:right w:val="single" w:sz="4" w:space="0" w:color="auto"/>
            </w:tcBorders>
            <w:shd w:val="clear" w:color="000000" w:fill="FFC000"/>
            <w:vAlign w:val="center"/>
            <w:hideMark/>
          </w:tcPr>
          <w:p w14:paraId="0214EEEF" w14:textId="77777777" w:rsidR="00A20990" w:rsidRPr="001A38D5" w:rsidRDefault="00A20990" w:rsidP="005140E1">
            <w:pPr>
              <w:contextualSpacing/>
              <w:jc w:val="center"/>
              <w:rPr>
                <w:rFonts w:eastAsia="Times New Roman" w:cs="Arial"/>
                <w:b/>
                <w:bCs/>
                <w:sz w:val="16"/>
                <w:szCs w:val="16"/>
                <w:lang w:val="es-CO" w:eastAsia="es-CO"/>
              </w:rPr>
            </w:pPr>
          </w:p>
        </w:tc>
        <w:tc>
          <w:tcPr>
            <w:tcW w:w="285" w:type="pct"/>
            <w:tcBorders>
              <w:top w:val="single" w:sz="4" w:space="0" w:color="auto"/>
              <w:left w:val="nil"/>
              <w:bottom w:val="single" w:sz="4" w:space="0" w:color="auto"/>
              <w:right w:val="single" w:sz="4" w:space="0" w:color="auto"/>
            </w:tcBorders>
            <w:shd w:val="clear" w:color="000000" w:fill="FFC000"/>
            <w:vAlign w:val="center"/>
            <w:hideMark/>
          </w:tcPr>
          <w:p w14:paraId="781EF700" w14:textId="77777777" w:rsidR="00A20990" w:rsidRPr="001A38D5" w:rsidRDefault="00A20990" w:rsidP="005140E1">
            <w:pPr>
              <w:contextualSpacing/>
              <w:jc w:val="center"/>
              <w:rPr>
                <w:rFonts w:eastAsia="Times New Roman" w:cs="Arial"/>
                <w:b/>
                <w:bCs/>
                <w:sz w:val="16"/>
                <w:szCs w:val="16"/>
                <w:lang w:val="es-CO" w:eastAsia="es-CO"/>
              </w:rPr>
            </w:pPr>
          </w:p>
        </w:tc>
        <w:tc>
          <w:tcPr>
            <w:tcW w:w="285" w:type="pct"/>
            <w:tcBorders>
              <w:top w:val="single" w:sz="4" w:space="0" w:color="auto"/>
              <w:left w:val="nil"/>
              <w:bottom w:val="single" w:sz="4" w:space="0" w:color="auto"/>
              <w:right w:val="single" w:sz="4" w:space="0" w:color="auto"/>
            </w:tcBorders>
            <w:shd w:val="clear" w:color="000000" w:fill="FFC000"/>
            <w:vAlign w:val="center"/>
            <w:hideMark/>
          </w:tcPr>
          <w:p w14:paraId="56F6BED5" w14:textId="77777777" w:rsidR="00A20990" w:rsidRPr="001A38D5" w:rsidRDefault="00A20990" w:rsidP="005140E1">
            <w:pPr>
              <w:contextualSpacing/>
              <w:jc w:val="center"/>
              <w:rPr>
                <w:rFonts w:eastAsia="Times New Roman" w:cs="Arial"/>
                <w:b/>
                <w:bCs/>
                <w:sz w:val="16"/>
                <w:szCs w:val="16"/>
                <w:lang w:val="es-CO" w:eastAsia="es-CO"/>
              </w:rPr>
            </w:pPr>
          </w:p>
        </w:tc>
        <w:tc>
          <w:tcPr>
            <w:tcW w:w="285" w:type="pct"/>
            <w:tcBorders>
              <w:top w:val="single" w:sz="4" w:space="0" w:color="auto"/>
              <w:left w:val="nil"/>
              <w:bottom w:val="single" w:sz="4" w:space="0" w:color="auto"/>
              <w:right w:val="single" w:sz="4" w:space="0" w:color="auto"/>
            </w:tcBorders>
            <w:shd w:val="clear" w:color="000000" w:fill="FFC000"/>
            <w:vAlign w:val="center"/>
            <w:hideMark/>
          </w:tcPr>
          <w:p w14:paraId="5303DE66" w14:textId="77777777" w:rsidR="00A20990" w:rsidRPr="001A38D5" w:rsidRDefault="00A20990" w:rsidP="005140E1">
            <w:pPr>
              <w:contextualSpacing/>
              <w:jc w:val="center"/>
              <w:rPr>
                <w:rFonts w:eastAsia="Times New Roman" w:cs="Arial"/>
                <w:b/>
                <w:bCs/>
                <w:sz w:val="16"/>
                <w:szCs w:val="16"/>
                <w:lang w:val="es-CO" w:eastAsia="es-CO"/>
              </w:rPr>
            </w:pPr>
          </w:p>
        </w:tc>
        <w:tc>
          <w:tcPr>
            <w:tcW w:w="353" w:type="pct"/>
            <w:tcBorders>
              <w:top w:val="single" w:sz="4" w:space="0" w:color="auto"/>
              <w:left w:val="nil"/>
              <w:bottom w:val="single" w:sz="4" w:space="0" w:color="auto"/>
              <w:right w:val="single" w:sz="4" w:space="0" w:color="auto"/>
            </w:tcBorders>
            <w:shd w:val="clear" w:color="000000" w:fill="FFC000"/>
            <w:vAlign w:val="center"/>
            <w:hideMark/>
          </w:tcPr>
          <w:p w14:paraId="5677D3E8" w14:textId="77777777" w:rsidR="00A20990" w:rsidRPr="001A38D5" w:rsidRDefault="00A20990" w:rsidP="005140E1">
            <w:pPr>
              <w:contextualSpacing/>
              <w:jc w:val="center"/>
              <w:rPr>
                <w:rFonts w:eastAsia="Times New Roman" w:cs="Arial"/>
                <w:b/>
                <w:bCs/>
                <w:sz w:val="16"/>
                <w:szCs w:val="16"/>
                <w:lang w:val="es-CO" w:eastAsia="es-CO"/>
              </w:rPr>
            </w:pPr>
          </w:p>
        </w:tc>
      </w:tr>
      <w:tr w:rsidR="001A38D5" w:rsidRPr="001A38D5" w14:paraId="2E97811A"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577C279A"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Contrato</w:t>
            </w:r>
          </w:p>
        </w:tc>
        <w:tc>
          <w:tcPr>
            <w:tcW w:w="296" w:type="pct"/>
            <w:tcBorders>
              <w:top w:val="nil"/>
              <w:left w:val="nil"/>
              <w:bottom w:val="single" w:sz="4" w:space="0" w:color="auto"/>
              <w:right w:val="single" w:sz="4" w:space="0" w:color="auto"/>
            </w:tcBorders>
            <w:shd w:val="clear" w:color="auto" w:fill="auto"/>
            <w:vAlign w:val="center"/>
            <w:hideMark/>
          </w:tcPr>
          <w:p w14:paraId="51081DE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3F6F1FE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2527884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auto"/>
            <w:vAlign w:val="center"/>
            <w:hideMark/>
          </w:tcPr>
          <w:p w14:paraId="78A30D5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22429EE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70D648C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67B3AE3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733095B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29EC0D0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5FBCC27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677C87B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2F709FA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0EA9876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18BC946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53" w:type="pct"/>
            <w:tcBorders>
              <w:top w:val="nil"/>
              <w:left w:val="nil"/>
              <w:bottom w:val="single" w:sz="4" w:space="0" w:color="auto"/>
              <w:right w:val="single" w:sz="4" w:space="0" w:color="auto"/>
            </w:tcBorders>
            <w:shd w:val="clear" w:color="auto" w:fill="auto"/>
            <w:vAlign w:val="center"/>
            <w:hideMark/>
          </w:tcPr>
          <w:p w14:paraId="1595CAF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2E4CBCEF"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05409E76"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Acta de inicio</w:t>
            </w:r>
          </w:p>
        </w:tc>
        <w:tc>
          <w:tcPr>
            <w:tcW w:w="296" w:type="pct"/>
            <w:tcBorders>
              <w:top w:val="nil"/>
              <w:left w:val="nil"/>
              <w:bottom w:val="single" w:sz="4" w:space="0" w:color="auto"/>
              <w:right w:val="single" w:sz="4" w:space="0" w:color="auto"/>
            </w:tcBorders>
            <w:shd w:val="clear" w:color="auto" w:fill="auto"/>
            <w:vAlign w:val="center"/>
            <w:hideMark/>
          </w:tcPr>
          <w:p w14:paraId="1B0BCA7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2E62260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065966E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96" w:type="pct"/>
            <w:tcBorders>
              <w:top w:val="nil"/>
              <w:left w:val="nil"/>
              <w:bottom w:val="single" w:sz="4" w:space="0" w:color="auto"/>
              <w:right w:val="single" w:sz="4" w:space="0" w:color="auto"/>
            </w:tcBorders>
            <w:shd w:val="clear" w:color="auto" w:fill="auto"/>
            <w:vAlign w:val="center"/>
            <w:hideMark/>
          </w:tcPr>
          <w:p w14:paraId="2ECDAAF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2325D4E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7D645FD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0EBE1D2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2E71AE8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5A4205F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31EC2ED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4CCE0B4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7948C5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85" w:type="pct"/>
            <w:tcBorders>
              <w:top w:val="nil"/>
              <w:left w:val="nil"/>
              <w:bottom w:val="single" w:sz="4" w:space="0" w:color="auto"/>
              <w:right w:val="single" w:sz="4" w:space="0" w:color="auto"/>
            </w:tcBorders>
            <w:shd w:val="clear" w:color="auto" w:fill="auto"/>
            <w:vAlign w:val="center"/>
            <w:hideMark/>
          </w:tcPr>
          <w:p w14:paraId="38D80F9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53DAD99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353" w:type="pct"/>
            <w:tcBorders>
              <w:top w:val="nil"/>
              <w:left w:val="nil"/>
              <w:bottom w:val="single" w:sz="4" w:space="0" w:color="auto"/>
              <w:right w:val="single" w:sz="4" w:space="0" w:color="auto"/>
            </w:tcBorders>
            <w:shd w:val="clear" w:color="auto" w:fill="auto"/>
            <w:vAlign w:val="center"/>
            <w:hideMark/>
          </w:tcPr>
          <w:p w14:paraId="0DDB3A0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69E27ECB"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50F8F9B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Aprobación de la póliza </w:t>
            </w:r>
          </w:p>
        </w:tc>
        <w:tc>
          <w:tcPr>
            <w:tcW w:w="296" w:type="pct"/>
            <w:tcBorders>
              <w:top w:val="nil"/>
              <w:left w:val="nil"/>
              <w:bottom w:val="single" w:sz="4" w:space="0" w:color="auto"/>
              <w:right w:val="single" w:sz="4" w:space="0" w:color="auto"/>
            </w:tcBorders>
            <w:shd w:val="clear" w:color="auto" w:fill="F2DBDB" w:themeFill="accent2" w:themeFillTint="33"/>
            <w:vAlign w:val="center"/>
          </w:tcPr>
          <w:p w14:paraId="7A91842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320" w:type="pct"/>
            <w:tcBorders>
              <w:top w:val="nil"/>
              <w:left w:val="nil"/>
              <w:bottom w:val="single" w:sz="4" w:space="0" w:color="auto"/>
              <w:right w:val="single" w:sz="4" w:space="0" w:color="auto"/>
            </w:tcBorders>
            <w:shd w:val="clear" w:color="auto" w:fill="F2DBDB" w:themeFill="accent2" w:themeFillTint="33"/>
            <w:vAlign w:val="center"/>
            <w:hideMark/>
          </w:tcPr>
          <w:p w14:paraId="3B86AFD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81" w:type="pct"/>
            <w:tcBorders>
              <w:top w:val="nil"/>
              <w:left w:val="nil"/>
              <w:bottom w:val="single" w:sz="4" w:space="0" w:color="auto"/>
              <w:right w:val="single" w:sz="4" w:space="0" w:color="auto"/>
            </w:tcBorders>
            <w:shd w:val="clear" w:color="auto" w:fill="auto"/>
            <w:vAlign w:val="center"/>
            <w:hideMark/>
          </w:tcPr>
          <w:p w14:paraId="3915B56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auto"/>
            <w:vAlign w:val="center"/>
            <w:hideMark/>
          </w:tcPr>
          <w:p w14:paraId="10DC535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F2DBDB" w:themeFill="accent2" w:themeFillTint="33"/>
            <w:vAlign w:val="center"/>
            <w:hideMark/>
          </w:tcPr>
          <w:p w14:paraId="6F76B35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83" w:type="pct"/>
            <w:tcBorders>
              <w:top w:val="nil"/>
              <w:left w:val="nil"/>
              <w:bottom w:val="single" w:sz="4" w:space="0" w:color="auto"/>
              <w:right w:val="single" w:sz="4" w:space="0" w:color="auto"/>
            </w:tcBorders>
            <w:shd w:val="clear" w:color="auto" w:fill="auto"/>
            <w:vAlign w:val="center"/>
            <w:hideMark/>
          </w:tcPr>
          <w:p w14:paraId="37CAA59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743F3FE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3984A8D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314EF5A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3D322F6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49515D4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51755FD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1EEA812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2569FBB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53" w:type="pct"/>
            <w:tcBorders>
              <w:top w:val="nil"/>
              <w:left w:val="nil"/>
              <w:bottom w:val="single" w:sz="4" w:space="0" w:color="auto"/>
              <w:right w:val="single" w:sz="4" w:space="0" w:color="auto"/>
            </w:tcBorders>
            <w:shd w:val="clear" w:color="auto" w:fill="auto"/>
            <w:vAlign w:val="center"/>
            <w:hideMark/>
          </w:tcPr>
          <w:p w14:paraId="6DEAF5B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703A9FCC"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31272CDB"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Póliza </w:t>
            </w:r>
          </w:p>
        </w:tc>
        <w:tc>
          <w:tcPr>
            <w:tcW w:w="296" w:type="pct"/>
            <w:tcBorders>
              <w:top w:val="nil"/>
              <w:left w:val="nil"/>
              <w:bottom w:val="single" w:sz="4" w:space="0" w:color="auto"/>
              <w:right w:val="single" w:sz="4" w:space="0" w:color="auto"/>
            </w:tcBorders>
            <w:shd w:val="clear" w:color="auto" w:fill="F2DBDB" w:themeFill="accent2" w:themeFillTint="33"/>
            <w:vAlign w:val="center"/>
          </w:tcPr>
          <w:p w14:paraId="46F091B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320" w:type="pct"/>
            <w:tcBorders>
              <w:top w:val="nil"/>
              <w:left w:val="nil"/>
              <w:bottom w:val="single" w:sz="4" w:space="0" w:color="auto"/>
              <w:right w:val="single" w:sz="4" w:space="0" w:color="auto"/>
            </w:tcBorders>
            <w:shd w:val="clear" w:color="auto" w:fill="F2DBDB" w:themeFill="accent2" w:themeFillTint="33"/>
            <w:vAlign w:val="center"/>
            <w:hideMark/>
          </w:tcPr>
          <w:p w14:paraId="16140B1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19FABF9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96" w:type="pct"/>
            <w:tcBorders>
              <w:top w:val="nil"/>
              <w:left w:val="nil"/>
              <w:bottom w:val="single" w:sz="4" w:space="0" w:color="auto"/>
              <w:right w:val="single" w:sz="4" w:space="0" w:color="auto"/>
            </w:tcBorders>
            <w:shd w:val="clear" w:color="auto" w:fill="auto"/>
            <w:vAlign w:val="center"/>
            <w:hideMark/>
          </w:tcPr>
          <w:p w14:paraId="4393A5F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1253E15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36F84E7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6EE7549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3BA42BF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2438B01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2DC7ABF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601CB4C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48507A9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527C624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08D2183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53" w:type="pct"/>
            <w:tcBorders>
              <w:top w:val="nil"/>
              <w:left w:val="nil"/>
              <w:bottom w:val="single" w:sz="4" w:space="0" w:color="auto"/>
              <w:right w:val="single" w:sz="4" w:space="0" w:color="auto"/>
            </w:tcBorders>
            <w:shd w:val="clear" w:color="auto" w:fill="auto"/>
            <w:vAlign w:val="center"/>
            <w:hideMark/>
          </w:tcPr>
          <w:p w14:paraId="7EF74C6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0900E4E6"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14113E8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Informes de supervisión </w:t>
            </w:r>
          </w:p>
        </w:tc>
        <w:tc>
          <w:tcPr>
            <w:tcW w:w="296" w:type="pct"/>
            <w:tcBorders>
              <w:top w:val="nil"/>
              <w:left w:val="nil"/>
              <w:bottom w:val="single" w:sz="4" w:space="0" w:color="auto"/>
              <w:right w:val="single" w:sz="4" w:space="0" w:color="auto"/>
            </w:tcBorders>
            <w:shd w:val="clear" w:color="auto" w:fill="auto"/>
            <w:vAlign w:val="center"/>
            <w:hideMark/>
          </w:tcPr>
          <w:p w14:paraId="7498D71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2681B9C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59C1929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auto"/>
            <w:vAlign w:val="center"/>
            <w:hideMark/>
          </w:tcPr>
          <w:p w14:paraId="722074C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622CE7A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6FC0117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366BD31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618EA5D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387C628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16DC847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24D2EEF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4B26983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22A9E34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6A7FD85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53" w:type="pct"/>
            <w:tcBorders>
              <w:top w:val="nil"/>
              <w:left w:val="nil"/>
              <w:bottom w:val="single" w:sz="4" w:space="0" w:color="auto"/>
              <w:right w:val="single" w:sz="4" w:space="0" w:color="auto"/>
            </w:tcBorders>
            <w:shd w:val="clear" w:color="auto" w:fill="FFFFFF" w:themeFill="background1"/>
            <w:vAlign w:val="center"/>
            <w:hideMark/>
          </w:tcPr>
          <w:p w14:paraId="459BE73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7C3A9B9B"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0259F179"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Modificaciones</w:t>
            </w:r>
          </w:p>
        </w:tc>
        <w:tc>
          <w:tcPr>
            <w:tcW w:w="296" w:type="pct"/>
            <w:tcBorders>
              <w:top w:val="nil"/>
              <w:left w:val="nil"/>
              <w:bottom w:val="single" w:sz="4" w:space="0" w:color="auto"/>
              <w:right w:val="single" w:sz="4" w:space="0" w:color="auto"/>
            </w:tcBorders>
            <w:shd w:val="clear" w:color="auto" w:fill="auto"/>
            <w:vAlign w:val="center"/>
            <w:hideMark/>
          </w:tcPr>
          <w:p w14:paraId="4F915EF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16F5D3F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6FD0D90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auto"/>
            <w:vAlign w:val="center"/>
            <w:hideMark/>
          </w:tcPr>
          <w:p w14:paraId="3A23EEB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0F8A9DD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53D6A23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6C18FE2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15DAFB8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0CF05079"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7A4BF10B"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4E6B30F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0141C12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529BDE1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40A3176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53" w:type="pct"/>
            <w:tcBorders>
              <w:top w:val="nil"/>
              <w:left w:val="nil"/>
              <w:bottom w:val="single" w:sz="4" w:space="0" w:color="auto"/>
              <w:right w:val="single" w:sz="4" w:space="0" w:color="auto"/>
            </w:tcBorders>
            <w:shd w:val="clear" w:color="auto" w:fill="auto"/>
            <w:vAlign w:val="center"/>
            <w:hideMark/>
          </w:tcPr>
          <w:p w14:paraId="4BC5BEE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7CBDA77F" w14:textId="77777777" w:rsidTr="009E74D6">
        <w:trPr>
          <w:trHeight w:val="6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6F707FC5"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 xml:space="preserve">RP </w:t>
            </w:r>
          </w:p>
        </w:tc>
        <w:tc>
          <w:tcPr>
            <w:tcW w:w="296" w:type="pct"/>
            <w:tcBorders>
              <w:top w:val="nil"/>
              <w:left w:val="nil"/>
              <w:bottom w:val="single" w:sz="4" w:space="0" w:color="auto"/>
              <w:right w:val="single" w:sz="4" w:space="0" w:color="auto"/>
            </w:tcBorders>
            <w:shd w:val="clear" w:color="auto" w:fill="auto"/>
            <w:vAlign w:val="center"/>
            <w:hideMark/>
          </w:tcPr>
          <w:p w14:paraId="49E2892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12B455E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2B4FD29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auto"/>
            <w:vAlign w:val="center"/>
            <w:hideMark/>
          </w:tcPr>
          <w:p w14:paraId="304DA3C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2D90A50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21176C3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1AA0153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0A5A832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4D66FE8F"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03408A0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5DFC968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3E2753F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05CC3D6A"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auto"/>
            <w:vAlign w:val="center"/>
            <w:hideMark/>
          </w:tcPr>
          <w:p w14:paraId="075CBE7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53" w:type="pct"/>
            <w:tcBorders>
              <w:top w:val="nil"/>
              <w:left w:val="nil"/>
              <w:bottom w:val="single" w:sz="4" w:space="0" w:color="auto"/>
              <w:right w:val="single" w:sz="4" w:space="0" w:color="auto"/>
            </w:tcBorders>
            <w:shd w:val="clear" w:color="auto" w:fill="auto"/>
            <w:vAlign w:val="center"/>
            <w:hideMark/>
          </w:tcPr>
          <w:p w14:paraId="0C037C2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r w:rsidR="001A38D5" w:rsidRPr="001A38D5" w14:paraId="6EF29E21" w14:textId="77777777" w:rsidTr="009E74D6">
        <w:trPr>
          <w:trHeight w:val="20"/>
          <w:jc w:val="center"/>
        </w:trPr>
        <w:tc>
          <w:tcPr>
            <w:tcW w:w="49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2CFA51B" w14:textId="77777777" w:rsidR="00A20990" w:rsidRPr="001A38D5" w:rsidRDefault="00A20990" w:rsidP="005140E1">
            <w:pPr>
              <w:contextualSpacing/>
              <w:rPr>
                <w:rFonts w:eastAsia="Times New Roman" w:cs="Arial"/>
                <w:b/>
                <w:bCs/>
                <w:sz w:val="14"/>
                <w:szCs w:val="14"/>
                <w:lang w:val="es-CO" w:eastAsia="es-CO"/>
              </w:rPr>
            </w:pPr>
            <w:r w:rsidRPr="001A38D5">
              <w:rPr>
                <w:rFonts w:eastAsia="Times New Roman" w:cs="Arial"/>
                <w:b/>
                <w:bCs/>
                <w:sz w:val="14"/>
                <w:szCs w:val="14"/>
                <w:lang w:eastAsia="es-CO"/>
              </w:rPr>
              <w:t>Poscontrac</w:t>
            </w:r>
            <w:r w:rsidR="009E74D6">
              <w:rPr>
                <w:rFonts w:eastAsia="Times New Roman" w:cs="Arial"/>
                <w:b/>
                <w:bCs/>
                <w:sz w:val="14"/>
                <w:szCs w:val="14"/>
                <w:lang w:eastAsia="es-CO"/>
              </w:rPr>
              <w:t>-</w:t>
            </w:r>
            <w:r w:rsidRPr="001A38D5">
              <w:rPr>
                <w:rFonts w:eastAsia="Times New Roman" w:cs="Arial"/>
                <w:b/>
                <w:bCs/>
                <w:sz w:val="14"/>
                <w:szCs w:val="14"/>
                <w:lang w:eastAsia="es-CO"/>
              </w:rPr>
              <w:t>tual</w:t>
            </w:r>
          </w:p>
        </w:tc>
        <w:tc>
          <w:tcPr>
            <w:tcW w:w="296" w:type="pct"/>
            <w:tcBorders>
              <w:top w:val="single" w:sz="4" w:space="0" w:color="auto"/>
              <w:left w:val="nil"/>
              <w:bottom w:val="single" w:sz="4" w:space="0" w:color="auto"/>
              <w:right w:val="single" w:sz="4" w:space="0" w:color="auto"/>
            </w:tcBorders>
            <w:shd w:val="clear" w:color="000000" w:fill="FFC000"/>
            <w:vAlign w:val="center"/>
            <w:hideMark/>
          </w:tcPr>
          <w:p w14:paraId="42FDBAED" w14:textId="77777777" w:rsidR="00A20990" w:rsidRPr="001A38D5" w:rsidRDefault="00A20990" w:rsidP="005140E1">
            <w:pPr>
              <w:contextualSpacing/>
              <w:jc w:val="center"/>
              <w:rPr>
                <w:rFonts w:eastAsia="Times New Roman" w:cs="Arial"/>
                <w:b/>
                <w:bCs/>
                <w:sz w:val="16"/>
                <w:szCs w:val="16"/>
                <w:lang w:val="es-CO" w:eastAsia="es-CO"/>
              </w:rPr>
            </w:pPr>
          </w:p>
        </w:tc>
        <w:tc>
          <w:tcPr>
            <w:tcW w:w="320" w:type="pct"/>
            <w:tcBorders>
              <w:top w:val="single" w:sz="4" w:space="0" w:color="auto"/>
              <w:left w:val="nil"/>
              <w:bottom w:val="single" w:sz="4" w:space="0" w:color="auto"/>
              <w:right w:val="single" w:sz="4" w:space="0" w:color="auto"/>
            </w:tcBorders>
            <w:shd w:val="clear" w:color="000000" w:fill="FFC000"/>
            <w:vAlign w:val="center"/>
            <w:hideMark/>
          </w:tcPr>
          <w:p w14:paraId="1AF8DFD4" w14:textId="77777777" w:rsidR="00A20990" w:rsidRPr="001A38D5" w:rsidRDefault="00A20990" w:rsidP="005140E1">
            <w:pPr>
              <w:contextualSpacing/>
              <w:jc w:val="center"/>
              <w:rPr>
                <w:rFonts w:eastAsia="Times New Roman" w:cs="Arial"/>
                <w:b/>
                <w:bCs/>
                <w:sz w:val="16"/>
                <w:szCs w:val="16"/>
                <w:lang w:val="es-CO" w:eastAsia="es-CO"/>
              </w:rPr>
            </w:pPr>
          </w:p>
        </w:tc>
        <w:tc>
          <w:tcPr>
            <w:tcW w:w="281" w:type="pct"/>
            <w:tcBorders>
              <w:top w:val="single" w:sz="4" w:space="0" w:color="auto"/>
              <w:left w:val="nil"/>
              <w:bottom w:val="single" w:sz="4" w:space="0" w:color="auto"/>
              <w:right w:val="single" w:sz="4" w:space="0" w:color="auto"/>
            </w:tcBorders>
            <w:shd w:val="clear" w:color="000000" w:fill="FFC000"/>
            <w:vAlign w:val="center"/>
            <w:hideMark/>
          </w:tcPr>
          <w:p w14:paraId="58AF97AA" w14:textId="77777777" w:rsidR="00A20990" w:rsidRPr="001A38D5" w:rsidRDefault="00A20990" w:rsidP="005140E1">
            <w:pPr>
              <w:contextualSpacing/>
              <w:jc w:val="center"/>
              <w:rPr>
                <w:rFonts w:eastAsia="Times New Roman" w:cs="Arial"/>
                <w:b/>
                <w:bCs/>
                <w:sz w:val="16"/>
                <w:szCs w:val="16"/>
                <w:lang w:val="es-CO" w:eastAsia="es-CO"/>
              </w:rPr>
            </w:pPr>
          </w:p>
        </w:tc>
        <w:tc>
          <w:tcPr>
            <w:tcW w:w="296" w:type="pct"/>
            <w:tcBorders>
              <w:top w:val="single" w:sz="4" w:space="0" w:color="auto"/>
              <w:left w:val="nil"/>
              <w:bottom w:val="single" w:sz="4" w:space="0" w:color="auto"/>
              <w:right w:val="single" w:sz="4" w:space="0" w:color="auto"/>
            </w:tcBorders>
            <w:shd w:val="clear" w:color="000000" w:fill="FFC000"/>
            <w:vAlign w:val="center"/>
            <w:hideMark/>
          </w:tcPr>
          <w:p w14:paraId="635A31D1" w14:textId="77777777" w:rsidR="00A20990" w:rsidRPr="001A38D5" w:rsidRDefault="00A20990" w:rsidP="005140E1">
            <w:pPr>
              <w:contextualSpacing/>
              <w:jc w:val="center"/>
              <w:rPr>
                <w:rFonts w:eastAsia="Times New Roman" w:cs="Arial"/>
                <w:b/>
                <w:bCs/>
                <w:sz w:val="16"/>
                <w:szCs w:val="16"/>
                <w:lang w:val="es-CO" w:eastAsia="es-CO"/>
              </w:rPr>
            </w:pPr>
          </w:p>
        </w:tc>
        <w:tc>
          <w:tcPr>
            <w:tcW w:w="310" w:type="pct"/>
            <w:tcBorders>
              <w:top w:val="single" w:sz="4" w:space="0" w:color="auto"/>
              <w:left w:val="nil"/>
              <w:bottom w:val="single" w:sz="4" w:space="0" w:color="auto"/>
              <w:right w:val="single" w:sz="4" w:space="0" w:color="auto"/>
            </w:tcBorders>
            <w:shd w:val="clear" w:color="000000" w:fill="FFC000"/>
            <w:vAlign w:val="center"/>
            <w:hideMark/>
          </w:tcPr>
          <w:p w14:paraId="16360FB2" w14:textId="77777777" w:rsidR="00A20990" w:rsidRPr="001A38D5" w:rsidRDefault="00A20990" w:rsidP="005140E1">
            <w:pPr>
              <w:contextualSpacing/>
              <w:jc w:val="center"/>
              <w:rPr>
                <w:rFonts w:eastAsia="Times New Roman" w:cs="Arial"/>
                <w:b/>
                <w:bCs/>
                <w:sz w:val="16"/>
                <w:szCs w:val="16"/>
                <w:lang w:val="es-CO" w:eastAsia="es-CO"/>
              </w:rPr>
            </w:pPr>
          </w:p>
        </w:tc>
        <w:tc>
          <w:tcPr>
            <w:tcW w:w="283" w:type="pct"/>
            <w:tcBorders>
              <w:top w:val="single" w:sz="4" w:space="0" w:color="auto"/>
              <w:left w:val="nil"/>
              <w:bottom w:val="single" w:sz="4" w:space="0" w:color="auto"/>
              <w:right w:val="single" w:sz="4" w:space="0" w:color="auto"/>
            </w:tcBorders>
            <w:shd w:val="clear" w:color="000000" w:fill="FFC000"/>
            <w:vAlign w:val="center"/>
            <w:hideMark/>
          </w:tcPr>
          <w:p w14:paraId="3304E14D" w14:textId="77777777" w:rsidR="00A20990" w:rsidRPr="001A38D5" w:rsidRDefault="00A20990" w:rsidP="005140E1">
            <w:pPr>
              <w:contextualSpacing/>
              <w:jc w:val="center"/>
              <w:rPr>
                <w:rFonts w:eastAsia="Times New Roman" w:cs="Arial"/>
                <w:b/>
                <w:bCs/>
                <w:sz w:val="16"/>
                <w:szCs w:val="16"/>
                <w:lang w:val="es-CO" w:eastAsia="es-CO"/>
              </w:rPr>
            </w:pPr>
          </w:p>
        </w:tc>
        <w:tc>
          <w:tcPr>
            <w:tcW w:w="296" w:type="pct"/>
            <w:tcBorders>
              <w:top w:val="single" w:sz="4" w:space="0" w:color="auto"/>
              <w:left w:val="nil"/>
              <w:bottom w:val="single" w:sz="4" w:space="0" w:color="auto"/>
              <w:right w:val="single" w:sz="4" w:space="0" w:color="auto"/>
            </w:tcBorders>
            <w:shd w:val="clear" w:color="000000" w:fill="FFC000"/>
            <w:vAlign w:val="center"/>
            <w:hideMark/>
          </w:tcPr>
          <w:p w14:paraId="5D44254E" w14:textId="77777777" w:rsidR="00A20990" w:rsidRPr="001A38D5" w:rsidRDefault="00A20990" w:rsidP="005140E1">
            <w:pPr>
              <w:contextualSpacing/>
              <w:jc w:val="center"/>
              <w:rPr>
                <w:rFonts w:eastAsia="Times New Roman" w:cs="Arial"/>
                <w:b/>
                <w:bCs/>
                <w:sz w:val="16"/>
                <w:szCs w:val="16"/>
                <w:lang w:val="es-CO" w:eastAsia="es-CO"/>
              </w:rPr>
            </w:pPr>
          </w:p>
        </w:tc>
        <w:tc>
          <w:tcPr>
            <w:tcW w:w="296" w:type="pct"/>
            <w:tcBorders>
              <w:top w:val="single" w:sz="4" w:space="0" w:color="auto"/>
              <w:left w:val="nil"/>
              <w:bottom w:val="single" w:sz="4" w:space="0" w:color="auto"/>
              <w:right w:val="single" w:sz="4" w:space="0" w:color="auto"/>
            </w:tcBorders>
            <w:shd w:val="clear" w:color="000000" w:fill="FFC000"/>
            <w:vAlign w:val="center"/>
            <w:hideMark/>
          </w:tcPr>
          <w:p w14:paraId="1A58157A" w14:textId="77777777" w:rsidR="00A20990" w:rsidRPr="001A38D5" w:rsidRDefault="00A20990" w:rsidP="005140E1">
            <w:pPr>
              <w:contextualSpacing/>
              <w:jc w:val="center"/>
              <w:rPr>
                <w:rFonts w:eastAsia="Times New Roman" w:cs="Arial"/>
                <w:b/>
                <w:bCs/>
                <w:sz w:val="16"/>
                <w:szCs w:val="16"/>
                <w:lang w:val="es-CO" w:eastAsia="es-CO"/>
              </w:rPr>
            </w:pPr>
          </w:p>
        </w:tc>
        <w:tc>
          <w:tcPr>
            <w:tcW w:w="353" w:type="pct"/>
            <w:tcBorders>
              <w:top w:val="single" w:sz="4" w:space="0" w:color="auto"/>
              <w:left w:val="nil"/>
              <w:bottom w:val="single" w:sz="4" w:space="0" w:color="auto"/>
              <w:right w:val="single" w:sz="4" w:space="0" w:color="auto"/>
            </w:tcBorders>
            <w:shd w:val="clear" w:color="000000" w:fill="FFC000"/>
            <w:vAlign w:val="center"/>
            <w:hideMark/>
          </w:tcPr>
          <w:p w14:paraId="403CB1A0" w14:textId="77777777" w:rsidR="00A20990" w:rsidRPr="001A38D5" w:rsidRDefault="00A20990" w:rsidP="005140E1">
            <w:pPr>
              <w:contextualSpacing/>
              <w:jc w:val="center"/>
              <w:rPr>
                <w:rFonts w:eastAsia="Times New Roman" w:cs="Arial"/>
                <w:b/>
                <w:bCs/>
                <w:sz w:val="16"/>
                <w:szCs w:val="16"/>
                <w:lang w:val="es-CO" w:eastAsia="es-CO"/>
              </w:rPr>
            </w:pPr>
          </w:p>
        </w:tc>
        <w:tc>
          <w:tcPr>
            <w:tcW w:w="285" w:type="pct"/>
            <w:tcBorders>
              <w:top w:val="single" w:sz="4" w:space="0" w:color="auto"/>
              <w:left w:val="nil"/>
              <w:bottom w:val="single" w:sz="4" w:space="0" w:color="auto"/>
              <w:right w:val="single" w:sz="4" w:space="0" w:color="auto"/>
            </w:tcBorders>
            <w:shd w:val="clear" w:color="000000" w:fill="FFC000"/>
            <w:vAlign w:val="center"/>
            <w:hideMark/>
          </w:tcPr>
          <w:p w14:paraId="73772BD3" w14:textId="77777777" w:rsidR="00A20990" w:rsidRPr="001A38D5" w:rsidRDefault="00A20990" w:rsidP="005140E1">
            <w:pPr>
              <w:contextualSpacing/>
              <w:jc w:val="center"/>
              <w:rPr>
                <w:rFonts w:eastAsia="Times New Roman" w:cs="Arial"/>
                <w:b/>
                <w:bCs/>
                <w:sz w:val="16"/>
                <w:szCs w:val="16"/>
                <w:lang w:val="es-CO" w:eastAsia="es-CO"/>
              </w:rPr>
            </w:pPr>
          </w:p>
        </w:tc>
        <w:tc>
          <w:tcPr>
            <w:tcW w:w="285" w:type="pct"/>
            <w:tcBorders>
              <w:top w:val="single" w:sz="4" w:space="0" w:color="auto"/>
              <w:left w:val="nil"/>
              <w:bottom w:val="single" w:sz="4" w:space="0" w:color="auto"/>
              <w:right w:val="single" w:sz="4" w:space="0" w:color="auto"/>
            </w:tcBorders>
            <w:shd w:val="clear" w:color="000000" w:fill="FFC000"/>
            <w:vAlign w:val="center"/>
            <w:hideMark/>
          </w:tcPr>
          <w:p w14:paraId="3DD942A7" w14:textId="77777777" w:rsidR="00A20990" w:rsidRPr="001A38D5" w:rsidRDefault="00A20990" w:rsidP="005140E1">
            <w:pPr>
              <w:contextualSpacing/>
              <w:jc w:val="center"/>
              <w:rPr>
                <w:rFonts w:eastAsia="Times New Roman" w:cs="Arial"/>
                <w:b/>
                <w:bCs/>
                <w:sz w:val="16"/>
                <w:szCs w:val="16"/>
                <w:lang w:val="es-CO" w:eastAsia="es-CO"/>
              </w:rPr>
            </w:pPr>
          </w:p>
        </w:tc>
        <w:tc>
          <w:tcPr>
            <w:tcW w:w="285" w:type="pct"/>
            <w:tcBorders>
              <w:top w:val="single" w:sz="4" w:space="0" w:color="auto"/>
              <w:left w:val="nil"/>
              <w:bottom w:val="single" w:sz="4" w:space="0" w:color="auto"/>
              <w:right w:val="single" w:sz="4" w:space="0" w:color="auto"/>
            </w:tcBorders>
            <w:shd w:val="clear" w:color="000000" w:fill="FFC000"/>
            <w:vAlign w:val="center"/>
            <w:hideMark/>
          </w:tcPr>
          <w:p w14:paraId="52DEC407" w14:textId="77777777" w:rsidR="00A20990" w:rsidRPr="001A38D5" w:rsidRDefault="00A20990" w:rsidP="005140E1">
            <w:pPr>
              <w:contextualSpacing/>
              <w:jc w:val="center"/>
              <w:rPr>
                <w:rFonts w:eastAsia="Times New Roman" w:cs="Arial"/>
                <w:b/>
                <w:bCs/>
                <w:sz w:val="16"/>
                <w:szCs w:val="16"/>
                <w:lang w:val="es-CO" w:eastAsia="es-CO"/>
              </w:rPr>
            </w:pPr>
          </w:p>
        </w:tc>
        <w:tc>
          <w:tcPr>
            <w:tcW w:w="285" w:type="pct"/>
            <w:tcBorders>
              <w:top w:val="single" w:sz="4" w:space="0" w:color="auto"/>
              <w:left w:val="nil"/>
              <w:bottom w:val="single" w:sz="4" w:space="0" w:color="auto"/>
              <w:right w:val="single" w:sz="4" w:space="0" w:color="auto"/>
            </w:tcBorders>
            <w:shd w:val="clear" w:color="000000" w:fill="FFC000"/>
            <w:vAlign w:val="center"/>
            <w:hideMark/>
          </w:tcPr>
          <w:p w14:paraId="471325B2" w14:textId="77777777" w:rsidR="00A20990" w:rsidRPr="001A38D5" w:rsidRDefault="00A20990" w:rsidP="005140E1">
            <w:pPr>
              <w:contextualSpacing/>
              <w:jc w:val="center"/>
              <w:rPr>
                <w:rFonts w:eastAsia="Times New Roman" w:cs="Arial"/>
                <w:b/>
                <w:bCs/>
                <w:sz w:val="16"/>
                <w:szCs w:val="16"/>
                <w:lang w:val="es-CO" w:eastAsia="es-CO"/>
              </w:rPr>
            </w:pPr>
          </w:p>
        </w:tc>
        <w:tc>
          <w:tcPr>
            <w:tcW w:w="285" w:type="pct"/>
            <w:tcBorders>
              <w:top w:val="single" w:sz="4" w:space="0" w:color="auto"/>
              <w:left w:val="nil"/>
              <w:bottom w:val="single" w:sz="4" w:space="0" w:color="auto"/>
              <w:right w:val="single" w:sz="4" w:space="0" w:color="auto"/>
            </w:tcBorders>
            <w:shd w:val="clear" w:color="000000" w:fill="FFC000"/>
            <w:vAlign w:val="center"/>
            <w:hideMark/>
          </w:tcPr>
          <w:p w14:paraId="4499FFBF" w14:textId="77777777" w:rsidR="00A20990" w:rsidRPr="001A38D5" w:rsidRDefault="00A20990" w:rsidP="005140E1">
            <w:pPr>
              <w:contextualSpacing/>
              <w:jc w:val="center"/>
              <w:rPr>
                <w:rFonts w:eastAsia="Times New Roman" w:cs="Arial"/>
                <w:b/>
                <w:bCs/>
                <w:sz w:val="16"/>
                <w:szCs w:val="16"/>
                <w:lang w:val="es-CO" w:eastAsia="es-CO"/>
              </w:rPr>
            </w:pPr>
          </w:p>
        </w:tc>
        <w:tc>
          <w:tcPr>
            <w:tcW w:w="353" w:type="pct"/>
            <w:tcBorders>
              <w:top w:val="single" w:sz="4" w:space="0" w:color="auto"/>
              <w:left w:val="nil"/>
              <w:bottom w:val="single" w:sz="4" w:space="0" w:color="auto"/>
              <w:right w:val="single" w:sz="4" w:space="0" w:color="auto"/>
            </w:tcBorders>
            <w:shd w:val="clear" w:color="000000" w:fill="FFC000"/>
            <w:vAlign w:val="center"/>
            <w:hideMark/>
          </w:tcPr>
          <w:p w14:paraId="62F5134F" w14:textId="77777777" w:rsidR="00A20990" w:rsidRPr="001A38D5" w:rsidRDefault="00A20990" w:rsidP="005140E1">
            <w:pPr>
              <w:contextualSpacing/>
              <w:jc w:val="center"/>
              <w:rPr>
                <w:rFonts w:eastAsia="Times New Roman" w:cs="Arial"/>
                <w:b/>
                <w:bCs/>
                <w:sz w:val="16"/>
                <w:szCs w:val="16"/>
                <w:lang w:val="es-CO" w:eastAsia="es-CO"/>
              </w:rPr>
            </w:pPr>
          </w:p>
        </w:tc>
      </w:tr>
      <w:tr w:rsidR="001A38D5" w:rsidRPr="001A38D5" w14:paraId="3A285FAC" w14:textId="77777777" w:rsidTr="00DF6316">
        <w:trPr>
          <w:trHeight w:val="20"/>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6CA94F6C" w14:textId="77777777" w:rsidR="00A20990" w:rsidRPr="001A38D5" w:rsidRDefault="00A20990" w:rsidP="005140E1">
            <w:pPr>
              <w:contextualSpacing/>
              <w:rPr>
                <w:rFonts w:eastAsia="Times New Roman" w:cs="Arial"/>
                <w:sz w:val="14"/>
                <w:szCs w:val="14"/>
                <w:lang w:val="es-CO" w:eastAsia="es-CO"/>
              </w:rPr>
            </w:pPr>
            <w:r w:rsidRPr="001A38D5">
              <w:rPr>
                <w:rFonts w:eastAsia="Times New Roman" w:cs="Arial"/>
                <w:sz w:val="14"/>
                <w:szCs w:val="14"/>
                <w:lang w:eastAsia="es-CO"/>
              </w:rPr>
              <w:t>Acta de liquidación / Terminación</w:t>
            </w:r>
          </w:p>
        </w:tc>
        <w:tc>
          <w:tcPr>
            <w:tcW w:w="296" w:type="pct"/>
            <w:tcBorders>
              <w:top w:val="nil"/>
              <w:left w:val="nil"/>
              <w:bottom w:val="single" w:sz="4" w:space="0" w:color="auto"/>
              <w:right w:val="single" w:sz="4" w:space="0" w:color="auto"/>
            </w:tcBorders>
            <w:shd w:val="clear" w:color="auto" w:fill="auto"/>
            <w:vAlign w:val="center"/>
            <w:hideMark/>
          </w:tcPr>
          <w:p w14:paraId="3658D0C1"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20" w:type="pct"/>
            <w:tcBorders>
              <w:top w:val="nil"/>
              <w:left w:val="nil"/>
              <w:bottom w:val="single" w:sz="4" w:space="0" w:color="auto"/>
              <w:right w:val="single" w:sz="4" w:space="0" w:color="auto"/>
            </w:tcBorders>
            <w:shd w:val="clear" w:color="auto" w:fill="auto"/>
            <w:vAlign w:val="center"/>
            <w:hideMark/>
          </w:tcPr>
          <w:p w14:paraId="084D52F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1" w:type="pct"/>
            <w:tcBorders>
              <w:top w:val="nil"/>
              <w:left w:val="nil"/>
              <w:bottom w:val="single" w:sz="4" w:space="0" w:color="auto"/>
              <w:right w:val="single" w:sz="4" w:space="0" w:color="auto"/>
            </w:tcBorders>
            <w:shd w:val="clear" w:color="auto" w:fill="auto"/>
            <w:vAlign w:val="center"/>
            <w:hideMark/>
          </w:tcPr>
          <w:p w14:paraId="1974487D"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auto"/>
            <w:vAlign w:val="center"/>
            <w:hideMark/>
          </w:tcPr>
          <w:p w14:paraId="1D0DA1D4"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310" w:type="pct"/>
            <w:tcBorders>
              <w:top w:val="nil"/>
              <w:left w:val="nil"/>
              <w:bottom w:val="single" w:sz="4" w:space="0" w:color="auto"/>
              <w:right w:val="single" w:sz="4" w:space="0" w:color="auto"/>
            </w:tcBorders>
            <w:shd w:val="clear" w:color="auto" w:fill="auto"/>
            <w:vAlign w:val="center"/>
            <w:hideMark/>
          </w:tcPr>
          <w:p w14:paraId="2F060142"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3" w:type="pct"/>
            <w:tcBorders>
              <w:top w:val="nil"/>
              <w:left w:val="nil"/>
              <w:bottom w:val="single" w:sz="4" w:space="0" w:color="auto"/>
              <w:right w:val="single" w:sz="4" w:space="0" w:color="auto"/>
            </w:tcBorders>
            <w:shd w:val="clear" w:color="auto" w:fill="auto"/>
            <w:vAlign w:val="center"/>
            <w:hideMark/>
          </w:tcPr>
          <w:p w14:paraId="146B0025"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67F143A3"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96" w:type="pct"/>
            <w:tcBorders>
              <w:top w:val="nil"/>
              <w:left w:val="nil"/>
              <w:bottom w:val="single" w:sz="4" w:space="0" w:color="auto"/>
              <w:right w:val="single" w:sz="4" w:space="0" w:color="auto"/>
            </w:tcBorders>
            <w:shd w:val="clear" w:color="auto" w:fill="EAF1DD" w:themeFill="accent3" w:themeFillTint="33"/>
            <w:vAlign w:val="center"/>
            <w:hideMark/>
          </w:tcPr>
          <w:p w14:paraId="2DBCA6E6"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353" w:type="pct"/>
            <w:tcBorders>
              <w:top w:val="nil"/>
              <w:left w:val="nil"/>
              <w:bottom w:val="single" w:sz="4" w:space="0" w:color="auto"/>
              <w:right w:val="single" w:sz="4" w:space="0" w:color="auto"/>
            </w:tcBorders>
            <w:shd w:val="clear" w:color="auto" w:fill="EAF1DD" w:themeFill="accent3" w:themeFillTint="33"/>
            <w:vAlign w:val="center"/>
            <w:hideMark/>
          </w:tcPr>
          <w:p w14:paraId="395B8180"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N.A</w:t>
            </w:r>
          </w:p>
        </w:tc>
        <w:tc>
          <w:tcPr>
            <w:tcW w:w="285" w:type="pct"/>
            <w:tcBorders>
              <w:top w:val="nil"/>
              <w:left w:val="nil"/>
              <w:bottom w:val="single" w:sz="4" w:space="0" w:color="auto"/>
              <w:right w:val="single" w:sz="4" w:space="0" w:color="auto"/>
            </w:tcBorders>
            <w:shd w:val="clear" w:color="auto" w:fill="auto"/>
            <w:vAlign w:val="center"/>
            <w:hideMark/>
          </w:tcPr>
          <w:p w14:paraId="0683CAF8"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090E39C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85" w:type="pct"/>
            <w:tcBorders>
              <w:top w:val="nil"/>
              <w:left w:val="nil"/>
              <w:bottom w:val="single" w:sz="4" w:space="0" w:color="auto"/>
              <w:right w:val="single" w:sz="4" w:space="0" w:color="auto"/>
            </w:tcBorders>
            <w:shd w:val="clear" w:color="auto" w:fill="auto"/>
            <w:vAlign w:val="center"/>
            <w:hideMark/>
          </w:tcPr>
          <w:p w14:paraId="01CC3FA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3B366EE"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648069D7"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No</w:t>
            </w:r>
          </w:p>
        </w:tc>
        <w:tc>
          <w:tcPr>
            <w:tcW w:w="353" w:type="pct"/>
            <w:tcBorders>
              <w:top w:val="nil"/>
              <w:left w:val="nil"/>
              <w:bottom w:val="single" w:sz="4" w:space="0" w:color="auto"/>
              <w:right w:val="single" w:sz="4" w:space="0" w:color="auto"/>
            </w:tcBorders>
            <w:shd w:val="clear" w:color="auto" w:fill="auto"/>
            <w:vAlign w:val="center"/>
            <w:hideMark/>
          </w:tcPr>
          <w:p w14:paraId="2D69427C" w14:textId="77777777" w:rsidR="00A20990" w:rsidRPr="001A38D5" w:rsidRDefault="00A20990" w:rsidP="005140E1">
            <w:pPr>
              <w:contextualSpacing/>
              <w:jc w:val="center"/>
              <w:rPr>
                <w:rFonts w:eastAsia="Times New Roman" w:cs="Arial"/>
                <w:sz w:val="16"/>
                <w:szCs w:val="16"/>
                <w:lang w:val="es-CO" w:eastAsia="es-CO"/>
              </w:rPr>
            </w:pPr>
            <w:r w:rsidRPr="001A38D5">
              <w:rPr>
                <w:rFonts w:eastAsia="Times New Roman" w:cs="Arial"/>
                <w:sz w:val="16"/>
                <w:szCs w:val="16"/>
                <w:lang w:val="es-CO" w:eastAsia="es-CO"/>
              </w:rPr>
              <w:t>Si</w:t>
            </w:r>
          </w:p>
        </w:tc>
      </w:tr>
    </w:tbl>
    <w:p w14:paraId="39EB0E0B" w14:textId="77777777" w:rsidR="00A20990" w:rsidRPr="001A38D5" w:rsidRDefault="00A20990" w:rsidP="005140E1">
      <w:pPr>
        <w:contextualSpacing/>
        <w:jc w:val="center"/>
        <w:textAlignment w:val="baseline"/>
        <w:rPr>
          <w:rFonts w:cs="Arial"/>
          <w:sz w:val="16"/>
        </w:rPr>
      </w:pPr>
      <w:r w:rsidRPr="001A38D5">
        <w:rPr>
          <w:rFonts w:cs="Arial"/>
          <w:sz w:val="16"/>
        </w:rPr>
        <w:t>Fuente: Elaboración DAF con base en el reporte en el Sistema Electrónico de Contratación Pública SECOP.</w:t>
      </w:r>
    </w:p>
    <w:p w14:paraId="09869D8E" w14:textId="77777777" w:rsidR="00A20990" w:rsidRPr="001A38D5" w:rsidRDefault="00A20990" w:rsidP="005140E1">
      <w:pPr>
        <w:contextualSpacing/>
        <w:jc w:val="both"/>
        <w:rPr>
          <w:rFonts w:cs="Arial"/>
          <w:lang w:val="es-CO"/>
        </w:rPr>
      </w:pPr>
    </w:p>
    <w:p w14:paraId="0C571719" w14:textId="77777777" w:rsidR="00A20990" w:rsidRPr="001A38D5" w:rsidRDefault="00A20990" w:rsidP="005140E1">
      <w:pPr>
        <w:contextualSpacing/>
        <w:jc w:val="both"/>
        <w:rPr>
          <w:rFonts w:cs="Arial"/>
          <w:lang w:val="es-CO"/>
        </w:rPr>
      </w:pPr>
      <w:r w:rsidRPr="001A38D5">
        <w:rPr>
          <w:rFonts w:cs="Arial"/>
          <w:lang w:val="es-CO"/>
        </w:rPr>
        <w:t xml:space="preserve">Para las vigencias 2019, 2020 y 2022 se incumple con lo contenido en el Decreto 1082 de 2015 para los Contratos No. 077 y 1198 de 2019; 594 y 1961 de 2020; y 1719, 1739, 1825 y 3122 de 2022. Resulta importante señalar que según lo establecido en el artículo 2.2.1.1.1.7.1. del Decreto 1082 del 2015, la Entidad está obligada a publicar en el SECOP todos los documentos y los actos administrativos del proceso precontractual, contractual y </w:t>
      </w:r>
      <w:r w:rsidR="009B5699" w:rsidRPr="001A38D5">
        <w:rPr>
          <w:rFonts w:cs="Arial"/>
          <w:lang w:val="es-CO"/>
        </w:rPr>
        <w:t>poscontractual</w:t>
      </w:r>
      <w:r w:rsidRPr="001A38D5">
        <w:rPr>
          <w:rFonts w:cs="Arial"/>
          <w:lang w:val="es-CO"/>
        </w:rPr>
        <w:t>, dentro de los tres (3) días siguientes a su expedición. Adicionalmente, la Ley 1474 del 2011 expresa la importancia de la realización y publicación de los informes de supervisión o interventoría. Teniendo en cuenta lo anterior, se evidencia que no se publicaron la totalidad de los documentos soporte de la ejecución de los recursos.</w:t>
      </w:r>
    </w:p>
    <w:p w14:paraId="041DCAA4" w14:textId="77777777" w:rsidR="00A20990" w:rsidRPr="001A38D5" w:rsidRDefault="00A20990" w:rsidP="005140E1">
      <w:pPr>
        <w:contextualSpacing/>
        <w:jc w:val="both"/>
        <w:rPr>
          <w:rFonts w:cs="Arial"/>
          <w:lang w:val="es-CO"/>
        </w:rPr>
      </w:pPr>
    </w:p>
    <w:p w14:paraId="05F39DAB" w14:textId="77777777" w:rsidR="00A20990" w:rsidRPr="001A38D5" w:rsidRDefault="00A20990" w:rsidP="005140E1">
      <w:pPr>
        <w:contextualSpacing/>
        <w:jc w:val="both"/>
        <w:rPr>
          <w:rFonts w:cs="Arial"/>
          <w:lang w:val="es-CO"/>
        </w:rPr>
      </w:pPr>
      <w:r w:rsidRPr="001A38D5">
        <w:rPr>
          <w:rFonts w:cs="Arial"/>
          <w:lang w:val="es-CO"/>
        </w:rPr>
        <w:t xml:space="preserve">Para la vigencia 2021 la Entidad Territorial cumple con publicación de las Órdenes de Compra en la Tienda Virtual del Estado Colombiano, en el enlace: </w:t>
      </w:r>
      <w:hyperlink r:id="rId68" w:history="1">
        <w:r w:rsidR="009B5699" w:rsidRPr="007A412F">
          <w:rPr>
            <w:rStyle w:val="Hipervnculo"/>
            <w:rFonts w:cs="Arial"/>
            <w:sz w:val="21"/>
            <w:szCs w:val="21"/>
            <w:lang w:val="es-CO"/>
          </w:rPr>
          <w:t>http://www.colombiacompra.gov.co/amp-ordenes-de-compra</w:t>
        </w:r>
      </w:hyperlink>
      <w:r w:rsidRPr="007A412F">
        <w:rPr>
          <w:rFonts w:cs="Arial"/>
          <w:sz w:val="21"/>
          <w:szCs w:val="21"/>
          <w:lang w:val="es-CO"/>
        </w:rPr>
        <w:t>.</w:t>
      </w:r>
      <w:r w:rsidR="009B5699">
        <w:rPr>
          <w:rFonts w:cs="Arial"/>
          <w:lang w:val="es-CO"/>
        </w:rPr>
        <w:t xml:space="preserve"> </w:t>
      </w:r>
      <w:r w:rsidRPr="001A38D5">
        <w:rPr>
          <w:rFonts w:cs="Arial"/>
          <w:lang w:val="es-CO"/>
        </w:rPr>
        <w:t>En consecuencia, para esta vigencia se cumple con el principio de publicidad.</w:t>
      </w:r>
    </w:p>
    <w:p w14:paraId="6DF4636A" w14:textId="77777777" w:rsidR="00A20990" w:rsidRPr="001A38D5" w:rsidRDefault="00A20990" w:rsidP="005140E1">
      <w:pPr>
        <w:contextualSpacing/>
        <w:jc w:val="both"/>
        <w:rPr>
          <w:rFonts w:cs="Arial"/>
          <w:lang w:val="es-CO"/>
        </w:rPr>
      </w:pPr>
    </w:p>
    <w:p w14:paraId="5396BF7C" w14:textId="77777777" w:rsidR="00A20990" w:rsidRPr="001A38D5" w:rsidRDefault="00A20990" w:rsidP="005140E1">
      <w:pPr>
        <w:pStyle w:val="paragraph"/>
        <w:spacing w:before="0" w:beforeAutospacing="0" w:after="0" w:afterAutospacing="0"/>
        <w:contextualSpacing/>
        <w:jc w:val="both"/>
        <w:textAlignment w:val="baseline"/>
        <w:rPr>
          <w:rFonts w:ascii="Verdana" w:hAnsi="Verdana" w:cs="Arial"/>
        </w:rPr>
      </w:pPr>
      <w:r w:rsidRPr="001A38D5">
        <w:rPr>
          <w:rStyle w:val="normaltextrun"/>
          <w:rFonts w:ascii="Verdana" w:hAnsi="Verdana" w:cs="Arial"/>
          <w:b/>
          <w:bCs/>
          <w:sz w:val="22"/>
          <w:szCs w:val="22"/>
          <w:lang w:val="es-ES"/>
        </w:rPr>
        <w:t>Evidencias</w:t>
      </w:r>
      <w:r w:rsidR="001A00B5">
        <w:rPr>
          <w:rStyle w:val="eop"/>
          <w:rFonts w:ascii="Verdana" w:hAnsi="Verdana" w:cs="Arial"/>
          <w:b/>
          <w:bCs/>
          <w:sz w:val="22"/>
          <w:szCs w:val="22"/>
        </w:rPr>
        <w:t>:</w:t>
      </w:r>
    </w:p>
    <w:p w14:paraId="593CDA20" w14:textId="77777777" w:rsidR="00A20990" w:rsidRPr="001A38D5" w:rsidRDefault="00A20990" w:rsidP="005140E1">
      <w:pPr>
        <w:pStyle w:val="paragraph"/>
        <w:spacing w:before="0" w:beforeAutospacing="0" w:after="0" w:afterAutospacing="0"/>
        <w:contextualSpacing/>
        <w:jc w:val="both"/>
        <w:textAlignment w:val="baseline"/>
        <w:rPr>
          <w:rFonts w:ascii="Verdana" w:hAnsi="Verdana" w:cs="Arial"/>
          <w:sz w:val="22"/>
          <w:szCs w:val="22"/>
        </w:rPr>
      </w:pPr>
    </w:p>
    <w:p w14:paraId="0E88F4EA" w14:textId="77777777" w:rsidR="00A20990" w:rsidRPr="001A38D5" w:rsidRDefault="00A20990" w:rsidP="005140E1">
      <w:pPr>
        <w:pStyle w:val="paragraph"/>
        <w:spacing w:before="0" w:beforeAutospacing="0" w:after="0" w:afterAutospacing="0"/>
        <w:contextualSpacing/>
        <w:jc w:val="both"/>
        <w:textAlignment w:val="baseline"/>
        <w:rPr>
          <w:rFonts w:ascii="Verdana" w:hAnsi="Verdana" w:cs="Arial"/>
          <w:sz w:val="22"/>
          <w:szCs w:val="22"/>
        </w:rPr>
      </w:pPr>
      <w:r w:rsidRPr="001A38D5">
        <w:rPr>
          <w:rStyle w:val="normaltextrun"/>
          <w:rFonts w:ascii="Verdana" w:hAnsi="Verdana" w:cs="Arial"/>
          <w:sz w:val="22"/>
          <w:szCs w:val="22"/>
        </w:rPr>
        <w:t>Obra en el expediente virtual el siguiente material probatorio:</w:t>
      </w:r>
      <w:r w:rsidRPr="001A38D5">
        <w:rPr>
          <w:rStyle w:val="eop"/>
          <w:rFonts w:ascii="Verdana" w:hAnsi="Verdana" w:cs="Arial"/>
          <w:sz w:val="22"/>
          <w:szCs w:val="22"/>
        </w:rPr>
        <w:t> </w:t>
      </w:r>
    </w:p>
    <w:p w14:paraId="37286F14" w14:textId="77777777" w:rsidR="00A20990" w:rsidRPr="001A38D5" w:rsidRDefault="00A20990" w:rsidP="005140E1">
      <w:pPr>
        <w:pStyle w:val="paragraph"/>
        <w:spacing w:before="0" w:beforeAutospacing="0" w:after="0" w:afterAutospacing="0"/>
        <w:contextualSpacing/>
        <w:jc w:val="both"/>
        <w:textAlignment w:val="baseline"/>
        <w:rPr>
          <w:rStyle w:val="eop"/>
          <w:rFonts w:ascii="Verdana" w:hAnsi="Verdana" w:cs="Arial"/>
          <w:sz w:val="22"/>
          <w:szCs w:val="22"/>
        </w:rPr>
      </w:pPr>
    </w:p>
    <w:p w14:paraId="253A2357" w14:textId="77777777" w:rsidR="009759A5" w:rsidRDefault="00A20990" w:rsidP="005140E1">
      <w:pPr>
        <w:pStyle w:val="Sinespaciado"/>
        <w:numPr>
          <w:ilvl w:val="0"/>
          <w:numId w:val="17"/>
        </w:numPr>
        <w:ind w:left="284" w:hanging="284"/>
        <w:contextualSpacing/>
        <w:jc w:val="both"/>
        <w:rPr>
          <w:rFonts w:ascii="Verdana" w:hAnsi="Verdana" w:cs="Arial"/>
          <w:sz w:val="20"/>
          <w:lang w:val="es-ES"/>
        </w:rPr>
      </w:pPr>
      <w:r w:rsidRPr="009759A5">
        <w:rPr>
          <w:rFonts w:ascii="Verdana" w:hAnsi="Verdana" w:cs="Arial"/>
          <w:sz w:val="20"/>
        </w:rPr>
        <w:t>Pantallazos SECOP de los Contratos No. 077 del 30 de enero de 2019 y1198 del 30 de mayo de 2019; Contratos No. 594 de 2020 y 1961 del 13 de diciembre de 2020; Contratos No. 1719 del 25 de febrero de 2022, 1739 del 10 de mayo de 2022, 1825 del 21 de julio de 2022, 3122 del 16 de septiembre de 2022 y 3369 del 2 de noviembre de 2022. Municipio de Villavicencio, Meta – Sector Alimentación Escolar. Serie: “Historial de Seguimiento y Control a los Recursos del Sistema General de Participaciones – Antecedentes”. Expediente digital No. 52/2018/D028-PREDI.</w:t>
      </w:r>
    </w:p>
    <w:p w14:paraId="426A889D" w14:textId="77777777" w:rsidR="009759A5" w:rsidRPr="009759A5" w:rsidRDefault="00425319" w:rsidP="005140E1">
      <w:pPr>
        <w:pStyle w:val="Sinespaciado"/>
        <w:ind w:left="284"/>
        <w:contextualSpacing/>
        <w:jc w:val="both"/>
        <w:rPr>
          <w:rFonts w:ascii="Verdana" w:hAnsi="Verdana" w:cs="Arial"/>
          <w:sz w:val="16"/>
          <w:szCs w:val="16"/>
          <w:lang w:val="es-ES"/>
        </w:rPr>
      </w:pPr>
      <w:hyperlink r:id="rId69" w:history="1">
        <w:r w:rsidR="009759A5" w:rsidRPr="009759A5">
          <w:rPr>
            <w:rStyle w:val="Hipervnculo"/>
            <w:rFonts w:ascii="Verdana" w:hAnsi="Verdana" w:cs="Arial"/>
            <w:sz w:val="16"/>
            <w:szCs w:val="16"/>
            <w:lang w:val="es-ES"/>
          </w:rPr>
          <w:t>http://portalgestiondoc.minhacienda.red/PortalEmpleado/viewer.jsp?config=GJVUAKejwFz++JafBpy3TrKgBq3sTRHQ9cmSpmhm5YM/KRR44euSM7DbVRNYucFZldJ6c2KevNrEXGx1diFx54i87hf2qHhqHrm3l2OY/uliqx8/58qjZpy26UvCjZJTVzbD3sg34wOWt2Hj67CTYccYepiMHfTOfWW1Eb0sztX9v+qPbfLvzl3o2DT/2o7Y&amp;guid=5b8a275118abe00669661ef&amp;idrepository=879</w:t>
        </w:r>
      </w:hyperlink>
      <w:r w:rsidR="009759A5" w:rsidRPr="009759A5">
        <w:rPr>
          <w:rFonts w:ascii="Verdana" w:hAnsi="Verdana" w:cs="Arial"/>
          <w:color w:val="000000"/>
          <w:sz w:val="16"/>
          <w:szCs w:val="16"/>
          <w:lang w:val="es-ES"/>
        </w:rPr>
        <w:t xml:space="preserve"> </w:t>
      </w:r>
    </w:p>
    <w:p w14:paraId="0C07B7DE" w14:textId="77777777" w:rsidR="00A20990" w:rsidRPr="001A38D5" w:rsidRDefault="00A20990" w:rsidP="005140E1">
      <w:pPr>
        <w:contextualSpacing/>
        <w:rPr>
          <w:rFonts w:cs="Arial"/>
          <w:lang w:val="es-CO" w:eastAsia="es-CO"/>
        </w:rPr>
      </w:pPr>
    </w:p>
    <w:p w14:paraId="1F258868" w14:textId="77777777" w:rsidR="00A20990" w:rsidRPr="007A412F" w:rsidRDefault="00A20990" w:rsidP="005140E1">
      <w:pPr>
        <w:pStyle w:val="Ttulo2"/>
        <w:numPr>
          <w:ilvl w:val="0"/>
          <w:numId w:val="0"/>
        </w:numPr>
        <w:contextualSpacing/>
        <w:jc w:val="both"/>
        <w:rPr>
          <w:rFonts w:ascii="Verdana" w:hAnsi="Verdana"/>
          <w:b w:val="0"/>
          <w:bCs w:val="0"/>
          <w:u w:val="none"/>
        </w:rPr>
      </w:pPr>
      <w:r w:rsidRPr="007A412F">
        <w:rPr>
          <w:rFonts w:ascii="Verdana" w:eastAsia="Times New Roman" w:hAnsi="Verdana"/>
          <w:u w:val="none"/>
        </w:rPr>
        <w:t xml:space="preserve">EVENTO DE RIESGO 9.17. </w:t>
      </w:r>
      <w:r w:rsidRPr="007A412F">
        <w:rPr>
          <w:rFonts w:ascii="Verdana" w:eastAsia="Times New Roman" w:hAnsi="Verdana"/>
          <w:b w:val="0"/>
          <w:bCs w:val="0"/>
          <w:u w:val="none"/>
        </w:rPr>
        <w:t>“</w:t>
      </w:r>
      <w:r w:rsidRPr="007A412F">
        <w:rPr>
          <w:rFonts w:ascii="Verdana" w:hAnsi="Verdana"/>
          <w:b w:val="0"/>
          <w:bCs w:val="0"/>
          <w:i/>
          <w:iCs/>
          <w:u w:val="none"/>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r w:rsidRPr="007A412F">
        <w:rPr>
          <w:rFonts w:ascii="Verdana" w:hAnsi="Verdana"/>
          <w:b w:val="0"/>
          <w:bCs w:val="0"/>
          <w:u w:val="none"/>
        </w:rPr>
        <w:t>”.</w:t>
      </w:r>
    </w:p>
    <w:p w14:paraId="7DEEBF91" w14:textId="77777777" w:rsidR="00A20990" w:rsidRPr="001A00B5" w:rsidRDefault="00A20990" w:rsidP="005140E1">
      <w:pPr>
        <w:contextualSpacing/>
        <w:jc w:val="both"/>
        <w:rPr>
          <w:rFonts w:eastAsia="Times New Roman" w:cs="Arial"/>
          <w:b/>
          <w:bCs/>
          <w:lang w:val="es-CO" w:eastAsia="es-CO"/>
        </w:rPr>
      </w:pPr>
    </w:p>
    <w:p w14:paraId="4B3809F2" w14:textId="77777777" w:rsidR="00A20990" w:rsidRPr="007A412F" w:rsidRDefault="00A20990" w:rsidP="005140E1">
      <w:pPr>
        <w:contextualSpacing/>
        <w:jc w:val="both"/>
        <w:rPr>
          <w:rFonts w:eastAsia="Calibri" w:cs="Arial"/>
          <w:b/>
        </w:rPr>
      </w:pPr>
      <w:r w:rsidRPr="007A412F">
        <w:rPr>
          <w:rFonts w:eastAsia="Calibri" w:cs="Arial"/>
          <w:b/>
        </w:rPr>
        <w:t>Inicio inoportuno de la Prestación del Servicio de Alimentación Escolar</w:t>
      </w:r>
      <w:r w:rsidR="001A00B5">
        <w:rPr>
          <w:rFonts w:eastAsia="Calibri" w:cs="Arial"/>
          <w:b/>
        </w:rPr>
        <w:t>.</w:t>
      </w:r>
    </w:p>
    <w:p w14:paraId="3FE274E3" w14:textId="77777777" w:rsidR="00A20990" w:rsidRPr="001A38D5" w:rsidRDefault="00A20990" w:rsidP="005140E1">
      <w:pPr>
        <w:contextualSpacing/>
        <w:jc w:val="both"/>
        <w:rPr>
          <w:rFonts w:cs="Arial"/>
          <w:lang w:val="es-CO"/>
        </w:rPr>
      </w:pPr>
    </w:p>
    <w:p w14:paraId="6DAAF87C" w14:textId="77777777" w:rsidR="00A20990" w:rsidRPr="001A38D5" w:rsidRDefault="00A20990" w:rsidP="005140E1">
      <w:pPr>
        <w:pStyle w:val="Sinespaciado"/>
        <w:contextualSpacing/>
        <w:jc w:val="both"/>
        <w:rPr>
          <w:rFonts w:ascii="Verdana" w:eastAsia="Times New Roman" w:hAnsi="Verdana" w:cs="Arial"/>
        </w:rPr>
      </w:pPr>
      <w:r w:rsidRPr="001A38D5">
        <w:rPr>
          <w:rFonts w:ascii="Verdana" w:hAnsi="Verdana" w:cs="Arial"/>
        </w:rPr>
        <w:t xml:space="preserve">La Ley 80 de 1993 establece una serie de principios concernientes a la gestión contractual del Estado, dentro de ellos es posible </w:t>
      </w:r>
      <w:r w:rsidR="001A00B5">
        <w:rPr>
          <w:rFonts w:ascii="Verdana" w:hAnsi="Verdana" w:cs="Arial"/>
        </w:rPr>
        <w:t>encontrar</w:t>
      </w:r>
      <w:r w:rsidR="001A00B5" w:rsidRPr="001A38D5">
        <w:rPr>
          <w:rFonts w:ascii="Verdana" w:hAnsi="Verdana" w:cs="Arial"/>
        </w:rPr>
        <w:t xml:space="preserve"> </w:t>
      </w:r>
      <w:r w:rsidRPr="001A38D5">
        <w:rPr>
          <w:rFonts w:ascii="Verdana" w:hAnsi="Verdana" w:cs="Arial"/>
        </w:rPr>
        <w:t xml:space="preserve">el </w:t>
      </w:r>
      <w:r w:rsidR="001A00B5">
        <w:rPr>
          <w:rFonts w:ascii="Verdana" w:hAnsi="Verdana" w:cs="Arial"/>
        </w:rPr>
        <w:t>P</w:t>
      </w:r>
      <w:r w:rsidRPr="001A38D5">
        <w:rPr>
          <w:rFonts w:ascii="Verdana" w:hAnsi="Verdana" w:cs="Arial"/>
        </w:rPr>
        <w:t xml:space="preserve">rincipio de </w:t>
      </w:r>
      <w:r w:rsidR="001A00B5">
        <w:rPr>
          <w:rFonts w:ascii="Verdana" w:hAnsi="Verdana" w:cs="Arial"/>
        </w:rPr>
        <w:t>P</w:t>
      </w:r>
      <w:r w:rsidRPr="001A38D5">
        <w:rPr>
          <w:rFonts w:ascii="Verdana" w:hAnsi="Verdana" w:cs="Arial"/>
        </w:rPr>
        <w:t xml:space="preserve">laneación; el cual, si bien no se incluye expresamente en la norma, se deriva de los </w:t>
      </w:r>
      <w:r w:rsidR="001A00B5">
        <w:rPr>
          <w:rFonts w:ascii="Verdana" w:hAnsi="Verdana" w:cs="Arial"/>
        </w:rPr>
        <w:t>P</w:t>
      </w:r>
      <w:r w:rsidRPr="001A38D5">
        <w:rPr>
          <w:rFonts w:ascii="Verdana" w:hAnsi="Verdana" w:cs="Arial"/>
        </w:rPr>
        <w:t xml:space="preserve">rincipios de </w:t>
      </w:r>
      <w:r w:rsidR="001A00B5">
        <w:rPr>
          <w:rFonts w:ascii="Verdana" w:hAnsi="Verdana" w:cs="Arial"/>
        </w:rPr>
        <w:t>R</w:t>
      </w:r>
      <w:r w:rsidRPr="001A38D5">
        <w:rPr>
          <w:rFonts w:ascii="Verdana" w:hAnsi="Verdana" w:cs="Arial"/>
        </w:rPr>
        <w:t xml:space="preserve">esponsabilidad, </w:t>
      </w:r>
      <w:r w:rsidR="001A00B5">
        <w:rPr>
          <w:rFonts w:ascii="Verdana" w:hAnsi="Verdana" w:cs="Arial"/>
        </w:rPr>
        <w:t>T</w:t>
      </w:r>
      <w:r w:rsidRPr="001A38D5">
        <w:rPr>
          <w:rFonts w:ascii="Verdana" w:hAnsi="Verdana" w:cs="Arial"/>
        </w:rPr>
        <w:t xml:space="preserve">ransparencia y </w:t>
      </w:r>
      <w:r w:rsidR="001A00B5">
        <w:rPr>
          <w:rFonts w:ascii="Verdana" w:hAnsi="Verdana" w:cs="Arial"/>
        </w:rPr>
        <w:t>E</w:t>
      </w:r>
      <w:r w:rsidRPr="001A38D5">
        <w:rPr>
          <w:rFonts w:ascii="Verdana" w:hAnsi="Verdana" w:cs="Arial"/>
        </w:rPr>
        <w:t xml:space="preserve">conomía, conllevando a que su inobservancia induzca a fallas en el cumplimiento de los demás principios. Al respecto, el Consejo de Estado mediante Sentencia No. 25000-23-26-000-1995-00867-01 (17767) ha manifestado que: </w:t>
      </w:r>
    </w:p>
    <w:p w14:paraId="530BACF3" w14:textId="77777777" w:rsidR="00A20990" w:rsidRPr="001A38D5" w:rsidRDefault="00A20990" w:rsidP="005140E1">
      <w:pPr>
        <w:contextualSpacing/>
        <w:jc w:val="both"/>
        <w:rPr>
          <w:rFonts w:cs="Arial"/>
          <w:sz w:val="20"/>
          <w:szCs w:val="20"/>
        </w:rPr>
      </w:pPr>
    </w:p>
    <w:p w14:paraId="01F6C285" w14:textId="77777777" w:rsidR="00A20990" w:rsidRPr="007A412F" w:rsidRDefault="00A20990" w:rsidP="005140E1">
      <w:pPr>
        <w:pStyle w:val="Default"/>
        <w:ind w:left="709"/>
        <w:contextualSpacing/>
        <w:jc w:val="both"/>
        <w:rPr>
          <w:rFonts w:ascii="Verdana" w:hAnsi="Verdana"/>
          <w:color w:val="auto"/>
          <w:sz w:val="18"/>
          <w:szCs w:val="18"/>
          <w:lang w:val="es-CO"/>
        </w:rPr>
      </w:pPr>
      <w:r w:rsidRPr="007A412F">
        <w:rPr>
          <w:rFonts w:ascii="Verdana" w:hAnsi="Verdana"/>
          <w:i/>
          <w:iCs/>
          <w:color w:val="auto"/>
          <w:sz w:val="18"/>
          <w:szCs w:val="18"/>
          <w:lang w:val="es-CO"/>
        </w:rPr>
        <w:t xml:space="preserve">“El deber de planeación, en tanto manifestación del principio de economía, tiene por finalidad asegurar que todo proyecto esté precedido de los estudios de orden técnico, financiero y jurídico requeridos para determinar su viabilidad económica y técnica y así poder establecer la conveniencia o no del objeto a contratar, si resulta o no necesario celebrar el respectivo negocio jurídico y su adecuación a los planes de inversión”. </w:t>
      </w:r>
    </w:p>
    <w:p w14:paraId="72910C6E" w14:textId="77777777" w:rsidR="00A20990" w:rsidRPr="001A38D5" w:rsidRDefault="00A20990" w:rsidP="005140E1">
      <w:pPr>
        <w:contextualSpacing/>
        <w:jc w:val="both"/>
        <w:rPr>
          <w:rFonts w:cs="Arial"/>
        </w:rPr>
      </w:pPr>
    </w:p>
    <w:p w14:paraId="4196C6EF"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 xml:space="preserve">Así mismo, el numeral 4.2 del artículo 2. de la Resolución No. 29452 del 2017 establece que las </w:t>
      </w:r>
      <w:r w:rsidR="00791DC3">
        <w:rPr>
          <w:rFonts w:ascii="Verdana" w:hAnsi="Verdana" w:cs="Arial"/>
        </w:rPr>
        <w:t>e</w:t>
      </w:r>
      <w:r w:rsidRPr="001A38D5">
        <w:rPr>
          <w:rFonts w:ascii="Verdana" w:hAnsi="Verdana" w:cs="Arial"/>
        </w:rPr>
        <w:t>ntidades territoriales que ejecuten los recursos presupuestales deben adelantar oportunamente los procesos de contratación necesarios de acuerdo con las modalidades y el procedimiento establecido por las normas de contratación pública para garantizar el suministro del complemento alimentario desde el primer día del calendario escolar, para lo cual en el artículo 2, literal c) del numeral 3.3 de la citada Resolución se menciona como una función de las Entidades Territoriales Certificadas, apropiar y reservar los recursos necesarios y suficientes, para adelantar los trámites requeridos para comprometer vigencias futuras cuando dé lugar a ello; lo anterior, con el fin de concurrir a la financiación y cofinanciación del PAE.</w:t>
      </w:r>
    </w:p>
    <w:p w14:paraId="505A89AD" w14:textId="77777777" w:rsidR="00A20990" w:rsidRPr="001A38D5" w:rsidRDefault="00A20990" w:rsidP="005140E1">
      <w:pPr>
        <w:pStyle w:val="Sinespaciado"/>
        <w:contextualSpacing/>
        <w:jc w:val="both"/>
        <w:rPr>
          <w:rFonts w:ascii="Verdana" w:hAnsi="Verdana" w:cs="Arial"/>
        </w:rPr>
      </w:pPr>
    </w:p>
    <w:p w14:paraId="3C609D4C"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Posteriormente, la Resolución 335 de 2021 de la Unidad Administrativa Especial de Alimentación Escolar “</w:t>
      </w:r>
      <w:r w:rsidRPr="001A38D5">
        <w:rPr>
          <w:rFonts w:ascii="Verdana" w:hAnsi="Verdana" w:cs="Arial"/>
          <w:i/>
          <w:iCs/>
        </w:rPr>
        <w:t>Por la cual se expiden los Lineamientos Técnicos – Administrativos, los Estándares y las Condiciones Mínimas del Programa de Alimentación Escolar – PAE</w:t>
      </w:r>
      <w:r w:rsidRPr="001A38D5">
        <w:rPr>
          <w:rFonts w:ascii="Verdana" w:hAnsi="Verdana" w:cs="Arial"/>
        </w:rPr>
        <w:t>”, en el numeral 3.1.7 del Anexo Técnico Administrativo y Financiero sostiene que:</w:t>
      </w:r>
    </w:p>
    <w:p w14:paraId="617F3237" w14:textId="77777777" w:rsidR="00A20990" w:rsidRPr="001A38D5" w:rsidRDefault="00A20990" w:rsidP="005140E1">
      <w:pPr>
        <w:pStyle w:val="Sinespaciado"/>
        <w:contextualSpacing/>
        <w:jc w:val="both"/>
        <w:rPr>
          <w:rFonts w:ascii="Verdana" w:hAnsi="Verdana" w:cs="Arial"/>
        </w:rPr>
      </w:pPr>
    </w:p>
    <w:p w14:paraId="67B65E5D" w14:textId="77777777" w:rsidR="00A20990" w:rsidRPr="007A412F" w:rsidRDefault="00A20990" w:rsidP="005140E1">
      <w:pPr>
        <w:pStyle w:val="Default"/>
        <w:ind w:left="709"/>
        <w:contextualSpacing/>
        <w:jc w:val="both"/>
        <w:rPr>
          <w:rFonts w:ascii="Verdana" w:hAnsi="Verdana"/>
          <w:i/>
          <w:iCs/>
          <w:color w:val="auto"/>
          <w:sz w:val="18"/>
          <w:szCs w:val="18"/>
          <w:lang w:val="es-CO"/>
        </w:rPr>
      </w:pPr>
      <w:r w:rsidRPr="007A412F">
        <w:rPr>
          <w:rFonts w:ascii="Verdana" w:hAnsi="Verdana"/>
          <w:color w:val="auto"/>
          <w:sz w:val="18"/>
          <w:szCs w:val="18"/>
          <w:lang w:val="es-CO"/>
        </w:rPr>
        <w:t>“</w:t>
      </w:r>
      <w:r w:rsidRPr="007A412F">
        <w:rPr>
          <w:rFonts w:ascii="Verdana" w:hAnsi="Verdana"/>
          <w:i/>
          <w:iCs/>
          <w:color w:val="auto"/>
          <w:sz w:val="18"/>
          <w:szCs w:val="18"/>
          <w:lang w:val="es-CO"/>
        </w:rPr>
        <w:t xml:space="preserve">Las Entidades Territoriales deben planear y adelantar oportunamente los procesos de contratación necesarios para garantizar el suministro del complemento alimentario desde el primer día del calendario escolar y de manera continua durante toda la vigencia. Esta contratación debe adelantarse de acuerdo con las modalidades y el procedimiento establecido por las normas de contratación pública vigentes. La modalidad de contratación que se adelante, debe atender los principios aplicados a la contratación estatal y que se encuentran consagrados en los artículos del 23 al 31 de la Ley 80 de 1993. De esta manera las actuaciones que estructuran el proceso de contratación en sus diferentes fases – pre contractual, contractual y </w:t>
      </w:r>
      <w:r w:rsidR="00791DC3" w:rsidRPr="007A412F">
        <w:rPr>
          <w:rFonts w:ascii="Verdana" w:hAnsi="Verdana"/>
          <w:i/>
          <w:iCs/>
          <w:color w:val="auto"/>
          <w:sz w:val="18"/>
          <w:szCs w:val="18"/>
          <w:lang w:val="es-CO"/>
        </w:rPr>
        <w:t>poscontractual</w:t>
      </w:r>
      <w:r w:rsidRPr="007A412F">
        <w:rPr>
          <w:rFonts w:ascii="Verdana" w:hAnsi="Verdana"/>
          <w:i/>
          <w:iCs/>
          <w:color w:val="auto"/>
          <w:sz w:val="18"/>
          <w:szCs w:val="18"/>
          <w:lang w:val="es-CO"/>
        </w:rPr>
        <w:t xml:space="preserve"> - deben reflejar indicadores de transparencia, economía, responsabilidad, moralidad, selección objetiva, imparcialidad, entre otros. En virtud a lo anterior, es indispensable que la Entidad territorial antes de iniciar un procedimiento de selección contractual analice las diferentes variables, tanto jurídicas, como financieras, técnicas, así como el respectivo cronograma, entre otras, las cuales deben garantizar de forma oportuna, transparente y eficiente la prestación del servicio de alimentación escolar</w:t>
      </w:r>
      <w:r w:rsidRPr="007A412F">
        <w:rPr>
          <w:rFonts w:ascii="Verdana" w:hAnsi="Verdana"/>
          <w:color w:val="auto"/>
          <w:sz w:val="18"/>
          <w:szCs w:val="18"/>
          <w:lang w:val="es-CO"/>
        </w:rPr>
        <w:t>”.</w:t>
      </w:r>
    </w:p>
    <w:p w14:paraId="5A4F15B0" w14:textId="77777777" w:rsidR="00A20990" w:rsidRPr="001A38D5" w:rsidRDefault="00A20990" w:rsidP="005140E1">
      <w:pPr>
        <w:contextualSpacing/>
        <w:jc w:val="both"/>
        <w:rPr>
          <w:rFonts w:cs="Arial"/>
        </w:rPr>
      </w:pPr>
    </w:p>
    <w:p w14:paraId="26FFDD1A" w14:textId="77777777" w:rsidR="00A20990" w:rsidRPr="001A38D5" w:rsidRDefault="00A20990" w:rsidP="005140E1">
      <w:pPr>
        <w:pStyle w:val="Sinespaciado"/>
        <w:contextualSpacing/>
        <w:jc w:val="both"/>
        <w:rPr>
          <w:rFonts w:ascii="Verdana" w:hAnsi="Verdana" w:cs="Arial"/>
          <w:lang w:val="es-ES"/>
        </w:rPr>
      </w:pPr>
      <w:r w:rsidRPr="001A38D5">
        <w:rPr>
          <w:rFonts w:ascii="Verdana" w:hAnsi="Verdana" w:cs="Arial"/>
          <w:lang w:val="es-ES"/>
        </w:rPr>
        <w:t>Durante la vigencia 2019 si bien se inicia la prestación del Servicio con el calendario escolar, se observa una semana lectiva no atendida (del 27 al 31 de mayo), entre la finalización del Contrato No. 077 de 2019 y el inicio del Contrato No. 1198 de 2019. Igualmente, el Contrato No. 1198 de 2019 finalizó el 28 de noviembre de 2019, dejando desatendida una última semana lectiva, ya que según la Resolución No. 1500-56.03/047 de 2019 del Municipio de Villavicencio el trabajo académico finalizaba el 8 de diciembre de 2019.</w:t>
      </w:r>
    </w:p>
    <w:p w14:paraId="40D1F1F5" w14:textId="77777777" w:rsidR="00A20990" w:rsidRPr="001A38D5" w:rsidRDefault="00A20990" w:rsidP="005140E1">
      <w:pPr>
        <w:pStyle w:val="Sinespaciado"/>
        <w:contextualSpacing/>
        <w:jc w:val="both"/>
        <w:rPr>
          <w:rFonts w:ascii="Verdana" w:hAnsi="Verdana" w:cs="Arial"/>
        </w:rPr>
      </w:pPr>
    </w:p>
    <w:p w14:paraId="513C10BB"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 xml:space="preserve">Para la vigencia 2020, el Contrato No. 594 de 2020 inició la operación el jueves 28 de mayo de 2020, lo que representa 60 días del calendario escolar que no fue prestado el Servicio de Alimentación Escolar a los 31 estudiantes registrados con matrícula oficial en el </w:t>
      </w:r>
      <w:r w:rsidR="00EF2696">
        <w:rPr>
          <w:rFonts w:ascii="Verdana" w:hAnsi="Verdana" w:cs="Arial"/>
        </w:rPr>
        <w:t xml:space="preserve">Resguardo Indígena Maguare </w:t>
      </w:r>
      <w:r w:rsidRPr="001A38D5">
        <w:rPr>
          <w:rFonts w:ascii="Verdana" w:hAnsi="Verdana" w:cs="Arial"/>
        </w:rPr>
        <w:t xml:space="preserve">del Municipio de Villavicencio. Sobre la prestación del Servicio a población mayoritaria, si bien se inició con el calendario escolar el 17 de febrero de 2020 con el Contrato de </w:t>
      </w:r>
      <w:r w:rsidR="00791DC3">
        <w:rPr>
          <w:rFonts w:ascii="Verdana" w:hAnsi="Verdana" w:cs="Arial"/>
        </w:rPr>
        <w:t>P</w:t>
      </w:r>
      <w:r w:rsidRPr="001A38D5">
        <w:rPr>
          <w:rFonts w:ascii="Verdana" w:hAnsi="Verdana" w:cs="Arial"/>
        </w:rPr>
        <w:t xml:space="preserve">restación de </w:t>
      </w:r>
      <w:r w:rsidR="00791DC3">
        <w:rPr>
          <w:rFonts w:ascii="Verdana" w:hAnsi="Verdana" w:cs="Arial"/>
        </w:rPr>
        <w:t>S</w:t>
      </w:r>
      <w:r w:rsidRPr="001A38D5">
        <w:rPr>
          <w:rFonts w:ascii="Verdana" w:hAnsi="Verdana" w:cs="Arial"/>
        </w:rPr>
        <w:t>ervicios No. 049 del 7 de febrero de 2020 no se garantizó por todo el calendario</w:t>
      </w:r>
      <w:r w:rsidR="00791DC3">
        <w:rPr>
          <w:rFonts w:ascii="Verdana" w:hAnsi="Verdana" w:cs="Arial"/>
        </w:rPr>
        <w:t>; lo anterior</w:t>
      </w:r>
      <w:r w:rsidRPr="001A38D5">
        <w:rPr>
          <w:rFonts w:ascii="Verdana" w:hAnsi="Verdana" w:cs="Arial"/>
        </w:rPr>
        <w:t>, ya que el Contrato en cuestión finalizó el 23 de octubre de 2020 y se retomó la operación el 14 de diciembre de 2020, tras la suscripción del Contrato No. 1961 del 13 de diciembre de 2020</w:t>
      </w:r>
      <w:r w:rsidR="002D5BAF">
        <w:rPr>
          <w:rFonts w:ascii="Verdana" w:hAnsi="Verdana" w:cs="Arial"/>
        </w:rPr>
        <w:t>, dejando de prestar el servicio durante siete (7) semanas lectivas</w:t>
      </w:r>
      <w:r w:rsidRPr="001A38D5">
        <w:rPr>
          <w:rFonts w:ascii="Verdana" w:hAnsi="Verdana" w:cs="Arial"/>
        </w:rPr>
        <w:t>.</w:t>
      </w:r>
    </w:p>
    <w:p w14:paraId="085AAFC7" w14:textId="77777777" w:rsidR="00A20990" w:rsidRPr="001A38D5" w:rsidRDefault="00A20990" w:rsidP="005140E1">
      <w:pPr>
        <w:pStyle w:val="Sinespaciado"/>
        <w:contextualSpacing/>
        <w:jc w:val="both"/>
        <w:rPr>
          <w:rFonts w:ascii="Verdana" w:hAnsi="Verdana" w:cs="Arial"/>
        </w:rPr>
      </w:pPr>
    </w:p>
    <w:p w14:paraId="1A16109B" w14:textId="77777777" w:rsidR="00A20990" w:rsidRPr="001A38D5" w:rsidRDefault="00A20990" w:rsidP="005140E1">
      <w:pPr>
        <w:pStyle w:val="Sinespaciado"/>
        <w:contextualSpacing/>
        <w:jc w:val="both"/>
        <w:rPr>
          <w:rFonts w:ascii="Verdana" w:hAnsi="Verdana" w:cs="Arial"/>
        </w:rPr>
      </w:pPr>
      <w:r w:rsidRPr="001A38D5">
        <w:rPr>
          <w:rFonts w:ascii="Verdana" w:hAnsi="Verdana" w:cs="Arial"/>
        </w:rPr>
        <w:t>Para la vigencia 2021, tanto para los estudiantes registrados con matrícula oficial en el Resguardo indígena Maguaré, como para la población mayoritari</w:t>
      </w:r>
      <w:r w:rsidR="00791DC3">
        <w:rPr>
          <w:rFonts w:ascii="Verdana" w:hAnsi="Verdana" w:cs="Arial"/>
        </w:rPr>
        <w:t>a</w:t>
      </w:r>
      <w:r w:rsidRPr="001A38D5">
        <w:rPr>
          <w:rFonts w:ascii="Verdana" w:hAnsi="Verdana" w:cs="Arial"/>
        </w:rPr>
        <w:t xml:space="preserve">, no se inició oportunamente la operación de PAE. En primer lugar, el Convenio </w:t>
      </w:r>
      <w:r w:rsidR="00791DC3">
        <w:rPr>
          <w:rFonts w:ascii="Verdana" w:hAnsi="Verdana" w:cs="Arial"/>
        </w:rPr>
        <w:t>I</w:t>
      </w:r>
      <w:r w:rsidRPr="001A38D5">
        <w:rPr>
          <w:rFonts w:ascii="Verdana" w:hAnsi="Verdana" w:cs="Arial"/>
        </w:rPr>
        <w:t xml:space="preserve">nteradministrativo No. 1104 del 18 de mayo de 2021 inició el suministro de los complementos a los 31 estudiantes registrados con matrícula oficial en el </w:t>
      </w:r>
      <w:r w:rsidR="00EF2696">
        <w:rPr>
          <w:rFonts w:ascii="Verdana" w:hAnsi="Verdana" w:cs="Arial"/>
        </w:rPr>
        <w:t xml:space="preserve">Resguardo Indígena Maguare </w:t>
      </w:r>
      <w:r w:rsidRPr="001A38D5">
        <w:rPr>
          <w:rFonts w:ascii="Verdana" w:hAnsi="Verdana" w:cs="Arial"/>
        </w:rPr>
        <w:t>el miércoles</w:t>
      </w:r>
      <w:r w:rsidR="009E74D6">
        <w:rPr>
          <w:rFonts w:ascii="Verdana" w:hAnsi="Verdana" w:cs="Arial"/>
        </w:rPr>
        <w:t xml:space="preserve"> </w:t>
      </w:r>
      <w:r w:rsidRPr="001A38D5">
        <w:rPr>
          <w:rFonts w:ascii="Verdana" w:hAnsi="Verdana" w:cs="Arial"/>
        </w:rPr>
        <w:t>19 de mayo de 2021, es decir 70 días del calendario escolar después del inicio (1 de febrero de 2021</w:t>
      </w:r>
      <w:r w:rsidRPr="001A38D5">
        <w:rPr>
          <w:rStyle w:val="Refdenotaalpie"/>
          <w:rFonts w:ascii="Verdana" w:hAnsi="Verdana" w:cs="Arial"/>
        </w:rPr>
        <w:footnoteReference w:id="7"/>
      </w:r>
      <w:r w:rsidRPr="001A38D5">
        <w:rPr>
          <w:rFonts w:ascii="Verdana" w:hAnsi="Verdana" w:cs="Arial"/>
        </w:rPr>
        <w:t>). En segundo lugar, para la población mayoritaria la entrega de Bonos se realizó desde el día 13 de abril de 2021, es decir, 45 días después del inicio del calendario escolar. Lo anterior evidencia la falta de planeación por parte de</w:t>
      </w:r>
      <w:r w:rsidR="009E74D6">
        <w:rPr>
          <w:rFonts w:ascii="Verdana" w:hAnsi="Verdana" w:cs="Arial"/>
        </w:rPr>
        <w:t>l Municipio</w:t>
      </w:r>
      <w:r w:rsidRPr="001A38D5">
        <w:rPr>
          <w:rFonts w:ascii="Verdana" w:hAnsi="Verdana" w:cs="Arial"/>
        </w:rPr>
        <w:t>, que no garantizó la prestación del servicio de Alimentación Escolar durante las 40 semanas lectivas del trabajo académico.</w:t>
      </w:r>
    </w:p>
    <w:p w14:paraId="5B87BD55" w14:textId="77777777" w:rsidR="00A20990" w:rsidRPr="001A38D5" w:rsidRDefault="00A20990" w:rsidP="005140E1">
      <w:pPr>
        <w:contextualSpacing/>
        <w:jc w:val="both"/>
        <w:rPr>
          <w:rFonts w:cs="Arial"/>
          <w:lang w:val="es-CO"/>
        </w:rPr>
      </w:pPr>
    </w:p>
    <w:p w14:paraId="01775A79" w14:textId="77777777" w:rsidR="00A20990" w:rsidRPr="001A38D5" w:rsidRDefault="00A20990" w:rsidP="005140E1">
      <w:pPr>
        <w:contextualSpacing/>
        <w:jc w:val="both"/>
        <w:rPr>
          <w:rFonts w:cs="Arial"/>
          <w:lang w:val="es-CO"/>
        </w:rPr>
      </w:pPr>
      <w:r w:rsidRPr="001A38D5">
        <w:rPr>
          <w:rFonts w:cs="Arial"/>
          <w:lang w:val="es-CO"/>
        </w:rPr>
        <w:t xml:space="preserve">Finalmente, para la vigencia 2022 se observa que la prestación del servicio a población mayoritaria inició el 10 de marzo de 2022 y a la población en el Resguardo indígena el 17 de agosto de 2022, pese a que la Resolución No 1500-67.10/1141 de 2021 del Municipio de Villavicencio estableció el inicio del calendario académico el 31 de enero de 2022, lo que significa </w:t>
      </w:r>
      <w:r w:rsidR="002D5BAF">
        <w:rPr>
          <w:rFonts w:cs="Arial"/>
          <w:lang w:val="es-CO"/>
        </w:rPr>
        <w:t>seis (6) semanas lectivas</w:t>
      </w:r>
      <w:r w:rsidRPr="001A38D5">
        <w:rPr>
          <w:rFonts w:cs="Arial"/>
          <w:lang w:val="es-CO"/>
        </w:rPr>
        <w:t xml:space="preserve"> descubiert</w:t>
      </w:r>
      <w:r w:rsidR="002D5BAF">
        <w:rPr>
          <w:rFonts w:cs="Arial"/>
          <w:lang w:val="es-CO"/>
        </w:rPr>
        <w:t>a</w:t>
      </w:r>
      <w:r w:rsidRPr="001A38D5">
        <w:rPr>
          <w:rFonts w:cs="Arial"/>
          <w:lang w:val="es-CO"/>
        </w:rPr>
        <w:t xml:space="preserve">s </w:t>
      </w:r>
      <w:r w:rsidR="002D5BAF">
        <w:rPr>
          <w:rFonts w:cs="Arial"/>
          <w:lang w:val="es-CO"/>
        </w:rPr>
        <w:t>en</w:t>
      </w:r>
      <w:r w:rsidRPr="001A38D5">
        <w:rPr>
          <w:rFonts w:cs="Arial"/>
          <w:lang w:val="es-CO"/>
        </w:rPr>
        <w:t xml:space="preserve"> la prestación del Servicio. Además, se evidencia inoportunidad y falta de continuidad en los procesos de planeación y contratación del PAE. En esta vigencia se presentaron múltiples contratos y de diversas modalidades para cubrir el </w:t>
      </w:r>
      <w:r w:rsidR="00791DC3">
        <w:rPr>
          <w:rFonts w:cs="Arial"/>
          <w:lang w:val="es-CO"/>
        </w:rPr>
        <w:t>S</w:t>
      </w:r>
      <w:r w:rsidRPr="001A38D5">
        <w:rPr>
          <w:rFonts w:cs="Arial"/>
          <w:lang w:val="es-CO"/>
        </w:rPr>
        <w:t xml:space="preserve">ervicio de la vigencia por fracciones del calendario escolar y adicionados varias veces, con el desgaste administrativo que esto representa y con tiempos descubiertos en la prestación del </w:t>
      </w:r>
      <w:r w:rsidR="00F76BE6">
        <w:rPr>
          <w:rFonts w:cs="Arial"/>
          <w:lang w:val="es-CO"/>
        </w:rPr>
        <w:t>S</w:t>
      </w:r>
      <w:r w:rsidRPr="001A38D5">
        <w:rPr>
          <w:rFonts w:cs="Arial"/>
          <w:lang w:val="es-CO"/>
        </w:rPr>
        <w:t xml:space="preserve">ervicio entre la finalización de un contrato y la iniciación de la prestación del </w:t>
      </w:r>
      <w:r w:rsidR="00F76BE6">
        <w:rPr>
          <w:rFonts w:cs="Arial"/>
          <w:lang w:val="es-CO"/>
        </w:rPr>
        <w:t>S</w:t>
      </w:r>
      <w:r w:rsidRPr="001A38D5">
        <w:rPr>
          <w:rFonts w:cs="Arial"/>
          <w:lang w:val="es-CO"/>
        </w:rPr>
        <w:t>ervicio con el siguiente contrato.</w:t>
      </w:r>
    </w:p>
    <w:p w14:paraId="5AD67958" w14:textId="77777777" w:rsidR="00A20990" w:rsidRPr="001A38D5" w:rsidRDefault="00A20990" w:rsidP="005140E1">
      <w:pPr>
        <w:contextualSpacing/>
        <w:jc w:val="both"/>
        <w:rPr>
          <w:rFonts w:cs="Arial"/>
          <w:lang w:val="es-CO"/>
        </w:rPr>
      </w:pPr>
    </w:p>
    <w:p w14:paraId="70FA174F"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22</w:t>
      </w:r>
      <w:r w:rsidRPr="007A412F">
        <w:rPr>
          <w:rFonts w:ascii="Verdana" w:hAnsi="Verdana"/>
          <w:color w:val="auto"/>
          <w:sz w:val="20"/>
          <w:szCs w:val="20"/>
        </w:rPr>
        <w:fldChar w:fldCharType="end"/>
      </w:r>
      <w:r w:rsidRPr="007A412F">
        <w:rPr>
          <w:rFonts w:ascii="Verdana" w:hAnsi="Verdana"/>
          <w:color w:val="auto"/>
          <w:sz w:val="20"/>
          <w:szCs w:val="20"/>
        </w:rPr>
        <w:t xml:space="preserve"> Calendario escolar Municipio de Villavicencio, vigencias 2019 – 2022 </w:t>
      </w:r>
    </w:p>
    <w:tbl>
      <w:tblPr>
        <w:tblW w:w="5000" w:type="pct"/>
        <w:tblCellMar>
          <w:left w:w="70" w:type="dxa"/>
          <w:right w:w="70" w:type="dxa"/>
        </w:tblCellMar>
        <w:tblLook w:val="04A0" w:firstRow="1" w:lastRow="0" w:firstColumn="1" w:lastColumn="0" w:noHBand="0" w:noVBand="1"/>
      </w:tblPr>
      <w:tblGrid>
        <w:gridCol w:w="1001"/>
        <w:gridCol w:w="3517"/>
        <w:gridCol w:w="1219"/>
        <w:gridCol w:w="1219"/>
        <w:gridCol w:w="1219"/>
        <w:gridCol w:w="1219"/>
      </w:tblGrid>
      <w:tr w:rsidR="001A38D5" w:rsidRPr="001A38D5" w14:paraId="42F7ACE9" w14:textId="77777777" w:rsidTr="009E74D6">
        <w:trPr>
          <w:trHeight w:val="300"/>
        </w:trPr>
        <w:tc>
          <w:tcPr>
            <w:tcW w:w="499" w:type="pct"/>
            <w:vMerge w:val="restart"/>
            <w:tcBorders>
              <w:top w:val="single" w:sz="4" w:space="0" w:color="auto"/>
              <w:left w:val="single" w:sz="4" w:space="0" w:color="auto"/>
              <w:bottom w:val="single" w:sz="4" w:space="0" w:color="000000"/>
              <w:right w:val="single" w:sz="4" w:space="0" w:color="auto"/>
            </w:tcBorders>
            <w:shd w:val="clear" w:color="auto" w:fill="FFC000"/>
            <w:vAlign w:val="center"/>
            <w:hideMark/>
          </w:tcPr>
          <w:p w14:paraId="455D1E0C"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Vigencia</w:t>
            </w:r>
          </w:p>
        </w:tc>
        <w:tc>
          <w:tcPr>
            <w:tcW w:w="2072" w:type="pct"/>
            <w:vMerge w:val="restart"/>
            <w:tcBorders>
              <w:top w:val="single" w:sz="4" w:space="0" w:color="auto"/>
              <w:left w:val="single" w:sz="4" w:space="0" w:color="auto"/>
              <w:bottom w:val="single" w:sz="4" w:space="0" w:color="000000"/>
              <w:right w:val="single" w:sz="4" w:space="0" w:color="auto"/>
            </w:tcBorders>
            <w:shd w:val="clear" w:color="auto" w:fill="FFC000"/>
            <w:vAlign w:val="center"/>
            <w:hideMark/>
          </w:tcPr>
          <w:p w14:paraId="20567F03"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Acto administrativo</w:t>
            </w:r>
          </w:p>
        </w:tc>
        <w:tc>
          <w:tcPr>
            <w:tcW w:w="1214" w:type="pct"/>
            <w:gridSpan w:val="2"/>
            <w:tcBorders>
              <w:top w:val="single" w:sz="4" w:space="0" w:color="auto"/>
              <w:left w:val="nil"/>
              <w:bottom w:val="single" w:sz="4" w:space="0" w:color="auto"/>
              <w:right w:val="single" w:sz="4" w:space="0" w:color="000000"/>
            </w:tcBorders>
            <w:shd w:val="clear" w:color="auto" w:fill="FFC000"/>
            <w:vAlign w:val="center"/>
            <w:hideMark/>
          </w:tcPr>
          <w:p w14:paraId="315368F6"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Periodo semestral 1</w:t>
            </w:r>
          </w:p>
        </w:tc>
        <w:tc>
          <w:tcPr>
            <w:tcW w:w="1215" w:type="pct"/>
            <w:gridSpan w:val="2"/>
            <w:tcBorders>
              <w:top w:val="single" w:sz="4" w:space="0" w:color="auto"/>
              <w:left w:val="nil"/>
              <w:bottom w:val="single" w:sz="4" w:space="0" w:color="auto"/>
              <w:right w:val="single" w:sz="4" w:space="0" w:color="000000"/>
            </w:tcBorders>
            <w:shd w:val="clear" w:color="auto" w:fill="FFC000"/>
            <w:vAlign w:val="center"/>
            <w:hideMark/>
          </w:tcPr>
          <w:p w14:paraId="67EE7B28"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Periodo semestral 2</w:t>
            </w:r>
          </w:p>
        </w:tc>
      </w:tr>
      <w:tr w:rsidR="001A38D5" w:rsidRPr="001A38D5" w14:paraId="0AA47C0D" w14:textId="77777777" w:rsidTr="009E74D6">
        <w:trPr>
          <w:trHeight w:val="300"/>
        </w:trPr>
        <w:tc>
          <w:tcPr>
            <w:tcW w:w="499" w:type="pct"/>
            <w:vMerge/>
            <w:tcBorders>
              <w:top w:val="single" w:sz="4" w:space="0" w:color="auto"/>
              <w:left w:val="single" w:sz="4" w:space="0" w:color="auto"/>
              <w:bottom w:val="single" w:sz="4" w:space="0" w:color="000000"/>
              <w:right w:val="single" w:sz="4" w:space="0" w:color="auto"/>
            </w:tcBorders>
            <w:shd w:val="clear" w:color="auto" w:fill="FFC000"/>
            <w:vAlign w:val="center"/>
            <w:hideMark/>
          </w:tcPr>
          <w:p w14:paraId="32B13864" w14:textId="77777777" w:rsidR="00A20990" w:rsidRPr="001A38D5" w:rsidRDefault="00A20990" w:rsidP="005140E1">
            <w:pPr>
              <w:contextualSpacing/>
              <w:rPr>
                <w:rFonts w:eastAsia="Times New Roman" w:cs="Arial"/>
                <w:b/>
                <w:bCs/>
                <w:sz w:val="18"/>
                <w:szCs w:val="18"/>
                <w:lang w:val="es-CO" w:eastAsia="es-CO"/>
              </w:rPr>
            </w:pPr>
          </w:p>
        </w:tc>
        <w:tc>
          <w:tcPr>
            <w:tcW w:w="2072" w:type="pct"/>
            <w:vMerge/>
            <w:tcBorders>
              <w:top w:val="single" w:sz="4" w:space="0" w:color="auto"/>
              <w:left w:val="single" w:sz="4" w:space="0" w:color="auto"/>
              <w:bottom w:val="single" w:sz="4" w:space="0" w:color="000000"/>
              <w:right w:val="single" w:sz="4" w:space="0" w:color="auto"/>
            </w:tcBorders>
            <w:shd w:val="clear" w:color="auto" w:fill="FFC000"/>
            <w:vAlign w:val="center"/>
            <w:hideMark/>
          </w:tcPr>
          <w:p w14:paraId="53CD34AF" w14:textId="77777777" w:rsidR="00A20990" w:rsidRPr="001A38D5" w:rsidRDefault="00A20990" w:rsidP="005140E1">
            <w:pPr>
              <w:contextualSpacing/>
              <w:rPr>
                <w:rFonts w:eastAsia="Times New Roman" w:cs="Arial"/>
                <w:b/>
                <w:bCs/>
                <w:sz w:val="18"/>
                <w:szCs w:val="18"/>
                <w:lang w:val="es-CO" w:eastAsia="es-CO"/>
              </w:rPr>
            </w:pPr>
          </w:p>
        </w:tc>
        <w:tc>
          <w:tcPr>
            <w:tcW w:w="607" w:type="pct"/>
            <w:tcBorders>
              <w:top w:val="nil"/>
              <w:left w:val="nil"/>
              <w:bottom w:val="single" w:sz="4" w:space="0" w:color="auto"/>
              <w:right w:val="single" w:sz="4" w:space="0" w:color="auto"/>
            </w:tcBorders>
            <w:shd w:val="clear" w:color="auto" w:fill="FFC000"/>
            <w:vAlign w:val="center"/>
            <w:hideMark/>
          </w:tcPr>
          <w:p w14:paraId="026B0E0C"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Inicio</w:t>
            </w:r>
          </w:p>
        </w:tc>
        <w:tc>
          <w:tcPr>
            <w:tcW w:w="607" w:type="pct"/>
            <w:tcBorders>
              <w:top w:val="nil"/>
              <w:left w:val="nil"/>
              <w:bottom w:val="single" w:sz="4" w:space="0" w:color="auto"/>
              <w:right w:val="single" w:sz="4" w:space="0" w:color="auto"/>
            </w:tcBorders>
            <w:shd w:val="clear" w:color="auto" w:fill="FFC000"/>
            <w:vAlign w:val="center"/>
            <w:hideMark/>
          </w:tcPr>
          <w:p w14:paraId="6006881F"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Fin</w:t>
            </w:r>
          </w:p>
        </w:tc>
        <w:tc>
          <w:tcPr>
            <w:tcW w:w="608" w:type="pct"/>
            <w:tcBorders>
              <w:top w:val="nil"/>
              <w:left w:val="nil"/>
              <w:bottom w:val="single" w:sz="4" w:space="0" w:color="auto"/>
              <w:right w:val="single" w:sz="4" w:space="0" w:color="auto"/>
            </w:tcBorders>
            <w:shd w:val="clear" w:color="auto" w:fill="FFC000"/>
            <w:vAlign w:val="center"/>
            <w:hideMark/>
          </w:tcPr>
          <w:p w14:paraId="75A0FC14"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Inicio</w:t>
            </w:r>
          </w:p>
        </w:tc>
        <w:tc>
          <w:tcPr>
            <w:tcW w:w="607" w:type="pct"/>
            <w:tcBorders>
              <w:top w:val="nil"/>
              <w:left w:val="nil"/>
              <w:bottom w:val="single" w:sz="4" w:space="0" w:color="auto"/>
              <w:right w:val="single" w:sz="4" w:space="0" w:color="auto"/>
            </w:tcBorders>
            <w:shd w:val="clear" w:color="auto" w:fill="FFC000"/>
            <w:vAlign w:val="center"/>
            <w:hideMark/>
          </w:tcPr>
          <w:p w14:paraId="3BF394E9"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Fin</w:t>
            </w:r>
          </w:p>
        </w:tc>
      </w:tr>
      <w:tr w:rsidR="001A38D5" w:rsidRPr="001A38D5" w14:paraId="6D638257" w14:textId="77777777" w:rsidTr="00A20990">
        <w:trPr>
          <w:trHeight w:val="480"/>
        </w:trPr>
        <w:tc>
          <w:tcPr>
            <w:tcW w:w="499" w:type="pct"/>
            <w:tcBorders>
              <w:top w:val="nil"/>
              <w:left w:val="single" w:sz="4" w:space="0" w:color="auto"/>
              <w:bottom w:val="single" w:sz="4" w:space="0" w:color="auto"/>
              <w:right w:val="single" w:sz="4" w:space="0" w:color="auto"/>
            </w:tcBorders>
            <w:shd w:val="clear" w:color="auto" w:fill="auto"/>
            <w:vAlign w:val="center"/>
            <w:hideMark/>
          </w:tcPr>
          <w:p w14:paraId="6337A42F"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2019</w:t>
            </w:r>
          </w:p>
        </w:tc>
        <w:tc>
          <w:tcPr>
            <w:tcW w:w="2072" w:type="pct"/>
            <w:tcBorders>
              <w:top w:val="nil"/>
              <w:left w:val="nil"/>
              <w:bottom w:val="single" w:sz="4" w:space="0" w:color="auto"/>
              <w:right w:val="single" w:sz="4" w:space="0" w:color="auto"/>
            </w:tcBorders>
            <w:shd w:val="clear" w:color="auto" w:fill="auto"/>
            <w:vAlign w:val="center"/>
            <w:hideMark/>
          </w:tcPr>
          <w:p w14:paraId="68A29862"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Resolución No. 1500-56.03/3105 de 2018 y Resolución No. 1500-56.03/047 de 2019</w:t>
            </w:r>
          </w:p>
        </w:tc>
        <w:tc>
          <w:tcPr>
            <w:tcW w:w="607" w:type="pct"/>
            <w:tcBorders>
              <w:top w:val="nil"/>
              <w:left w:val="nil"/>
              <w:bottom w:val="single" w:sz="4" w:space="0" w:color="auto"/>
              <w:right w:val="single" w:sz="4" w:space="0" w:color="auto"/>
            </w:tcBorders>
            <w:shd w:val="clear" w:color="auto" w:fill="auto"/>
            <w:vAlign w:val="center"/>
            <w:hideMark/>
          </w:tcPr>
          <w:p w14:paraId="40BCC45D"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4/02/2019</w:t>
            </w:r>
          </w:p>
        </w:tc>
        <w:tc>
          <w:tcPr>
            <w:tcW w:w="607" w:type="pct"/>
            <w:tcBorders>
              <w:top w:val="nil"/>
              <w:left w:val="nil"/>
              <w:bottom w:val="single" w:sz="4" w:space="0" w:color="auto"/>
              <w:right w:val="single" w:sz="4" w:space="0" w:color="auto"/>
            </w:tcBorders>
            <w:shd w:val="clear" w:color="auto" w:fill="auto"/>
            <w:vAlign w:val="center"/>
            <w:hideMark/>
          </w:tcPr>
          <w:p w14:paraId="24C5F8AE"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30/06/2019</w:t>
            </w:r>
          </w:p>
        </w:tc>
        <w:tc>
          <w:tcPr>
            <w:tcW w:w="608" w:type="pct"/>
            <w:tcBorders>
              <w:top w:val="nil"/>
              <w:left w:val="nil"/>
              <w:bottom w:val="single" w:sz="4" w:space="0" w:color="auto"/>
              <w:right w:val="single" w:sz="4" w:space="0" w:color="auto"/>
            </w:tcBorders>
            <w:shd w:val="clear" w:color="auto" w:fill="auto"/>
            <w:vAlign w:val="center"/>
            <w:hideMark/>
          </w:tcPr>
          <w:p w14:paraId="59E1FD55"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15/07/2019</w:t>
            </w:r>
          </w:p>
        </w:tc>
        <w:tc>
          <w:tcPr>
            <w:tcW w:w="607" w:type="pct"/>
            <w:tcBorders>
              <w:top w:val="nil"/>
              <w:left w:val="nil"/>
              <w:bottom w:val="single" w:sz="4" w:space="0" w:color="auto"/>
              <w:right w:val="single" w:sz="4" w:space="0" w:color="auto"/>
            </w:tcBorders>
            <w:shd w:val="clear" w:color="auto" w:fill="auto"/>
            <w:vAlign w:val="center"/>
            <w:hideMark/>
          </w:tcPr>
          <w:p w14:paraId="4DC082B7"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8/12/2019</w:t>
            </w:r>
          </w:p>
        </w:tc>
      </w:tr>
      <w:tr w:rsidR="001A38D5" w:rsidRPr="001A38D5" w14:paraId="05C641B5" w14:textId="77777777" w:rsidTr="00A20990">
        <w:trPr>
          <w:trHeight w:val="1200"/>
        </w:trPr>
        <w:tc>
          <w:tcPr>
            <w:tcW w:w="499" w:type="pct"/>
            <w:tcBorders>
              <w:top w:val="nil"/>
              <w:left w:val="single" w:sz="4" w:space="0" w:color="auto"/>
              <w:bottom w:val="single" w:sz="4" w:space="0" w:color="auto"/>
              <w:right w:val="single" w:sz="4" w:space="0" w:color="auto"/>
            </w:tcBorders>
            <w:shd w:val="clear" w:color="auto" w:fill="auto"/>
            <w:vAlign w:val="center"/>
            <w:hideMark/>
          </w:tcPr>
          <w:p w14:paraId="1D8C37F9"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2020</w:t>
            </w:r>
          </w:p>
        </w:tc>
        <w:tc>
          <w:tcPr>
            <w:tcW w:w="2072" w:type="pct"/>
            <w:tcBorders>
              <w:top w:val="nil"/>
              <w:left w:val="nil"/>
              <w:bottom w:val="single" w:sz="4" w:space="0" w:color="auto"/>
              <w:right w:val="single" w:sz="4" w:space="0" w:color="auto"/>
            </w:tcBorders>
            <w:shd w:val="clear" w:color="auto" w:fill="auto"/>
            <w:vAlign w:val="center"/>
            <w:hideMark/>
          </w:tcPr>
          <w:p w14:paraId="274C0262"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Resolución No. 1500-56.03/3949 de 2019, Resolución No. 1500-67.10/144 del 29 de enero de 2020, Resolución No. 1500-67.10/535 del 16 de marzo de 2020 y Resolución No. 1500-67.10/1034 del 2 de julio de 2020</w:t>
            </w:r>
          </w:p>
        </w:tc>
        <w:tc>
          <w:tcPr>
            <w:tcW w:w="607" w:type="pct"/>
            <w:tcBorders>
              <w:top w:val="nil"/>
              <w:left w:val="nil"/>
              <w:bottom w:val="single" w:sz="4" w:space="0" w:color="auto"/>
              <w:right w:val="single" w:sz="4" w:space="0" w:color="auto"/>
            </w:tcBorders>
            <w:shd w:val="clear" w:color="auto" w:fill="auto"/>
            <w:vAlign w:val="center"/>
            <w:hideMark/>
          </w:tcPr>
          <w:p w14:paraId="2A04228C"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17/02/2020</w:t>
            </w:r>
          </w:p>
        </w:tc>
        <w:tc>
          <w:tcPr>
            <w:tcW w:w="607" w:type="pct"/>
            <w:tcBorders>
              <w:top w:val="nil"/>
              <w:left w:val="nil"/>
              <w:bottom w:val="single" w:sz="4" w:space="0" w:color="auto"/>
              <w:right w:val="single" w:sz="4" w:space="0" w:color="auto"/>
            </w:tcBorders>
            <w:shd w:val="clear" w:color="auto" w:fill="auto"/>
            <w:vAlign w:val="center"/>
            <w:hideMark/>
          </w:tcPr>
          <w:p w14:paraId="7BAE307E"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5/07/2020</w:t>
            </w:r>
          </w:p>
        </w:tc>
        <w:tc>
          <w:tcPr>
            <w:tcW w:w="608" w:type="pct"/>
            <w:tcBorders>
              <w:top w:val="nil"/>
              <w:left w:val="nil"/>
              <w:bottom w:val="single" w:sz="4" w:space="0" w:color="auto"/>
              <w:right w:val="single" w:sz="4" w:space="0" w:color="auto"/>
            </w:tcBorders>
            <w:shd w:val="clear" w:color="auto" w:fill="auto"/>
            <w:vAlign w:val="center"/>
            <w:hideMark/>
          </w:tcPr>
          <w:p w14:paraId="64875798"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20/07/2020</w:t>
            </w:r>
          </w:p>
        </w:tc>
        <w:tc>
          <w:tcPr>
            <w:tcW w:w="607" w:type="pct"/>
            <w:tcBorders>
              <w:top w:val="nil"/>
              <w:left w:val="nil"/>
              <w:bottom w:val="single" w:sz="4" w:space="0" w:color="auto"/>
              <w:right w:val="single" w:sz="4" w:space="0" w:color="auto"/>
            </w:tcBorders>
            <w:shd w:val="clear" w:color="auto" w:fill="auto"/>
            <w:vAlign w:val="center"/>
            <w:hideMark/>
          </w:tcPr>
          <w:p w14:paraId="37384BF2"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20/12/2020</w:t>
            </w:r>
          </w:p>
        </w:tc>
      </w:tr>
      <w:tr w:rsidR="001A38D5" w:rsidRPr="001A38D5" w14:paraId="7A3A7EFF" w14:textId="77777777" w:rsidTr="00A20990">
        <w:trPr>
          <w:trHeight w:val="720"/>
        </w:trPr>
        <w:tc>
          <w:tcPr>
            <w:tcW w:w="499" w:type="pct"/>
            <w:tcBorders>
              <w:top w:val="nil"/>
              <w:left w:val="single" w:sz="4" w:space="0" w:color="auto"/>
              <w:bottom w:val="single" w:sz="4" w:space="0" w:color="auto"/>
              <w:right w:val="single" w:sz="4" w:space="0" w:color="auto"/>
            </w:tcBorders>
            <w:shd w:val="clear" w:color="auto" w:fill="auto"/>
            <w:vAlign w:val="center"/>
            <w:hideMark/>
          </w:tcPr>
          <w:p w14:paraId="21D37879"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2021</w:t>
            </w:r>
          </w:p>
        </w:tc>
        <w:tc>
          <w:tcPr>
            <w:tcW w:w="2072" w:type="pct"/>
            <w:tcBorders>
              <w:top w:val="nil"/>
              <w:left w:val="nil"/>
              <w:bottom w:val="single" w:sz="4" w:space="0" w:color="auto"/>
              <w:right w:val="single" w:sz="4" w:space="0" w:color="auto"/>
            </w:tcBorders>
            <w:shd w:val="clear" w:color="auto" w:fill="auto"/>
            <w:vAlign w:val="center"/>
            <w:hideMark/>
          </w:tcPr>
          <w:p w14:paraId="48C18AE1"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Resolución 1500-67.10/1616 del 27 de octubre de 2020 y Resolución No 1500-67.10/1141 de 2021</w:t>
            </w:r>
          </w:p>
        </w:tc>
        <w:tc>
          <w:tcPr>
            <w:tcW w:w="607" w:type="pct"/>
            <w:tcBorders>
              <w:top w:val="nil"/>
              <w:left w:val="nil"/>
              <w:bottom w:val="single" w:sz="4" w:space="0" w:color="auto"/>
              <w:right w:val="single" w:sz="4" w:space="0" w:color="auto"/>
            </w:tcBorders>
            <w:shd w:val="clear" w:color="auto" w:fill="auto"/>
            <w:vAlign w:val="center"/>
            <w:hideMark/>
          </w:tcPr>
          <w:p w14:paraId="43F9BA2C"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1/02/2021</w:t>
            </w:r>
          </w:p>
        </w:tc>
        <w:tc>
          <w:tcPr>
            <w:tcW w:w="607" w:type="pct"/>
            <w:tcBorders>
              <w:top w:val="nil"/>
              <w:left w:val="nil"/>
              <w:bottom w:val="single" w:sz="4" w:space="0" w:color="auto"/>
              <w:right w:val="single" w:sz="4" w:space="0" w:color="auto"/>
            </w:tcBorders>
            <w:shd w:val="clear" w:color="auto" w:fill="auto"/>
            <w:vAlign w:val="center"/>
            <w:hideMark/>
          </w:tcPr>
          <w:p w14:paraId="5E67FB0E"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27/06/2021</w:t>
            </w:r>
          </w:p>
        </w:tc>
        <w:tc>
          <w:tcPr>
            <w:tcW w:w="608" w:type="pct"/>
            <w:tcBorders>
              <w:top w:val="nil"/>
              <w:left w:val="nil"/>
              <w:bottom w:val="single" w:sz="4" w:space="0" w:color="auto"/>
              <w:right w:val="single" w:sz="4" w:space="0" w:color="auto"/>
            </w:tcBorders>
            <w:shd w:val="clear" w:color="auto" w:fill="auto"/>
            <w:vAlign w:val="center"/>
            <w:hideMark/>
          </w:tcPr>
          <w:p w14:paraId="56173674"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19/07/2021</w:t>
            </w:r>
          </w:p>
        </w:tc>
        <w:tc>
          <w:tcPr>
            <w:tcW w:w="607" w:type="pct"/>
            <w:tcBorders>
              <w:top w:val="nil"/>
              <w:left w:val="nil"/>
              <w:bottom w:val="single" w:sz="4" w:space="0" w:color="auto"/>
              <w:right w:val="single" w:sz="4" w:space="0" w:color="auto"/>
            </w:tcBorders>
            <w:shd w:val="clear" w:color="auto" w:fill="auto"/>
            <w:vAlign w:val="center"/>
            <w:hideMark/>
          </w:tcPr>
          <w:p w14:paraId="5390EF55"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5/12/2021</w:t>
            </w:r>
          </w:p>
        </w:tc>
      </w:tr>
      <w:tr w:rsidR="001A38D5" w:rsidRPr="001A38D5" w14:paraId="118AFD7A" w14:textId="77777777" w:rsidTr="00A20990">
        <w:trPr>
          <w:trHeight w:val="300"/>
        </w:trPr>
        <w:tc>
          <w:tcPr>
            <w:tcW w:w="499" w:type="pct"/>
            <w:tcBorders>
              <w:top w:val="nil"/>
              <w:left w:val="single" w:sz="4" w:space="0" w:color="auto"/>
              <w:bottom w:val="single" w:sz="4" w:space="0" w:color="auto"/>
              <w:right w:val="single" w:sz="4" w:space="0" w:color="auto"/>
            </w:tcBorders>
            <w:shd w:val="clear" w:color="auto" w:fill="auto"/>
            <w:vAlign w:val="center"/>
            <w:hideMark/>
          </w:tcPr>
          <w:p w14:paraId="3126E4CA"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2022</w:t>
            </w:r>
          </w:p>
        </w:tc>
        <w:tc>
          <w:tcPr>
            <w:tcW w:w="2072" w:type="pct"/>
            <w:tcBorders>
              <w:top w:val="nil"/>
              <w:left w:val="nil"/>
              <w:bottom w:val="single" w:sz="4" w:space="0" w:color="auto"/>
              <w:right w:val="single" w:sz="4" w:space="0" w:color="auto"/>
            </w:tcBorders>
            <w:shd w:val="clear" w:color="auto" w:fill="auto"/>
            <w:vAlign w:val="center"/>
            <w:hideMark/>
          </w:tcPr>
          <w:p w14:paraId="3C23DF71"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Resolución 1500-67.10/1777 de 2021</w:t>
            </w:r>
          </w:p>
        </w:tc>
        <w:tc>
          <w:tcPr>
            <w:tcW w:w="607" w:type="pct"/>
            <w:tcBorders>
              <w:top w:val="nil"/>
              <w:left w:val="nil"/>
              <w:bottom w:val="single" w:sz="4" w:space="0" w:color="auto"/>
              <w:right w:val="single" w:sz="4" w:space="0" w:color="auto"/>
            </w:tcBorders>
            <w:shd w:val="clear" w:color="auto" w:fill="auto"/>
            <w:vAlign w:val="center"/>
            <w:hideMark/>
          </w:tcPr>
          <w:p w14:paraId="473FC585"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31/01/2022</w:t>
            </w:r>
          </w:p>
        </w:tc>
        <w:tc>
          <w:tcPr>
            <w:tcW w:w="607" w:type="pct"/>
            <w:tcBorders>
              <w:top w:val="nil"/>
              <w:left w:val="nil"/>
              <w:bottom w:val="single" w:sz="4" w:space="0" w:color="auto"/>
              <w:right w:val="single" w:sz="4" w:space="0" w:color="auto"/>
            </w:tcBorders>
            <w:shd w:val="clear" w:color="auto" w:fill="auto"/>
            <w:vAlign w:val="center"/>
            <w:hideMark/>
          </w:tcPr>
          <w:p w14:paraId="7489667D"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26/06/2022</w:t>
            </w:r>
          </w:p>
        </w:tc>
        <w:tc>
          <w:tcPr>
            <w:tcW w:w="608" w:type="pct"/>
            <w:tcBorders>
              <w:top w:val="nil"/>
              <w:left w:val="nil"/>
              <w:bottom w:val="single" w:sz="4" w:space="0" w:color="auto"/>
              <w:right w:val="single" w:sz="4" w:space="0" w:color="auto"/>
            </w:tcBorders>
            <w:shd w:val="clear" w:color="auto" w:fill="auto"/>
            <w:vAlign w:val="center"/>
            <w:hideMark/>
          </w:tcPr>
          <w:p w14:paraId="562DCE2F"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11/07/2022</w:t>
            </w:r>
          </w:p>
        </w:tc>
        <w:tc>
          <w:tcPr>
            <w:tcW w:w="607" w:type="pct"/>
            <w:tcBorders>
              <w:top w:val="nil"/>
              <w:left w:val="nil"/>
              <w:bottom w:val="single" w:sz="4" w:space="0" w:color="auto"/>
              <w:right w:val="single" w:sz="4" w:space="0" w:color="auto"/>
            </w:tcBorders>
            <w:shd w:val="clear" w:color="auto" w:fill="auto"/>
            <w:vAlign w:val="center"/>
            <w:hideMark/>
          </w:tcPr>
          <w:p w14:paraId="364BB5D2"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4/12/2022</w:t>
            </w:r>
          </w:p>
        </w:tc>
      </w:tr>
    </w:tbl>
    <w:p w14:paraId="1C2AF00A" w14:textId="77777777" w:rsidR="00A20990" w:rsidRPr="001A38D5" w:rsidRDefault="00A20990" w:rsidP="005140E1">
      <w:pPr>
        <w:contextualSpacing/>
        <w:jc w:val="center"/>
        <w:textAlignment w:val="baseline"/>
        <w:rPr>
          <w:rFonts w:cs="Arial"/>
          <w:sz w:val="16"/>
        </w:rPr>
      </w:pPr>
      <w:r w:rsidRPr="001A38D5">
        <w:rPr>
          <w:rFonts w:cs="Arial"/>
          <w:sz w:val="16"/>
        </w:rPr>
        <w:t>Fuente: Elaboración DAF.</w:t>
      </w:r>
    </w:p>
    <w:p w14:paraId="36476462" w14:textId="77777777" w:rsidR="00A20990" w:rsidRPr="001A38D5" w:rsidRDefault="00A20990" w:rsidP="005140E1">
      <w:pPr>
        <w:contextualSpacing/>
        <w:jc w:val="both"/>
        <w:rPr>
          <w:rFonts w:cs="Arial"/>
        </w:rPr>
      </w:pPr>
    </w:p>
    <w:p w14:paraId="6BE2D8A5" w14:textId="77777777" w:rsidR="00A20990" w:rsidRPr="007A412F" w:rsidRDefault="00A20990" w:rsidP="005140E1">
      <w:pPr>
        <w:pStyle w:val="Descripcin"/>
        <w:keepNext/>
        <w:contextualSpacing/>
        <w:rPr>
          <w:rFonts w:ascii="Verdana" w:hAnsi="Verdana"/>
          <w:color w:val="auto"/>
          <w:sz w:val="20"/>
          <w:szCs w:val="20"/>
        </w:rPr>
      </w:pPr>
      <w:r w:rsidRPr="007A412F">
        <w:rPr>
          <w:rFonts w:ascii="Verdana" w:hAnsi="Verdana"/>
          <w:color w:val="auto"/>
          <w:sz w:val="20"/>
          <w:szCs w:val="20"/>
        </w:rPr>
        <w:t xml:space="preserve">Tabla </w:t>
      </w:r>
      <w:r w:rsidRPr="007A412F">
        <w:rPr>
          <w:rFonts w:ascii="Verdana" w:hAnsi="Verdana"/>
          <w:color w:val="auto"/>
          <w:sz w:val="20"/>
          <w:szCs w:val="20"/>
        </w:rPr>
        <w:fldChar w:fldCharType="begin"/>
      </w:r>
      <w:r w:rsidRPr="007A412F">
        <w:rPr>
          <w:rFonts w:ascii="Verdana" w:hAnsi="Verdana"/>
          <w:color w:val="auto"/>
          <w:sz w:val="20"/>
          <w:szCs w:val="20"/>
        </w:rPr>
        <w:instrText xml:space="preserve"> SEQ Tabla \* ARABIC </w:instrText>
      </w:r>
      <w:r w:rsidRPr="007A412F">
        <w:rPr>
          <w:rFonts w:ascii="Verdana" w:hAnsi="Verdana"/>
          <w:color w:val="auto"/>
          <w:sz w:val="20"/>
          <w:szCs w:val="20"/>
        </w:rPr>
        <w:fldChar w:fldCharType="separate"/>
      </w:r>
      <w:r w:rsidR="0073140F" w:rsidRPr="007A412F">
        <w:rPr>
          <w:rFonts w:ascii="Verdana" w:hAnsi="Verdana"/>
          <w:noProof/>
          <w:color w:val="auto"/>
          <w:sz w:val="20"/>
          <w:szCs w:val="20"/>
        </w:rPr>
        <w:t>23</w:t>
      </w:r>
      <w:r w:rsidRPr="007A412F">
        <w:rPr>
          <w:rFonts w:ascii="Verdana" w:hAnsi="Verdana"/>
          <w:color w:val="auto"/>
          <w:sz w:val="20"/>
          <w:szCs w:val="20"/>
        </w:rPr>
        <w:fldChar w:fldCharType="end"/>
      </w:r>
      <w:r w:rsidRPr="007A412F">
        <w:rPr>
          <w:rFonts w:ascii="Verdana" w:hAnsi="Verdana"/>
          <w:color w:val="auto"/>
          <w:sz w:val="20"/>
          <w:szCs w:val="20"/>
        </w:rPr>
        <w:t xml:space="preserve"> Inicio y finalización de la operación de los contratos suscritos para la Prestación del Servicio del PAE en el Municipio de Villavicencio para las vigencias 2019 – 2022</w:t>
      </w:r>
    </w:p>
    <w:tbl>
      <w:tblPr>
        <w:tblW w:w="9260" w:type="dxa"/>
        <w:tblCellMar>
          <w:left w:w="70" w:type="dxa"/>
          <w:right w:w="70" w:type="dxa"/>
        </w:tblCellMar>
        <w:tblLook w:val="04A0" w:firstRow="1" w:lastRow="0" w:firstColumn="1" w:lastColumn="0" w:noHBand="0" w:noVBand="1"/>
      </w:tblPr>
      <w:tblGrid>
        <w:gridCol w:w="1001"/>
        <w:gridCol w:w="4075"/>
        <w:gridCol w:w="1692"/>
        <w:gridCol w:w="1256"/>
        <w:gridCol w:w="1236"/>
      </w:tblGrid>
      <w:tr w:rsidR="001A38D5" w:rsidRPr="001A38D5" w14:paraId="6BF96D55" w14:textId="77777777" w:rsidTr="009E74D6">
        <w:trPr>
          <w:trHeight w:val="600"/>
          <w:tblHeader/>
        </w:trPr>
        <w:tc>
          <w:tcPr>
            <w:tcW w:w="88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89E11FF"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Vigencia</w:t>
            </w:r>
          </w:p>
        </w:tc>
        <w:tc>
          <w:tcPr>
            <w:tcW w:w="4171" w:type="dxa"/>
            <w:tcBorders>
              <w:top w:val="single" w:sz="4" w:space="0" w:color="auto"/>
              <w:left w:val="nil"/>
              <w:bottom w:val="single" w:sz="4" w:space="0" w:color="auto"/>
              <w:right w:val="single" w:sz="4" w:space="0" w:color="auto"/>
            </w:tcBorders>
            <w:shd w:val="clear" w:color="000000" w:fill="FFC000"/>
            <w:vAlign w:val="center"/>
            <w:hideMark/>
          </w:tcPr>
          <w:p w14:paraId="63255EBE"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Acto administrativo</w:t>
            </w:r>
          </w:p>
        </w:tc>
        <w:tc>
          <w:tcPr>
            <w:tcW w:w="1712" w:type="dxa"/>
            <w:tcBorders>
              <w:top w:val="single" w:sz="4" w:space="0" w:color="auto"/>
              <w:left w:val="nil"/>
              <w:bottom w:val="single" w:sz="4" w:space="0" w:color="auto"/>
              <w:right w:val="single" w:sz="4" w:space="0" w:color="auto"/>
            </w:tcBorders>
            <w:shd w:val="clear" w:color="000000" w:fill="FFC000"/>
            <w:vAlign w:val="center"/>
            <w:hideMark/>
          </w:tcPr>
          <w:p w14:paraId="2BB089A6"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Inicio de operación</w:t>
            </w:r>
          </w:p>
        </w:tc>
        <w:tc>
          <w:tcPr>
            <w:tcW w:w="1258" w:type="dxa"/>
            <w:tcBorders>
              <w:top w:val="single" w:sz="4" w:space="0" w:color="auto"/>
              <w:left w:val="nil"/>
              <w:bottom w:val="single" w:sz="4" w:space="0" w:color="auto"/>
              <w:right w:val="single" w:sz="4" w:space="0" w:color="auto"/>
            </w:tcBorders>
            <w:shd w:val="clear" w:color="000000" w:fill="FFC000"/>
            <w:vAlign w:val="center"/>
            <w:hideMark/>
          </w:tcPr>
          <w:p w14:paraId="2E9D6AFD"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Fin de operación</w:t>
            </w:r>
          </w:p>
        </w:tc>
        <w:tc>
          <w:tcPr>
            <w:tcW w:w="1238" w:type="dxa"/>
            <w:tcBorders>
              <w:top w:val="single" w:sz="4" w:space="0" w:color="auto"/>
              <w:left w:val="nil"/>
              <w:bottom w:val="single" w:sz="4" w:space="0" w:color="auto"/>
              <w:right w:val="single" w:sz="4" w:space="0" w:color="auto"/>
            </w:tcBorders>
            <w:shd w:val="clear" w:color="000000" w:fill="FFC000"/>
            <w:vAlign w:val="center"/>
            <w:hideMark/>
          </w:tcPr>
          <w:p w14:paraId="681E42E6" w14:textId="77777777" w:rsidR="00A20990" w:rsidRPr="001A38D5" w:rsidRDefault="00A20990" w:rsidP="005140E1">
            <w:pPr>
              <w:contextualSpacing/>
              <w:jc w:val="center"/>
              <w:rPr>
                <w:rFonts w:eastAsia="Times New Roman" w:cs="Arial"/>
                <w:b/>
                <w:bCs/>
                <w:sz w:val="18"/>
                <w:szCs w:val="18"/>
                <w:lang w:val="es-CO" w:eastAsia="es-CO"/>
              </w:rPr>
            </w:pPr>
            <w:r w:rsidRPr="001A38D5">
              <w:rPr>
                <w:rFonts w:eastAsia="Times New Roman" w:cs="Arial"/>
                <w:b/>
                <w:bCs/>
                <w:sz w:val="18"/>
                <w:szCs w:val="18"/>
                <w:lang w:val="es-CO" w:eastAsia="es-CO"/>
              </w:rPr>
              <w:t>Días del calendario escolar</w:t>
            </w:r>
          </w:p>
        </w:tc>
      </w:tr>
      <w:tr w:rsidR="001A38D5" w:rsidRPr="001A38D5" w14:paraId="3E423251" w14:textId="77777777" w:rsidTr="009E74D6">
        <w:trPr>
          <w:trHeight w:val="480"/>
        </w:trPr>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E458C7"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2019</w:t>
            </w:r>
          </w:p>
        </w:tc>
        <w:tc>
          <w:tcPr>
            <w:tcW w:w="4171" w:type="dxa"/>
            <w:tcBorders>
              <w:top w:val="single" w:sz="4" w:space="0" w:color="auto"/>
              <w:left w:val="nil"/>
              <w:bottom w:val="single" w:sz="4" w:space="0" w:color="auto"/>
              <w:right w:val="single" w:sz="4" w:space="0" w:color="auto"/>
            </w:tcBorders>
            <w:shd w:val="clear" w:color="auto" w:fill="auto"/>
            <w:vAlign w:val="center"/>
            <w:hideMark/>
          </w:tcPr>
          <w:p w14:paraId="052EB0B9"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Contrato de prestación de servicios No. 077 del 30 de enero de 2019</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6B3E684B"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4/02/2019</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54340333"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24/05/2019</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A6BA267"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68 </w:t>
            </w:r>
          </w:p>
        </w:tc>
      </w:tr>
      <w:tr w:rsidR="001A38D5" w:rsidRPr="001A38D5" w14:paraId="0982F8D1" w14:textId="77777777" w:rsidTr="00A20990">
        <w:trPr>
          <w:trHeight w:val="480"/>
        </w:trPr>
        <w:tc>
          <w:tcPr>
            <w:tcW w:w="881" w:type="dxa"/>
            <w:vMerge/>
            <w:tcBorders>
              <w:top w:val="single" w:sz="4" w:space="0" w:color="auto"/>
              <w:left w:val="single" w:sz="4" w:space="0" w:color="auto"/>
              <w:bottom w:val="single" w:sz="4" w:space="0" w:color="000000"/>
              <w:right w:val="single" w:sz="4" w:space="0" w:color="auto"/>
            </w:tcBorders>
            <w:vAlign w:val="center"/>
            <w:hideMark/>
          </w:tcPr>
          <w:p w14:paraId="0C9132A8" w14:textId="77777777" w:rsidR="00A20990" w:rsidRPr="001A38D5" w:rsidRDefault="00A20990" w:rsidP="005140E1">
            <w:pPr>
              <w:contextualSpacing/>
              <w:rPr>
                <w:rFonts w:eastAsia="Times New Roman" w:cs="Arial"/>
                <w:sz w:val="18"/>
                <w:szCs w:val="18"/>
                <w:lang w:val="es-CO" w:eastAsia="es-CO"/>
              </w:rPr>
            </w:pPr>
          </w:p>
        </w:tc>
        <w:tc>
          <w:tcPr>
            <w:tcW w:w="4171" w:type="dxa"/>
            <w:tcBorders>
              <w:top w:val="nil"/>
              <w:left w:val="nil"/>
              <w:bottom w:val="single" w:sz="4" w:space="0" w:color="auto"/>
              <w:right w:val="single" w:sz="4" w:space="0" w:color="auto"/>
            </w:tcBorders>
            <w:shd w:val="clear" w:color="auto" w:fill="auto"/>
            <w:vAlign w:val="center"/>
            <w:hideMark/>
          </w:tcPr>
          <w:p w14:paraId="395119B8"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Contrato de prestación de servicios No. 1198 del 30 de mayo de 2019</w:t>
            </w:r>
          </w:p>
        </w:tc>
        <w:tc>
          <w:tcPr>
            <w:tcW w:w="1712" w:type="dxa"/>
            <w:tcBorders>
              <w:top w:val="nil"/>
              <w:left w:val="nil"/>
              <w:bottom w:val="single" w:sz="4" w:space="0" w:color="auto"/>
              <w:right w:val="single" w:sz="4" w:space="0" w:color="auto"/>
            </w:tcBorders>
            <w:shd w:val="clear" w:color="auto" w:fill="auto"/>
            <w:vAlign w:val="center"/>
            <w:hideMark/>
          </w:tcPr>
          <w:p w14:paraId="775474A4"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4/06/2019</w:t>
            </w:r>
          </w:p>
        </w:tc>
        <w:tc>
          <w:tcPr>
            <w:tcW w:w="1258" w:type="dxa"/>
            <w:tcBorders>
              <w:top w:val="nil"/>
              <w:left w:val="nil"/>
              <w:bottom w:val="single" w:sz="4" w:space="0" w:color="auto"/>
              <w:right w:val="single" w:sz="4" w:space="0" w:color="auto"/>
            </w:tcBorders>
            <w:shd w:val="clear" w:color="auto" w:fill="auto"/>
            <w:vAlign w:val="center"/>
            <w:hideMark/>
          </w:tcPr>
          <w:p w14:paraId="7E0BBEBF"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28/11/2019</w:t>
            </w:r>
          </w:p>
        </w:tc>
        <w:tc>
          <w:tcPr>
            <w:tcW w:w="1238" w:type="dxa"/>
            <w:tcBorders>
              <w:top w:val="nil"/>
              <w:left w:val="nil"/>
              <w:bottom w:val="single" w:sz="4" w:space="0" w:color="auto"/>
              <w:right w:val="single" w:sz="4" w:space="0" w:color="auto"/>
            </w:tcBorders>
            <w:shd w:val="clear" w:color="auto" w:fill="auto"/>
            <w:vAlign w:val="center"/>
            <w:hideMark/>
          </w:tcPr>
          <w:p w14:paraId="23A1994E"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97 </w:t>
            </w:r>
          </w:p>
        </w:tc>
      </w:tr>
      <w:tr w:rsidR="001A38D5" w:rsidRPr="001A38D5" w14:paraId="270ED2C7" w14:textId="77777777" w:rsidTr="00A20990">
        <w:trPr>
          <w:trHeight w:val="480"/>
        </w:trPr>
        <w:tc>
          <w:tcPr>
            <w:tcW w:w="881" w:type="dxa"/>
            <w:vMerge w:val="restart"/>
            <w:tcBorders>
              <w:top w:val="nil"/>
              <w:left w:val="single" w:sz="4" w:space="0" w:color="auto"/>
              <w:bottom w:val="single" w:sz="4" w:space="0" w:color="000000"/>
              <w:right w:val="single" w:sz="4" w:space="0" w:color="auto"/>
            </w:tcBorders>
            <w:shd w:val="clear" w:color="auto" w:fill="auto"/>
            <w:vAlign w:val="center"/>
            <w:hideMark/>
          </w:tcPr>
          <w:p w14:paraId="0090153D"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2020</w:t>
            </w:r>
          </w:p>
        </w:tc>
        <w:tc>
          <w:tcPr>
            <w:tcW w:w="4171" w:type="dxa"/>
            <w:tcBorders>
              <w:top w:val="nil"/>
              <w:left w:val="nil"/>
              <w:bottom w:val="single" w:sz="4" w:space="0" w:color="auto"/>
              <w:right w:val="single" w:sz="4" w:space="0" w:color="auto"/>
            </w:tcBorders>
            <w:shd w:val="clear" w:color="auto" w:fill="auto"/>
            <w:vAlign w:val="center"/>
            <w:hideMark/>
          </w:tcPr>
          <w:p w14:paraId="328B7830"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Contrato de prestación de servicios No. 049 del 7 de febrero de 2020</w:t>
            </w:r>
          </w:p>
        </w:tc>
        <w:tc>
          <w:tcPr>
            <w:tcW w:w="1712" w:type="dxa"/>
            <w:tcBorders>
              <w:top w:val="nil"/>
              <w:left w:val="nil"/>
              <w:bottom w:val="single" w:sz="4" w:space="0" w:color="auto"/>
              <w:right w:val="single" w:sz="4" w:space="0" w:color="auto"/>
            </w:tcBorders>
            <w:shd w:val="clear" w:color="auto" w:fill="auto"/>
            <w:vAlign w:val="center"/>
            <w:hideMark/>
          </w:tcPr>
          <w:p w14:paraId="2B8E97AA"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17/02/2020</w:t>
            </w:r>
          </w:p>
        </w:tc>
        <w:tc>
          <w:tcPr>
            <w:tcW w:w="1258" w:type="dxa"/>
            <w:tcBorders>
              <w:top w:val="nil"/>
              <w:left w:val="nil"/>
              <w:bottom w:val="single" w:sz="4" w:space="0" w:color="auto"/>
              <w:right w:val="single" w:sz="4" w:space="0" w:color="auto"/>
            </w:tcBorders>
            <w:shd w:val="clear" w:color="auto" w:fill="auto"/>
            <w:vAlign w:val="center"/>
            <w:hideMark/>
          </w:tcPr>
          <w:p w14:paraId="185D2C04"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23/10/2020</w:t>
            </w:r>
          </w:p>
        </w:tc>
        <w:tc>
          <w:tcPr>
            <w:tcW w:w="1238" w:type="dxa"/>
            <w:tcBorders>
              <w:top w:val="nil"/>
              <w:left w:val="nil"/>
              <w:bottom w:val="single" w:sz="4" w:space="0" w:color="auto"/>
              <w:right w:val="single" w:sz="4" w:space="0" w:color="auto"/>
            </w:tcBorders>
            <w:shd w:val="clear" w:color="auto" w:fill="auto"/>
            <w:vAlign w:val="center"/>
            <w:hideMark/>
          </w:tcPr>
          <w:p w14:paraId="496E49B7"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154 </w:t>
            </w:r>
          </w:p>
        </w:tc>
      </w:tr>
      <w:tr w:rsidR="001A38D5" w:rsidRPr="001A38D5" w14:paraId="7921A446" w14:textId="77777777" w:rsidTr="00A20990">
        <w:trPr>
          <w:trHeight w:val="480"/>
        </w:trPr>
        <w:tc>
          <w:tcPr>
            <w:tcW w:w="881" w:type="dxa"/>
            <w:vMerge/>
            <w:tcBorders>
              <w:top w:val="nil"/>
              <w:left w:val="single" w:sz="4" w:space="0" w:color="auto"/>
              <w:bottom w:val="single" w:sz="4" w:space="0" w:color="000000"/>
              <w:right w:val="single" w:sz="4" w:space="0" w:color="auto"/>
            </w:tcBorders>
            <w:vAlign w:val="center"/>
            <w:hideMark/>
          </w:tcPr>
          <w:p w14:paraId="7EB8DDA0" w14:textId="77777777" w:rsidR="00A20990" w:rsidRPr="001A38D5" w:rsidRDefault="00A20990" w:rsidP="005140E1">
            <w:pPr>
              <w:contextualSpacing/>
              <w:rPr>
                <w:rFonts w:eastAsia="Times New Roman" w:cs="Arial"/>
                <w:sz w:val="18"/>
                <w:szCs w:val="18"/>
                <w:lang w:val="es-CO" w:eastAsia="es-CO"/>
              </w:rPr>
            </w:pPr>
          </w:p>
        </w:tc>
        <w:tc>
          <w:tcPr>
            <w:tcW w:w="4171" w:type="dxa"/>
            <w:tcBorders>
              <w:top w:val="nil"/>
              <w:left w:val="nil"/>
              <w:bottom w:val="single" w:sz="4" w:space="0" w:color="auto"/>
              <w:right w:val="single" w:sz="4" w:space="0" w:color="auto"/>
            </w:tcBorders>
            <w:shd w:val="clear" w:color="auto" w:fill="auto"/>
            <w:vAlign w:val="center"/>
            <w:hideMark/>
          </w:tcPr>
          <w:p w14:paraId="151B5251"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Contrato de prestación de servicios No. 1961 del 13 de diciembre de 2020</w:t>
            </w:r>
          </w:p>
        </w:tc>
        <w:tc>
          <w:tcPr>
            <w:tcW w:w="1712" w:type="dxa"/>
            <w:tcBorders>
              <w:top w:val="nil"/>
              <w:left w:val="nil"/>
              <w:bottom w:val="single" w:sz="4" w:space="0" w:color="auto"/>
              <w:right w:val="single" w:sz="4" w:space="0" w:color="auto"/>
            </w:tcBorders>
            <w:shd w:val="clear" w:color="auto" w:fill="auto"/>
            <w:vAlign w:val="center"/>
            <w:hideMark/>
          </w:tcPr>
          <w:p w14:paraId="5431A565"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14/12/2020</w:t>
            </w:r>
          </w:p>
        </w:tc>
        <w:tc>
          <w:tcPr>
            <w:tcW w:w="1258" w:type="dxa"/>
            <w:tcBorders>
              <w:top w:val="nil"/>
              <w:left w:val="nil"/>
              <w:bottom w:val="single" w:sz="4" w:space="0" w:color="auto"/>
              <w:right w:val="single" w:sz="4" w:space="0" w:color="auto"/>
            </w:tcBorders>
            <w:shd w:val="clear" w:color="auto" w:fill="auto"/>
            <w:vAlign w:val="center"/>
            <w:hideMark/>
          </w:tcPr>
          <w:p w14:paraId="0FA307D5"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31/12/2020</w:t>
            </w:r>
          </w:p>
        </w:tc>
        <w:tc>
          <w:tcPr>
            <w:tcW w:w="1238" w:type="dxa"/>
            <w:tcBorders>
              <w:top w:val="nil"/>
              <w:left w:val="nil"/>
              <w:bottom w:val="single" w:sz="4" w:space="0" w:color="auto"/>
              <w:right w:val="single" w:sz="4" w:space="0" w:color="auto"/>
            </w:tcBorders>
            <w:shd w:val="clear" w:color="auto" w:fill="auto"/>
            <w:vAlign w:val="center"/>
            <w:hideMark/>
          </w:tcPr>
          <w:p w14:paraId="7C703EAE"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30 </w:t>
            </w:r>
          </w:p>
        </w:tc>
      </w:tr>
      <w:tr w:rsidR="001A38D5" w:rsidRPr="001A38D5" w14:paraId="3634D15D" w14:textId="77777777" w:rsidTr="00A20990">
        <w:trPr>
          <w:trHeight w:val="300"/>
        </w:trPr>
        <w:tc>
          <w:tcPr>
            <w:tcW w:w="881" w:type="dxa"/>
            <w:vMerge/>
            <w:tcBorders>
              <w:top w:val="nil"/>
              <w:left w:val="single" w:sz="4" w:space="0" w:color="auto"/>
              <w:bottom w:val="single" w:sz="4" w:space="0" w:color="000000"/>
              <w:right w:val="single" w:sz="4" w:space="0" w:color="auto"/>
            </w:tcBorders>
            <w:vAlign w:val="center"/>
            <w:hideMark/>
          </w:tcPr>
          <w:p w14:paraId="1AA8166E" w14:textId="77777777" w:rsidR="00A20990" w:rsidRPr="001A38D5" w:rsidRDefault="00A20990" w:rsidP="005140E1">
            <w:pPr>
              <w:contextualSpacing/>
              <w:rPr>
                <w:rFonts w:eastAsia="Times New Roman" w:cs="Arial"/>
                <w:sz w:val="18"/>
                <w:szCs w:val="18"/>
                <w:lang w:val="es-CO" w:eastAsia="es-CO"/>
              </w:rPr>
            </w:pPr>
          </w:p>
        </w:tc>
        <w:tc>
          <w:tcPr>
            <w:tcW w:w="4171" w:type="dxa"/>
            <w:tcBorders>
              <w:top w:val="nil"/>
              <w:left w:val="nil"/>
              <w:bottom w:val="single" w:sz="4" w:space="0" w:color="auto"/>
              <w:right w:val="single" w:sz="4" w:space="0" w:color="auto"/>
            </w:tcBorders>
            <w:shd w:val="clear" w:color="auto" w:fill="auto"/>
            <w:vAlign w:val="center"/>
            <w:hideMark/>
          </w:tcPr>
          <w:p w14:paraId="3D713D52"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Contrato No. 594 del 14 de mayo de 2020</w:t>
            </w:r>
          </w:p>
        </w:tc>
        <w:tc>
          <w:tcPr>
            <w:tcW w:w="1712" w:type="dxa"/>
            <w:tcBorders>
              <w:top w:val="nil"/>
              <w:left w:val="nil"/>
              <w:bottom w:val="single" w:sz="4" w:space="0" w:color="auto"/>
              <w:right w:val="single" w:sz="4" w:space="0" w:color="auto"/>
            </w:tcBorders>
            <w:shd w:val="clear" w:color="auto" w:fill="auto"/>
            <w:vAlign w:val="center"/>
            <w:hideMark/>
          </w:tcPr>
          <w:p w14:paraId="3C4A57F1"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28/05/2020</w:t>
            </w:r>
          </w:p>
        </w:tc>
        <w:tc>
          <w:tcPr>
            <w:tcW w:w="1258" w:type="dxa"/>
            <w:tcBorders>
              <w:top w:val="nil"/>
              <w:left w:val="nil"/>
              <w:bottom w:val="single" w:sz="4" w:space="0" w:color="auto"/>
              <w:right w:val="single" w:sz="4" w:space="0" w:color="auto"/>
            </w:tcBorders>
            <w:shd w:val="clear" w:color="auto" w:fill="auto"/>
            <w:vAlign w:val="center"/>
            <w:hideMark/>
          </w:tcPr>
          <w:p w14:paraId="0B1C9AA3"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19/12/2020</w:t>
            </w:r>
          </w:p>
        </w:tc>
        <w:tc>
          <w:tcPr>
            <w:tcW w:w="1238" w:type="dxa"/>
            <w:tcBorders>
              <w:top w:val="nil"/>
              <w:left w:val="nil"/>
              <w:bottom w:val="single" w:sz="4" w:space="0" w:color="auto"/>
              <w:right w:val="single" w:sz="4" w:space="0" w:color="auto"/>
            </w:tcBorders>
            <w:shd w:val="clear" w:color="auto" w:fill="auto"/>
            <w:vAlign w:val="center"/>
            <w:hideMark/>
          </w:tcPr>
          <w:p w14:paraId="636509C6"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144 </w:t>
            </w:r>
          </w:p>
        </w:tc>
      </w:tr>
      <w:tr w:rsidR="001A38D5" w:rsidRPr="001A38D5" w14:paraId="7F35F313" w14:textId="77777777" w:rsidTr="00A20990">
        <w:trPr>
          <w:trHeight w:val="480"/>
        </w:trPr>
        <w:tc>
          <w:tcPr>
            <w:tcW w:w="881" w:type="dxa"/>
            <w:vMerge w:val="restart"/>
            <w:tcBorders>
              <w:top w:val="nil"/>
              <w:left w:val="single" w:sz="4" w:space="0" w:color="auto"/>
              <w:bottom w:val="single" w:sz="4" w:space="0" w:color="000000"/>
              <w:right w:val="single" w:sz="4" w:space="0" w:color="auto"/>
            </w:tcBorders>
            <w:shd w:val="clear" w:color="auto" w:fill="auto"/>
            <w:vAlign w:val="center"/>
            <w:hideMark/>
          </w:tcPr>
          <w:p w14:paraId="2350ADDC"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2021</w:t>
            </w:r>
          </w:p>
        </w:tc>
        <w:tc>
          <w:tcPr>
            <w:tcW w:w="4171" w:type="dxa"/>
            <w:tcBorders>
              <w:top w:val="nil"/>
              <w:left w:val="nil"/>
              <w:bottom w:val="single" w:sz="4" w:space="0" w:color="auto"/>
              <w:right w:val="single" w:sz="4" w:space="0" w:color="auto"/>
            </w:tcBorders>
            <w:shd w:val="clear" w:color="auto" w:fill="auto"/>
            <w:vAlign w:val="center"/>
            <w:hideMark/>
          </w:tcPr>
          <w:p w14:paraId="692A98ED"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Contrato No. 939 del 8 de abril de 2021 (OC 66808)</w:t>
            </w:r>
          </w:p>
        </w:tc>
        <w:tc>
          <w:tcPr>
            <w:tcW w:w="1712" w:type="dxa"/>
            <w:tcBorders>
              <w:top w:val="nil"/>
              <w:left w:val="nil"/>
              <w:bottom w:val="single" w:sz="4" w:space="0" w:color="auto"/>
              <w:right w:val="single" w:sz="4" w:space="0" w:color="auto"/>
            </w:tcBorders>
            <w:shd w:val="clear" w:color="auto" w:fill="auto"/>
            <w:vAlign w:val="center"/>
            <w:hideMark/>
          </w:tcPr>
          <w:p w14:paraId="2239AB4B"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13/04/2021</w:t>
            </w:r>
          </w:p>
        </w:tc>
        <w:tc>
          <w:tcPr>
            <w:tcW w:w="1258" w:type="dxa"/>
            <w:tcBorders>
              <w:top w:val="nil"/>
              <w:left w:val="nil"/>
              <w:bottom w:val="single" w:sz="4" w:space="0" w:color="auto"/>
              <w:right w:val="single" w:sz="4" w:space="0" w:color="auto"/>
            </w:tcBorders>
            <w:shd w:val="clear" w:color="auto" w:fill="auto"/>
            <w:vAlign w:val="center"/>
            <w:hideMark/>
          </w:tcPr>
          <w:p w14:paraId="196D2501"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25/06/2021</w:t>
            </w:r>
          </w:p>
        </w:tc>
        <w:tc>
          <w:tcPr>
            <w:tcW w:w="1238" w:type="dxa"/>
            <w:tcBorders>
              <w:top w:val="nil"/>
              <w:left w:val="nil"/>
              <w:bottom w:val="single" w:sz="4" w:space="0" w:color="auto"/>
              <w:right w:val="single" w:sz="4" w:space="0" w:color="auto"/>
            </w:tcBorders>
            <w:shd w:val="clear" w:color="auto" w:fill="auto"/>
            <w:vAlign w:val="center"/>
            <w:hideMark/>
          </w:tcPr>
          <w:p w14:paraId="0B315927"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73 </w:t>
            </w:r>
          </w:p>
        </w:tc>
      </w:tr>
      <w:tr w:rsidR="001A38D5" w:rsidRPr="001A38D5" w14:paraId="56488E3A" w14:textId="77777777" w:rsidTr="00A20990">
        <w:trPr>
          <w:trHeight w:val="480"/>
        </w:trPr>
        <w:tc>
          <w:tcPr>
            <w:tcW w:w="881" w:type="dxa"/>
            <w:vMerge/>
            <w:tcBorders>
              <w:top w:val="nil"/>
              <w:left w:val="single" w:sz="4" w:space="0" w:color="auto"/>
              <w:bottom w:val="single" w:sz="4" w:space="0" w:color="000000"/>
              <w:right w:val="single" w:sz="4" w:space="0" w:color="auto"/>
            </w:tcBorders>
            <w:vAlign w:val="center"/>
            <w:hideMark/>
          </w:tcPr>
          <w:p w14:paraId="53BB0BCC" w14:textId="77777777" w:rsidR="00A20990" w:rsidRPr="001A38D5" w:rsidRDefault="00A20990" w:rsidP="005140E1">
            <w:pPr>
              <w:contextualSpacing/>
              <w:rPr>
                <w:rFonts w:eastAsia="Times New Roman" w:cs="Arial"/>
                <w:sz w:val="18"/>
                <w:szCs w:val="18"/>
                <w:lang w:val="es-CO" w:eastAsia="es-CO"/>
              </w:rPr>
            </w:pPr>
          </w:p>
        </w:tc>
        <w:tc>
          <w:tcPr>
            <w:tcW w:w="4171" w:type="dxa"/>
            <w:tcBorders>
              <w:top w:val="nil"/>
              <w:left w:val="nil"/>
              <w:bottom w:val="single" w:sz="4" w:space="0" w:color="auto"/>
              <w:right w:val="single" w:sz="4" w:space="0" w:color="auto"/>
            </w:tcBorders>
            <w:shd w:val="clear" w:color="auto" w:fill="auto"/>
            <w:vAlign w:val="center"/>
            <w:hideMark/>
          </w:tcPr>
          <w:p w14:paraId="49C08087"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Contrato No. 1346 del 16 de julio de 2021 (OC 72682)</w:t>
            </w:r>
          </w:p>
        </w:tc>
        <w:tc>
          <w:tcPr>
            <w:tcW w:w="1712" w:type="dxa"/>
            <w:tcBorders>
              <w:top w:val="nil"/>
              <w:left w:val="nil"/>
              <w:bottom w:val="single" w:sz="4" w:space="0" w:color="auto"/>
              <w:right w:val="single" w:sz="4" w:space="0" w:color="auto"/>
            </w:tcBorders>
            <w:shd w:val="clear" w:color="auto" w:fill="auto"/>
            <w:vAlign w:val="center"/>
            <w:hideMark/>
          </w:tcPr>
          <w:p w14:paraId="790F98B3"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16/07/2021</w:t>
            </w:r>
          </w:p>
        </w:tc>
        <w:tc>
          <w:tcPr>
            <w:tcW w:w="1258" w:type="dxa"/>
            <w:tcBorders>
              <w:top w:val="nil"/>
              <w:left w:val="nil"/>
              <w:bottom w:val="single" w:sz="4" w:space="0" w:color="auto"/>
              <w:right w:val="single" w:sz="4" w:space="0" w:color="auto"/>
            </w:tcBorders>
            <w:shd w:val="clear" w:color="auto" w:fill="auto"/>
            <w:vAlign w:val="center"/>
            <w:hideMark/>
          </w:tcPr>
          <w:p w14:paraId="66620D2D"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20/10/2021</w:t>
            </w:r>
          </w:p>
        </w:tc>
        <w:tc>
          <w:tcPr>
            <w:tcW w:w="1238" w:type="dxa"/>
            <w:tcBorders>
              <w:top w:val="nil"/>
              <w:left w:val="nil"/>
              <w:bottom w:val="single" w:sz="4" w:space="0" w:color="auto"/>
              <w:right w:val="single" w:sz="4" w:space="0" w:color="auto"/>
            </w:tcBorders>
            <w:shd w:val="clear" w:color="auto" w:fill="auto"/>
            <w:vAlign w:val="center"/>
            <w:hideMark/>
          </w:tcPr>
          <w:p w14:paraId="5AA064D1"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70 </w:t>
            </w:r>
          </w:p>
        </w:tc>
      </w:tr>
      <w:tr w:rsidR="001A38D5" w:rsidRPr="001A38D5" w14:paraId="5C2FA045" w14:textId="77777777" w:rsidTr="00A20990">
        <w:trPr>
          <w:trHeight w:val="480"/>
        </w:trPr>
        <w:tc>
          <w:tcPr>
            <w:tcW w:w="881" w:type="dxa"/>
            <w:vMerge/>
            <w:tcBorders>
              <w:top w:val="nil"/>
              <w:left w:val="single" w:sz="4" w:space="0" w:color="auto"/>
              <w:bottom w:val="single" w:sz="4" w:space="0" w:color="000000"/>
              <w:right w:val="single" w:sz="4" w:space="0" w:color="auto"/>
            </w:tcBorders>
            <w:vAlign w:val="center"/>
            <w:hideMark/>
          </w:tcPr>
          <w:p w14:paraId="38851AEA" w14:textId="77777777" w:rsidR="00A20990" w:rsidRPr="001A38D5" w:rsidRDefault="00A20990" w:rsidP="005140E1">
            <w:pPr>
              <w:contextualSpacing/>
              <w:rPr>
                <w:rFonts w:eastAsia="Times New Roman" w:cs="Arial"/>
                <w:sz w:val="18"/>
                <w:szCs w:val="18"/>
                <w:lang w:val="es-CO" w:eastAsia="es-CO"/>
              </w:rPr>
            </w:pPr>
          </w:p>
        </w:tc>
        <w:tc>
          <w:tcPr>
            <w:tcW w:w="4171" w:type="dxa"/>
            <w:tcBorders>
              <w:top w:val="nil"/>
              <w:left w:val="nil"/>
              <w:bottom w:val="single" w:sz="4" w:space="0" w:color="auto"/>
              <w:right w:val="single" w:sz="4" w:space="0" w:color="auto"/>
            </w:tcBorders>
            <w:shd w:val="clear" w:color="auto" w:fill="auto"/>
            <w:vAlign w:val="center"/>
            <w:hideMark/>
          </w:tcPr>
          <w:p w14:paraId="656666A9"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Contrato No. 2014 del 13 de octubre de 2021 (OC  77691)</w:t>
            </w:r>
          </w:p>
        </w:tc>
        <w:tc>
          <w:tcPr>
            <w:tcW w:w="1712" w:type="dxa"/>
            <w:tcBorders>
              <w:top w:val="nil"/>
              <w:left w:val="nil"/>
              <w:bottom w:val="single" w:sz="4" w:space="0" w:color="auto"/>
              <w:right w:val="single" w:sz="4" w:space="0" w:color="auto"/>
            </w:tcBorders>
            <w:shd w:val="clear" w:color="auto" w:fill="auto"/>
            <w:vAlign w:val="center"/>
            <w:hideMark/>
          </w:tcPr>
          <w:p w14:paraId="247D5190"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19/01/2021</w:t>
            </w:r>
          </w:p>
        </w:tc>
        <w:tc>
          <w:tcPr>
            <w:tcW w:w="1258" w:type="dxa"/>
            <w:tcBorders>
              <w:top w:val="nil"/>
              <w:left w:val="nil"/>
              <w:bottom w:val="single" w:sz="4" w:space="0" w:color="auto"/>
              <w:right w:val="single" w:sz="4" w:space="0" w:color="auto"/>
            </w:tcBorders>
            <w:shd w:val="clear" w:color="auto" w:fill="auto"/>
            <w:vAlign w:val="center"/>
            <w:hideMark/>
          </w:tcPr>
          <w:p w14:paraId="76AED7ED"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3/12/2021</w:t>
            </w:r>
          </w:p>
        </w:tc>
        <w:tc>
          <w:tcPr>
            <w:tcW w:w="1238" w:type="dxa"/>
            <w:tcBorders>
              <w:top w:val="nil"/>
              <w:left w:val="nil"/>
              <w:bottom w:val="single" w:sz="4" w:space="0" w:color="auto"/>
              <w:right w:val="single" w:sz="4" w:space="0" w:color="auto"/>
            </w:tcBorders>
            <w:shd w:val="clear" w:color="auto" w:fill="auto"/>
            <w:vAlign w:val="center"/>
            <w:hideMark/>
          </w:tcPr>
          <w:p w14:paraId="2C9E9E67"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45 </w:t>
            </w:r>
          </w:p>
        </w:tc>
      </w:tr>
      <w:tr w:rsidR="001A38D5" w:rsidRPr="001A38D5" w14:paraId="67F4A6CC" w14:textId="77777777" w:rsidTr="00A20990">
        <w:trPr>
          <w:trHeight w:val="480"/>
        </w:trPr>
        <w:tc>
          <w:tcPr>
            <w:tcW w:w="881" w:type="dxa"/>
            <w:vMerge/>
            <w:tcBorders>
              <w:top w:val="nil"/>
              <w:left w:val="single" w:sz="4" w:space="0" w:color="auto"/>
              <w:bottom w:val="single" w:sz="4" w:space="0" w:color="000000"/>
              <w:right w:val="single" w:sz="4" w:space="0" w:color="auto"/>
            </w:tcBorders>
            <w:vAlign w:val="center"/>
            <w:hideMark/>
          </w:tcPr>
          <w:p w14:paraId="2A246284" w14:textId="77777777" w:rsidR="00A20990" w:rsidRPr="001A38D5" w:rsidRDefault="00A20990" w:rsidP="005140E1">
            <w:pPr>
              <w:contextualSpacing/>
              <w:rPr>
                <w:rFonts w:eastAsia="Times New Roman" w:cs="Arial"/>
                <w:sz w:val="18"/>
                <w:szCs w:val="18"/>
                <w:lang w:val="es-CO" w:eastAsia="es-CO"/>
              </w:rPr>
            </w:pPr>
          </w:p>
        </w:tc>
        <w:tc>
          <w:tcPr>
            <w:tcW w:w="4171" w:type="dxa"/>
            <w:tcBorders>
              <w:top w:val="nil"/>
              <w:left w:val="nil"/>
              <w:bottom w:val="single" w:sz="4" w:space="0" w:color="auto"/>
              <w:right w:val="single" w:sz="4" w:space="0" w:color="auto"/>
            </w:tcBorders>
            <w:shd w:val="clear" w:color="auto" w:fill="auto"/>
            <w:vAlign w:val="center"/>
            <w:hideMark/>
          </w:tcPr>
          <w:p w14:paraId="50E42790"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val="es-CO" w:eastAsia="es-CO"/>
              </w:rPr>
              <w:t>Convenio interadministrativo No. 1104 del 18 de mayo de 2021</w:t>
            </w:r>
          </w:p>
        </w:tc>
        <w:tc>
          <w:tcPr>
            <w:tcW w:w="1712" w:type="dxa"/>
            <w:tcBorders>
              <w:top w:val="nil"/>
              <w:left w:val="nil"/>
              <w:bottom w:val="single" w:sz="4" w:space="0" w:color="auto"/>
              <w:right w:val="single" w:sz="4" w:space="0" w:color="auto"/>
            </w:tcBorders>
            <w:shd w:val="clear" w:color="auto" w:fill="auto"/>
            <w:vAlign w:val="center"/>
            <w:hideMark/>
          </w:tcPr>
          <w:p w14:paraId="5BCE8F56"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19/05/2021</w:t>
            </w:r>
          </w:p>
        </w:tc>
        <w:tc>
          <w:tcPr>
            <w:tcW w:w="1258" w:type="dxa"/>
            <w:tcBorders>
              <w:top w:val="nil"/>
              <w:left w:val="nil"/>
              <w:bottom w:val="single" w:sz="4" w:space="0" w:color="auto"/>
              <w:right w:val="single" w:sz="4" w:space="0" w:color="auto"/>
            </w:tcBorders>
            <w:shd w:val="clear" w:color="auto" w:fill="auto"/>
            <w:vAlign w:val="center"/>
            <w:hideMark/>
          </w:tcPr>
          <w:p w14:paraId="1E5DAFC9"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5/12/2021</w:t>
            </w:r>
          </w:p>
        </w:tc>
        <w:tc>
          <w:tcPr>
            <w:tcW w:w="1238" w:type="dxa"/>
            <w:tcBorders>
              <w:top w:val="nil"/>
              <w:left w:val="nil"/>
              <w:bottom w:val="single" w:sz="4" w:space="0" w:color="auto"/>
              <w:right w:val="single" w:sz="4" w:space="0" w:color="auto"/>
            </w:tcBorders>
            <w:shd w:val="clear" w:color="auto" w:fill="auto"/>
            <w:vAlign w:val="center"/>
            <w:hideMark/>
          </w:tcPr>
          <w:p w14:paraId="0B2D67D2"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123 </w:t>
            </w:r>
          </w:p>
        </w:tc>
      </w:tr>
      <w:tr w:rsidR="001A38D5" w:rsidRPr="001A38D5" w14:paraId="7461A270" w14:textId="77777777" w:rsidTr="00A20990">
        <w:trPr>
          <w:trHeight w:val="480"/>
        </w:trPr>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14:paraId="2FAFD333"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2022</w:t>
            </w:r>
          </w:p>
        </w:tc>
        <w:tc>
          <w:tcPr>
            <w:tcW w:w="4171" w:type="dxa"/>
            <w:tcBorders>
              <w:top w:val="nil"/>
              <w:left w:val="nil"/>
              <w:bottom w:val="single" w:sz="4" w:space="0" w:color="auto"/>
              <w:right w:val="single" w:sz="4" w:space="0" w:color="auto"/>
            </w:tcBorders>
            <w:shd w:val="clear" w:color="auto" w:fill="auto"/>
            <w:vAlign w:val="center"/>
            <w:hideMark/>
          </w:tcPr>
          <w:p w14:paraId="0746255F"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eastAsia="es-CO"/>
              </w:rPr>
              <w:t xml:space="preserve">Contrato de prestación de servicios No. 1719 del 25 de febrero de 2022 </w:t>
            </w:r>
          </w:p>
        </w:tc>
        <w:tc>
          <w:tcPr>
            <w:tcW w:w="1712" w:type="dxa"/>
            <w:tcBorders>
              <w:top w:val="nil"/>
              <w:left w:val="nil"/>
              <w:bottom w:val="single" w:sz="4" w:space="0" w:color="auto"/>
              <w:right w:val="single" w:sz="4" w:space="0" w:color="auto"/>
            </w:tcBorders>
            <w:shd w:val="clear" w:color="auto" w:fill="auto"/>
            <w:vAlign w:val="center"/>
            <w:hideMark/>
          </w:tcPr>
          <w:p w14:paraId="291458D2"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10/03/2022</w:t>
            </w:r>
          </w:p>
        </w:tc>
        <w:tc>
          <w:tcPr>
            <w:tcW w:w="1258" w:type="dxa"/>
            <w:tcBorders>
              <w:top w:val="nil"/>
              <w:left w:val="nil"/>
              <w:bottom w:val="single" w:sz="4" w:space="0" w:color="auto"/>
              <w:right w:val="single" w:sz="4" w:space="0" w:color="auto"/>
            </w:tcBorders>
            <w:shd w:val="clear" w:color="auto" w:fill="auto"/>
            <w:vAlign w:val="center"/>
            <w:hideMark/>
          </w:tcPr>
          <w:p w14:paraId="0CA049AF"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2/05/2022</w:t>
            </w:r>
          </w:p>
        </w:tc>
        <w:tc>
          <w:tcPr>
            <w:tcW w:w="1238" w:type="dxa"/>
            <w:tcBorders>
              <w:top w:val="nil"/>
              <w:left w:val="nil"/>
              <w:bottom w:val="single" w:sz="4" w:space="0" w:color="auto"/>
              <w:right w:val="single" w:sz="4" w:space="0" w:color="auto"/>
            </w:tcBorders>
            <w:shd w:val="clear" w:color="auto" w:fill="auto"/>
            <w:vAlign w:val="center"/>
            <w:hideMark/>
          </w:tcPr>
          <w:p w14:paraId="7C37666F"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35 </w:t>
            </w:r>
          </w:p>
        </w:tc>
      </w:tr>
      <w:tr w:rsidR="001A38D5" w:rsidRPr="001A38D5" w14:paraId="1EB7F2AC" w14:textId="77777777" w:rsidTr="00A20990">
        <w:trPr>
          <w:trHeight w:val="480"/>
        </w:trPr>
        <w:tc>
          <w:tcPr>
            <w:tcW w:w="881" w:type="dxa"/>
            <w:vMerge/>
            <w:tcBorders>
              <w:top w:val="nil"/>
              <w:left w:val="single" w:sz="4" w:space="0" w:color="auto"/>
              <w:bottom w:val="single" w:sz="4" w:space="0" w:color="auto"/>
              <w:right w:val="single" w:sz="4" w:space="0" w:color="auto"/>
            </w:tcBorders>
            <w:vAlign w:val="center"/>
            <w:hideMark/>
          </w:tcPr>
          <w:p w14:paraId="60A1951A" w14:textId="77777777" w:rsidR="00A20990" w:rsidRPr="001A38D5" w:rsidRDefault="00A20990" w:rsidP="005140E1">
            <w:pPr>
              <w:contextualSpacing/>
              <w:rPr>
                <w:rFonts w:eastAsia="Times New Roman" w:cs="Arial"/>
                <w:sz w:val="18"/>
                <w:szCs w:val="18"/>
                <w:lang w:val="es-CO" w:eastAsia="es-CO"/>
              </w:rPr>
            </w:pPr>
          </w:p>
        </w:tc>
        <w:tc>
          <w:tcPr>
            <w:tcW w:w="4171" w:type="dxa"/>
            <w:tcBorders>
              <w:top w:val="nil"/>
              <w:left w:val="nil"/>
              <w:bottom w:val="single" w:sz="4" w:space="0" w:color="auto"/>
              <w:right w:val="single" w:sz="4" w:space="0" w:color="auto"/>
            </w:tcBorders>
            <w:shd w:val="clear" w:color="auto" w:fill="auto"/>
            <w:vAlign w:val="center"/>
            <w:hideMark/>
          </w:tcPr>
          <w:p w14:paraId="31E1EE5F"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eastAsia="es-CO"/>
              </w:rPr>
              <w:t>Contrato de prestación de servicios y de apoyo logístico No. 1739 del 10 de mayo de 2022</w:t>
            </w:r>
          </w:p>
        </w:tc>
        <w:tc>
          <w:tcPr>
            <w:tcW w:w="1712" w:type="dxa"/>
            <w:tcBorders>
              <w:top w:val="nil"/>
              <w:left w:val="nil"/>
              <w:bottom w:val="single" w:sz="4" w:space="0" w:color="auto"/>
              <w:right w:val="single" w:sz="4" w:space="0" w:color="auto"/>
            </w:tcBorders>
            <w:shd w:val="clear" w:color="auto" w:fill="auto"/>
            <w:vAlign w:val="center"/>
            <w:hideMark/>
          </w:tcPr>
          <w:p w14:paraId="438289E1"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10/05/2022</w:t>
            </w:r>
          </w:p>
        </w:tc>
        <w:tc>
          <w:tcPr>
            <w:tcW w:w="1258" w:type="dxa"/>
            <w:tcBorders>
              <w:top w:val="nil"/>
              <w:left w:val="nil"/>
              <w:bottom w:val="single" w:sz="4" w:space="0" w:color="auto"/>
              <w:right w:val="single" w:sz="4" w:space="0" w:color="auto"/>
            </w:tcBorders>
            <w:shd w:val="clear" w:color="auto" w:fill="auto"/>
            <w:vAlign w:val="center"/>
            <w:hideMark/>
          </w:tcPr>
          <w:p w14:paraId="01F04EA4"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18/07/2022</w:t>
            </w:r>
          </w:p>
        </w:tc>
        <w:tc>
          <w:tcPr>
            <w:tcW w:w="1238" w:type="dxa"/>
            <w:tcBorders>
              <w:top w:val="nil"/>
              <w:left w:val="nil"/>
              <w:bottom w:val="single" w:sz="4" w:space="0" w:color="auto"/>
              <w:right w:val="single" w:sz="4" w:space="0" w:color="auto"/>
            </w:tcBorders>
            <w:shd w:val="clear" w:color="auto" w:fill="auto"/>
            <w:vAlign w:val="center"/>
            <w:hideMark/>
          </w:tcPr>
          <w:p w14:paraId="7B058B25"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28 </w:t>
            </w:r>
          </w:p>
        </w:tc>
      </w:tr>
      <w:tr w:rsidR="001A38D5" w:rsidRPr="001A38D5" w14:paraId="30DD2D36" w14:textId="77777777" w:rsidTr="00A20990">
        <w:trPr>
          <w:trHeight w:val="480"/>
        </w:trPr>
        <w:tc>
          <w:tcPr>
            <w:tcW w:w="881" w:type="dxa"/>
            <w:vMerge/>
            <w:tcBorders>
              <w:top w:val="nil"/>
              <w:left w:val="single" w:sz="4" w:space="0" w:color="auto"/>
              <w:bottom w:val="single" w:sz="4" w:space="0" w:color="auto"/>
              <w:right w:val="single" w:sz="4" w:space="0" w:color="auto"/>
            </w:tcBorders>
            <w:vAlign w:val="center"/>
            <w:hideMark/>
          </w:tcPr>
          <w:p w14:paraId="11E56E01" w14:textId="77777777" w:rsidR="00A20990" w:rsidRPr="001A38D5" w:rsidRDefault="00A20990" w:rsidP="005140E1">
            <w:pPr>
              <w:contextualSpacing/>
              <w:rPr>
                <w:rFonts w:eastAsia="Times New Roman" w:cs="Arial"/>
                <w:sz w:val="18"/>
                <w:szCs w:val="18"/>
                <w:lang w:val="es-CO" w:eastAsia="es-CO"/>
              </w:rPr>
            </w:pPr>
          </w:p>
        </w:tc>
        <w:tc>
          <w:tcPr>
            <w:tcW w:w="4171" w:type="dxa"/>
            <w:tcBorders>
              <w:top w:val="nil"/>
              <w:left w:val="nil"/>
              <w:bottom w:val="single" w:sz="4" w:space="0" w:color="auto"/>
              <w:right w:val="single" w:sz="4" w:space="0" w:color="auto"/>
            </w:tcBorders>
            <w:shd w:val="clear" w:color="auto" w:fill="auto"/>
            <w:vAlign w:val="center"/>
            <w:hideMark/>
          </w:tcPr>
          <w:p w14:paraId="29B9D4B6"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eastAsia="es-CO"/>
              </w:rPr>
              <w:t>Contrato de prestación de servicios No. 1825 del 21 de julio de 2022</w:t>
            </w:r>
          </w:p>
        </w:tc>
        <w:tc>
          <w:tcPr>
            <w:tcW w:w="1712" w:type="dxa"/>
            <w:tcBorders>
              <w:top w:val="nil"/>
              <w:left w:val="nil"/>
              <w:bottom w:val="single" w:sz="4" w:space="0" w:color="auto"/>
              <w:right w:val="single" w:sz="4" w:space="0" w:color="auto"/>
            </w:tcBorders>
            <w:shd w:val="clear" w:color="auto" w:fill="auto"/>
            <w:vAlign w:val="center"/>
            <w:hideMark/>
          </w:tcPr>
          <w:p w14:paraId="5922145F"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21/07/2022</w:t>
            </w:r>
          </w:p>
        </w:tc>
        <w:tc>
          <w:tcPr>
            <w:tcW w:w="1258" w:type="dxa"/>
            <w:tcBorders>
              <w:top w:val="nil"/>
              <w:left w:val="nil"/>
              <w:bottom w:val="single" w:sz="4" w:space="0" w:color="auto"/>
              <w:right w:val="single" w:sz="4" w:space="0" w:color="auto"/>
            </w:tcBorders>
            <w:shd w:val="clear" w:color="auto" w:fill="auto"/>
            <w:vAlign w:val="center"/>
            <w:hideMark/>
          </w:tcPr>
          <w:p w14:paraId="0B745A94"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15/09/2022</w:t>
            </w:r>
          </w:p>
        </w:tc>
        <w:tc>
          <w:tcPr>
            <w:tcW w:w="1238" w:type="dxa"/>
            <w:tcBorders>
              <w:top w:val="nil"/>
              <w:left w:val="nil"/>
              <w:bottom w:val="single" w:sz="4" w:space="0" w:color="auto"/>
              <w:right w:val="single" w:sz="4" w:space="0" w:color="auto"/>
            </w:tcBorders>
            <w:shd w:val="clear" w:color="auto" w:fill="auto"/>
            <w:vAlign w:val="center"/>
            <w:hideMark/>
          </w:tcPr>
          <w:p w14:paraId="09C39FFC"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19 </w:t>
            </w:r>
          </w:p>
        </w:tc>
      </w:tr>
      <w:tr w:rsidR="001A38D5" w:rsidRPr="001A38D5" w14:paraId="66D4387E" w14:textId="77777777" w:rsidTr="00A20990">
        <w:trPr>
          <w:trHeight w:val="480"/>
        </w:trPr>
        <w:tc>
          <w:tcPr>
            <w:tcW w:w="881" w:type="dxa"/>
            <w:vMerge/>
            <w:tcBorders>
              <w:top w:val="nil"/>
              <w:left w:val="single" w:sz="4" w:space="0" w:color="auto"/>
              <w:bottom w:val="single" w:sz="4" w:space="0" w:color="auto"/>
              <w:right w:val="single" w:sz="4" w:space="0" w:color="auto"/>
            </w:tcBorders>
            <w:vAlign w:val="center"/>
            <w:hideMark/>
          </w:tcPr>
          <w:p w14:paraId="301C3FF8" w14:textId="77777777" w:rsidR="00A20990" w:rsidRPr="001A38D5" w:rsidRDefault="00A20990" w:rsidP="005140E1">
            <w:pPr>
              <w:contextualSpacing/>
              <w:rPr>
                <w:rFonts w:eastAsia="Times New Roman" w:cs="Arial"/>
                <w:sz w:val="18"/>
                <w:szCs w:val="18"/>
                <w:lang w:val="es-CO" w:eastAsia="es-CO"/>
              </w:rPr>
            </w:pPr>
          </w:p>
        </w:tc>
        <w:tc>
          <w:tcPr>
            <w:tcW w:w="4171" w:type="dxa"/>
            <w:tcBorders>
              <w:top w:val="nil"/>
              <w:left w:val="nil"/>
              <w:bottom w:val="single" w:sz="4" w:space="0" w:color="auto"/>
              <w:right w:val="single" w:sz="4" w:space="0" w:color="auto"/>
            </w:tcBorders>
            <w:shd w:val="clear" w:color="auto" w:fill="auto"/>
            <w:vAlign w:val="center"/>
            <w:hideMark/>
          </w:tcPr>
          <w:p w14:paraId="46CECE48"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eastAsia="es-CO"/>
              </w:rPr>
              <w:t>Contrato de prestación de servicios No. 3122 del 16 de septiembre de 2022</w:t>
            </w:r>
          </w:p>
        </w:tc>
        <w:tc>
          <w:tcPr>
            <w:tcW w:w="1712" w:type="dxa"/>
            <w:tcBorders>
              <w:top w:val="nil"/>
              <w:left w:val="nil"/>
              <w:bottom w:val="single" w:sz="4" w:space="0" w:color="auto"/>
              <w:right w:val="single" w:sz="4" w:space="0" w:color="auto"/>
            </w:tcBorders>
            <w:shd w:val="clear" w:color="auto" w:fill="auto"/>
            <w:vAlign w:val="center"/>
            <w:hideMark/>
          </w:tcPr>
          <w:p w14:paraId="06CC7B0C"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21/10/2022</w:t>
            </w:r>
          </w:p>
        </w:tc>
        <w:tc>
          <w:tcPr>
            <w:tcW w:w="1258" w:type="dxa"/>
            <w:tcBorders>
              <w:top w:val="nil"/>
              <w:left w:val="nil"/>
              <w:bottom w:val="single" w:sz="4" w:space="0" w:color="auto"/>
              <w:right w:val="single" w:sz="4" w:space="0" w:color="auto"/>
            </w:tcBorders>
            <w:shd w:val="clear" w:color="auto" w:fill="auto"/>
            <w:vAlign w:val="center"/>
            <w:hideMark/>
          </w:tcPr>
          <w:p w14:paraId="6D993B7F"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16/09/2022</w:t>
            </w:r>
          </w:p>
        </w:tc>
        <w:tc>
          <w:tcPr>
            <w:tcW w:w="1238" w:type="dxa"/>
            <w:tcBorders>
              <w:top w:val="nil"/>
              <w:left w:val="nil"/>
              <w:bottom w:val="single" w:sz="4" w:space="0" w:color="auto"/>
              <w:right w:val="single" w:sz="4" w:space="0" w:color="auto"/>
            </w:tcBorders>
            <w:shd w:val="clear" w:color="auto" w:fill="auto"/>
            <w:vAlign w:val="center"/>
            <w:hideMark/>
          </w:tcPr>
          <w:p w14:paraId="2A8C638F"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28 </w:t>
            </w:r>
          </w:p>
        </w:tc>
      </w:tr>
      <w:tr w:rsidR="001A38D5" w:rsidRPr="001A38D5" w14:paraId="61008D46" w14:textId="77777777" w:rsidTr="00A20990">
        <w:trPr>
          <w:trHeight w:val="480"/>
        </w:trPr>
        <w:tc>
          <w:tcPr>
            <w:tcW w:w="881" w:type="dxa"/>
            <w:vMerge/>
            <w:tcBorders>
              <w:top w:val="nil"/>
              <w:left w:val="single" w:sz="4" w:space="0" w:color="auto"/>
              <w:bottom w:val="single" w:sz="4" w:space="0" w:color="auto"/>
              <w:right w:val="single" w:sz="4" w:space="0" w:color="auto"/>
            </w:tcBorders>
            <w:vAlign w:val="center"/>
            <w:hideMark/>
          </w:tcPr>
          <w:p w14:paraId="768827EA" w14:textId="77777777" w:rsidR="00A20990" w:rsidRPr="001A38D5" w:rsidRDefault="00A20990" w:rsidP="005140E1">
            <w:pPr>
              <w:contextualSpacing/>
              <w:rPr>
                <w:rFonts w:eastAsia="Times New Roman" w:cs="Arial"/>
                <w:sz w:val="18"/>
                <w:szCs w:val="18"/>
                <w:lang w:val="es-CO" w:eastAsia="es-CO"/>
              </w:rPr>
            </w:pPr>
          </w:p>
        </w:tc>
        <w:tc>
          <w:tcPr>
            <w:tcW w:w="4171" w:type="dxa"/>
            <w:tcBorders>
              <w:top w:val="nil"/>
              <w:left w:val="nil"/>
              <w:bottom w:val="single" w:sz="4" w:space="0" w:color="auto"/>
              <w:right w:val="single" w:sz="4" w:space="0" w:color="auto"/>
            </w:tcBorders>
            <w:shd w:val="clear" w:color="auto" w:fill="auto"/>
            <w:vAlign w:val="center"/>
            <w:hideMark/>
          </w:tcPr>
          <w:p w14:paraId="60703CA8"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eastAsia="es-CO"/>
              </w:rPr>
              <w:t>Contrato de prestación de servicios No. 3369 del 2 de noviembre de 2022</w:t>
            </w:r>
          </w:p>
        </w:tc>
        <w:tc>
          <w:tcPr>
            <w:tcW w:w="1712" w:type="dxa"/>
            <w:tcBorders>
              <w:top w:val="nil"/>
              <w:left w:val="nil"/>
              <w:bottom w:val="single" w:sz="4" w:space="0" w:color="auto"/>
              <w:right w:val="single" w:sz="4" w:space="0" w:color="auto"/>
            </w:tcBorders>
            <w:shd w:val="clear" w:color="auto" w:fill="auto"/>
            <w:vAlign w:val="center"/>
            <w:hideMark/>
          </w:tcPr>
          <w:p w14:paraId="4CD3F496"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4/11/2022</w:t>
            </w:r>
          </w:p>
        </w:tc>
        <w:tc>
          <w:tcPr>
            <w:tcW w:w="1258" w:type="dxa"/>
            <w:tcBorders>
              <w:top w:val="nil"/>
              <w:left w:val="nil"/>
              <w:bottom w:val="single" w:sz="4" w:space="0" w:color="auto"/>
              <w:right w:val="single" w:sz="4" w:space="0" w:color="auto"/>
            </w:tcBorders>
            <w:shd w:val="clear" w:color="auto" w:fill="auto"/>
            <w:vAlign w:val="center"/>
            <w:hideMark/>
          </w:tcPr>
          <w:p w14:paraId="7A5B0C7C"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30/11/2022</w:t>
            </w:r>
          </w:p>
        </w:tc>
        <w:tc>
          <w:tcPr>
            <w:tcW w:w="1238" w:type="dxa"/>
            <w:tcBorders>
              <w:top w:val="nil"/>
              <w:left w:val="nil"/>
              <w:bottom w:val="single" w:sz="4" w:space="0" w:color="auto"/>
              <w:right w:val="single" w:sz="4" w:space="0" w:color="auto"/>
            </w:tcBorders>
            <w:shd w:val="clear" w:color="auto" w:fill="auto"/>
            <w:vAlign w:val="center"/>
            <w:hideMark/>
          </w:tcPr>
          <w:p w14:paraId="11FAE3C4"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17 </w:t>
            </w:r>
          </w:p>
        </w:tc>
      </w:tr>
      <w:tr w:rsidR="001A38D5" w:rsidRPr="001A38D5" w14:paraId="5B5431DA" w14:textId="77777777" w:rsidTr="00A20990">
        <w:trPr>
          <w:trHeight w:val="480"/>
        </w:trPr>
        <w:tc>
          <w:tcPr>
            <w:tcW w:w="881" w:type="dxa"/>
            <w:vMerge/>
            <w:tcBorders>
              <w:top w:val="nil"/>
              <w:left w:val="single" w:sz="4" w:space="0" w:color="auto"/>
              <w:bottom w:val="single" w:sz="4" w:space="0" w:color="auto"/>
              <w:right w:val="single" w:sz="4" w:space="0" w:color="auto"/>
            </w:tcBorders>
            <w:vAlign w:val="center"/>
            <w:hideMark/>
          </w:tcPr>
          <w:p w14:paraId="6D38A3AC" w14:textId="77777777" w:rsidR="00A20990" w:rsidRPr="001A38D5" w:rsidRDefault="00A20990" w:rsidP="005140E1">
            <w:pPr>
              <w:contextualSpacing/>
              <w:rPr>
                <w:rFonts w:eastAsia="Times New Roman" w:cs="Arial"/>
                <w:sz w:val="18"/>
                <w:szCs w:val="18"/>
                <w:lang w:val="es-CO" w:eastAsia="es-CO"/>
              </w:rPr>
            </w:pPr>
          </w:p>
        </w:tc>
        <w:tc>
          <w:tcPr>
            <w:tcW w:w="4171" w:type="dxa"/>
            <w:tcBorders>
              <w:top w:val="nil"/>
              <w:left w:val="nil"/>
              <w:bottom w:val="single" w:sz="4" w:space="0" w:color="auto"/>
              <w:right w:val="single" w:sz="4" w:space="0" w:color="auto"/>
            </w:tcBorders>
            <w:shd w:val="clear" w:color="auto" w:fill="auto"/>
            <w:vAlign w:val="center"/>
            <w:hideMark/>
          </w:tcPr>
          <w:p w14:paraId="30EBF73E" w14:textId="77777777" w:rsidR="00A20990" w:rsidRPr="001A38D5" w:rsidRDefault="00A20990" w:rsidP="005140E1">
            <w:pPr>
              <w:contextualSpacing/>
              <w:rPr>
                <w:rFonts w:eastAsia="Times New Roman" w:cs="Arial"/>
                <w:sz w:val="18"/>
                <w:szCs w:val="18"/>
                <w:lang w:val="es-CO" w:eastAsia="es-CO"/>
              </w:rPr>
            </w:pPr>
            <w:r w:rsidRPr="001A38D5">
              <w:rPr>
                <w:rFonts w:eastAsia="Times New Roman" w:cs="Arial"/>
                <w:sz w:val="18"/>
                <w:szCs w:val="18"/>
                <w:lang w:eastAsia="es-CO"/>
              </w:rPr>
              <w:t>Convenio interadministrativo No. 1932 del 17 de agosto de 2022</w:t>
            </w:r>
          </w:p>
        </w:tc>
        <w:tc>
          <w:tcPr>
            <w:tcW w:w="1712" w:type="dxa"/>
            <w:tcBorders>
              <w:top w:val="nil"/>
              <w:left w:val="nil"/>
              <w:bottom w:val="single" w:sz="4" w:space="0" w:color="auto"/>
              <w:right w:val="single" w:sz="4" w:space="0" w:color="auto"/>
            </w:tcBorders>
            <w:shd w:val="clear" w:color="auto" w:fill="auto"/>
            <w:vAlign w:val="center"/>
            <w:hideMark/>
          </w:tcPr>
          <w:p w14:paraId="6778E5CE"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17/08/2022</w:t>
            </w:r>
          </w:p>
        </w:tc>
        <w:tc>
          <w:tcPr>
            <w:tcW w:w="1258" w:type="dxa"/>
            <w:tcBorders>
              <w:top w:val="nil"/>
              <w:left w:val="nil"/>
              <w:bottom w:val="single" w:sz="4" w:space="0" w:color="auto"/>
              <w:right w:val="single" w:sz="4" w:space="0" w:color="auto"/>
            </w:tcBorders>
            <w:shd w:val="clear" w:color="auto" w:fill="auto"/>
            <w:vAlign w:val="center"/>
            <w:hideMark/>
          </w:tcPr>
          <w:p w14:paraId="2414F956"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2/12/2022</w:t>
            </w:r>
          </w:p>
        </w:tc>
        <w:tc>
          <w:tcPr>
            <w:tcW w:w="1238" w:type="dxa"/>
            <w:tcBorders>
              <w:top w:val="nil"/>
              <w:left w:val="nil"/>
              <w:bottom w:val="single" w:sz="4" w:space="0" w:color="auto"/>
              <w:right w:val="single" w:sz="4" w:space="0" w:color="auto"/>
            </w:tcBorders>
            <w:shd w:val="clear" w:color="auto" w:fill="auto"/>
            <w:vAlign w:val="center"/>
            <w:hideMark/>
          </w:tcPr>
          <w:p w14:paraId="53AE287D" w14:textId="77777777" w:rsidR="00A20990" w:rsidRPr="001A38D5" w:rsidRDefault="00A20990" w:rsidP="005140E1">
            <w:pPr>
              <w:contextualSpacing/>
              <w:jc w:val="center"/>
              <w:rPr>
                <w:rFonts w:eastAsia="Times New Roman" w:cs="Arial"/>
                <w:sz w:val="18"/>
                <w:szCs w:val="18"/>
                <w:lang w:val="es-CO" w:eastAsia="es-CO"/>
              </w:rPr>
            </w:pPr>
            <w:r w:rsidRPr="001A38D5">
              <w:rPr>
                <w:rFonts w:eastAsia="Times New Roman" w:cs="Arial"/>
                <w:sz w:val="18"/>
                <w:szCs w:val="18"/>
                <w:lang w:val="es-CO" w:eastAsia="es-CO"/>
              </w:rPr>
              <w:t xml:space="preserve">75 </w:t>
            </w:r>
          </w:p>
        </w:tc>
      </w:tr>
    </w:tbl>
    <w:p w14:paraId="48096E5B" w14:textId="77777777" w:rsidR="00A20990" w:rsidRPr="001A38D5" w:rsidRDefault="00A20990" w:rsidP="005140E1">
      <w:pPr>
        <w:contextualSpacing/>
        <w:jc w:val="center"/>
        <w:textAlignment w:val="baseline"/>
        <w:rPr>
          <w:rFonts w:cs="Arial"/>
          <w:sz w:val="16"/>
        </w:rPr>
      </w:pPr>
      <w:r w:rsidRPr="001A38D5">
        <w:rPr>
          <w:rFonts w:cs="Arial"/>
          <w:sz w:val="16"/>
        </w:rPr>
        <w:t>Fuente: Elaboración DAF con base en el reporte en el Sistema Electrónico de Contratación Pública SECOP.</w:t>
      </w:r>
    </w:p>
    <w:p w14:paraId="2CDB840F" w14:textId="77777777" w:rsidR="00A20990" w:rsidRPr="001A38D5" w:rsidRDefault="00A20990" w:rsidP="005140E1">
      <w:pPr>
        <w:contextualSpacing/>
        <w:jc w:val="both"/>
        <w:rPr>
          <w:rFonts w:cs="Arial"/>
          <w:lang w:val="es-CO"/>
        </w:rPr>
      </w:pPr>
    </w:p>
    <w:p w14:paraId="7C65F59C" w14:textId="77777777" w:rsidR="00A20990" w:rsidRPr="001A38D5" w:rsidRDefault="00A20990" w:rsidP="005140E1">
      <w:pPr>
        <w:contextualSpacing/>
        <w:jc w:val="both"/>
        <w:rPr>
          <w:rFonts w:cs="Arial"/>
          <w:lang w:val="es-CO"/>
        </w:rPr>
      </w:pPr>
      <w:r w:rsidRPr="001A38D5">
        <w:rPr>
          <w:rFonts w:cs="Arial"/>
          <w:lang w:val="es-CO"/>
        </w:rPr>
        <w:t>En este sentido, se concluye que los procesos contractuales llevados a cabo por parte del Municipio para la prestación del Servicio de Alimentación Escolar no aseguraron el cumplimiento de las metas de continuidad, cobertura y calidad en los servicios; lo anterior, teniendo en cuenta que dichos contratos rompen con la continuidad de la operación del Programa de Alimentación Escolar y no aseguran la cobertura del total de días de calendario escolar tal como lo determinan los Lineamientos Técnicos del Programa.</w:t>
      </w:r>
    </w:p>
    <w:p w14:paraId="6E8C4A6B" w14:textId="77777777" w:rsidR="00A20990" w:rsidRPr="001A38D5" w:rsidRDefault="00A20990" w:rsidP="005140E1">
      <w:pPr>
        <w:ind w:left="709" w:hanging="709"/>
        <w:contextualSpacing/>
        <w:jc w:val="both"/>
        <w:rPr>
          <w:rFonts w:cs="Arial"/>
          <w:lang w:val="es-CO"/>
        </w:rPr>
      </w:pPr>
    </w:p>
    <w:p w14:paraId="170FE8AE" w14:textId="77777777" w:rsidR="00A20990" w:rsidRPr="001A38D5" w:rsidRDefault="00A20990" w:rsidP="005140E1">
      <w:pPr>
        <w:contextualSpacing/>
        <w:jc w:val="both"/>
        <w:rPr>
          <w:rFonts w:eastAsiaTheme="minorHAnsi" w:cs="Arial"/>
          <w:b/>
          <w:bCs/>
          <w:lang w:val="es-CO"/>
        </w:rPr>
      </w:pPr>
      <w:r w:rsidRPr="001A38D5">
        <w:rPr>
          <w:rFonts w:cs="Arial"/>
          <w:b/>
          <w:bCs/>
        </w:rPr>
        <w:t>Evidencias:</w:t>
      </w:r>
    </w:p>
    <w:p w14:paraId="585E0DC9" w14:textId="77777777" w:rsidR="00A20990" w:rsidRPr="001A38D5" w:rsidRDefault="00A20990" w:rsidP="005140E1">
      <w:pPr>
        <w:contextualSpacing/>
        <w:jc w:val="both"/>
        <w:rPr>
          <w:rFonts w:cs="Arial"/>
        </w:rPr>
      </w:pPr>
    </w:p>
    <w:p w14:paraId="2B43C92A" w14:textId="77777777" w:rsidR="00A20990" w:rsidRPr="001A38D5" w:rsidRDefault="00A20990" w:rsidP="005140E1">
      <w:pPr>
        <w:contextualSpacing/>
        <w:jc w:val="both"/>
        <w:rPr>
          <w:rFonts w:cs="Arial"/>
          <w:sz w:val="24"/>
          <w:szCs w:val="24"/>
        </w:rPr>
      </w:pPr>
      <w:r w:rsidRPr="001A38D5">
        <w:rPr>
          <w:rFonts w:cs="Arial"/>
        </w:rPr>
        <w:t>Obra en el expediente virtual el siguiente material probatorio:</w:t>
      </w:r>
    </w:p>
    <w:p w14:paraId="62890E5F" w14:textId="77777777" w:rsidR="00A20990" w:rsidRPr="001A38D5" w:rsidRDefault="00A20990" w:rsidP="005140E1">
      <w:pPr>
        <w:pStyle w:val="Sinespaciado"/>
        <w:contextualSpacing/>
        <w:jc w:val="both"/>
        <w:rPr>
          <w:rFonts w:ascii="Verdana" w:hAnsi="Verdana" w:cs="Arial"/>
        </w:rPr>
      </w:pPr>
    </w:p>
    <w:p w14:paraId="3EF9429B" w14:textId="77777777" w:rsidR="00F24355" w:rsidRPr="00B41D08" w:rsidRDefault="00F24355" w:rsidP="005140E1">
      <w:pPr>
        <w:pStyle w:val="Sinespaciado"/>
        <w:numPr>
          <w:ilvl w:val="0"/>
          <w:numId w:val="17"/>
        </w:numPr>
        <w:ind w:left="284" w:hanging="284"/>
        <w:contextualSpacing/>
        <w:jc w:val="both"/>
        <w:rPr>
          <w:rFonts w:ascii="Verdana" w:hAnsi="Verdana" w:cs="Arial"/>
          <w:sz w:val="20"/>
          <w:szCs w:val="20"/>
        </w:rPr>
      </w:pPr>
      <w:r w:rsidRPr="00B41D08">
        <w:rPr>
          <w:rFonts w:ascii="Verdana" w:hAnsi="Verdana" w:cs="Arial"/>
          <w:color w:val="000000"/>
          <w:sz w:val="20"/>
          <w:szCs w:val="20"/>
        </w:rPr>
        <w:t xml:space="preserve">Actos Administrativos de Calendario Escolar 2019-2022. </w:t>
      </w:r>
      <w:r w:rsidRPr="00B41D08">
        <w:rPr>
          <w:rFonts w:ascii="Verdana" w:hAnsi="Verdana" w:cs="Arial"/>
          <w:color w:val="000000"/>
          <w:sz w:val="20"/>
          <w:szCs w:val="20"/>
          <w:lang w:val="es-ES"/>
        </w:rPr>
        <w:t>Municipio de Villavicencio, Meta – Sector Alimentación Escolar. Serie: “</w:t>
      </w:r>
      <w:r w:rsidRPr="00B41D08">
        <w:rPr>
          <w:rFonts w:ascii="Verdana" w:hAnsi="Verdana" w:cs="Arial"/>
          <w:i/>
          <w:color w:val="000000"/>
          <w:sz w:val="20"/>
          <w:szCs w:val="20"/>
          <w:lang w:val="es-ES"/>
        </w:rPr>
        <w:t>Historial de Seguimiento y Control a los Recursos del Sistema General de Participaciones</w:t>
      </w:r>
      <w:r w:rsidRPr="00B41D08">
        <w:rPr>
          <w:rFonts w:ascii="Verdana" w:hAnsi="Verdana" w:cs="Arial"/>
          <w:color w:val="000000"/>
          <w:sz w:val="20"/>
          <w:szCs w:val="20"/>
          <w:lang w:val="es-ES"/>
        </w:rPr>
        <w:t xml:space="preserve"> – </w:t>
      </w:r>
      <w:r w:rsidRPr="00B41D08">
        <w:rPr>
          <w:rFonts w:ascii="Verdana" w:hAnsi="Verdana" w:cs="Arial"/>
          <w:i/>
          <w:color w:val="000000"/>
          <w:sz w:val="20"/>
          <w:szCs w:val="20"/>
          <w:lang w:val="es-ES"/>
        </w:rPr>
        <w:t>Antecedentes</w:t>
      </w:r>
      <w:r w:rsidRPr="00B41D08">
        <w:rPr>
          <w:rFonts w:ascii="Verdana" w:hAnsi="Verdana" w:cs="Arial"/>
          <w:color w:val="000000"/>
          <w:sz w:val="20"/>
          <w:szCs w:val="20"/>
          <w:lang w:val="es-ES"/>
        </w:rPr>
        <w:t>”. Expediente digital No. 52/2018/D028-PREDI.</w:t>
      </w:r>
    </w:p>
    <w:p w14:paraId="7B7D03F4" w14:textId="77777777" w:rsidR="00F24355" w:rsidRPr="00B41D08" w:rsidRDefault="00425319" w:rsidP="005140E1">
      <w:pPr>
        <w:pStyle w:val="Sinespaciado"/>
        <w:ind w:left="284"/>
        <w:contextualSpacing/>
        <w:jc w:val="both"/>
        <w:rPr>
          <w:rFonts w:ascii="Verdana" w:hAnsi="Verdana" w:cs="Arial"/>
          <w:sz w:val="20"/>
          <w:szCs w:val="20"/>
        </w:rPr>
      </w:pPr>
      <w:hyperlink r:id="rId70" w:history="1">
        <w:r w:rsidR="00F24355" w:rsidRPr="00B41D08">
          <w:rPr>
            <w:rStyle w:val="Hipervnculo"/>
            <w:rFonts w:ascii="Verdana" w:hAnsi="Verdana" w:cs="Arial"/>
            <w:sz w:val="16"/>
            <w:szCs w:val="20"/>
          </w:rPr>
          <w:t>http://portalgestiondoc.minhacienda.red/PortalEmpleado/viewer.jsp?config=0JSxFD0ZgyjDEsxc7nj3zRiRjZvC+Zo5uzuSVFOyCiWQtsJP40wDGpqr+xjqR0e8/9jOHGOQzHVE/TNToWiLzNkC6g84ADq3cqEOTBMgnslxzWWF7poRKjWvSFhfkmygzaegegGm0UCan3q9uVXpzgu9zp02fdDc4Eq9juMoVV0AaRX0FgkSc2zoTpTIdcv+&amp;guid=5b8a275118abe00669671df&amp;idrepository=879</w:t>
        </w:r>
      </w:hyperlink>
      <w:r w:rsidR="00F24355" w:rsidRPr="00B41D08">
        <w:rPr>
          <w:rFonts w:ascii="Verdana" w:hAnsi="Verdana" w:cs="Arial"/>
          <w:sz w:val="16"/>
          <w:szCs w:val="20"/>
        </w:rPr>
        <w:t xml:space="preserve"> </w:t>
      </w:r>
    </w:p>
    <w:p w14:paraId="060DAB12" w14:textId="77777777" w:rsidR="00F24355" w:rsidRPr="00B41D08" w:rsidRDefault="00F24355" w:rsidP="005140E1">
      <w:pPr>
        <w:pStyle w:val="Sinespaciado"/>
        <w:numPr>
          <w:ilvl w:val="0"/>
          <w:numId w:val="17"/>
        </w:numPr>
        <w:ind w:left="284" w:hanging="284"/>
        <w:contextualSpacing/>
        <w:jc w:val="both"/>
        <w:rPr>
          <w:rFonts w:ascii="Verdana" w:hAnsi="Verdana" w:cs="Arial"/>
          <w:color w:val="000000"/>
          <w:sz w:val="20"/>
          <w:szCs w:val="20"/>
          <w:lang w:val="es-ES"/>
        </w:rPr>
      </w:pPr>
      <w:r w:rsidRPr="00B41D08">
        <w:rPr>
          <w:rFonts w:ascii="Verdana" w:hAnsi="Verdana" w:cs="Arial"/>
          <w:color w:val="000000"/>
          <w:sz w:val="20"/>
          <w:szCs w:val="20"/>
          <w:lang w:val="es-ES"/>
        </w:rPr>
        <w:t xml:space="preserve">Actas de inicio y liquidación de los Contratos de </w:t>
      </w:r>
      <w:r w:rsidR="00115F99">
        <w:rPr>
          <w:rFonts w:ascii="Verdana" w:hAnsi="Verdana" w:cs="Arial"/>
          <w:color w:val="000000"/>
          <w:sz w:val="20"/>
          <w:szCs w:val="20"/>
          <w:lang w:val="es-ES"/>
        </w:rPr>
        <w:t>P</w:t>
      </w:r>
      <w:r w:rsidRPr="00B41D08">
        <w:rPr>
          <w:rFonts w:ascii="Verdana" w:hAnsi="Verdana" w:cs="Arial"/>
          <w:color w:val="000000"/>
          <w:sz w:val="20"/>
          <w:szCs w:val="20"/>
          <w:lang w:val="es-ES"/>
        </w:rPr>
        <w:t xml:space="preserve">restación de </w:t>
      </w:r>
      <w:r w:rsidR="00115F99">
        <w:rPr>
          <w:rFonts w:ascii="Verdana" w:hAnsi="Verdana" w:cs="Arial"/>
          <w:color w:val="000000"/>
          <w:sz w:val="20"/>
          <w:szCs w:val="20"/>
          <w:lang w:val="es-ES"/>
        </w:rPr>
        <w:t>S</w:t>
      </w:r>
      <w:r w:rsidRPr="00B41D08">
        <w:rPr>
          <w:rFonts w:ascii="Verdana" w:hAnsi="Verdana" w:cs="Arial"/>
          <w:color w:val="000000"/>
          <w:sz w:val="20"/>
          <w:szCs w:val="20"/>
          <w:lang w:val="es-ES"/>
        </w:rPr>
        <w:t>ervicios No. 077 del 30 de enero de 2019 y 1198 del 30 de mayo de 2019. Municipio de Villavicencio, Meta – Sector Alimentación Escolar. Serie: “</w:t>
      </w:r>
      <w:r w:rsidRPr="00B41D08">
        <w:rPr>
          <w:rFonts w:ascii="Verdana" w:hAnsi="Verdana" w:cs="Arial"/>
          <w:i/>
          <w:color w:val="000000"/>
          <w:sz w:val="20"/>
          <w:szCs w:val="20"/>
          <w:lang w:val="es-ES"/>
        </w:rPr>
        <w:t>Historial de Seguimiento y Control a los Recursos del Sistema General de Participaciones</w:t>
      </w:r>
      <w:r w:rsidRPr="00B41D08">
        <w:rPr>
          <w:rFonts w:ascii="Verdana" w:hAnsi="Verdana" w:cs="Arial"/>
          <w:color w:val="000000"/>
          <w:sz w:val="20"/>
          <w:szCs w:val="20"/>
          <w:lang w:val="es-ES"/>
        </w:rPr>
        <w:t xml:space="preserve"> – </w:t>
      </w:r>
      <w:r w:rsidRPr="00B41D08">
        <w:rPr>
          <w:rFonts w:ascii="Verdana" w:hAnsi="Verdana" w:cs="Arial"/>
          <w:i/>
          <w:color w:val="000000"/>
          <w:sz w:val="20"/>
          <w:szCs w:val="20"/>
          <w:lang w:val="es-ES"/>
        </w:rPr>
        <w:t>Antecedentes</w:t>
      </w:r>
      <w:r w:rsidRPr="00B41D08">
        <w:rPr>
          <w:rFonts w:ascii="Verdana" w:hAnsi="Verdana" w:cs="Arial"/>
          <w:color w:val="000000"/>
          <w:sz w:val="20"/>
          <w:szCs w:val="20"/>
          <w:lang w:val="es-ES"/>
        </w:rPr>
        <w:t>”. Expediente digital No. 52/2018/D028-PREDI.</w:t>
      </w:r>
    </w:p>
    <w:p w14:paraId="556875BA" w14:textId="77777777" w:rsidR="00F24355" w:rsidRPr="00B41D08" w:rsidRDefault="00425319" w:rsidP="005140E1">
      <w:pPr>
        <w:pStyle w:val="Sinespaciado"/>
        <w:ind w:left="284"/>
        <w:contextualSpacing/>
        <w:jc w:val="both"/>
        <w:rPr>
          <w:rFonts w:ascii="Verdana" w:hAnsi="Verdana" w:cs="Arial"/>
          <w:color w:val="000000"/>
          <w:sz w:val="16"/>
          <w:szCs w:val="20"/>
          <w:lang w:val="es-ES"/>
        </w:rPr>
      </w:pPr>
      <w:hyperlink r:id="rId71" w:history="1">
        <w:r w:rsidR="00F24355" w:rsidRPr="00B41D08">
          <w:rPr>
            <w:rStyle w:val="Hipervnculo"/>
            <w:rFonts w:ascii="Verdana" w:hAnsi="Verdana" w:cs="Arial"/>
            <w:sz w:val="16"/>
            <w:szCs w:val="20"/>
            <w:lang w:val="es-ES"/>
          </w:rPr>
          <w:t>http://portalgestiondoc.minhacienda.red/PortalEmpleado/viewer.jsp?config=PyndlgOdDtcfkuzA60fLccGhn+uJhmqHaKAs9HrIfGQ/U+zSS2K8WbS8+YvCCp6FkRZd5zMIgIvv7l551v9WqNChya+cG4Lvlst6pu+5yPUSPB9TAP3PEjYHJPAMTILZQnXEVoZaOOyuDkvQ2obotSs969r8qH5SpkFclGUV6/ihVlzatTiph4E9PVHHtSmx&amp;guid=5b8a275118abe00669671d9&amp;idrepository=879</w:t>
        </w:r>
      </w:hyperlink>
      <w:r w:rsidR="00F24355" w:rsidRPr="00B41D08">
        <w:rPr>
          <w:rFonts w:ascii="Verdana" w:hAnsi="Verdana" w:cs="Arial"/>
          <w:color w:val="000000"/>
          <w:sz w:val="16"/>
          <w:szCs w:val="20"/>
          <w:lang w:val="es-ES"/>
        </w:rPr>
        <w:t xml:space="preserve"> </w:t>
      </w:r>
    </w:p>
    <w:p w14:paraId="23795682" w14:textId="77777777" w:rsidR="00F24355" w:rsidRPr="00B41D08" w:rsidRDefault="00F24355" w:rsidP="005140E1">
      <w:pPr>
        <w:pStyle w:val="Sinespaciado"/>
        <w:numPr>
          <w:ilvl w:val="0"/>
          <w:numId w:val="17"/>
        </w:numPr>
        <w:ind w:left="284" w:hanging="284"/>
        <w:contextualSpacing/>
        <w:jc w:val="both"/>
        <w:rPr>
          <w:rFonts w:ascii="Verdana" w:hAnsi="Verdana" w:cs="Arial"/>
          <w:color w:val="000000"/>
          <w:sz w:val="20"/>
          <w:szCs w:val="20"/>
          <w:lang w:val="es-ES"/>
        </w:rPr>
      </w:pPr>
      <w:r w:rsidRPr="00B41D08">
        <w:rPr>
          <w:rFonts w:ascii="Verdana" w:hAnsi="Verdana" w:cs="Arial"/>
          <w:color w:val="000000"/>
          <w:sz w:val="20"/>
          <w:szCs w:val="20"/>
          <w:lang w:val="es-ES"/>
        </w:rPr>
        <w:t xml:space="preserve">Acta de liquidación del Contrato No. 594 de 2020 y actas de inicio y liquidación de los Contratos de </w:t>
      </w:r>
      <w:r w:rsidR="00115F99">
        <w:rPr>
          <w:rFonts w:ascii="Verdana" w:hAnsi="Verdana" w:cs="Arial"/>
          <w:color w:val="000000"/>
          <w:sz w:val="20"/>
          <w:szCs w:val="20"/>
          <w:lang w:val="es-ES"/>
        </w:rPr>
        <w:t>P</w:t>
      </w:r>
      <w:r w:rsidRPr="00B41D08">
        <w:rPr>
          <w:rFonts w:ascii="Verdana" w:hAnsi="Verdana" w:cs="Arial"/>
          <w:color w:val="000000"/>
          <w:sz w:val="20"/>
          <w:szCs w:val="20"/>
          <w:lang w:val="es-ES"/>
        </w:rPr>
        <w:t xml:space="preserve">restación de </w:t>
      </w:r>
      <w:r w:rsidR="00115F99">
        <w:rPr>
          <w:rFonts w:ascii="Verdana" w:hAnsi="Verdana" w:cs="Arial"/>
          <w:color w:val="000000"/>
          <w:sz w:val="20"/>
          <w:szCs w:val="20"/>
          <w:lang w:val="es-ES"/>
        </w:rPr>
        <w:t>S</w:t>
      </w:r>
      <w:r w:rsidRPr="00B41D08">
        <w:rPr>
          <w:rFonts w:ascii="Verdana" w:hAnsi="Verdana" w:cs="Arial"/>
          <w:color w:val="000000"/>
          <w:sz w:val="20"/>
          <w:szCs w:val="20"/>
          <w:lang w:val="es-ES"/>
        </w:rPr>
        <w:t>ervicios No. 049 del 7 de febrero de 2020 y 1961 del 13 de diciembre de 2020. Municipio de Villavicencio, Meta – Sector Alimentación Escolar. Serie: “</w:t>
      </w:r>
      <w:r w:rsidRPr="00B41D08">
        <w:rPr>
          <w:rFonts w:ascii="Verdana" w:hAnsi="Verdana" w:cs="Arial"/>
          <w:i/>
          <w:color w:val="000000"/>
          <w:sz w:val="20"/>
          <w:szCs w:val="20"/>
          <w:lang w:val="es-ES"/>
        </w:rPr>
        <w:t>Historial de Seguimiento y Control a los Recursos del Sistema General de Participaciones</w:t>
      </w:r>
      <w:r w:rsidRPr="00B41D08">
        <w:rPr>
          <w:rFonts w:ascii="Verdana" w:hAnsi="Verdana" w:cs="Arial"/>
          <w:color w:val="000000"/>
          <w:sz w:val="20"/>
          <w:szCs w:val="20"/>
          <w:lang w:val="es-ES"/>
        </w:rPr>
        <w:t xml:space="preserve"> – </w:t>
      </w:r>
      <w:r w:rsidRPr="00B41D08">
        <w:rPr>
          <w:rFonts w:ascii="Verdana" w:hAnsi="Verdana" w:cs="Arial"/>
          <w:i/>
          <w:color w:val="000000"/>
          <w:sz w:val="20"/>
          <w:szCs w:val="20"/>
          <w:lang w:val="es-ES"/>
        </w:rPr>
        <w:t>Antecedentes</w:t>
      </w:r>
      <w:r w:rsidRPr="00B41D08">
        <w:rPr>
          <w:rFonts w:ascii="Verdana" w:hAnsi="Verdana" w:cs="Arial"/>
          <w:color w:val="000000"/>
          <w:sz w:val="20"/>
          <w:szCs w:val="20"/>
          <w:lang w:val="es-ES"/>
        </w:rPr>
        <w:t>”. Expediente digital No. 52/2018/D028-PREDI.</w:t>
      </w:r>
    </w:p>
    <w:p w14:paraId="00F88F53" w14:textId="77777777" w:rsidR="00F24355" w:rsidRPr="00B41D08" w:rsidRDefault="00425319" w:rsidP="005140E1">
      <w:pPr>
        <w:pStyle w:val="Sinespaciado"/>
        <w:ind w:left="284"/>
        <w:contextualSpacing/>
        <w:jc w:val="both"/>
        <w:rPr>
          <w:rFonts w:ascii="Verdana" w:hAnsi="Verdana" w:cs="Arial"/>
          <w:color w:val="000000"/>
          <w:sz w:val="20"/>
          <w:szCs w:val="20"/>
          <w:lang w:val="es-ES"/>
        </w:rPr>
      </w:pPr>
      <w:hyperlink r:id="rId72" w:history="1">
        <w:r w:rsidR="00F24355" w:rsidRPr="00B41D08">
          <w:rPr>
            <w:rStyle w:val="Hipervnculo"/>
            <w:rFonts w:ascii="Verdana" w:hAnsi="Verdana" w:cs="Arial"/>
            <w:sz w:val="16"/>
            <w:szCs w:val="20"/>
          </w:rPr>
          <w:t>http://portalgestiondoc.minhacienda.red/PortalEmpleado/viewer.jsp?config=yxefaYjsHOUqdG0hwLP88O/MAufapa5OK/jWIAwQjz19BQybZXwCFOciTESVdMz9A27Bt/Wizec5LGBLepREeobNS2l2hQnRxA0wmrNTFwKfPSciCVQVn4KMxSngvNa+sa1lAOIwENtKdj5sY7sINevEaj6Pap7SYgPxNC0yG/GjDgwk+adtivNbnpuNoNoJ&amp;guid=5b8a275118abe00669671db&amp;idrepository=879</w:t>
        </w:r>
      </w:hyperlink>
      <w:r w:rsidR="00F24355" w:rsidRPr="00B41D08">
        <w:rPr>
          <w:rFonts w:ascii="Verdana" w:hAnsi="Verdana" w:cs="Arial"/>
          <w:color w:val="000000"/>
          <w:sz w:val="16"/>
          <w:szCs w:val="20"/>
        </w:rPr>
        <w:t xml:space="preserve"> </w:t>
      </w:r>
    </w:p>
    <w:p w14:paraId="5A9F0B50" w14:textId="77777777" w:rsidR="00F24355" w:rsidRPr="00B41D08" w:rsidRDefault="00F24355" w:rsidP="005140E1">
      <w:pPr>
        <w:pStyle w:val="Sinespaciado"/>
        <w:numPr>
          <w:ilvl w:val="0"/>
          <w:numId w:val="17"/>
        </w:numPr>
        <w:ind w:left="284" w:hanging="284"/>
        <w:contextualSpacing/>
        <w:jc w:val="both"/>
        <w:rPr>
          <w:rFonts w:ascii="Verdana" w:hAnsi="Verdana" w:cs="Arial"/>
          <w:color w:val="000000"/>
          <w:sz w:val="20"/>
          <w:szCs w:val="20"/>
          <w:lang w:val="es-ES"/>
        </w:rPr>
      </w:pPr>
      <w:r w:rsidRPr="00B41D08">
        <w:rPr>
          <w:rFonts w:ascii="Verdana" w:hAnsi="Verdana" w:cs="Arial"/>
          <w:color w:val="000000"/>
          <w:sz w:val="20"/>
          <w:szCs w:val="20"/>
          <w:lang w:val="es-ES"/>
        </w:rPr>
        <w:t xml:space="preserve">Acta de inicio y liquidación del Convenio </w:t>
      </w:r>
      <w:r w:rsidR="00115F99">
        <w:rPr>
          <w:rFonts w:ascii="Verdana" w:hAnsi="Verdana" w:cs="Arial"/>
          <w:color w:val="000000"/>
          <w:sz w:val="20"/>
          <w:szCs w:val="20"/>
          <w:lang w:val="es-ES"/>
        </w:rPr>
        <w:t>I</w:t>
      </w:r>
      <w:r w:rsidRPr="00B41D08">
        <w:rPr>
          <w:rFonts w:ascii="Verdana" w:hAnsi="Verdana" w:cs="Arial"/>
          <w:color w:val="000000"/>
          <w:sz w:val="20"/>
          <w:szCs w:val="20"/>
          <w:lang w:val="es-ES"/>
        </w:rPr>
        <w:t xml:space="preserve">nteradministrativo No. 1104 del 18 de mayo de 2021, acta de supervisión del Contrato No. 939 del 8 de abril de 2021 (Orden de compra 66808 de 2021) y </w:t>
      </w:r>
      <w:r w:rsidR="00115F99">
        <w:rPr>
          <w:rFonts w:ascii="Verdana" w:hAnsi="Verdana" w:cs="Arial"/>
          <w:color w:val="000000"/>
          <w:sz w:val="20"/>
          <w:szCs w:val="20"/>
          <w:lang w:val="es-ES"/>
        </w:rPr>
        <w:t>Ó</w:t>
      </w:r>
      <w:r w:rsidRPr="00B41D08">
        <w:rPr>
          <w:rFonts w:ascii="Verdana" w:hAnsi="Verdana" w:cs="Arial"/>
          <w:color w:val="000000"/>
          <w:sz w:val="20"/>
          <w:szCs w:val="20"/>
          <w:lang w:val="es-ES"/>
        </w:rPr>
        <w:t xml:space="preserve">rdenes de </w:t>
      </w:r>
      <w:r w:rsidR="00115F99">
        <w:rPr>
          <w:rFonts w:ascii="Verdana" w:hAnsi="Verdana" w:cs="Arial"/>
          <w:color w:val="000000"/>
          <w:sz w:val="20"/>
          <w:szCs w:val="20"/>
          <w:lang w:val="es-ES"/>
        </w:rPr>
        <w:t>C</w:t>
      </w:r>
      <w:r w:rsidRPr="00B41D08">
        <w:rPr>
          <w:rFonts w:ascii="Verdana" w:hAnsi="Verdana" w:cs="Arial"/>
          <w:color w:val="000000"/>
          <w:sz w:val="20"/>
          <w:szCs w:val="20"/>
          <w:lang w:val="es-ES"/>
        </w:rPr>
        <w:t>ompra 66808, 72682 y 77691 de 2021 y sus modificaciones. Municipio de Villavicencio, Meta – Sector Alimentación Escolar. Serie: “</w:t>
      </w:r>
      <w:r w:rsidRPr="00B41D08">
        <w:rPr>
          <w:rFonts w:ascii="Verdana" w:hAnsi="Verdana" w:cs="Arial"/>
          <w:i/>
          <w:color w:val="000000"/>
          <w:sz w:val="20"/>
          <w:szCs w:val="20"/>
          <w:lang w:val="es-ES"/>
        </w:rPr>
        <w:t>Historial de Seguimiento y Control a los Recursos del Sistema General de Participaciones</w:t>
      </w:r>
      <w:r w:rsidRPr="00B41D08">
        <w:rPr>
          <w:rFonts w:ascii="Verdana" w:hAnsi="Verdana" w:cs="Arial"/>
          <w:color w:val="000000"/>
          <w:sz w:val="20"/>
          <w:szCs w:val="20"/>
          <w:lang w:val="es-ES"/>
        </w:rPr>
        <w:t xml:space="preserve"> – </w:t>
      </w:r>
      <w:r w:rsidRPr="00B41D08">
        <w:rPr>
          <w:rFonts w:ascii="Verdana" w:hAnsi="Verdana" w:cs="Arial"/>
          <w:i/>
          <w:color w:val="000000"/>
          <w:sz w:val="20"/>
          <w:szCs w:val="20"/>
          <w:lang w:val="es-ES"/>
        </w:rPr>
        <w:t>Antecedentes</w:t>
      </w:r>
      <w:r w:rsidRPr="00B41D08">
        <w:rPr>
          <w:rFonts w:ascii="Verdana" w:hAnsi="Verdana" w:cs="Arial"/>
          <w:color w:val="000000"/>
          <w:sz w:val="20"/>
          <w:szCs w:val="20"/>
          <w:lang w:val="es-ES"/>
        </w:rPr>
        <w:t>”. Expediente digital No. 52/2018/D028-PREDI.</w:t>
      </w:r>
    </w:p>
    <w:p w14:paraId="2281E3B1" w14:textId="77777777" w:rsidR="00F24355" w:rsidRPr="00B41D08" w:rsidRDefault="00F24355" w:rsidP="005140E1">
      <w:pPr>
        <w:pStyle w:val="Sinespaciado"/>
        <w:ind w:left="284"/>
        <w:contextualSpacing/>
        <w:jc w:val="both"/>
        <w:rPr>
          <w:rStyle w:val="Hipervnculo"/>
          <w:rFonts w:ascii="Verdana" w:hAnsi="Verdana" w:cs="Arial"/>
          <w:color w:val="000000"/>
          <w:sz w:val="16"/>
          <w:szCs w:val="20"/>
          <w:u w:val="none"/>
          <w:lang w:val="es-ES"/>
        </w:rPr>
      </w:pPr>
      <w:r w:rsidRPr="00B41D08">
        <w:rPr>
          <w:rStyle w:val="Hipervnculo"/>
          <w:rFonts w:ascii="Verdana" w:eastAsia="Verdana" w:hAnsi="Verdana" w:cs="Arial"/>
          <w:sz w:val="16"/>
          <w:szCs w:val="20"/>
        </w:rPr>
        <w:t>http://portalgestiondoc.minhacienda.red/PortalEmpleado/viewer.jsp?config=Vvcz5D9nqBf014PmvNH4OM3G+AIFeKKoVpoT3zInHsXC+WcN6XjWDHq5ADvsbvJy1H5kbefmdBYHpLdO7FiCl2uQ2pnE3doKHbfxHxt5Udz61OwZa8EnN6WRQ+6Nbn43d9raUE27sBOI0G9NVeW89MrrxC+aVqiFf9YSwU1GeA75IfVNsLp25YFh2WppBLOt&amp;guid=5b8a275118abe006696acc&amp;idrepository=879</w:t>
      </w:r>
    </w:p>
    <w:p w14:paraId="6C08C441" w14:textId="77777777" w:rsidR="00F24355" w:rsidRPr="00B41D08" w:rsidRDefault="00F24355" w:rsidP="005140E1">
      <w:pPr>
        <w:pStyle w:val="Sinespaciado"/>
        <w:numPr>
          <w:ilvl w:val="0"/>
          <w:numId w:val="17"/>
        </w:numPr>
        <w:ind w:left="284" w:hanging="284"/>
        <w:contextualSpacing/>
        <w:jc w:val="both"/>
        <w:rPr>
          <w:rFonts w:ascii="Verdana" w:hAnsi="Verdana" w:cs="Arial"/>
          <w:sz w:val="20"/>
          <w:szCs w:val="20"/>
        </w:rPr>
      </w:pPr>
      <w:r w:rsidRPr="00B41D08">
        <w:rPr>
          <w:rFonts w:ascii="Verdana" w:hAnsi="Verdana" w:cs="Arial"/>
          <w:color w:val="000000"/>
          <w:sz w:val="20"/>
          <w:szCs w:val="20"/>
          <w:lang w:val="es-ES"/>
        </w:rPr>
        <w:t xml:space="preserve">Actas de inicio y liquidación del Convenio </w:t>
      </w:r>
      <w:r w:rsidR="00115F99">
        <w:rPr>
          <w:rFonts w:ascii="Verdana" w:hAnsi="Verdana" w:cs="Arial"/>
          <w:color w:val="000000"/>
          <w:sz w:val="20"/>
          <w:szCs w:val="20"/>
          <w:lang w:val="es-ES"/>
        </w:rPr>
        <w:t>I</w:t>
      </w:r>
      <w:r w:rsidRPr="00B41D08">
        <w:rPr>
          <w:rFonts w:ascii="Verdana" w:hAnsi="Verdana" w:cs="Arial"/>
          <w:color w:val="000000"/>
          <w:sz w:val="20"/>
          <w:szCs w:val="20"/>
          <w:lang w:val="es-ES"/>
        </w:rPr>
        <w:t xml:space="preserve">nteradministrativo No. 1932 del 17 de agosto de 2022; acta de inicio del Contrato de </w:t>
      </w:r>
      <w:r w:rsidR="00115F99">
        <w:rPr>
          <w:rFonts w:ascii="Verdana" w:hAnsi="Verdana" w:cs="Arial"/>
          <w:color w:val="000000"/>
          <w:sz w:val="20"/>
          <w:szCs w:val="20"/>
          <w:lang w:val="es-ES"/>
        </w:rPr>
        <w:t>p</w:t>
      </w:r>
      <w:r w:rsidRPr="00B41D08">
        <w:rPr>
          <w:rFonts w:ascii="Verdana" w:hAnsi="Verdana" w:cs="Arial"/>
          <w:color w:val="000000"/>
          <w:sz w:val="20"/>
          <w:szCs w:val="20"/>
          <w:lang w:val="es-ES"/>
        </w:rPr>
        <w:t xml:space="preserve">restación de </w:t>
      </w:r>
      <w:r w:rsidR="00115F99">
        <w:rPr>
          <w:rFonts w:ascii="Verdana" w:hAnsi="Verdana" w:cs="Arial"/>
          <w:color w:val="000000"/>
          <w:sz w:val="20"/>
          <w:szCs w:val="20"/>
          <w:lang w:val="es-ES"/>
        </w:rPr>
        <w:t>S</w:t>
      </w:r>
      <w:r w:rsidRPr="00B41D08">
        <w:rPr>
          <w:rFonts w:ascii="Verdana" w:hAnsi="Verdana" w:cs="Arial"/>
          <w:color w:val="000000"/>
          <w:sz w:val="20"/>
          <w:szCs w:val="20"/>
          <w:lang w:val="es-ES"/>
        </w:rPr>
        <w:t xml:space="preserve">ervicios No. 1719 del 25 de febrero de 2022; acta de liquidación del Contrato de </w:t>
      </w:r>
      <w:r w:rsidR="00115F99">
        <w:rPr>
          <w:rFonts w:ascii="Verdana" w:hAnsi="Verdana" w:cs="Arial"/>
          <w:color w:val="000000"/>
          <w:sz w:val="20"/>
          <w:szCs w:val="20"/>
          <w:lang w:val="es-ES"/>
        </w:rPr>
        <w:t>P</w:t>
      </w:r>
      <w:r w:rsidRPr="00B41D08">
        <w:rPr>
          <w:rFonts w:ascii="Verdana" w:hAnsi="Verdana" w:cs="Arial"/>
          <w:color w:val="000000"/>
          <w:sz w:val="20"/>
          <w:szCs w:val="20"/>
          <w:lang w:val="es-ES"/>
        </w:rPr>
        <w:t xml:space="preserve">restación de </w:t>
      </w:r>
      <w:r w:rsidR="00115F99">
        <w:rPr>
          <w:rFonts w:ascii="Verdana" w:hAnsi="Verdana" w:cs="Arial"/>
          <w:color w:val="000000"/>
          <w:sz w:val="20"/>
          <w:szCs w:val="20"/>
          <w:lang w:val="es-ES"/>
        </w:rPr>
        <w:t>Se</w:t>
      </w:r>
      <w:r w:rsidRPr="00B41D08">
        <w:rPr>
          <w:rFonts w:ascii="Verdana" w:hAnsi="Verdana" w:cs="Arial"/>
          <w:color w:val="000000"/>
          <w:sz w:val="20"/>
          <w:szCs w:val="20"/>
          <w:lang w:val="es-ES"/>
        </w:rPr>
        <w:t xml:space="preserve">rvicios y de </w:t>
      </w:r>
      <w:r w:rsidR="00115F99">
        <w:rPr>
          <w:rFonts w:ascii="Verdana" w:hAnsi="Verdana" w:cs="Arial"/>
          <w:color w:val="000000"/>
          <w:sz w:val="20"/>
          <w:szCs w:val="20"/>
          <w:lang w:val="es-ES"/>
        </w:rPr>
        <w:t>A</w:t>
      </w:r>
      <w:r w:rsidRPr="00B41D08">
        <w:rPr>
          <w:rFonts w:ascii="Verdana" w:hAnsi="Verdana" w:cs="Arial"/>
          <w:color w:val="000000"/>
          <w:sz w:val="20"/>
          <w:szCs w:val="20"/>
          <w:lang w:val="es-ES"/>
        </w:rPr>
        <w:t xml:space="preserve">poyo </w:t>
      </w:r>
      <w:r w:rsidR="00115F99">
        <w:rPr>
          <w:rFonts w:ascii="Verdana" w:hAnsi="Verdana" w:cs="Arial"/>
          <w:color w:val="000000"/>
          <w:sz w:val="20"/>
          <w:szCs w:val="20"/>
          <w:lang w:val="es-ES"/>
        </w:rPr>
        <w:t>L</w:t>
      </w:r>
      <w:r w:rsidRPr="00B41D08">
        <w:rPr>
          <w:rFonts w:ascii="Verdana" w:hAnsi="Verdana" w:cs="Arial"/>
          <w:color w:val="000000"/>
          <w:sz w:val="20"/>
          <w:szCs w:val="20"/>
          <w:lang w:val="es-ES"/>
        </w:rPr>
        <w:t xml:space="preserve">ogístico No. 1739 del 10 de mayo de 2022; acta de inicio del Contrato de </w:t>
      </w:r>
      <w:r w:rsidR="00115F99">
        <w:rPr>
          <w:rFonts w:ascii="Verdana" w:hAnsi="Verdana" w:cs="Arial"/>
          <w:color w:val="000000"/>
          <w:sz w:val="20"/>
          <w:szCs w:val="20"/>
          <w:lang w:val="es-ES"/>
        </w:rPr>
        <w:t>P</w:t>
      </w:r>
      <w:r w:rsidRPr="00B41D08">
        <w:rPr>
          <w:rFonts w:ascii="Verdana" w:hAnsi="Verdana" w:cs="Arial"/>
          <w:color w:val="000000"/>
          <w:sz w:val="20"/>
          <w:szCs w:val="20"/>
          <w:lang w:val="es-ES"/>
        </w:rPr>
        <w:t xml:space="preserve">restación de </w:t>
      </w:r>
      <w:r w:rsidR="00115F99">
        <w:rPr>
          <w:rFonts w:ascii="Verdana" w:hAnsi="Verdana" w:cs="Arial"/>
          <w:color w:val="000000"/>
          <w:sz w:val="20"/>
          <w:szCs w:val="20"/>
          <w:lang w:val="es-ES"/>
        </w:rPr>
        <w:t>S</w:t>
      </w:r>
      <w:r w:rsidRPr="00B41D08">
        <w:rPr>
          <w:rFonts w:ascii="Verdana" w:hAnsi="Verdana" w:cs="Arial"/>
          <w:color w:val="000000"/>
          <w:sz w:val="20"/>
          <w:szCs w:val="20"/>
          <w:lang w:val="es-ES"/>
        </w:rPr>
        <w:t xml:space="preserve">ervicios No. 1825 del 21 de julio de 2022; actas de inicio y liquidación del Contrato de </w:t>
      </w:r>
      <w:r w:rsidR="00115F99">
        <w:rPr>
          <w:rFonts w:ascii="Verdana" w:hAnsi="Verdana" w:cs="Arial"/>
          <w:color w:val="000000"/>
          <w:sz w:val="20"/>
          <w:szCs w:val="20"/>
          <w:lang w:val="es-ES"/>
        </w:rPr>
        <w:t>P</w:t>
      </w:r>
      <w:r w:rsidRPr="00B41D08">
        <w:rPr>
          <w:rFonts w:ascii="Verdana" w:hAnsi="Verdana" w:cs="Arial"/>
          <w:color w:val="000000"/>
          <w:sz w:val="20"/>
          <w:szCs w:val="20"/>
          <w:lang w:val="es-ES"/>
        </w:rPr>
        <w:t xml:space="preserve">restación de </w:t>
      </w:r>
      <w:r w:rsidR="00115F99">
        <w:rPr>
          <w:rFonts w:ascii="Verdana" w:hAnsi="Verdana" w:cs="Arial"/>
          <w:color w:val="000000"/>
          <w:sz w:val="20"/>
          <w:szCs w:val="20"/>
          <w:lang w:val="es-ES"/>
        </w:rPr>
        <w:t>S</w:t>
      </w:r>
      <w:r w:rsidRPr="00B41D08">
        <w:rPr>
          <w:rFonts w:ascii="Verdana" w:hAnsi="Verdana" w:cs="Arial"/>
          <w:color w:val="000000"/>
          <w:sz w:val="20"/>
          <w:szCs w:val="20"/>
          <w:lang w:val="es-ES"/>
        </w:rPr>
        <w:t>ervicios No. 3369 del 2 de noviembre de 2022. Municipio de Villavicencio, Meta – Sector Alimentación Escolar. Serie: “</w:t>
      </w:r>
      <w:r w:rsidRPr="00B41D08">
        <w:rPr>
          <w:rFonts w:ascii="Verdana" w:hAnsi="Verdana" w:cs="Arial"/>
          <w:i/>
          <w:color w:val="000000"/>
          <w:sz w:val="20"/>
          <w:szCs w:val="20"/>
          <w:lang w:val="es-ES"/>
        </w:rPr>
        <w:t>Historial de Seguimiento y Control a los Recursos del Sistema General de Participaciones</w:t>
      </w:r>
      <w:r w:rsidRPr="00B41D08">
        <w:rPr>
          <w:rFonts w:ascii="Verdana" w:hAnsi="Verdana" w:cs="Arial"/>
          <w:color w:val="000000"/>
          <w:sz w:val="20"/>
          <w:szCs w:val="20"/>
          <w:lang w:val="es-ES"/>
        </w:rPr>
        <w:t xml:space="preserve"> – </w:t>
      </w:r>
      <w:r w:rsidRPr="00B41D08">
        <w:rPr>
          <w:rFonts w:ascii="Verdana" w:hAnsi="Verdana" w:cs="Arial"/>
          <w:i/>
          <w:color w:val="000000"/>
          <w:sz w:val="20"/>
          <w:szCs w:val="20"/>
          <w:lang w:val="es-ES"/>
        </w:rPr>
        <w:t>Antecedentes</w:t>
      </w:r>
      <w:r w:rsidRPr="00B41D08">
        <w:rPr>
          <w:rFonts w:ascii="Verdana" w:hAnsi="Verdana" w:cs="Arial"/>
          <w:color w:val="000000"/>
          <w:sz w:val="20"/>
          <w:szCs w:val="20"/>
          <w:lang w:val="es-ES"/>
        </w:rPr>
        <w:t>”. Expediente digital No. 52/2018/D028-PREDI.</w:t>
      </w:r>
    </w:p>
    <w:p w14:paraId="275DF258" w14:textId="77777777" w:rsidR="00945380" w:rsidRDefault="00425319" w:rsidP="005140E1">
      <w:pPr>
        <w:pStyle w:val="Sinespaciado"/>
        <w:ind w:left="284"/>
        <w:contextualSpacing/>
        <w:jc w:val="both"/>
        <w:rPr>
          <w:rFonts w:ascii="Verdana" w:hAnsi="Verdana" w:cs="Arial"/>
          <w:sz w:val="20"/>
          <w:szCs w:val="20"/>
        </w:rPr>
      </w:pPr>
      <w:hyperlink r:id="rId73" w:history="1">
        <w:r w:rsidR="00F24355" w:rsidRPr="00B41D08">
          <w:rPr>
            <w:rStyle w:val="Hipervnculo"/>
            <w:rFonts w:ascii="Verdana" w:hAnsi="Verdana" w:cs="Arial"/>
            <w:sz w:val="16"/>
            <w:szCs w:val="20"/>
          </w:rPr>
          <w:t>http://portalgestiondoc.minhacienda.red/PortalEmpleado/viewer.jsp?config=Xkw2i0CU7/qMc2cBVtdelqomSsHXTGnO3pW7Nl3sHjPhdg/XC4rDJMMlN5qR4xptvo+6E+VpX0rpmbrMIcm15ndc96dJVoU9TIkQjimVidVwEjieH2iTrzsNCzXhyrIiFn+ET4PaWert0SbQKhkBqxYTs2fDSUxVUi1qAWe7xYpwik0Uzhltu+z20fLULdy3&amp;guid=5b8a275118abe00669671dd&amp;idrepository=879</w:t>
        </w:r>
      </w:hyperlink>
      <w:r w:rsidR="00945380">
        <w:rPr>
          <w:rFonts w:ascii="Verdana" w:hAnsi="Verdana" w:cs="Arial"/>
          <w:sz w:val="20"/>
          <w:szCs w:val="20"/>
        </w:rPr>
        <w:t xml:space="preserve"> </w:t>
      </w:r>
    </w:p>
    <w:p w14:paraId="5A26CFD7" w14:textId="77777777" w:rsidR="00945380" w:rsidRDefault="00945380" w:rsidP="005140E1">
      <w:pPr>
        <w:pStyle w:val="Sinespaciado"/>
        <w:ind w:left="284"/>
        <w:contextualSpacing/>
        <w:jc w:val="both"/>
        <w:rPr>
          <w:rFonts w:ascii="Verdana" w:hAnsi="Verdana" w:cs="Arial"/>
          <w:sz w:val="20"/>
          <w:szCs w:val="20"/>
        </w:rPr>
      </w:pPr>
    </w:p>
    <w:p w14:paraId="1E005BF3" w14:textId="77777777" w:rsidR="00945380" w:rsidRDefault="00945380" w:rsidP="005140E1">
      <w:pPr>
        <w:contextualSpacing/>
        <w:jc w:val="both"/>
        <w:rPr>
          <w:rFonts w:eastAsia="Times New Roman" w:cs="Arial"/>
          <w:b/>
          <w:bCs/>
          <w:lang w:val="es-CO" w:eastAsia="es-CO"/>
        </w:rPr>
      </w:pPr>
    </w:p>
    <w:p w14:paraId="0ED441E3" w14:textId="77777777" w:rsidR="00945380" w:rsidRPr="007A412F" w:rsidRDefault="00DA629C" w:rsidP="005140E1">
      <w:pPr>
        <w:contextualSpacing/>
        <w:jc w:val="both"/>
        <w:rPr>
          <w:rFonts w:eastAsia="Calibri" w:cs="Arial"/>
          <w:b/>
        </w:rPr>
      </w:pPr>
      <w:r>
        <w:rPr>
          <w:rFonts w:eastAsia="Calibri" w:cs="Arial"/>
          <w:b/>
        </w:rPr>
        <w:t>Celebración de contratos sin el lleno de requisitos legales</w:t>
      </w:r>
      <w:r w:rsidR="00186A18">
        <w:rPr>
          <w:rFonts w:eastAsia="Calibri" w:cs="Arial"/>
          <w:b/>
        </w:rPr>
        <w:t>.</w:t>
      </w:r>
    </w:p>
    <w:p w14:paraId="7FF05550" w14:textId="77777777" w:rsidR="00945380" w:rsidRDefault="00945380" w:rsidP="005140E1">
      <w:pPr>
        <w:contextualSpacing/>
        <w:jc w:val="both"/>
        <w:rPr>
          <w:rFonts w:cs="Arial"/>
          <w:lang w:val="es-CO"/>
        </w:rPr>
      </w:pPr>
    </w:p>
    <w:p w14:paraId="4205D294" w14:textId="77777777" w:rsidR="00945380" w:rsidRPr="00945380" w:rsidRDefault="00945380" w:rsidP="005140E1">
      <w:pPr>
        <w:contextualSpacing/>
        <w:jc w:val="both"/>
        <w:rPr>
          <w:rFonts w:cs="Arial"/>
          <w:lang w:val="es-CO"/>
        </w:rPr>
      </w:pPr>
      <w:r>
        <w:rPr>
          <w:rFonts w:cs="Arial"/>
          <w:lang w:val="es-CO"/>
        </w:rPr>
        <w:t>L</w:t>
      </w:r>
      <w:r w:rsidRPr="00945380">
        <w:rPr>
          <w:rFonts w:cs="Arial"/>
          <w:lang w:val="es-CO"/>
        </w:rPr>
        <w:t xml:space="preserve">a Resolución </w:t>
      </w:r>
      <w:r>
        <w:rPr>
          <w:rFonts w:cs="Arial"/>
          <w:lang w:val="es-CO"/>
        </w:rPr>
        <w:t xml:space="preserve">No. </w:t>
      </w:r>
      <w:r w:rsidRPr="00945380">
        <w:rPr>
          <w:rFonts w:cs="Arial"/>
          <w:lang w:val="es-CO"/>
        </w:rPr>
        <w:t>18858 de 2018 del Ministerio de Educación Nacional “</w:t>
      </w:r>
      <w:r w:rsidRPr="00945380">
        <w:rPr>
          <w:rFonts w:cs="Arial"/>
          <w:i/>
          <w:lang w:val="es-CO"/>
        </w:rPr>
        <w:t>Por la cual se expiden los Lineamientos Técnicos - Administrativos, los Estándares y las Condiciones Mínimas del Programa de Alimentación Escolar - PAE para Pueblos Indígenas</w:t>
      </w:r>
      <w:r w:rsidRPr="00945380">
        <w:rPr>
          <w:rFonts w:cs="Arial"/>
          <w:lang w:val="es-CO"/>
        </w:rPr>
        <w:t xml:space="preserve">”, señala sobre los actores, responsabilidades y competencias lo siguiente: </w:t>
      </w:r>
    </w:p>
    <w:p w14:paraId="746C3C9F" w14:textId="77777777" w:rsidR="00945380" w:rsidRPr="00945380" w:rsidRDefault="00945380" w:rsidP="005140E1">
      <w:pPr>
        <w:contextualSpacing/>
        <w:jc w:val="both"/>
        <w:rPr>
          <w:rFonts w:cs="Arial"/>
          <w:lang w:val="es-CO"/>
        </w:rPr>
      </w:pPr>
    </w:p>
    <w:p w14:paraId="775E9D30" w14:textId="77777777" w:rsidR="00945380" w:rsidRPr="00CE2F62" w:rsidRDefault="00945380" w:rsidP="005140E1">
      <w:pPr>
        <w:ind w:left="720"/>
        <w:contextualSpacing/>
        <w:jc w:val="both"/>
        <w:rPr>
          <w:rFonts w:cs="Arial"/>
          <w:i/>
          <w:sz w:val="18"/>
          <w:lang w:val="es-CO"/>
        </w:rPr>
      </w:pPr>
      <w:r w:rsidRPr="00CE2F62">
        <w:rPr>
          <w:rFonts w:cs="Arial"/>
          <w:i/>
          <w:sz w:val="18"/>
          <w:lang w:val="es-CO"/>
        </w:rPr>
        <w:t>“6.3. Entidades Territoriales Certificadas - ETC: las Entidades Territoriales Certificadas deben cumplir las siguientes funciones:</w:t>
      </w:r>
    </w:p>
    <w:p w14:paraId="03C13D57" w14:textId="77777777" w:rsidR="00945380" w:rsidRPr="00CE2F62" w:rsidRDefault="00945380" w:rsidP="005140E1">
      <w:pPr>
        <w:ind w:left="720"/>
        <w:contextualSpacing/>
        <w:jc w:val="both"/>
        <w:rPr>
          <w:rFonts w:cs="Arial"/>
          <w:i/>
          <w:sz w:val="18"/>
          <w:lang w:val="es-CO"/>
        </w:rPr>
      </w:pPr>
    </w:p>
    <w:p w14:paraId="275AF2AC" w14:textId="77777777" w:rsidR="00945380" w:rsidRPr="00CE2F62" w:rsidRDefault="00945380" w:rsidP="005140E1">
      <w:pPr>
        <w:ind w:left="720"/>
        <w:contextualSpacing/>
        <w:jc w:val="both"/>
        <w:rPr>
          <w:rFonts w:cs="Arial"/>
          <w:i/>
          <w:sz w:val="18"/>
          <w:lang w:val="es-CO"/>
        </w:rPr>
      </w:pPr>
      <w:r w:rsidRPr="00CE2F62">
        <w:rPr>
          <w:rFonts w:cs="Arial"/>
          <w:i/>
          <w:sz w:val="18"/>
          <w:lang w:val="es-CO"/>
        </w:rPr>
        <w:t>(…) 1.4 Adelantar los procesos de contratación, cuando a ello haya lugar, para ejecutar en forma oportuna el PAE, ordenar el gasto y el pago de los mismos (…)”.</w:t>
      </w:r>
    </w:p>
    <w:p w14:paraId="671C6F92" w14:textId="77777777" w:rsidR="00945380" w:rsidRPr="00CE2F62" w:rsidRDefault="00945380" w:rsidP="005140E1">
      <w:pPr>
        <w:contextualSpacing/>
        <w:jc w:val="both"/>
        <w:rPr>
          <w:rFonts w:cs="Arial"/>
          <w:sz w:val="18"/>
          <w:lang w:val="es-CO"/>
        </w:rPr>
      </w:pPr>
    </w:p>
    <w:p w14:paraId="48F131FE" w14:textId="77777777" w:rsidR="00945380" w:rsidRPr="00945380" w:rsidRDefault="00945380" w:rsidP="005140E1">
      <w:pPr>
        <w:contextualSpacing/>
        <w:jc w:val="both"/>
        <w:rPr>
          <w:rFonts w:cs="Arial"/>
          <w:lang w:val="es-CO"/>
        </w:rPr>
      </w:pPr>
      <w:r w:rsidRPr="00945380">
        <w:rPr>
          <w:rFonts w:cs="Arial"/>
          <w:lang w:val="es-CO"/>
        </w:rPr>
        <w:t xml:space="preserve">Sobre ello los procesos pueden ser adelantados con operadores indígenas, entendidos como: </w:t>
      </w:r>
    </w:p>
    <w:p w14:paraId="6817C413" w14:textId="77777777" w:rsidR="00945380" w:rsidRPr="00945380" w:rsidRDefault="00945380" w:rsidP="005140E1">
      <w:pPr>
        <w:contextualSpacing/>
        <w:jc w:val="both"/>
        <w:rPr>
          <w:rFonts w:cs="Arial"/>
          <w:lang w:val="es-CO"/>
        </w:rPr>
      </w:pPr>
    </w:p>
    <w:p w14:paraId="72C9EED5" w14:textId="77777777" w:rsidR="00945380" w:rsidRPr="00CE2F62" w:rsidRDefault="00945380" w:rsidP="005140E1">
      <w:pPr>
        <w:ind w:left="720"/>
        <w:contextualSpacing/>
        <w:jc w:val="both"/>
        <w:rPr>
          <w:rFonts w:cs="Arial"/>
          <w:i/>
          <w:sz w:val="18"/>
          <w:lang w:val="es-CO"/>
        </w:rPr>
      </w:pPr>
      <w:r w:rsidRPr="00CE2F62">
        <w:rPr>
          <w:rFonts w:cs="Arial"/>
          <w:i/>
          <w:sz w:val="18"/>
          <w:lang w:val="es-CO"/>
        </w:rPr>
        <w:t>“2.6.1 Operador Indígena: es aquella autoridad indígena, cabildo, resguardo y/o asociación de autoridades tradicionales en su calidad de entidades públicas de carácter especial, y organización indígena en su condición de entidad sin ánimo de lucro, contratada para ejecutar el Programa de Alimentación Escolar en aquellos establecimientos educativos que atienden población mayoritariamente indígena o que se encuentren en territorio indígena”</w:t>
      </w:r>
      <w:r w:rsidR="00186A18">
        <w:rPr>
          <w:rFonts w:cs="Arial"/>
          <w:i/>
          <w:sz w:val="18"/>
          <w:lang w:val="es-CO"/>
        </w:rPr>
        <w:t>.</w:t>
      </w:r>
    </w:p>
    <w:p w14:paraId="47DC4ABA" w14:textId="77777777" w:rsidR="00945380" w:rsidRPr="00945380" w:rsidRDefault="00945380" w:rsidP="005140E1">
      <w:pPr>
        <w:contextualSpacing/>
        <w:jc w:val="both"/>
        <w:rPr>
          <w:rFonts w:cs="Arial"/>
          <w:lang w:val="es-CO"/>
        </w:rPr>
      </w:pPr>
    </w:p>
    <w:p w14:paraId="692BAA65" w14:textId="77777777" w:rsidR="00945380" w:rsidRPr="00945380" w:rsidRDefault="00945380" w:rsidP="005140E1">
      <w:pPr>
        <w:contextualSpacing/>
        <w:jc w:val="both"/>
        <w:rPr>
          <w:rFonts w:cs="Arial"/>
          <w:lang w:val="es-CO"/>
        </w:rPr>
      </w:pPr>
      <w:r w:rsidRPr="00945380">
        <w:rPr>
          <w:rFonts w:cs="Arial"/>
          <w:lang w:val="es-CO"/>
        </w:rPr>
        <w:t>De igual manera, el Decreto 1953 de 2014 en su artículo 9, indicó respecto a la capacidad jurídica de los resguardos indígenas que:</w:t>
      </w:r>
    </w:p>
    <w:p w14:paraId="4B34C2F3" w14:textId="77777777" w:rsidR="00945380" w:rsidRPr="00945380" w:rsidRDefault="00945380" w:rsidP="005140E1">
      <w:pPr>
        <w:contextualSpacing/>
        <w:jc w:val="both"/>
        <w:rPr>
          <w:rFonts w:cs="Arial"/>
          <w:lang w:val="es-CO"/>
        </w:rPr>
      </w:pPr>
    </w:p>
    <w:p w14:paraId="4227D173" w14:textId="77777777" w:rsidR="00945380" w:rsidRPr="00480276" w:rsidRDefault="00945380" w:rsidP="005140E1">
      <w:pPr>
        <w:ind w:left="720"/>
        <w:contextualSpacing/>
        <w:jc w:val="both"/>
        <w:rPr>
          <w:rFonts w:cs="Arial"/>
          <w:i/>
          <w:sz w:val="18"/>
          <w:lang w:val="es-CO"/>
        </w:rPr>
      </w:pPr>
      <w:r w:rsidRPr="00480276">
        <w:rPr>
          <w:rFonts w:cs="Arial"/>
          <w:i/>
          <w:sz w:val="18"/>
          <w:lang w:val="es-CO"/>
        </w:rPr>
        <w:t>“Para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0C9AF535" w14:textId="77777777" w:rsidR="00945380" w:rsidRDefault="00945380" w:rsidP="005140E1">
      <w:pPr>
        <w:contextualSpacing/>
        <w:jc w:val="both"/>
        <w:rPr>
          <w:rFonts w:cs="Arial"/>
          <w:lang w:val="es-CO"/>
        </w:rPr>
      </w:pPr>
    </w:p>
    <w:p w14:paraId="2FBDB039" w14:textId="77777777" w:rsidR="005E51F7" w:rsidRDefault="00945380" w:rsidP="005140E1">
      <w:pPr>
        <w:contextualSpacing/>
        <w:jc w:val="both"/>
        <w:rPr>
          <w:rFonts w:cs="Arial"/>
          <w:lang w:val="es-CO"/>
        </w:rPr>
      </w:pPr>
      <w:r>
        <w:rPr>
          <w:rFonts w:cs="Arial"/>
          <w:lang w:val="es-CO"/>
        </w:rPr>
        <w:t xml:space="preserve">Para las vigencias 2020 a 2022, el Municipio de Villavicencio suscribió los Convenios </w:t>
      </w:r>
      <w:r w:rsidR="00186A18">
        <w:rPr>
          <w:rFonts w:cs="Arial"/>
          <w:lang w:val="es-CO"/>
        </w:rPr>
        <w:t>I</w:t>
      </w:r>
      <w:r>
        <w:rPr>
          <w:rFonts w:cs="Arial"/>
          <w:lang w:val="es-CO"/>
        </w:rPr>
        <w:t xml:space="preserve">nteradministrativos </w:t>
      </w:r>
      <w:r w:rsidR="00CE2F62" w:rsidRPr="00CE2F62">
        <w:rPr>
          <w:rFonts w:cs="Arial"/>
          <w:lang w:val="es-CO"/>
        </w:rPr>
        <w:t>No. 594 del 14 de mayo de 2020, 1104 del 18 de mayo de 2021 y 1932 del 17 de agosto de 2022</w:t>
      </w:r>
      <w:r w:rsidR="00CE2F62">
        <w:rPr>
          <w:rFonts w:cs="Arial"/>
          <w:lang w:val="es-CO"/>
        </w:rPr>
        <w:t xml:space="preserve"> con el operador con razón social </w:t>
      </w:r>
      <w:r w:rsidR="00CE2F62" w:rsidRPr="00CE2F62">
        <w:rPr>
          <w:rFonts w:cs="Arial"/>
          <w:lang w:val="es-CO"/>
        </w:rPr>
        <w:t>Resguardo Indígena Maguare identificado con NIT 901.053.503-9</w:t>
      </w:r>
      <w:r w:rsidR="005E51F7">
        <w:rPr>
          <w:rStyle w:val="Refdenotaalpie"/>
          <w:lang w:val="es-CO"/>
        </w:rPr>
        <w:footnoteReference w:id="8"/>
      </w:r>
      <w:r w:rsidR="00CE2F62">
        <w:rPr>
          <w:rFonts w:cs="Arial"/>
          <w:lang w:val="es-CO"/>
        </w:rPr>
        <w:t xml:space="preserve">, entendiéndolo como operador indígena en el marco de lo dispuesto en la </w:t>
      </w:r>
      <w:r w:rsidR="008074DD">
        <w:rPr>
          <w:rFonts w:cs="Arial"/>
          <w:lang w:val="es-CO"/>
        </w:rPr>
        <w:t>Re</w:t>
      </w:r>
      <w:r w:rsidR="00CE2F62" w:rsidRPr="00CE2F62">
        <w:rPr>
          <w:rFonts w:cs="Arial"/>
          <w:lang w:val="es-CO"/>
        </w:rPr>
        <w:t>solución No. 18858 de 2018 del Ministerio de Educación Nacional</w:t>
      </w:r>
      <w:r w:rsidR="008074DD">
        <w:rPr>
          <w:rFonts w:cs="Arial"/>
          <w:lang w:val="es-CO"/>
        </w:rPr>
        <w:t>, según se señala en las Resoluciones No. 1500-17.10/533 del 12 de marzo de 2020, 570 del 21 de abril de 2021 y 1500-67.10/553 del 3 de agosto de 2022 del Municipio de Villavicencio –</w:t>
      </w:r>
      <w:r w:rsidR="00186A18">
        <w:rPr>
          <w:rFonts w:cs="Arial"/>
          <w:lang w:val="es-CO"/>
        </w:rPr>
        <w:t xml:space="preserve"> </w:t>
      </w:r>
      <w:r w:rsidR="008074DD">
        <w:rPr>
          <w:rFonts w:cs="Arial"/>
          <w:lang w:val="es-CO"/>
        </w:rPr>
        <w:t xml:space="preserve">Meta, por medio de las cuales se justifica una contratación directa </w:t>
      </w:r>
    </w:p>
    <w:p w14:paraId="1B1E3681" w14:textId="77777777" w:rsidR="005E51F7" w:rsidRDefault="005E51F7" w:rsidP="005140E1">
      <w:pPr>
        <w:contextualSpacing/>
        <w:jc w:val="both"/>
        <w:rPr>
          <w:rFonts w:cs="Arial"/>
          <w:lang w:val="es-CO"/>
        </w:rPr>
      </w:pPr>
    </w:p>
    <w:p w14:paraId="711DA463" w14:textId="77777777" w:rsidR="00945380" w:rsidRPr="00945380" w:rsidRDefault="00CE2F62" w:rsidP="005140E1">
      <w:pPr>
        <w:contextualSpacing/>
        <w:jc w:val="both"/>
        <w:rPr>
          <w:rFonts w:cs="Arial"/>
          <w:lang w:val="es-CO"/>
        </w:rPr>
      </w:pPr>
      <w:r>
        <w:rPr>
          <w:rFonts w:cs="Arial"/>
          <w:lang w:val="es-CO"/>
        </w:rPr>
        <w:t xml:space="preserve">Ahora bien, </w:t>
      </w:r>
      <w:r w:rsidR="00945380" w:rsidRPr="00945380">
        <w:rPr>
          <w:rFonts w:cs="Arial"/>
          <w:lang w:val="es-CO"/>
        </w:rPr>
        <w:t xml:space="preserve">el Resguardo Indígena Maguare no es un resguardo que haya sido autorizado para administrar recursos del </w:t>
      </w:r>
      <w:r>
        <w:rPr>
          <w:rFonts w:cs="Arial"/>
          <w:lang w:val="es-CO"/>
        </w:rPr>
        <w:t>SGP y</w:t>
      </w:r>
      <w:r w:rsidR="00945380" w:rsidRPr="00945380">
        <w:rPr>
          <w:rFonts w:cs="Arial"/>
          <w:lang w:val="es-CO"/>
        </w:rPr>
        <w:t xml:space="preserve"> </w:t>
      </w:r>
      <w:r>
        <w:rPr>
          <w:rFonts w:cs="Arial"/>
          <w:lang w:val="es-CO"/>
        </w:rPr>
        <w:t>no goza de personería jurídica p</w:t>
      </w:r>
      <w:r w:rsidRPr="00CE2F62">
        <w:rPr>
          <w:rFonts w:cs="Arial"/>
          <w:lang w:val="es-CO"/>
        </w:rPr>
        <w:t xml:space="preserve">or lo </w:t>
      </w:r>
      <w:r>
        <w:rPr>
          <w:rFonts w:cs="Arial"/>
          <w:lang w:val="es-CO"/>
        </w:rPr>
        <w:t>que</w:t>
      </w:r>
      <w:r w:rsidRPr="00CE2F62">
        <w:rPr>
          <w:rFonts w:cs="Arial"/>
          <w:lang w:val="es-CO"/>
        </w:rPr>
        <w:t xml:space="preserve"> no t</w:t>
      </w:r>
      <w:r>
        <w:rPr>
          <w:rFonts w:cs="Arial"/>
          <w:lang w:val="es-CO"/>
        </w:rPr>
        <w:t>ienen capacidad para contratar con el Municipio de Villavicencio en el marco de la L</w:t>
      </w:r>
      <w:r w:rsidRPr="00CE2F62">
        <w:rPr>
          <w:rFonts w:cs="Arial"/>
          <w:lang w:val="es-CO"/>
        </w:rPr>
        <w:t>ey 80 de 1993</w:t>
      </w:r>
      <w:r>
        <w:rPr>
          <w:rFonts w:cs="Arial"/>
          <w:lang w:val="es-CO"/>
        </w:rPr>
        <w:t>. Además, el contratista n</w:t>
      </w:r>
      <w:r w:rsidR="00945380" w:rsidRPr="00945380">
        <w:rPr>
          <w:rFonts w:cs="Arial"/>
          <w:lang w:val="es-CO"/>
        </w:rPr>
        <w:t xml:space="preserve">o puede ser considerado como </w:t>
      </w:r>
      <w:r w:rsidR="00186A18">
        <w:rPr>
          <w:rFonts w:cs="Arial"/>
          <w:lang w:val="es-CO"/>
        </w:rPr>
        <w:t>o</w:t>
      </w:r>
      <w:r w:rsidR="00945380" w:rsidRPr="00945380">
        <w:rPr>
          <w:rFonts w:cs="Arial"/>
          <w:lang w:val="es-CO"/>
        </w:rPr>
        <w:t xml:space="preserve">perador </w:t>
      </w:r>
      <w:r w:rsidR="00186A18">
        <w:rPr>
          <w:rFonts w:cs="Arial"/>
          <w:lang w:val="es-CO"/>
        </w:rPr>
        <w:t>i</w:t>
      </w:r>
      <w:r w:rsidR="00945380" w:rsidRPr="00945380">
        <w:rPr>
          <w:rFonts w:cs="Arial"/>
          <w:lang w:val="es-CO"/>
        </w:rPr>
        <w:t>ndígena y por tanto la modalidad de selección no se acoge a lo señalado en el literal l</w:t>
      </w:r>
      <w:r w:rsidR="00186A18">
        <w:rPr>
          <w:rFonts w:cs="Arial"/>
          <w:lang w:val="es-CO"/>
        </w:rPr>
        <w:t>)</w:t>
      </w:r>
      <w:r w:rsidR="00945380" w:rsidRPr="00945380">
        <w:rPr>
          <w:rFonts w:cs="Arial"/>
          <w:lang w:val="es-CO"/>
        </w:rPr>
        <w:t xml:space="preserve"> del numeral 4 del artículo 2 de la Ley 1150 de 2007, según el cual se realizará el proceso bajo la modalidad de contratación directa para contratos interadministrativos.</w:t>
      </w:r>
    </w:p>
    <w:p w14:paraId="19386CA4" w14:textId="77777777" w:rsidR="00945380" w:rsidRPr="00945380" w:rsidRDefault="00945380" w:rsidP="005140E1">
      <w:pPr>
        <w:contextualSpacing/>
        <w:jc w:val="both"/>
        <w:rPr>
          <w:rFonts w:cs="Arial"/>
          <w:lang w:val="es-CO"/>
        </w:rPr>
      </w:pPr>
    </w:p>
    <w:p w14:paraId="24ACA107" w14:textId="77777777" w:rsidR="00945380" w:rsidRPr="00945380" w:rsidRDefault="00945380" w:rsidP="005140E1">
      <w:pPr>
        <w:contextualSpacing/>
        <w:jc w:val="both"/>
        <w:rPr>
          <w:rFonts w:cs="Arial"/>
          <w:lang w:val="es-CO"/>
        </w:rPr>
      </w:pPr>
      <w:r w:rsidRPr="00945380">
        <w:rPr>
          <w:rFonts w:cs="Arial"/>
          <w:lang w:val="es-CO"/>
        </w:rPr>
        <w:t>Lo antes descrito revela una inadecuada aplicación de las normas relativas a la ejecución del PAE indígena y de las modalidades de selección para un objeto contractual, que llevaría a un incumplimiento de los principios de la contratación estatal previstos en la Ley 80 de 1993 y riesgos en la adecuada ejecución de los recursos asociados a los procesos contractuales.</w:t>
      </w:r>
    </w:p>
    <w:p w14:paraId="0DAA4E08" w14:textId="77777777" w:rsidR="00945380" w:rsidRPr="001A38D5" w:rsidRDefault="00945380" w:rsidP="005140E1">
      <w:pPr>
        <w:contextualSpacing/>
        <w:jc w:val="both"/>
        <w:rPr>
          <w:rFonts w:cs="Arial"/>
          <w:lang w:val="es-CO"/>
        </w:rPr>
      </w:pPr>
    </w:p>
    <w:p w14:paraId="59803D21" w14:textId="77777777" w:rsidR="00CE2F62" w:rsidRPr="001A38D5" w:rsidRDefault="00CE2F62" w:rsidP="005140E1">
      <w:pPr>
        <w:contextualSpacing/>
        <w:jc w:val="both"/>
        <w:rPr>
          <w:rFonts w:eastAsiaTheme="minorHAnsi" w:cs="Arial"/>
          <w:b/>
          <w:bCs/>
          <w:lang w:val="es-CO"/>
        </w:rPr>
      </w:pPr>
      <w:r w:rsidRPr="001A38D5">
        <w:rPr>
          <w:rFonts w:cs="Arial"/>
          <w:b/>
          <w:bCs/>
        </w:rPr>
        <w:t>Evidencias:</w:t>
      </w:r>
    </w:p>
    <w:p w14:paraId="27B60BFB" w14:textId="77777777" w:rsidR="003B0462" w:rsidRPr="001A38D5" w:rsidRDefault="003B0462" w:rsidP="005140E1">
      <w:pPr>
        <w:contextualSpacing/>
        <w:jc w:val="both"/>
        <w:rPr>
          <w:rFonts w:cs="Arial"/>
        </w:rPr>
      </w:pPr>
    </w:p>
    <w:p w14:paraId="0DF672BB" w14:textId="77777777" w:rsidR="003B0462" w:rsidRPr="001A38D5" w:rsidRDefault="003B0462" w:rsidP="005140E1">
      <w:pPr>
        <w:contextualSpacing/>
        <w:jc w:val="both"/>
        <w:rPr>
          <w:rFonts w:cs="Arial"/>
          <w:sz w:val="24"/>
          <w:szCs w:val="24"/>
        </w:rPr>
      </w:pPr>
      <w:r w:rsidRPr="001A38D5">
        <w:rPr>
          <w:rFonts w:cs="Arial"/>
        </w:rPr>
        <w:t>Obra en el expediente virtual el siguiente material probatorio:</w:t>
      </w:r>
    </w:p>
    <w:p w14:paraId="429C1B8B" w14:textId="77777777" w:rsidR="003B0462" w:rsidRPr="001A38D5" w:rsidRDefault="003B0462" w:rsidP="005140E1">
      <w:pPr>
        <w:pStyle w:val="Sinespaciado"/>
        <w:contextualSpacing/>
        <w:jc w:val="both"/>
        <w:rPr>
          <w:rFonts w:ascii="Verdana" w:hAnsi="Verdana" w:cs="Arial"/>
        </w:rPr>
      </w:pPr>
    </w:p>
    <w:p w14:paraId="79D97264" w14:textId="77777777" w:rsidR="003B0462" w:rsidRPr="00B41D08" w:rsidRDefault="00890C69" w:rsidP="005140E1">
      <w:pPr>
        <w:pStyle w:val="Sinespaciado"/>
        <w:numPr>
          <w:ilvl w:val="0"/>
          <w:numId w:val="17"/>
        </w:numPr>
        <w:ind w:left="284" w:hanging="284"/>
        <w:contextualSpacing/>
        <w:jc w:val="both"/>
        <w:rPr>
          <w:rFonts w:ascii="Verdana" w:hAnsi="Verdana" w:cs="Arial"/>
          <w:sz w:val="20"/>
          <w:szCs w:val="20"/>
        </w:rPr>
      </w:pPr>
      <w:r>
        <w:rPr>
          <w:rFonts w:ascii="Verdana" w:hAnsi="Verdana" w:cs="Arial"/>
          <w:color w:val="000000"/>
          <w:sz w:val="20"/>
          <w:szCs w:val="20"/>
        </w:rPr>
        <w:t>Clausulado</w:t>
      </w:r>
      <w:r w:rsidR="003B0462">
        <w:rPr>
          <w:rFonts w:ascii="Verdana" w:hAnsi="Verdana" w:cs="Arial"/>
          <w:color w:val="000000"/>
          <w:sz w:val="20"/>
          <w:szCs w:val="20"/>
        </w:rPr>
        <w:t xml:space="preserve"> de los </w:t>
      </w:r>
      <w:r w:rsidR="003B0462" w:rsidRPr="003B0462">
        <w:rPr>
          <w:rFonts w:ascii="Verdana" w:hAnsi="Verdana" w:cs="Arial"/>
          <w:color w:val="000000"/>
          <w:sz w:val="20"/>
          <w:szCs w:val="20"/>
          <w:lang w:val="es-ES"/>
        </w:rPr>
        <w:t>Convenios interadministrativos No. 594 del 14 de mayo de 2020, 1104 del 18 de mayo de 2021 y 1932 del 17 de agosto de 2022</w:t>
      </w:r>
      <w:r w:rsidR="003B0462" w:rsidRPr="00B41D08">
        <w:rPr>
          <w:rFonts w:ascii="Verdana" w:hAnsi="Verdana" w:cs="Arial"/>
          <w:color w:val="000000"/>
          <w:sz w:val="20"/>
          <w:szCs w:val="20"/>
        </w:rPr>
        <w:t xml:space="preserve">. </w:t>
      </w:r>
      <w:r w:rsidR="003B0462" w:rsidRPr="00B41D08">
        <w:rPr>
          <w:rFonts w:ascii="Verdana" w:hAnsi="Verdana" w:cs="Arial"/>
          <w:color w:val="000000"/>
          <w:sz w:val="20"/>
          <w:szCs w:val="20"/>
          <w:lang w:val="es-ES"/>
        </w:rPr>
        <w:t>Municipio de Villavicencio, Meta – Sector Alimentación Escolar. Serie: “</w:t>
      </w:r>
      <w:r w:rsidR="003B0462" w:rsidRPr="00B41D08">
        <w:rPr>
          <w:rFonts w:ascii="Verdana" w:hAnsi="Verdana" w:cs="Arial"/>
          <w:i/>
          <w:color w:val="000000"/>
          <w:sz w:val="20"/>
          <w:szCs w:val="20"/>
          <w:lang w:val="es-ES"/>
        </w:rPr>
        <w:t>Historial de Seguimiento y Control a los Recursos del Sistema General de Participaciones</w:t>
      </w:r>
      <w:r w:rsidR="003B0462" w:rsidRPr="00B41D08">
        <w:rPr>
          <w:rFonts w:ascii="Verdana" w:hAnsi="Verdana" w:cs="Arial"/>
          <w:color w:val="000000"/>
          <w:sz w:val="20"/>
          <w:szCs w:val="20"/>
          <w:lang w:val="es-ES"/>
        </w:rPr>
        <w:t xml:space="preserve"> – </w:t>
      </w:r>
      <w:r w:rsidR="003B0462" w:rsidRPr="00B41D08">
        <w:rPr>
          <w:rFonts w:ascii="Verdana" w:hAnsi="Verdana" w:cs="Arial"/>
          <w:i/>
          <w:color w:val="000000"/>
          <w:sz w:val="20"/>
          <w:szCs w:val="20"/>
          <w:lang w:val="es-ES"/>
        </w:rPr>
        <w:t>Antecedentes</w:t>
      </w:r>
      <w:r w:rsidR="003B0462" w:rsidRPr="00B41D08">
        <w:rPr>
          <w:rFonts w:ascii="Verdana" w:hAnsi="Verdana" w:cs="Arial"/>
          <w:color w:val="000000"/>
          <w:sz w:val="20"/>
          <w:szCs w:val="20"/>
          <w:lang w:val="es-ES"/>
        </w:rPr>
        <w:t>”. Expediente digital No. 52/2018/D028-PREDI.</w:t>
      </w:r>
    </w:p>
    <w:p w14:paraId="260670CC" w14:textId="77777777" w:rsidR="003B0462" w:rsidRPr="009E643D" w:rsidRDefault="00425319" w:rsidP="005140E1">
      <w:pPr>
        <w:pStyle w:val="Sinespaciado"/>
        <w:ind w:left="284"/>
        <w:contextualSpacing/>
        <w:jc w:val="both"/>
        <w:rPr>
          <w:rStyle w:val="Hipervnculo"/>
          <w:rFonts w:ascii="Verdana" w:hAnsi="Verdana" w:cs="Arial"/>
          <w:sz w:val="16"/>
          <w:szCs w:val="20"/>
        </w:rPr>
      </w:pPr>
      <w:hyperlink r:id="rId74" w:history="1">
        <w:r w:rsidR="009E643D" w:rsidRPr="009E643D">
          <w:rPr>
            <w:rStyle w:val="Hipervnculo"/>
            <w:rFonts w:ascii="Verdana" w:hAnsi="Verdana" w:cs="Arial"/>
            <w:sz w:val="16"/>
            <w:szCs w:val="20"/>
          </w:rPr>
          <w:t>http://portalgestiondoc.minhacienda.red/PortalEmpleado/viewer.jsp?config=3cVwtdGgx8xlm82ZzYN3LdLXVi9EOGNYZLmKr3RYEzz/Ak7pCxnaEcbdhwT8Ge8VX5S0fGoXPtXcr6JKLQKNmX7foQVJxVpOUzRFDJUWtG7EHuozpZUuOKLO2CfgpULB1EIHRj1k5N+k2v8mMyaWbXOWjjI1V4N4ZdSdMUyrvub2pqmREzkPbZjh0VGfXyWa&amp;guid=7bef3bba18bab9b7758-6d51&amp;idrepository=879</w:t>
        </w:r>
      </w:hyperlink>
    </w:p>
    <w:p w14:paraId="60220F5C" w14:textId="77777777" w:rsidR="009E643D" w:rsidRPr="00B41D08" w:rsidRDefault="009E643D" w:rsidP="005140E1">
      <w:pPr>
        <w:pStyle w:val="Sinespaciado"/>
        <w:ind w:left="284"/>
        <w:contextualSpacing/>
        <w:jc w:val="both"/>
        <w:rPr>
          <w:rFonts w:ascii="Verdana" w:hAnsi="Verdana" w:cs="Arial"/>
          <w:sz w:val="20"/>
          <w:szCs w:val="20"/>
        </w:rPr>
      </w:pPr>
    </w:p>
    <w:p w14:paraId="15B420AE" w14:textId="77777777" w:rsidR="008074DD" w:rsidRDefault="008C23DD" w:rsidP="005140E1">
      <w:pPr>
        <w:pStyle w:val="Sinespaciado"/>
        <w:numPr>
          <w:ilvl w:val="0"/>
          <w:numId w:val="17"/>
        </w:numPr>
        <w:ind w:left="284" w:hanging="284"/>
        <w:contextualSpacing/>
        <w:jc w:val="both"/>
        <w:rPr>
          <w:rFonts w:ascii="Verdana" w:hAnsi="Verdana" w:cs="Arial"/>
          <w:color w:val="000000"/>
          <w:sz w:val="20"/>
          <w:szCs w:val="20"/>
          <w:lang w:val="es-ES"/>
        </w:rPr>
      </w:pPr>
      <w:r w:rsidRPr="008C23DD">
        <w:rPr>
          <w:rFonts w:ascii="Verdana" w:hAnsi="Verdana" w:cs="Arial"/>
          <w:color w:val="000000"/>
          <w:sz w:val="20"/>
          <w:szCs w:val="20"/>
        </w:rPr>
        <w:t>Registro Único Tributario del Resguardo Indígena Maguare identificado con NIT 901.053.503-9</w:t>
      </w:r>
      <w:r w:rsidR="003B0462" w:rsidRPr="008C23DD">
        <w:rPr>
          <w:rFonts w:ascii="Verdana" w:hAnsi="Verdana" w:cs="Arial"/>
          <w:color w:val="000000"/>
          <w:sz w:val="20"/>
          <w:szCs w:val="20"/>
        </w:rPr>
        <w:t>. Municipio de Villavicencio</w:t>
      </w:r>
      <w:r w:rsidR="003B0462" w:rsidRPr="00B41D08">
        <w:rPr>
          <w:rFonts w:ascii="Verdana" w:hAnsi="Verdana" w:cs="Arial"/>
          <w:color w:val="000000"/>
          <w:sz w:val="20"/>
          <w:szCs w:val="20"/>
          <w:lang w:val="es-ES"/>
        </w:rPr>
        <w:t>, Meta – Sector Alimentación Escolar. Serie: “</w:t>
      </w:r>
      <w:r w:rsidR="003B0462" w:rsidRPr="00B41D08">
        <w:rPr>
          <w:rFonts w:ascii="Verdana" w:hAnsi="Verdana" w:cs="Arial"/>
          <w:i/>
          <w:color w:val="000000"/>
          <w:sz w:val="20"/>
          <w:szCs w:val="20"/>
          <w:lang w:val="es-ES"/>
        </w:rPr>
        <w:t>Historial de Seguimiento y Control a los Recursos del Sistema General de Participaciones</w:t>
      </w:r>
      <w:r w:rsidR="003B0462" w:rsidRPr="00B41D08">
        <w:rPr>
          <w:rFonts w:ascii="Verdana" w:hAnsi="Verdana" w:cs="Arial"/>
          <w:color w:val="000000"/>
          <w:sz w:val="20"/>
          <w:szCs w:val="20"/>
          <w:lang w:val="es-ES"/>
        </w:rPr>
        <w:t xml:space="preserve"> – </w:t>
      </w:r>
      <w:r w:rsidR="003B0462" w:rsidRPr="00B41D08">
        <w:rPr>
          <w:rFonts w:ascii="Verdana" w:hAnsi="Verdana" w:cs="Arial"/>
          <w:i/>
          <w:color w:val="000000"/>
          <w:sz w:val="20"/>
          <w:szCs w:val="20"/>
          <w:lang w:val="es-ES"/>
        </w:rPr>
        <w:t>Antecedentes</w:t>
      </w:r>
      <w:r w:rsidR="003B0462" w:rsidRPr="00B41D08">
        <w:rPr>
          <w:rFonts w:ascii="Verdana" w:hAnsi="Verdana" w:cs="Arial"/>
          <w:color w:val="000000"/>
          <w:sz w:val="20"/>
          <w:szCs w:val="20"/>
          <w:lang w:val="es-ES"/>
        </w:rPr>
        <w:t>”. Expediente digital No. 52/2018/D028-PREDI.</w:t>
      </w:r>
    </w:p>
    <w:p w14:paraId="3A566809" w14:textId="77777777" w:rsidR="009E643D" w:rsidRPr="009E643D" w:rsidRDefault="00425319" w:rsidP="005140E1">
      <w:pPr>
        <w:pStyle w:val="Sinespaciado"/>
        <w:ind w:left="284"/>
        <w:contextualSpacing/>
        <w:jc w:val="both"/>
        <w:rPr>
          <w:rFonts w:ascii="Verdana" w:hAnsi="Verdana"/>
          <w:sz w:val="16"/>
          <w:szCs w:val="16"/>
        </w:rPr>
      </w:pPr>
      <w:hyperlink r:id="rId75" w:history="1">
        <w:r w:rsidR="009E643D" w:rsidRPr="009E643D">
          <w:rPr>
            <w:rStyle w:val="Hipervnculo"/>
            <w:rFonts w:ascii="Verdana" w:hAnsi="Verdana" w:cs="Calibri"/>
            <w:color w:val="0563C1"/>
            <w:sz w:val="16"/>
            <w:szCs w:val="16"/>
            <w:bdr w:val="none" w:sz="0" w:space="0" w:color="auto" w:frame="1"/>
            <w:shd w:val="clear" w:color="auto" w:fill="FFFFFF"/>
          </w:rPr>
          <w:t>http://portalgestiondoc.minhacienda.red/PortalEmpleado/viewer.jsp?config=hSxCmE1m5kFQwToZYOZv0sG5U7fChF5HiUvtubPYJaf0LvmKEwrR8MI7OpKR90GB0gK1dzxLz7bwXGWKLvwaVgxBc3biiu2ufU8iajO6BTwDSCcIa0C+4tgUSPMeXlc8lg/c6CLPuQ1rfLZnBzW9u0uj+oQUohMU0dxEI+CPStSFA3ePKLn8YDWYJ6FzU8VW&amp;guid=7bef3bba18bab9b7758-6d4d&amp;idrepository=879</w:t>
        </w:r>
      </w:hyperlink>
    </w:p>
    <w:p w14:paraId="1FE1FD49" w14:textId="77777777" w:rsidR="009E643D" w:rsidRPr="009E643D" w:rsidRDefault="009E643D" w:rsidP="005140E1">
      <w:pPr>
        <w:pStyle w:val="Sinespaciado"/>
        <w:ind w:left="284"/>
        <w:contextualSpacing/>
        <w:jc w:val="both"/>
        <w:rPr>
          <w:rFonts w:ascii="Verdana" w:hAnsi="Verdana" w:cs="Arial"/>
          <w:color w:val="000000"/>
          <w:sz w:val="20"/>
          <w:szCs w:val="20"/>
          <w:lang w:val="es-ES"/>
        </w:rPr>
      </w:pPr>
    </w:p>
    <w:p w14:paraId="3BBE8F18" w14:textId="77777777" w:rsidR="008074DD" w:rsidRDefault="008074DD" w:rsidP="005140E1">
      <w:pPr>
        <w:pStyle w:val="Sinespaciado"/>
        <w:numPr>
          <w:ilvl w:val="0"/>
          <w:numId w:val="17"/>
        </w:numPr>
        <w:ind w:left="284" w:hanging="284"/>
        <w:contextualSpacing/>
        <w:jc w:val="both"/>
        <w:rPr>
          <w:rFonts w:ascii="Verdana" w:hAnsi="Verdana" w:cs="Arial"/>
          <w:color w:val="000000"/>
          <w:sz w:val="20"/>
          <w:szCs w:val="20"/>
          <w:lang w:val="es-ES"/>
        </w:rPr>
      </w:pPr>
      <w:r w:rsidRPr="008074DD">
        <w:rPr>
          <w:rFonts w:ascii="Verdana" w:hAnsi="Verdana" w:cs="Arial"/>
          <w:color w:val="000000"/>
          <w:sz w:val="20"/>
          <w:szCs w:val="20"/>
        </w:rPr>
        <w:t>Resoluciones No. 1500-17.10/533 del 12 de marzo de 2020, 570 del 21 de abril de 2021 y 1500-67.10/553 del 3 de agosto de 2022 del Municipio de Villavicencio –Meta, por medio de las cuales se justifica una contratación directa</w:t>
      </w:r>
      <w:r w:rsidRPr="008C23DD">
        <w:rPr>
          <w:rFonts w:ascii="Verdana" w:hAnsi="Verdana" w:cs="Arial"/>
          <w:color w:val="000000"/>
          <w:sz w:val="20"/>
          <w:szCs w:val="20"/>
        </w:rPr>
        <w:t>. Municipio de Villavicencio</w:t>
      </w:r>
      <w:r w:rsidRPr="00B41D08">
        <w:rPr>
          <w:rFonts w:ascii="Verdana" w:hAnsi="Verdana" w:cs="Arial"/>
          <w:color w:val="000000"/>
          <w:sz w:val="20"/>
          <w:szCs w:val="20"/>
          <w:lang w:val="es-ES"/>
        </w:rPr>
        <w:t>, Meta – Sector Alimentación Escolar. Serie: “</w:t>
      </w:r>
      <w:r w:rsidRPr="00B41D08">
        <w:rPr>
          <w:rFonts w:ascii="Verdana" w:hAnsi="Verdana" w:cs="Arial"/>
          <w:i/>
          <w:color w:val="000000"/>
          <w:sz w:val="20"/>
          <w:szCs w:val="20"/>
          <w:lang w:val="es-ES"/>
        </w:rPr>
        <w:t>Historial de Seguimiento y Control a los Recursos del Sistema General de Participaciones</w:t>
      </w:r>
      <w:r w:rsidRPr="00B41D08">
        <w:rPr>
          <w:rFonts w:ascii="Verdana" w:hAnsi="Verdana" w:cs="Arial"/>
          <w:color w:val="000000"/>
          <w:sz w:val="20"/>
          <w:szCs w:val="20"/>
          <w:lang w:val="es-ES"/>
        </w:rPr>
        <w:t xml:space="preserve"> – </w:t>
      </w:r>
      <w:r w:rsidRPr="00B41D08">
        <w:rPr>
          <w:rFonts w:ascii="Verdana" w:hAnsi="Verdana" w:cs="Arial"/>
          <w:i/>
          <w:color w:val="000000"/>
          <w:sz w:val="20"/>
          <w:szCs w:val="20"/>
          <w:lang w:val="es-ES"/>
        </w:rPr>
        <w:t>Antecedentes</w:t>
      </w:r>
      <w:r w:rsidRPr="00B41D08">
        <w:rPr>
          <w:rFonts w:ascii="Verdana" w:hAnsi="Verdana" w:cs="Arial"/>
          <w:color w:val="000000"/>
          <w:sz w:val="20"/>
          <w:szCs w:val="20"/>
          <w:lang w:val="es-ES"/>
        </w:rPr>
        <w:t>”. Expediente digital No. 52/2018/D028-PREDI.</w:t>
      </w:r>
    </w:p>
    <w:p w14:paraId="188460B1" w14:textId="77777777" w:rsidR="008074DD" w:rsidRPr="009E643D" w:rsidRDefault="00425319" w:rsidP="005140E1">
      <w:pPr>
        <w:pStyle w:val="Sinespaciado"/>
        <w:ind w:left="284"/>
        <w:contextualSpacing/>
        <w:jc w:val="both"/>
        <w:rPr>
          <w:rFonts w:ascii="Verdana" w:hAnsi="Verdana" w:cs="Arial"/>
          <w:color w:val="000000"/>
          <w:sz w:val="16"/>
          <w:szCs w:val="16"/>
        </w:rPr>
      </w:pPr>
      <w:hyperlink r:id="rId76" w:history="1">
        <w:r w:rsidR="009E643D" w:rsidRPr="009E643D">
          <w:rPr>
            <w:rStyle w:val="Hipervnculo"/>
            <w:rFonts w:ascii="Verdana" w:hAnsi="Verdana" w:cs="Calibri"/>
            <w:color w:val="0563C1"/>
            <w:sz w:val="16"/>
            <w:szCs w:val="16"/>
            <w:bdr w:val="none" w:sz="0" w:space="0" w:color="auto" w:frame="1"/>
            <w:shd w:val="clear" w:color="auto" w:fill="FFFFFF"/>
          </w:rPr>
          <w:t>http://portalgestiondoc.minhacienda.red/PortalEmpleado/viewer.jsp?config=WfjPUXBchby/4I1sN2WVKOa9SPnR5W6Ag+ibq7NCnrhE5NpRz9LleSVTWzB8kbz8LJRe3K2NhMvUKE4wxP4ioQ2z0ALgvjkAOgH/SNN49hR3NXp7SmA2chMt+uA22yRtebnTLPYiZA0VddvDHbwLzJZXrnQBSXC3Eck8gkKld75gkrsPxD3KP4DBzBZp6Pk4&amp;guid=7bef3bba18bab9b7758-6d4f&amp;idrepository=879</w:t>
        </w:r>
      </w:hyperlink>
    </w:p>
    <w:p w14:paraId="297E1907" w14:textId="77777777" w:rsidR="00C97C4D" w:rsidRDefault="00C97C4D" w:rsidP="00B011F8">
      <w:pPr>
        <w:contextualSpacing/>
      </w:pPr>
    </w:p>
    <w:p w14:paraId="6592FA42" w14:textId="77777777" w:rsidR="00A20990" w:rsidRPr="001A38D5" w:rsidRDefault="00A20990" w:rsidP="005140E1">
      <w:pPr>
        <w:pStyle w:val="Ttulo1"/>
        <w:contextualSpacing/>
        <w:rPr>
          <w:rFonts w:ascii="Verdana" w:hAnsi="Verdana"/>
          <w:color w:val="auto"/>
        </w:rPr>
      </w:pPr>
      <w:r w:rsidRPr="001A38D5">
        <w:rPr>
          <w:rFonts w:ascii="Verdana" w:hAnsi="Verdana"/>
          <w:color w:val="auto"/>
        </w:rPr>
        <w:t>CONCLUSIONES Y RECOMENDACIONES.</w:t>
      </w:r>
    </w:p>
    <w:p w14:paraId="52979236" w14:textId="77777777" w:rsidR="00A20990" w:rsidRPr="001A38D5" w:rsidRDefault="00A20990" w:rsidP="005140E1">
      <w:pPr>
        <w:contextualSpacing/>
        <w:rPr>
          <w:rFonts w:cs="Arial"/>
          <w:lang w:val="es-CO"/>
        </w:rPr>
      </w:pPr>
    </w:p>
    <w:p w14:paraId="1BD11276" w14:textId="77777777" w:rsidR="00A20990" w:rsidRPr="001A38D5" w:rsidRDefault="00A20990" w:rsidP="005140E1">
      <w:pPr>
        <w:contextualSpacing/>
        <w:jc w:val="both"/>
        <w:rPr>
          <w:rFonts w:cs="Arial"/>
          <w:lang w:val="es-CO"/>
        </w:rPr>
      </w:pPr>
      <w:r w:rsidRPr="001A38D5">
        <w:rPr>
          <w:rFonts w:cs="Arial"/>
          <w:lang w:val="es-CO"/>
        </w:rPr>
        <w:t xml:space="preserve">Al analizar la información suministrada por la Entidad Territorial se evidencia que el Municipio presenta debilidades en el proceso de planeación, gestión, ejecución y control del PAE. En particular, se constatan problemas en el reporte relacionado con el Programa de Alimentación Escolar en los sistemas dispuestos por el Gobierno Nacional tales como el Formulario Único Territorial, la Categoría Única de Información del Presupuesto Ordinario, las Categorías UAPA-AE y MEN-PAE del Consolidador de Hacienda e Información Pública – CHIP y el reporte de la Cuenta Maestra del AE. </w:t>
      </w:r>
    </w:p>
    <w:p w14:paraId="3EBE0179" w14:textId="77777777" w:rsidR="00A20990" w:rsidRPr="001A38D5" w:rsidRDefault="00A20990" w:rsidP="005140E1">
      <w:pPr>
        <w:contextualSpacing/>
        <w:jc w:val="both"/>
        <w:rPr>
          <w:rFonts w:cs="Arial"/>
          <w:lang w:val="es-CO"/>
        </w:rPr>
      </w:pPr>
    </w:p>
    <w:p w14:paraId="1A4B592C" w14:textId="77777777" w:rsidR="00A81C6B" w:rsidRDefault="00A20990" w:rsidP="005140E1">
      <w:pPr>
        <w:contextualSpacing/>
        <w:jc w:val="both"/>
        <w:rPr>
          <w:rFonts w:cs="Arial"/>
          <w:lang w:val="es-CO"/>
        </w:rPr>
      </w:pPr>
      <w:r w:rsidRPr="001A38D5">
        <w:rPr>
          <w:rFonts w:cs="Arial"/>
          <w:lang w:val="es-CO"/>
        </w:rPr>
        <w:t>De igual manera, se evidencia un manejo tesoral erróneo de los recursos que financian el Programa de Alimentación Escolar del Municipio. Se evidencia incumplimiento de las disposiciones d</w:t>
      </w:r>
      <w:r w:rsidR="00A81C6B">
        <w:rPr>
          <w:rFonts w:cs="Arial"/>
          <w:lang w:val="es-CO"/>
        </w:rPr>
        <w:t>e la</w:t>
      </w:r>
      <w:r w:rsidRPr="001A38D5">
        <w:rPr>
          <w:rFonts w:cs="Arial"/>
          <w:lang w:val="es-CO"/>
        </w:rPr>
        <w:t xml:space="preserve"> </w:t>
      </w:r>
      <w:r w:rsidR="00A81C6B" w:rsidRPr="001A38D5">
        <w:rPr>
          <w:rFonts w:cs="Arial"/>
          <w:lang w:val="es-CO"/>
        </w:rPr>
        <w:t>R</w:t>
      </w:r>
      <w:r w:rsidR="00A81C6B">
        <w:rPr>
          <w:rFonts w:cs="Arial"/>
          <w:lang w:val="es-CO"/>
        </w:rPr>
        <w:t>esolución</w:t>
      </w:r>
      <w:r w:rsidRPr="001A38D5">
        <w:rPr>
          <w:rFonts w:cs="Arial"/>
          <w:lang w:val="es-CO"/>
        </w:rPr>
        <w:t xml:space="preserve"> No. 4835 de 2015</w:t>
      </w:r>
      <w:r w:rsidR="00A81C6B">
        <w:rPr>
          <w:rFonts w:cs="Arial"/>
          <w:lang w:val="es-CO"/>
        </w:rPr>
        <w:t xml:space="preserve"> del Ministerio de Hacienda y Crédito Público</w:t>
      </w:r>
      <w:r w:rsidRPr="001A38D5">
        <w:rPr>
          <w:rFonts w:cs="Arial"/>
          <w:lang w:val="es-CO"/>
        </w:rPr>
        <w:t xml:space="preserve">, </w:t>
      </w:r>
      <w:r w:rsidR="00A81C6B">
        <w:rPr>
          <w:rFonts w:cs="Arial"/>
          <w:lang w:val="es-CO"/>
        </w:rPr>
        <w:t>la Resolución N</w:t>
      </w:r>
      <w:r w:rsidR="0077006F">
        <w:rPr>
          <w:rFonts w:cs="Arial"/>
          <w:lang w:val="es-CO"/>
        </w:rPr>
        <w:t>o.</w:t>
      </w:r>
      <w:r w:rsidR="00A81C6B">
        <w:rPr>
          <w:rFonts w:cs="Arial"/>
          <w:lang w:val="es-CO"/>
        </w:rPr>
        <w:t xml:space="preserve"> </w:t>
      </w:r>
      <w:r w:rsidRPr="001A38D5">
        <w:rPr>
          <w:rFonts w:cs="Arial"/>
          <w:lang w:val="es-CO"/>
        </w:rPr>
        <w:t xml:space="preserve">2248 de 2018 </w:t>
      </w:r>
      <w:r w:rsidR="00A81C6B" w:rsidRPr="00A81C6B">
        <w:rPr>
          <w:rFonts w:cs="Arial"/>
          <w:lang w:val="es-CO"/>
        </w:rPr>
        <w:t>firmada conjuntamente por los Ministerios de Educación Nacional y de Hacienda y Crédito Público</w:t>
      </w:r>
      <w:r w:rsidR="00A81C6B">
        <w:rPr>
          <w:rFonts w:cs="Arial"/>
          <w:lang w:val="es-CO"/>
        </w:rPr>
        <w:t xml:space="preserve"> </w:t>
      </w:r>
      <w:r w:rsidRPr="001A38D5">
        <w:rPr>
          <w:rFonts w:cs="Arial"/>
          <w:lang w:val="es-CO"/>
        </w:rPr>
        <w:t>y</w:t>
      </w:r>
      <w:r w:rsidR="00A81C6B">
        <w:rPr>
          <w:rFonts w:cs="Arial"/>
          <w:lang w:val="es-CO"/>
        </w:rPr>
        <w:t xml:space="preserve"> la Resolución No.</w:t>
      </w:r>
      <w:r w:rsidRPr="001A38D5">
        <w:rPr>
          <w:rFonts w:cs="Arial"/>
          <w:lang w:val="es-CO"/>
        </w:rPr>
        <w:t xml:space="preserve"> 0660 de 2018 de</w:t>
      </w:r>
      <w:r w:rsidR="00A81C6B">
        <w:rPr>
          <w:rFonts w:cs="Arial"/>
          <w:lang w:val="es-CO"/>
        </w:rPr>
        <w:t xml:space="preserve"> </w:t>
      </w:r>
      <w:r w:rsidRPr="001A38D5">
        <w:rPr>
          <w:rFonts w:cs="Arial"/>
          <w:lang w:val="es-CO"/>
        </w:rPr>
        <w:t>l</w:t>
      </w:r>
      <w:r w:rsidR="00A81C6B">
        <w:rPr>
          <w:rFonts w:cs="Arial"/>
          <w:lang w:val="es-CO"/>
        </w:rPr>
        <w:t>os</w:t>
      </w:r>
      <w:r w:rsidRPr="001A38D5">
        <w:rPr>
          <w:rFonts w:cs="Arial"/>
          <w:lang w:val="es-CO"/>
        </w:rPr>
        <w:t xml:space="preserve"> Ministerio</w:t>
      </w:r>
      <w:r w:rsidR="00A81C6B">
        <w:rPr>
          <w:rFonts w:cs="Arial"/>
          <w:lang w:val="es-CO"/>
        </w:rPr>
        <w:t>s</w:t>
      </w:r>
      <w:r w:rsidRPr="001A38D5">
        <w:rPr>
          <w:rFonts w:cs="Arial"/>
          <w:lang w:val="es-CO"/>
        </w:rPr>
        <w:t xml:space="preserve"> de Hacienda y Crédito Público</w:t>
      </w:r>
      <w:r w:rsidR="00A81C6B">
        <w:rPr>
          <w:rFonts w:cs="Arial"/>
          <w:lang w:val="es-CO"/>
        </w:rPr>
        <w:t xml:space="preserve">, </w:t>
      </w:r>
      <w:r w:rsidR="00A81C6B" w:rsidRPr="00A81C6B">
        <w:rPr>
          <w:rFonts w:cs="Arial"/>
          <w:lang w:val="es-CO"/>
        </w:rPr>
        <w:t>Educación Nacional</w:t>
      </w:r>
      <w:r w:rsidR="00A81C6B">
        <w:rPr>
          <w:rFonts w:cs="Arial"/>
          <w:lang w:val="es-CO"/>
        </w:rPr>
        <w:t xml:space="preserve"> y de </w:t>
      </w:r>
      <w:r w:rsidR="00A81C6B" w:rsidRPr="00A81C6B">
        <w:rPr>
          <w:rFonts w:cs="Arial"/>
          <w:lang w:val="es-CO"/>
        </w:rPr>
        <w:t xml:space="preserve">Vivienda, Ciudad </w:t>
      </w:r>
      <w:r w:rsidR="00A81C6B">
        <w:rPr>
          <w:rFonts w:cs="Arial"/>
          <w:lang w:val="es-CO"/>
        </w:rPr>
        <w:t>y</w:t>
      </w:r>
      <w:r w:rsidR="00A81C6B" w:rsidRPr="00A81C6B">
        <w:rPr>
          <w:rFonts w:cs="Arial"/>
          <w:lang w:val="es-CO"/>
        </w:rPr>
        <w:t xml:space="preserve"> Territorio</w:t>
      </w:r>
      <w:r w:rsidR="00A81C6B" w:rsidRPr="001A38D5">
        <w:rPr>
          <w:rFonts w:cs="Arial"/>
          <w:lang w:val="es-CO"/>
        </w:rPr>
        <w:t xml:space="preserve"> </w:t>
      </w:r>
      <w:r w:rsidRPr="001A38D5">
        <w:rPr>
          <w:rFonts w:cs="Arial"/>
          <w:lang w:val="es-CO"/>
        </w:rPr>
        <w:t>en lo concerniente a la administración de los recursos que financian el PAE.</w:t>
      </w:r>
      <w:r w:rsidR="00A81C6B">
        <w:rPr>
          <w:rFonts w:cs="Arial"/>
          <w:lang w:val="es-CO"/>
        </w:rPr>
        <w:t xml:space="preserve"> </w:t>
      </w:r>
    </w:p>
    <w:p w14:paraId="57A8BB22" w14:textId="77777777" w:rsidR="00A81C6B" w:rsidRDefault="00A81C6B" w:rsidP="005140E1">
      <w:pPr>
        <w:contextualSpacing/>
        <w:jc w:val="both"/>
        <w:rPr>
          <w:rFonts w:cs="Arial"/>
          <w:lang w:val="es-CO"/>
        </w:rPr>
      </w:pPr>
    </w:p>
    <w:p w14:paraId="7F1FF27F" w14:textId="77777777" w:rsidR="00A81C6B" w:rsidRDefault="00A81C6B" w:rsidP="005140E1">
      <w:pPr>
        <w:contextualSpacing/>
        <w:jc w:val="both"/>
        <w:rPr>
          <w:rFonts w:cs="Arial"/>
          <w:i/>
          <w:lang w:val="es-CO"/>
        </w:rPr>
      </w:pPr>
      <w:r>
        <w:rPr>
          <w:rFonts w:cs="Arial"/>
          <w:lang w:val="es-CO"/>
        </w:rPr>
        <w:t xml:space="preserve">Es importante mencionar que si bien </w:t>
      </w:r>
      <w:r w:rsidRPr="00A81C6B">
        <w:rPr>
          <w:rFonts w:cs="Arial"/>
          <w:lang w:val="es-CO"/>
        </w:rPr>
        <w:t xml:space="preserve">El análisis de la Cuenta Maestra del PAE y de su Cuenta Maestra Pagadora para el Municipio de Villavicencio en las vigencias 2019 a 2022 se realiza en observancia de las disposiciones contenidas en esta normatividad, </w:t>
      </w:r>
      <w:r>
        <w:rPr>
          <w:rFonts w:cs="Arial"/>
          <w:lang w:val="es-CO"/>
        </w:rPr>
        <w:t>en adelante la Entidad deberá realizar todas las operaciones de este producto financiero y de su complementario</w:t>
      </w:r>
      <w:r w:rsidRPr="00A81C6B">
        <w:rPr>
          <w:rFonts w:cs="Arial"/>
          <w:lang w:val="es-CO"/>
        </w:rPr>
        <w:t xml:space="preserve"> en </w:t>
      </w:r>
      <w:r>
        <w:rPr>
          <w:rFonts w:cs="Arial"/>
          <w:lang w:val="es-CO"/>
        </w:rPr>
        <w:t xml:space="preserve">observancia de lo dispuesto en </w:t>
      </w:r>
      <w:r w:rsidRPr="00A81C6B">
        <w:rPr>
          <w:rFonts w:cs="Arial"/>
          <w:lang w:val="es-CO"/>
        </w:rPr>
        <w:t>la Resolución No. 2394 del 21 de septiembre de 2023 de los Ministerios de Hacienda y Crédito Público, Educación Nacional, Vivienda, Ciudad y Territorio y la Unidad Administrativa Especial de Al</w:t>
      </w:r>
      <w:r>
        <w:rPr>
          <w:rFonts w:cs="Arial"/>
          <w:lang w:val="es-CO"/>
        </w:rPr>
        <w:t>imentación Escolar - Alimentos p</w:t>
      </w:r>
      <w:r w:rsidRPr="00A81C6B">
        <w:rPr>
          <w:rFonts w:cs="Arial"/>
          <w:lang w:val="es-CO"/>
        </w:rPr>
        <w:t xml:space="preserve">ara Aprender </w:t>
      </w:r>
      <w:r w:rsidRPr="00A81C6B">
        <w:rPr>
          <w:rFonts w:cs="Arial"/>
          <w:i/>
          <w:lang w:val="es-CO"/>
        </w:rPr>
        <w:t>“Por la cual se fijan las condiciones de apertura, registro, operación, cancelación y sustitución de las Cuentas Maestras y de las Cuentas Maestras para Pagos Electrónicos (PSE) en las cuales se administran los recursos de las Participaciones de Agua Potable y Saneamiento Básico, Educación, Propósito General, las Asignaciones Especiales y la Asignación para la Atención Integral a la Primera Infancia del Sistema General de Participaciones y en el Sector Educación las demás fuentes del Programa de Alimentación Escolar (PAE)”.</w:t>
      </w:r>
    </w:p>
    <w:p w14:paraId="07A6E89A" w14:textId="77777777" w:rsidR="00A81C6B" w:rsidRPr="001A38D5" w:rsidRDefault="00A81C6B" w:rsidP="005140E1">
      <w:pPr>
        <w:contextualSpacing/>
        <w:jc w:val="both"/>
        <w:rPr>
          <w:rFonts w:cs="Arial"/>
          <w:lang w:val="es-CO"/>
        </w:rPr>
      </w:pPr>
    </w:p>
    <w:p w14:paraId="2936162B" w14:textId="77777777" w:rsidR="00A20990" w:rsidRPr="001A38D5" w:rsidRDefault="00A20990" w:rsidP="005140E1">
      <w:pPr>
        <w:contextualSpacing/>
        <w:jc w:val="both"/>
        <w:rPr>
          <w:rFonts w:cs="Arial"/>
          <w:lang w:val="es-CO"/>
        </w:rPr>
      </w:pPr>
      <w:r w:rsidRPr="001A38D5">
        <w:rPr>
          <w:rFonts w:cs="Arial"/>
          <w:lang w:val="es-CO"/>
        </w:rPr>
        <w:t xml:space="preserve">Adicionalmente, se observan omisiones en el reporte de información al Sistema Electrónico de Compras Públicas SECOP, de conformidad con lo establecido en el Decreto 1082 de 2015. </w:t>
      </w:r>
    </w:p>
    <w:p w14:paraId="1AFD2845" w14:textId="77777777" w:rsidR="00A20990" w:rsidRPr="001A38D5" w:rsidRDefault="00A20990" w:rsidP="005140E1">
      <w:pPr>
        <w:contextualSpacing/>
        <w:jc w:val="both"/>
        <w:rPr>
          <w:rFonts w:cs="Arial"/>
          <w:lang w:val="es-CO"/>
        </w:rPr>
      </w:pPr>
    </w:p>
    <w:p w14:paraId="7CFE9ED4" w14:textId="77777777" w:rsidR="00A20990" w:rsidRPr="001A38D5" w:rsidRDefault="00A20990" w:rsidP="005140E1">
      <w:pPr>
        <w:contextualSpacing/>
        <w:jc w:val="both"/>
        <w:rPr>
          <w:rFonts w:cs="Arial"/>
          <w:lang w:val="es-CO"/>
        </w:rPr>
      </w:pPr>
      <w:r w:rsidRPr="001A38D5">
        <w:rPr>
          <w:rFonts w:cs="Arial"/>
          <w:lang w:val="es-CO"/>
        </w:rPr>
        <w:t xml:space="preserve">Finalmente, se observan debilidades en el cumplimiento de los Lineamientos Técnico -Administrativos del Programa, particularmente sobre el inicio oportuno y </w:t>
      </w:r>
      <w:r w:rsidR="00525B9E" w:rsidRPr="001A38D5">
        <w:rPr>
          <w:rFonts w:cs="Arial"/>
          <w:lang w:val="es-CO"/>
        </w:rPr>
        <w:t xml:space="preserve">la prestación del Servicio </w:t>
      </w:r>
      <w:r w:rsidRPr="001A38D5">
        <w:rPr>
          <w:rFonts w:cs="Arial"/>
          <w:lang w:val="es-CO"/>
        </w:rPr>
        <w:t xml:space="preserve">durante todo el calendario </w:t>
      </w:r>
      <w:r w:rsidR="00525B9E" w:rsidRPr="001A38D5">
        <w:rPr>
          <w:rFonts w:cs="Arial"/>
          <w:lang w:val="es-CO"/>
        </w:rPr>
        <w:t>escolar</w:t>
      </w:r>
      <w:r w:rsidRPr="001A38D5">
        <w:rPr>
          <w:rFonts w:cs="Arial"/>
          <w:lang w:val="es-CO"/>
        </w:rPr>
        <w:t>.</w:t>
      </w:r>
    </w:p>
    <w:p w14:paraId="4F201AF5" w14:textId="77777777" w:rsidR="00A20990" w:rsidRPr="001A38D5" w:rsidRDefault="00A20990" w:rsidP="005140E1">
      <w:pPr>
        <w:contextualSpacing/>
        <w:rPr>
          <w:rFonts w:cs="Arial"/>
          <w:lang w:val="es-CO"/>
        </w:rPr>
      </w:pPr>
    </w:p>
    <w:p w14:paraId="1DB7113B" w14:textId="77777777" w:rsidR="00A20990" w:rsidRPr="001A38D5" w:rsidRDefault="00A20990" w:rsidP="005140E1">
      <w:pPr>
        <w:contextualSpacing/>
        <w:jc w:val="both"/>
        <w:rPr>
          <w:rFonts w:cs="Arial"/>
          <w:lang w:val="es-CO"/>
        </w:rPr>
      </w:pPr>
      <w:r w:rsidRPr="001A38D5">
        <w:rPr>
          <w:rFonts w:cs="Arial"/>
          <w:lang w:val="es-CO"/>
        </w:rPr>
        <w:t>De lo anterior se configuran los eventos</w:t>
      </w:r>
      <w:r w:rsidR="00A81C6B">
        <w:rPr>
          <w:rFonts w:cs="Arial"/>
          <w:lang w:val="es-CO"/>
        </w:rPr>
        <w:t xml:space="preserve"> de riesgo 9.1, 9.5, 9.6, 9.10</w:t>
      </w:r>
      <w:r w:rsidR="00342A44">
        <w:rPr>
          <w:rFonts w:cs="Arial"/>
          <w:lang w:val="es-CO"/>
        </w:rPr>
        <w:t xml:space="preserve"> y</w:t>
      </w:r>
      <w:r w:rsidRPr="001A38D5">
        <w:rPr>
          <w:rFonts w:cs="Arial"/>
          <w:lang w:val="es-CO"/>
        </w:rPr>
        <w:t xml:space="preserve"> 9.17, incluidos en el artículo 9 del Decreto 028 de 2008. Con base en lo anterior, se recomienda la adopción de la Medida Preventiva de Plan de Desempeño para la Asignación Especial para Alimentación Escolar, para efectos de extinguir los eventos de riesgo arriba mencionados y lograr un nivel de eficiencia aceptable en la prestación del Servicio de Alimentación Escolar en el Municipio. Esta Medida será coordinada por Dirección General de Apoyo Fiscal, en cumplimiento de las funciones asignadas en los Decretos 028 de 2008 y 1068 de 2015 relacionados con el Monitoreo, Seguimiento y Control al uso de los recursos del Sistema General de Participaciones.</w:t>
      </w:r>
    </w:p>
    <w:p w14:paraId="131CD150" w14:textId="77777777" w:rsidR="00A20990" w:rsidRPr="001A38D5" w:rsidRDefault="00A20990" w:rsidP="005140E1">
      <w:pPr>
        <w:contextualSpacing/>
        <w:jc w:val="both"/>
        <w:rPr>
          <w:rFonts w:cs="Arial"/>
          <w:lang w:val="es-CO"/>
        </w:rPr>
      </w:pPr>
    </w:p>
    <w:p w14:paraId="5396AB79" w14:textId="77777777" w:rsidR="00A20990" w:rsidRPr="001A38D5" w:rsidRDefault="00A20990" w:rsidP="005140E1">
      <w:pPr>
        <w:contextualSpacing/>
        <w:jc w:val="both"/>
        <w:rPr>
          <w:rFonts w:cs="Arial"/>
          <w:sz w:val="18"/>
          <w:szCs w:val="18"/>
          <w:lang w:val="es-CO"/>
        </w:rPr>
      </w:pPr>
      <w:r w:rsidRPr="001A38D5">
        <w:rPr>
          <w:rFonts w:cs="Arial"/>
          <w:b/>
          <w:bCs/>
          <w:sz w:val="18"/>
          <w:szCs w:val="18"/>
          <w:lang w:val="es-CO"/>
        </w:rPr>
        <w:t>APROBÓ:</w:t>
      </w:r>
      <w:r w:rsidRPr="001A38D5">
        <w:rPr>
          <w:rFonts w:cs="Arial"/>
          <w:sz w:val="18"/>
          <w:szCs w:val="18"/>
          <w:lang w:val="es-CO"/>
        </w:rPr>
        <w:t xml:space="preserve"> Fernando Olivera.</w:t>
      </w:r>
    </w:p>
    <w:p w14:paraId="563D30C0" w14:textId="77777777" w:rsidR="00A20990" w:rsidRPr="001A38D5" w:rsidRDefault="00A20990" w:rsidP="005140E1">
      <w:pPr>
        <w:contextualSpacing/>
        <w:rPr>
          <w:rFonts w:cs="Arial"/>
          <w:sz w:val="18"/>
          <w:szCs w:val="18"/>
          <w:lang w:val="es-CO"/>
        </w:rPr>
      </w:pPr>
      <w:r w:rsidRPr="001A38D5">
        <w:rPr>
          <w:rFonts w:cs="Arial"/>
          <w:b/>
          <w:bCs/>
          <w:sz w:val="18"/>
          <w:szCs w:val="18"/>
          <w:lang w:val="es-CO"/>
        </w:rPr>
        <w:t>REVISIÓN JURÍDICA:</w:t>
      </w:r>
      <w:r w:rsidRPr="001A38D5">
        <w:rPr>
          <w:rFonts w:cs="Arial"/>
          <w:sz w:val="18"/>
          <w:szCs w:val="18"/>
          <w:lang w:val="es-CO"/>
        </w:rPr>
        <w:t xml:space="preserve"> Carlos Barona.</w:t>
      </w:r>
    </w:p>
    <w:p w14:paraId="04840FE5" w14:textId="77777777" w:rsidR="00A20990" w:rsidRPr="001A38D5" w:rsidRDefault="00A20990" w:rsidP="005140E1">
      <w:pPr>
        <w:contextualSpacing/>
        <w:rPr>
          <w:rFonts w:cs="Arial"/>
          <w:sz w:val="18"/>
          <w:szCs w:val="18"/>
          <w:lang w:val="es-CO"/>
        </w:rPr>
      </w:pPr>
      <w:r w:rsidRPr="001A38D5">
        <w:rPr>
          <w:rFonts w:cs="Arial"/>
          <w:b/>
          <w:bCs/>
          <w:sz w:val="18"/>
          <w:szCs w:val="18"/>
          <w:lang w:val="es-CO"/>
        </w:rPr>
        <w:t>REVISIÓN TÉCNICA:</w:t>
      </w:r>
      <w:r w:rsidRPr="001A38D5">
        <w:rPr>
          <w:rFonts w:cs="Arial"/>
          <w:sz w:val="18"/>
          <w:szCs w:val="18"/>
          <w:lang w:val="es-CO"/>
        </w:rPr>
        <w:t xml:space="preserve"> Viviana Ruiz.</w:t>
      </w:r>
    </w:p>
    <w:p w14:paraId="59626502" w14:textId="77777777" w:rsidR="00A20990" w:rsidRPr="001A38D5" w:rsidRDefault="00A20990" w:rsidP="005140E1">
      <w:pPr>
        <w:contextualSpacing/>
        <w:rPr>
          <w:rFonts w:cs="Arial"/>
          <w:sz w:val="18"/>
          <w:szCs w:val="18"/>
          <w:lang w:val="es-CO"/>
        </w:rPr>
      </w:pPr>
      <w:r w:rsidRPr="001A38D5">
        <w:rPr>
          <w:rFonts w:cs="Arial"/>
          <w:b/>
          <w:bCs/>
          <w:sz w:val="18"/>
          <w:szCs w:val="18"/>
          <w:lang w:val="es-CO"/>
        </w:rPr>
        <w:t>ELABORÓ:</w:t>
      </w:r>
      <w:r w:rsidRPr="001A38D5">
        <w:rPr>
          <w:rFonts w:cs="Arial"/>
          <w:sz w:val="18"/>
          <w:szCs w:val="18"/>
          <w:lang w:val="es-CO"/>
        </w:rPr>
        <w:t xml:space="preserve"> Jeimmy Garc</w:t>
      </w:r>
      <w:r w:rsidR="00CC4EBD">
        <w:rPr>
          <w:rFonts w:cs="Arial"/>
          <w:sz w:val="18"/>
          <w:szCs w:val="18"/>
          <w:lang w:val="es-CO"/>
        </w:rPr>
        <w:t>í</w:t>
      </w:r>
      <w:r w:rsidRPr="001A38D5">
        <w:rPr>
          <w:rFonts w:cs="Arial"/>
          <w:sz w:val="18"/>
          <w:szCs w:val="18"/>
          <w:lang w:val="es-CO"/>
        </w:rPr>
        <w:t>a.</w:t>
      </w:r>
    </w:p>
    <w:p w14:paraId="2EC9ECFF" w14:textId="77777777" w:rsidR="71631FBC" w:rsidRPr="001A38D5" w:rsidRDefault="71631FBC" w:rsidP="005140E1">
      <w:pPr>
        <w:contextualSpacing/>
        <w:rPr>
          <w:rFonts w:cs="Arial"/>
        </w:rPr>
      </w:pPr>
    </w:p>
    <w:sectPr w:rsidR="71631FBC" w:rsidRPr="001A38D5" w:rsidSect="007A412F">
      <w:headerReference w:type="default" r:id="rId77"/>
      <w:footerReference w:type="default" r:id="rId78"/>
      <w:pgSz w:w="12240" w:h="15840"/>
      <w:pgMar w:top="1701" w:right="1418" w:bottom="1701" w:left="1418" w:header="552" w:footer="1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1077" w14:textId="77777777" w:rsidR="00B46546" w:rsidRDefault="00B46546">
      <w:r>
        <w:separator/>
      </w:r>
    </w:p>
  </w:endnote>
  <w:endnote w:type="continuationSeparator" w:id="0">
    <w:p w14:paraId="7C8208B0" w14:textId="77777777" w:rsidR="00B46546" w:rsidRDefault="00B46546">
      <w:r>
        <w:continuationSeparator/>
      </w:r>
    </w:p>
  </w:endnote>
  <w:endnote w:type="continuationNotice" w:id="1">
    <w:p w14:paraId="0889B6E2" w14:textId="77777777" w:rsidR="00B46546" w:rsidRDefault="00B46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Futura Std Book">
    <w:altName w:val="Century Gothic"/>
    <w:charset w:val="B1"/>
    <w:family w:val="swiss"/>
    <w:pitch w:val="variable"/>
    <w:sig w:usb0="80000867"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30B0" w14:textId="77777777" w:rsidR="004E0329" w:rsidRPr="00F01F75" w:rsidRDefault="00425319" w:rsidP="00A20990">
    <w:pPr>
      <w:pStyle w:val="Piedepgina"/>
    </w:pPr>
    <w:r>
      <w:rPr>
        <w:rFonts w:ascii="Times New Roman" w:eastAsiaTheme="minorEastAsia" w:hAnsi="Times New Roman" w:cs="Times New Roman"/>
        <w:noProof/>
        <w:sz w:val="24"/>
        <w:szCs w:val="24"/>
        <w:lang w:val="es-CO" w:eastAsia="es-CO"/>
      </w:rPr>
      <w:pict w14:anchorId="741BEBAD">
        <v:shapetype id="_x0000_t202" coordsize="21600,21600" o:spt="202" path="m,l,21600r21600,l21600,xe">
          <v:stroke joinstyle="miter"/>
          <v:path gradientshapeok="t" o:connecttype="rect"/>
        </v:shapetype>
        <v:shape id="Cuadro de texto 2" o:spid="_x0000_s1029" type="#_x0000_t202" alt="" style="position:absolute;margin-left:-24pt;margin-top:-57.05pt;width:548.75pt;height:75.4pt;z-index:251668483;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strokeweight=".5pt">
          <v:textbox>
            <w:txbxContent>
              <w:p w14:paraId="006EDA55" w14:textId="77777777" w:rsidR="004E0329" w:rsidRDefault="004E0329" w:rsidP="00404831">
                <w:pPr>
                  <w:spacing w:line="276" w:lineRule="auto"/>
                  <w:jc w:val="both"/>
                  <w:rPr>
                    <w:rFonts w:ascii="Helvetica" w:hAnsi="Helvetica" w:cs="Helvetica"/>
                    <w:sz w:val="16"/>
                    <w:szCs w:val="16"/>
                  </w:rPr>
                </w:pPr>
                <w:r>
                  <w:rPr>
                    <w:rFonts w:ascii="Helvetica" w:hAnsi="Helvetica" w:cs="Helvetica"/>
                    <w:sz w:val="16"/>
                    <w:szCs w:val="16"/>
                  </w:rPr>
                  <w:t xml:space="preserve">________________________________________________________________________ </w:t>
                </w:r>
              </w:p>
              <w:sdt>
                <w:sdtPr>
                  <w:rPr>
                    <w:rFonts w:ascii="Helvetica" w:hAnsi="Helvetica" w:cs="Helvetica"/>
                    <w:sz w:val="16"/>
                    <w:szCs w:val="16"/>
                  </w:rPr>
                  <w:id w:val="1388383129"/>
                  <w:docPartObj>
                    <w:docPartGallery w:val="Page Numbers (Bottom of Page)"/>
                    <w:docPartUnique/>
                  </w:docPartObj>
                </w:sdtPr>
                <w:sdtEndPr/>
                <w:sdtContent>
                  <w:p w14:paraId="37BAB0F7" w14:textId="77777777" w:rsidR="004E0329" w:rsidRDefault="004E0329" w:rsidP="00404831">
                    <w:pPr>
                      <w:ind w:left="2661" w:firstLine="4419"/>
                      <w:jc w:val="center"/>
                      <w:rPr>
                        <w:rFonts w:ascii="Helvetica" w:eastAsiaTheme="minorHAnsi" w:hAnsi="Helvetica" w:cs="Helvetica"/>
                        <w:sz w:val="16"/>
                        <w:szCs w:val="16"/>
                      </w:rPr>
                    </w:pPr>
                    <w:r>
                      <w:rPr>
                        <w:rFonts w:ascii="Helvetica" w:hAnsi="Helvetica" w:cs="Helvetica"/>
                        <w:sz w:val="16"/>
                        <w:szCs w:val="16"/>
                      </w:rPr>
                      <w:t xml:space="preserve">Página | </w:t>
                    </w:r>
                    <w:r>
                      <w:rPr>
                        <w:rFonts w:ascii="Helvetica" w:hAnsi="Helvetica" w:cs="Helvetica"/>
                        <w:sz w:val="16"/>
                        <w:szCs w:val="16"/>
                      </w:rPr>
                      <w:fldChar w:fldCharType="begin"/>
                    </w:r>
                    <w:r>
                      <w:rPr>
                        <w:rFonts w:ascii="Helvetica" w:hAnsi="Helvetica" w:cs="Helvetica"/>
                        <w:sz w:val="16"/>
                        <w:szCs w:val="16"/>
                      </w:rPr>
                      <w:instrText>PAGE   \* MERGEFORMAT</w:instrText>
                    </w:r>
                    <w:r>
                      <w:rPr>
                        <w:rFonts w:ascii="Helvetica" w:hAnsi="Helvetica" w:cs="Helvetica"/>
                        <w:sz w:val="16"/>
                        <w:szCs w:val="16"/>
                      </w:rPr>
                      <w:fldChar w:fldCharType="separate"/>
                    </w:r>
                    <w:r w:rsidR="00B73AAE">
                      <w:rPr>
                        <w:rFonts w:ascii="Helvetica" w:hAnsi="Helvetica" w:cs="Helvetica"/>
                        <w:noProof/>
                        <w:sz w:val="16"/>
                        <w:szCs w:val="16"/>
                      </w:rPr>
                      <w:t>31</w:t>
                    </w:r>
                    <w:r>
                      <w:rPr>
                        <w:rFonts w:ascii="Helvetica" w:hAnsi="Helvetica" w:cs="Helvetica"/>
                        <w:sz w:val="16"/>
                        <w:szCs w:val="16"/>
                      </w:rPr>
                      <w:fldChar w:fldCharType="end"/>
                    </w:r>
                    <w:r>
                      <w:rPr>
                        <w:rFonts w:ascii="Helvetica" w:hAnsi="Helvetica" w:cs="Helvetica"/>
                        <w:sz w:val="16"/>
                        <w:szCs w:val="16"/>
                      </w:rPr>
                      <w:t xml:space="preserve"> </w:t>
                    </w:r>
                  </w:p>
                </w:sdtContent>
              </w:sdt>
              <w:p w14:paraId="1023D584" w14:textId="77777777" w:rsidR="004E0329" w:rsidRDefault="004E0329" w:rsidP="00404831">
                <w:pPr>
                  <w:rPr>
                    <w:rFonts w:ascii="Helvetica" w:eastAsiaTheme="minorEastAsia" w:hAnsi="Helvetica" w:cs="Helvetica"/>
                    <w:b/>
                    <w:sz w:val="16"/>
                    <w:szCs w:val="16"/>
                  </w:rPr>
                </w:pPr>
                <w:r>
                  <w:rPr>
                    <w:rFonts w:ascii="Helvetica" w:hAnsi="Helvetica" w:cs="Helvetica"/>
                    <w:b/>
                    <w:sz w:val="16"/>
                    <w:szCs w:val="16"/>
                  </w:rPr>
                  <w:t>Ministerio de Hacienda y Crédito Público</w:t>
                </w:r>
              </w:p>
              <w:p w14:paraId="49C2E977" w14:textId="77777777" w:rsidR="004E0329" w:rsidRDefault="004E0329" w:rsidP="00404831">
                <w:pPr>
                  <w:rPr>
                    <w:rFonts w:ascii="Helvetica" w:hAnsi="Helvetica" w:cs="Helvetica"/>
                    <w:sz w:val="16"/>
                    <w:szCs w:val="16"/>
                  </w:rPr>
                </w:pPr>
                <w:r>
                  <w:rPr>
                    <w:rFonts w:ascii="Helvetica" w:hAnsi="Helvetica" w:cs="Helvetica"/>
                    <w:sz w:val="16"/>
                    <w:szCs w:val="16"/>
                  </w:rPr>
                  <w:t>Dirección: Carrera 8 No. 6C- 38, Bogotá D.C., Colombia</w:t>
                </w:r>
              </w:p>
              <w:p w14:paraId="55836321" w14:textId="77777777" w:rsidR="004E0329" w:rsidRDefault="004E0329" w:rsidP="00404831">
                <w:pPr>
                  <w:rPr>
                    <w:rFonts w:ascii="Helvetica" w:hAnsi="Helvetica" w:cs="Helvetica"/>
                    <w:sz w:val="16"/>
                    <w:szCs w:val="16"/>
                  </w:rPr>
                </w:pPr>
                <w:r>
                  <w:rPr>
                    <w:rFonts w:ascii="Helvetica" w:hAnsi="Helvetica" w:cs="Helvetica"/>
                    <w:sz w:val="16"/>
                    <w:szCs w:val="16"/>
                  </w:rPr>
                  <w:t>Conmutador: (+57) 601 3811700 - 602 1270</w:t>
                </w:r>
              </w:p>
              <w:p w14:paraId="2C7ECE38" w14:textId="77777777" w:rsidR="004E0329" w:rsidRDefault="004E0329" w:rsidP="00404831">
                <w:pPr>
                  <w:rPr>
                    <w:rFonts w:asciiTheme="minorHAnsi" w:hAnsiTheme="minorHAnsi" w:cstheme="minorBidi"/>
                  </w:rPr>
                </w:pPr>
                <w:r>
                  <w:rPr>
                    <w:rFonts w:ascii="Helvetica" w:hAnsi="Helvetica" w:cs="Helvetica"/>
                    <w:sz w:val="16"/>
                    <w:szCs w:val="16"/>
                  </w:rPr>
                  <w:t>Línea Gratuita: (+57) 01 8000 910071</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B374" w14:textId="77777777" w:rsidR="004E0329" w:rsidRPr="00F01F75" w:rsidRDefault="00425319" w:rsidP="00A20990">
    <w:pPr>
      <w:pStyle w:val="Piedepgina"/>
    </w:pPr>
    <w:r>
      <w:rPr>
        <w:rFonts w:ascii="Times New Roman" w:eastAsiaTheme="minorEastAsia" w:hAnsi="Times New Roman" w:cs="Times New Roman"/>
        <w:noProof/>
        <w:sz w:val="24"/>
        <w:szCs w:val="24"/>
        <w:lang w:val="es-CO" w:eastAsia="es-CO"/>
      </w:rPr>
      <w:pict w14:anchorId="5B1C908B">
        <v:shapetype id="_x0000_t202" coordsize="21600,21600" o:spt="202" path="m,l,21600r21600,l21600,xe">
          <v:stroke joinstyle="miter"/>
          <v:path gradientshapeok="t" o:connecttype="rect"/>
        </v:shapetype>
        <v:shape id="Cuadro de texto 1" o:spid="_x0000_s1028" type="#_x0000_t202" alt="" style="position:absolute;margin-left:-26.25pt;margin-top:-55.55pt;width:548.75pt;height:75.4pt;z-index:251666435;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strokeweight=".5pt">
          <v:textbox>
            <w:txbxContent>
              <w:p w14:paraId="552CE8B5" w14:textId="77777777" w:rsidR="004E0329" w:rsidRDefault="004E0329" w:rsidP="001A38D5">
                <w:pPr>
                  <w:spacing w:line="276" w:lineRule="auto"/>
                  <w:jc w:val="both"/>
                  <w:rPr>
                    <w:rFonts w:ascii="Helvetica" w:hAnsi="Helvetica" w:cs="Helvetica"/>
                    <w:sz w:val="16"/>
                    <w:szCs w:val="16"/>
                  </w:rPr>
                </w:pPr>
                <w:r>
                  <w:rPr>
                    <w:rFonts w:ascii="Helvetica" w:hAnsi="Helvetica" w:cs="Helvetica"/>
                    <w:sz w:val="16"/>
                    <w:szCs w:val="16"/>
                  </w:rPr>
                  <w:t xml:space="preserve">________________________________________________________________________ </w:t>
                </w:r>
              </w:p>
              <w:sdt>
                <w:sdtPr>
                  <w:rPr>
                    <w:rFonts w:ascii="Helvetica" w:hAnsi="Helvetica" w:cs="Helvetica"/>
                    <w:sz w:val="16"/>
                    <w:szCs w:val="16"/>
                  </w:rPr>
                  <w:id w:val="285781665"/>
                  <w:docPartObj>
                    <w:docPartGallery w:val="Page Numbers (Bottom of Page)"/>
                    <w:docPartUnique/>
                  </w:docPartObj>
                </w:sdtPr>
                <w:sdtEndPr/>
                <w:sdtContent>
                  <w:p w14:paraId="36E84890" w14:textId="77777777" w:rsidR="004E0329" w:rsidRDefault="004E0329" w:rsidP="001A38D5">
                    <w:pPr>
                      <w:ind w:left="2661" w:firstLine="4419"/>
                      <w:jc w:val="center"/>
                      <w:rPr>
                        <w:rFonts w:ascii="Helvetica" w:eastAsiaTheme="minorHAnsi" w:hAnsi="Helvetica" w:cs="Helvetica"/>
                        <w:sz w:val="16"/>
                        <w:szCs w:val="16"/>
                      </w:rPr>
                    </w:pPr>
                    <w:r>
                      <w:rPr>
                        <w:rFonts w:ascii="Helvetica" w:hAnsi="Helvetica" w:cs="Helvetica"/>
                        <w:sz w:val="16"/>
                        <w:szCs w:val="16"/>
                      </w:rPr>
                      <w:t xml:space="preserve">Página | </w:t>
                    </w:r>
                    <w:r>
                      <w:rPr>
                        <w:rFonts w:ascii="Helvetica" w:hAnsi="Helvetica" w:cs="Helvetica"/>
                        <w:sz w:val="16"/>
                        <w:szCs w:val="16"/>
                      </w:rPr>
                      <w:fldChar w:fldCharType="begin"/>
                    </w:r>
                    <w:r>
                      <w:rPr>
                        <w:rFonts w:ascii="Helvetica" w:hAnsi="Helvetica" w:cs="Helvetica"/>
                        <w:sz w:val="16"/>
                        <w:szCs w:val="16"/>
                      </w:rPr>
                      <w:instrText>PAGE   \* MERGEFORMAT</w:instrText>
                    </w:r>
                    <w:r>
                      <w:rPr>
                        <w:rFonts w:ascii="Helvetica" w:hAnsi="Helvetica" w:cs="Helvetica"/>
                        <w:sz w:val="16"/>
                        <w:szCs w:val="16"/>
                      </w:rPr>
                      <w:fldChar w:fldCharType="separate"/>
                    </w:r>
                    <w:r w:rsidR="00B73AAE">
                      <w:rPr>
                        <w:rFonts w:ascii="Helvetica" w:hAnsi="Helvetica" w:cs="Helvetica"/>
                        <w:noProof/>
                        <w:sz w:val="16"/>
                        <w:szCs w:val="16"/>
                      </w:rPr>
                      <w:t>48</w:t>
                    </w:r>
                    <w:r>
                      <w:rPr>
                        <w:rFonts w:ascii="Helvetica" w:hAnsi="Helvetica" w:cs="Helvetica"/>
                        <w:sz w:val="16"/>
                        <w:szCs w:val="16"/>
                      </w:rPr>
                      <w:fldChar w:fldCharType="end"/>
                    </w:r>
                    <w:r>
                      <w:rPr>
                        <w:rFonts w:ascii="Helvetica" w:hAnsi="Helvetica" w:cs="Helvetica"/>
                        <w:sz w:val="16"/>
                        <w:szCs w:val="16"/>
                      </w:rPr>
                      <w:t xml:space="preserve"> </w:t>
                    </w:r>
                  </w:p>
                </w:sdtContent>
              </w:sdt>
              <w:p w14:paraId="083489DE" w14:textId="77777777" w:rsidR="004E0329" w:rsidRDefault="004E0329" w:rsidP="001A38D5">
                <w:pPr>
                  <w:rPr>
                    <w:rFonts w:ascii="Helvetica" w:eastAsiaTheme="minorEastAsia" w:hAnsi="Helvetica" w:cs="Helvetica"/>
                    <w:b/>
                    <w:sz w:val="16"/>
                    <w:szCs w:val="16"/>
                  </w:rPr>
                </w:pPr>
                <w:r>
                  <w:rPr>
                    <w:rFonts w:ascii="Helvetica" w:hAnsi="Helvetica" w:cs="Helvetica"/>
                    <w:b/>
                    <w:sz w:val="16"/>
                    <w:szCs w:val="16"/>
                  </w:rPr>
                  <w:t>Ministerio de Hacienda y Crédito Público</w:t>
                </w:r>
              </w:p>
              <w:p w14:paraId="6299BD0C" w14:textId="77777777" w:rsidR="004E0329" w:rsidRDefault="004E0329" w:rsidP="001A38D5">
                <w:pPr>
                  <w:rPr>
                    <w:rFonts w:ascii="Helvetica" w:hAnsi="Helvetica" w:cs="Helvetica"/>
                    <w:sz w:val="16"/>
                    <w:szCs w:val="16"/>
                  </w:rPr>
                </w:pPr>
                <w:r>
                  <w:rPr>
                    <w:rFonts w:ascii="Helvetica" w:hAnsi="Helvetica" w:cs="Helvetica"/>
                    <w:sz w:val="16"/>
                    <w:szCs w:val="16"/>
                  </w:rPr>
                  <w:t>Dirección: Carrera 8 No. 6C- 38, Bogotá D.C., Colombia</w:t>
                </w:r>
              </w:p>
              <w:p w14:paraId="3EF6666D" w14:textId="77777777" w:rsidR="004E0329" w:rsidRDefault="004E0329" w:rsidP="001A38D5">
                <w:pPr>
                  <w:rPr>
                    <w:rFonts w:ascii="Helvetica" w:hAnsi="Helvetica" w:cs="Helvetica"/>
                    <w:sz w:val="16"/>
                    <w:szCs w:val="16"/>
                  </w:rPr>
                </w:pPr>
                <w:r>
                  <w:rPr>
                    <w:rFonts w:ascii="Helvetica" w:hAnsi="Helvetica" w:cs="Helvetica"/>
                    <w:sz w:val="16"/>
                    <w:szCs w:val="16"/>
                  </w:rPr>
                  <w:t>Conmutador: (+57) 601 3811700 - 602 1270</w:t>
                </w:r>
              </w:p>
              <w:p w14:paraId="0DC4411D" w14:textId="77777777" w:rsidR="004E0329" w:rsidRDefault="004E0329" w:rsidP="001A38D5">
                <w:pPr>
                  <w:rPr>
                    <w:rFonts w:asciiTheme="minorHAnsi" w:hAnsiTheme="minorHAnsi" w:cstheme="minorBidi"/>
                  </w:rPr>
                </w:pPr>
                <w:r>
                  <w:rPr>
                    <w:rFonts w:ascii="Helvetica" w:hAnsi="Helvetica" w:cs="Helvetica"/>
                    <w:sz w:val="16"/>
                    <w:szCs w:val="16"/>
                  </w:rPr>
                  <w:t>Línea Gratuita: (+57) 01 8000 910071</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C644" w14:textId="77777777" w:rsidR="004E0329" w:rsidRDefault="00425319">
    <w:pPr>
      <w:pStyle w:val="Textoindependiente"/>
      <w:spacing w:line="14" w:lineRule="auto"/>
      <w:rPr>
        <w:sz w:val="20"/>
      </w:rPr>
    </w:pPr>
    <w:r>
      <w:rPr>
        <w:noProof/>
        <w:lang w:val="es-CO" w:eastAsia="es-CO"/>
      </w:rPr>
      <w:pict w14:anchorId="44546535">
        <v:shapetype id="_x0000_t202" coordsize="21600,21600" o:spt="202" path="m,l,21600r21600,l21600,xe">
          <v:stroke joinstyle="miter"/>
          <v:path gradientshapeok="t" o:connecttype="rect"/>
        </v:shapetype>
        <v:shape id="Cuadro de texto 3" o:spid="_x0000_s1027" type="#_x0000_t202" alt="" style="position:absolute;margin-left:415.45pt;margin-top:59pt;width:54.75pt;height:9pt;z-index:-251658239;visibility:visible;mso-wrap-style:square;mso-wrap-edited:f;mso-width-percent:0;mso-height-percent:0;mso-wrap-distance-left:9pt;mso-wrap-distance-top:0;mso-wrap-distance-right:9pt;mso-wrap-distance-bottom:0;mso-position-horizontal-relative:margin;mso-position-vertical-relative:bottom-margin-area;mso-width-percent:0;mso-height-percent:0;mso-width-relative:page;mso-height-relative:page;v-text-anchor:top" filled="f" stroked="f">
          <v:textbox inset="0,0,0,0">
            <w:txbxContent>
              <w:p w14:paraId="284EBE75" w14:textId="77777777" w:rsidR="004E0329" w:rsidRDefault="004E0329">
                <w:pPr>
                  <w:spacing w:line="178" w:lineRule="exact"/>
                  <w:ind w:left="20"/>
                  <w:rPr>
                    <w:rFonts w:ascii="Arial MT" w:hAnsi="Arial MT"/>
                    <w:sz w:val="16"/>
                  </w:rPr>
                </w:pPr>
                <w:r>
                  <w:rPr>
                    <w:rFonts w:ascii="Arial MT" w:hAnsi="Arial MT"/>
                    <w:sz w:val="16"/>
                  </w:rPr>
                  <w:t xml:space="preserve">Página | </w:t>
                </w:r>
                <w:r>
                  <w:fldChar w:fldCharType="begin"/>
                </w:r>
                <w:r>
                  <w:rPr>
                    <w:rFonts w:ascii="Arial MT" w:hAnsi="Arial MT"/>
                    <w:sz w:val="16"/>
                  </w:rPr>
                  <w:instrText xml:space="preserve"> PAGE </w:instrText>
                </w:r>
                <w:r>
                  <w:fldChar w:fldCharType="separate"/>
                </w:r>
                <w:r w:rsidR="005200D3">
                  <w:rPr>
                    <w:rFonts w:ascii="Arial MT" w:hAnsi="Arial MT"/>
                    <w:noProof/>
                    <w:sz w:val="16"/>
                  </w:rPr>
                  <w:t>83</w:t>
                </w:r>
                <w:r>
                  <w:fldChar w:fldCharType="end"/>
                </w:r>
              </w:p>
            </w:txbxContent>
          </v:textbox>
          <w10:wrap anchorx="margin" anchory="margin"/>
        </v:shape>
      </w:pict>
    </w:r>
    <w:r>
      <w:rPr>
        <w:noProof/>
        <w:lang w:val="es-CO" w:eastAsia="es-CO"/>
      </w:rPr>
      <w:pict w14:anchorId="74BB6E14">
        <v:shape id="Forma libre: forma 4" o:spid="_x0000_s1026" alt="" style="position:absolute;margin-left:61.1pt;margin-top:710.7pt;width:320.15pt;height:.1pt;z-index:-251658240;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403,1270" o:spt="100" adj="0,,0" path="m,l1598,t3,l2400,t2,l4001,t2,l4802,t2,l6403,e" filled="f" strokeweight=".14181mm">
          <v:stroke joinstyle="round"/>
          <v:formulas/>
          <v:path arrowok="t" o:connecttype="custom" o:connectlocs="0,0;2147483646,0;2147483646,0;2147483646,0;2147483646,0;2147483646,0;2147483646,0;2147483646,0;2147483646,0;2147483646,0" o:connectangles="0,0,0,0,0,0,0,0,0,0"/>
          <w10:wrap anchorx="page" anchory="page"/>
        </v:shape>
      </w:pict>
    </w:r>
    <w:r>
      <w:rPr>
        <w:noProof/>
        <w:lang w:val="es-CO" w:eastAsia="es-CO"/>
      </w:rPr>
      <w:pict w14:anchorId="557AEE93">
        <v:shape id="_x0000_s1025" type="#_x0000_t202" alt="" style="position:absolute;margin-left:60.1pt;margin-top:715.15pt;width:234.15pt;height:46.95pt;z-index:-251658238;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7D0BC036" w14:textId="77777777" w:rsidR="004E0329" w:rsidRDefault="004E0329">
                <w:pPr>
                  <w:spacing w:line="179" w:lineRule="exact"/>
                  <w:ind w:left="20"/>
                  <w:rPr>
                    <w:rFonts w:ascii="Arial" w:hAnsi="Arial"/>
                    <w:b/>
                    <w:sz w:val="16"/>
                  </w:rPr>
                </w:pPr>
                <w:r>
                  <w:rPr>
                    <w:rFonts w:ascii="Arial" w:hAnsi="Arial"/>
                    <w:b/>
                    <w:sz w:val="16"/>
                  </w:rPr>
                  <w:t>Ministerio</w:t>
                </w:r>
                <w:r>
                  <w:rPr>
                    <w:rFonts w:ascii="Arial" w:hAnsi="Arial"/>
                    <w:b/>
                    <w:spacing w:val="-3"/>
                    <w:sz w:val="16"/>
                  </w:rPr>
                  <w:t xml:space="preserve"> </w:t>
                </w:r>
                <w:r>
                  <w:rPr>
                    <w:rFonts w:ascii="Arial" w:hAnsi="Arial"/>
                    <w:b/>
                    <w:sz w:val="16"/>
                  </w:rPr>
                  <w:t>de</w:t>
                </w:r>
                <w:r>
                  <w:rPr>
                    <w:rFonts w:ascii="Arial" w:hAnsi="Arial"/>
                    <w:b/>
                    <w:spacing w:val="-1"/>
                    <w:sz w:val="16"/>
                  </w:rPr>
                  <w:t xml:space="preserve"> </w:t>
                </w:r>
                <w:r>
                  <w:rPr>
                    <w:rFonts w:ascii="Arial" w:hAnsi="Arial"/>
                    <w:b/>
                    <w:sz w:val="16"/>
                  </w:rPr>
                  <w:t>Hacienda</w:t>
                </w:r>
                <w:r>
                  <w:rPr>
                    <w:rFonts w:ascii="Arial" w:hAnsi="Arial"/>
                    <w:b/>
                    <w:spacing w:val="2"/>
                    <w:sz w:val="16"/>
                  </w:rPr>
                  <w:t xml:space="preserve"> </w:t>
                </w:r>
                <w:r>
                  <w:rPr>
                    <w:rFonts w:ascii="Arial" w:hAnsi="Arial"/>
                    <w:b/>
                    <w:sz w:val="16"/>
                  </w:rPr>
                  <w:t>y</w:t>
                </w:r>
                <w:r>
                  <w:rPr>
                    <w:rFonts w:ascii="Arial" w:hAnsi="Arial"/>
                    <w:b/>
                    <w:spacing w:val="-8"/>
                    <w:sz w:val="16"/>
                  </w:rPr>
                  <w:t xml:space="preserve"> </w:t>
                </w:r>
                <w:r>
                  <w:rPr>
                    <w:rFonts w:ascii="Arial" w:hAnsi="Arial"/>
                    <w:b/>
                    <w:sz w:val="16"/>
                  </w:rPr>
                  <w:t>Crédito Público</w:t>
                </w:r>
              </w:p>
              <w:p w14:paraId="46D9E41C" w14:textId="77777777" w:rsidR="004E0329" w:rsidRDefault="004E0329">
                <w:pPr>
                  <w:spacing w:before="1"/>
                  <w:ind w:left="20"/>
                  <w:rPr>
                    <w:rFonts w:ascii="Arial MT" w:hAnsi="Arial MT"/>
                    <w:sz w:val="16"/>
                  </w:rPr>
                </w:pPr>
                <w:r>
                  <w:rPr>
                    <w:rFonts w:ascii="Arial MT" w:hAnsi="Arial MT"/>
                    <w:sz w:val="16"/>
                  </w:rPr>
                  <w:t>Dirección: Carrera 8 No. 6 C 38 Bogotá D.C. Colombia</w:t>
                </w:r>
                <w:r>
                  <w:rPr>
                    <w:rFonts w:ascii="Arial MT" w:hAnsi="Arial MT"/>
                    <w:spacing w:val="1"/>
                    <w:sz w:val="16"/>
                  </w:rPr>
                  <w:t xml:space="preserve"> </w:t>
                </w:r>
                <w:r>
                  <w:rPr>
                    <w:rFonts w:ascii="Arial MT" w:hAnsi="Arial MT"/>
                    <w:sz w:val="16"/>
                  </w:rPr>
                  <w:t>Conmutador</w:t>
                </w:r>
                <w:r>
                  <w:rPr>
                    <w:rFonts w:ascii="Arial MT" w:hAnsi="Arial MT"/>
                    <w:spacing w:val="-3"/>
                    <w:sz w:val="16"/>
                  </w:rPr>
                  <w:t xml:space="preserve"> </w:t>
                </w:r>
                <w:r>
                  <w:rPr>
                    <w:rFonts w:ascii="Arial MT" w:hAnsi="Arial MT"/>
                    <w:sz w:val="16"/>
                  </w:rPr>
                  <w:t>(57)</w:t>
                </w:r>
                <w:r>
                  <w:rPr>
                    <w:rFonts w:ascii="Arial MT" w:hAnsi="Arial MT"/>
                    <w:spacing w:val="-2"/>
                    <w:sz w:val="16"/>
                  </w:rPr>
                  <w:t xml:space="preserve"> </w:t>
                </w:r>
                <w:r>
                  <w:rPr>
                    <w:rFonts w:ascii="Arial MT" w:hAnsi="Arial MT"/>
                    <w:sz w:val="16"/>
                  </w:rPr>
                  <w:t>601</w:t>
                </w:r>
                <w:r>
                  <w:rPr>
                    <w:rFonts w:ascii="Arial MT" w:hAnsi="Arial MT"/>
                    <w:spacing w:val="-3"/>
                    <w:sz w:val="16"/>
                  </w:rPr>
                  <w:t xml:space="preserve"> </w:t>
                </w:r>
                <w:r>
                  <w:rPr>
                    <w:rFonts w:ascii="Arial MT" w:hAnsi="Arial MT"/>
                    <w:sz w:val="16"/>
                  </w:rPr>
                  <w:t>3811700</w:t>
                </w:r>
                <w:r>
                  <w:rPr>
                    <w:rFonts w:ascii="Arial MT" w:hAnsi="Arial MT"/>
                    <w:spacing w:val="-2"/>
                    <w:sz w:val="16"/>
                  </w:rPr>
                  <w:t xml:space="preserve"> </w:t>
                </w:r>
                <w:r>
                  <w:rPr>
                    <w:rFonts w:ascii="Arial MT" w:hAnsi="Arial MT"/>
                    <w:sz w:val="16"/>
                  </w:rPr>
                  <w:t>Fuera</w:t>
                </w:r>
                <w:r>
                  <w:rPr>
                    <w:rFonts w:ascii="Arial MT" w:hAnsi="Arial MT"/>
                    <w:spacing w:val="-3"/>
                    <w:sz w:val="16"/>
                  </w:rPr>
                  <w:t xml:space="preserve"> </w:t>
                </w:r>
                <w:r>
                  <w:rPr>
                    <w:rFonts w:ascii="Arial MT" w:hAnsi="Arial MT"/>
                    <w:sz w:val="16"/>
                  </w:rPr>
                  <w:t>de</w:t>
                </w:r>
                <w:r>
                  <w:rPr>
                    <w:rFonts w:ascii="Arial MT" w:hAnsi="Arial MT"/>
                    <w:spacing w:val="-2"/>
                    <w:sz w:val="16"/>
                  </w:rPr>
                  <w:t xml:space="preserve"> </w:t>
                </w:r>
                <w:r>
                  <w:rPr>
                    <w:rFonts w:ascii="Arial MT" w:hAnsi="Arial MT"/>
                    <w:sz w:val="16"/>
                  </w:rPr>
                  <w:t>Bogotá</w:t>
                </w:r>
                <w:r>
                  <w:rPr>
                    <w:rFonts w:ascii="Arial MT" w:hAnsi="Arial MT"/>
                    <w:spacing w:val="-5"/>
                    <w:sz w:val="16"/>
                  </w:rPr>
                  <w:t xml:space="preserve"> </w:t>
                </w:r>
                <w:r>
                  <w:rPr>
                    <w:rFonts w:ascii="Arial MT" w:hAnsi="Arial MT"/>
                    <w:sz w:val="16"/>
                  </w:rPr>
                  <w:t>01-8000-910071</w:t>
                </w:r>
                <w:r>
                  <w:rPr>
                    <w:rFonts w:ascii="Arial MT" w:hAnsi="Arial MT"/>
                    <w:spacing w:val="-41"/>
                    <w:sz w:val="16"/>
                  </w:rPr>
                  <w:t xml:space="preserve"> </w:t>
                </w:r>
                <w:hyperlink r:id="rId1">
                  <w:r>
                    <w:rPr>
                      <w:rFonts w:ascii="Arial MT" w:hAnsi="Arial MT"/>
                      <w:sz w:val="16"/>
                    </w:rPr>
                    <w:t>relacionciudadano@minhacienda.gov.co</w:t>
                  </w:r>
                </w:hyperlink>
                <w:r>
                  <w:rPr>
                    <w:rFonts w:ascii="Arial MT" w:hAnsi="Arial MT"/>
                    <w:spacing w:val="1"/>
                    <w:sz w:val="16"/>
                  </w:rPr>
                  <w:t xml:space="preserve"> </w:t>
                </w:r>
                <w:hyperlink r:id="rId2">
                  <w:r>
                    <w:rPr>
                      <w:rFonts w:ascii="Arial MT" w:hAnsi="Arial MT"/>
                      <w:sz w:val="16"/>
                    </w:rPr>
                    <w:t>www.minhacienda.gov.co</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A015" w14:textId="77777777" w:rsidR="00B46546" w:rsidRDefault="00B46546">
      <w:r>
        <w:separator/>
      </w:r>
    </w:p>
  </w:footnote>
  <w:footnote w:type="continuationSeparator" w:id="0">
    <w:p w14:paraId="0C2054C7" w14:textId="77777777" w:rsidR="00B46546" w:rsidRDefault="00B46546">
      <w:r>
        <w:continuationSeparator/>
      </w:r>
    </w:p>
  </w:footnote>
  <w:footnote w:type="continuationNotice" w:id="1">
    <w:p w14:paraId="5C1375F5" w14:textId="77777777" w:rsidR="00B46546" w:rsidRDefault="00B46546"/>
  </w:footnote>
  <w:footnote w:id="2">
    <w:p w14:paraId="681F5A3D" w14:textId="77777777" w:rsidR="004E0329" w:rsidRPr="007E367B" w:rsidRDefault="004E0329" w:rsidP="00A20990">
      <w:pPr>
        <w:pStyle w:val="Textonotapie"/>
        <w:jc w:val="both"/>
        <w:rPr>
          <w:rFonts w:cs="Arial"/>
          <w:sz w:val="16"/>
          <w:szCs w:val="16"/>
        </w:rPr>
      </w:pPr>
      <w:r w:rsidRPr="007E367B">
        <w:rPr>
          <w:rStyle w:val="Refdenotaalpie"/>
          <w:rFonts w:cs="Arial"/>
          <w:sz w:val="16"/>
          <w:szCs w:val="16"/>
        </w:rPr>
        <w:footnoteRef/>
      </w:r>
      <w:r w:rsidRPr="007E367B">
        <w:rPr>
          <w:rFonts w:cs="Arial"/>
          <w:sz w:val="16"/>
          <w:szCs w:val="16"/>
        </w:rPr>
        <w:t xml:space="preserve"> En 2021, mediante la Resolución 0301 del 9 de febrero fue derogada la Resolución 0967 de 2020, reanudando el término de ejecución de las medidas preventivas, el cual se debe comenzar a contar trascurridos 10 días hábiles a partir de la fecha de publicación de la resolución, esto es, el 9 de febrero de 2021.</w:t>
      </w:r>
    </w:p>
  </w:footnote>
  <w:footnote w:id="3">
    <w:p w14:paraId="15D5B206" w14:textId="77777777" w:rsidR="004E0329" w:rsidRPr="007E367B" w:rsidRDefault="004E0329" w:rsidP="00A20990">
      <w:pPr>
        <w:pStyle w:val="Textonotapie"/>
        <w:jc w:val="both"/>
        <w:rPr>
          <w:rFonts w:cs="Arial"/>
          <w:sz w:val="16"/>
          <w:szCs w:val="16"/>
        </w:rPr>
      </w:pPr>
      <w:r w:rsidRPr="007E367B">
        <w:rPr>
          <w:rStyle w:val="Refdenotaalpie"/>
          <w:rFonts w:cs="Arial"/>
          <w:sz w:val="16"/>
          <w:szCs w:val="16"/>
        </w:rPr>
        <w:footnoteRef/>
      </w:r>
      <w:r w:rsidRPr="007E367B">
        <w:rPr>
          <w:rFonts w:cs="Arial"/>
          <w:sz w:val="16"/>
          <w:szCs w:val="16"/>
        </w:rPr>
        <w:t xml:space="preserve"> Para la vigencia 2016 se suscribió el Contrato No. 0674 de 2016 suscrito con la Unión Temporal CODESLLANO 2016; en 2017 el Contrato de prestación de servicios No. 003 de 2017 con ECOALIMENTOS S.A.S; en 2018 el Contrato de prestación de servicios No. 1001 del 16 de mayo de 2018 con la Unión Temporal MS 360 Villavicencio 2018; y en 2019 los Contratos de prestación de servicios No. 077 y 1198, con la Unión Temporal PAE para Villavicencio 2019 y la Unión Temporal PAE para Villavicencio 2019 II, respectivamente. </w:t>
      </w:r>
    </w:p>
  </w:footnote>
  <w:footnote w:id="4">
    <w:p w14:paraId="421B5E2E" w14:textId="77777777" w:rsidR="004E0329" w:rsidRPr="007E367B" w:rsidRDefault="004E0329">
      <w:pPr>
        <w:pStyle w:val="Textonotapie"/>
        <w:rPr>
          <w:sz w:val="16"/>
          <w:szCs w:val="16"/>
          <w:lang w:val="es-CO"/>
        </w:rPr>
      </w:pPr>
      <w:r w:rsidRPr="007E367B">
        <w:rPr>
          <w:rStyle w:val="Refdenotaalpie"/>
        </w:rPr>
        <w:footnoteRef/>
      </w:r>
      <w:r w:rsidRPr="007E367B">
        <w:t xml:space="preserve"> </w:t>
      </w:r>
      <w:r w:rsidRPr="007E367B">
        <w:rPr>
          <w:sz w:val="16"/>
          <w:szCs w:val="16"/>
          <w:lang w:val="es-CO"/>
        </w:rPr>
        <w:t>Derogada por la Resolución 2394 del 21 de septiembre de 2023.</w:t>
      </w:r>
    </w:p>
  </w:footnote>
  <w:footnote w:id="5">
    <w:p w14:paraId="2EF8E7EC" w14:textId="77777777" w:rsidR="004E0329" w:rsidRPr="007E367B" w:rsidRDefault="004E0329" w:rsidP="00A20990">
      <w:pPr>
        <w:pStyle w:val="Textonotapie"/>
        <w:jc w:val="both"/>
        <w:rPr>
          <w:rFonts w:cs="Arial"/>
          <w:sz w:val="16"/>
          <w:szCs w:val="16"/>
        </w:rPr>
      </w:pPr>
      <w:r w:rsidRPr="007E367B">
        <w:rPr>
          <w:rStyle w:val="Refdenotaalpie"/>
          <w:rFonts w:cs="Arial"/>
          <w:sz w:val="16"/>
          <w:szCs w:val="16"/>
        </w:rPr>
        <w:footnoteRef/>
      </w:r>
      <w:r w:rsidRPr="007E367B">
        <w:rPr>
          <w:rFonts w:cs="Arial"/>
          <w:sz w:val="16"/>
          <w:szCs w:val="16"/>
        </w:rPr>
        <w:t xml:space="preserve"> Según la Agencia Colombia Compra Eficiente las entidades no deben publicar nuevamente las órdenes de compra como un contrato independiente en el SECOP, pues estaría duplicando el registro y afectando la calidad de la información del sistema de compra y contratación pública.</w:t>
      </w:r>
    </w:p>
  </w:footnote>
  <w:footnote w:id="6">
    <w:p w14:paraId="1DE62114" w14:textId="77777777" w:rsidR="004E0329" w:rsidRPr="007E367B" w:rsidRDefault="004E0329" w:rsidP="00BE0FA7">
      <w:pPr>
        <w:pStyle w:val="Textonotapie"/>
        <w:jc w:val="both"/>
        <w:rPr>
          <w:rFonts w:cs="Arial"/>
          <w:sz w:val="16"/>
          <w:szCs w:val="16"/>
          <w:lang w:val="es-CO"/>
        </w:rPr>
      </w:pPr>
      <w:r w:rsidRPr="007E367B">
        <w:rPr>
          <w:rStyle w:val="Refdenotaalpie"/>
          <w:rFonts w:cs="Arial"/>
          <w:sz w:val="16"/>
          <w:szCs w:val="16"/>
        </w:rPr>
        <w:footnoteRef/>
      </w:r>
      <w:r w:rsidRPr="007E367B">
        <w:rPr>
          <w:rFonts w:cs="Arial"/>
          <w:sz w:val="16"/>
          <w:szCs w:val="16"/>
        </w:rPr>
        <w:t xml:space="preserve"> </w:t>
      </w:r>
      <w:r w:rsidRPr="007E367B">
        <w:rPr>
          <w:rFonts w:cs="Arial"/>
          <w:sz w:val="16"/>
          <w:szCs w:val="16"/>
          <w:lang w:val="es-CO"/>
        </w:rPr>
        <w:t>Incluida en la Resolución No. 2394 de 2023 de los Ministerios de Hacienda y Crédito Público, Educación Nacional, Vivienda, Ciudad y Territorio y la Unidad Administrativa Especial de Alimentación Escolar - Alimentos Para Aprender</w:t>
      </w:r>
      <w:r>
        <w:rPr>
          <w:rFonts w:cs="Arial"/>
          <w:sz w:val="16"/>
          <w:szCs w:val="16"/>
          <w:lang w:val="es-CO"/>
        </w:rPr>
        <w:t>.</w:t>
      </w:r>
    </w:p>
  </w:footnote>
  <w:footnote w:id="7">
    <w:p w14:paraId="208FB5AA" w14:textId="77777777" w:rsidR="004E0329" w:rsidRPr="007E367B" w:rsidRDefault="004E0329" w:rsidP="00A20990">
      <w:pPr>
        <w:pStyle w:val="Textonotapie"/>
        <w:jc w:val="both"/>
        <w:rPr>
          <w:rFonts w:cs="Arial"/>
          <w:i/>
          <w:iCs/>
          <w:sz w:val="16"/>
          <w:szCs w:val="16"/>
        </w:rPr>
      </w:pPr>
      <w:r w:rsidRPr="007E367B">
        <w:rPr>
          <w:rStyle w:val="Refdenotaalpie"/>
          <w:rFonts w:cs="Arial"/>
          <w:sz w:val="16"/>
          <w:szCs w:val="16"/>
        </w:rPr>
        <w:footnoteRef/>
      </w:r>
      <w:r w:rsidRPr="007E367B">
        <w:rPr>
          <w:rFonts w:cs="Arial"/>
          <w:sz w:val="16"/>
          <w:szCs w:val="16"/>
        </w:rPr>
        <w:t xml:space="preserve"> Resolución 1500-67.10/1616 del 27 de octubre de 2020 “</w:t>
      </w:r>
      <w:r w:rsidRPr="007E367B">
        <w:rPr>
          <w:rFonts w:cs="Arial"/>
          <w:i/>
          <w:iCs/>
          <w:sz w:val="16"/>
          <w:szCs w:val="16"/>
        </w:rPr>
        <w:t>Por medio de la cual se establece el calendario académico del año lectivo 2021 para los establecimientos educativos oficiales que prestan el servicio público educativo en los niveles de preescolar, básica y medida y educación de adultos en la ciudad de Villavicencio”.</w:t>
      </w:r>
    </w:p>
  </w:footnote>
  <w:footnote w:id="8">
    <w:p w14:paraId="4438F37B" w14:textId="77777777" w:rsidR="004E0329" w:rsidRPr="007E367B" w:rsidRDefault="004E0329" w:rsidP="005E51F7">
      <w:pPr>
        <w:pStyle w:val="Textonotapie"/>
        <w:jc w:val="both"/>
      </w:pPr>
      <w:r w:rsidRPr="007E367B">
        <w:rPr>
          <w:rStyle w:val="Refdenotaalpie"/>
        </w:rPr>
        <w:footnoteRef/>
      </w:r>
      <w:r w:rsidRPr="007E367B">
        <w:t xml:space="preserve"> </w:t>
      </w:r>
      <w:r w:rsidRPr="007E367B">
        <w:rPr>
          <w:rFonts w:cs="Arial"/>
          <w:sz w:val="16"/>
        </w:rPr>
        <w:t>En el Registro Único Tributario del operador con razón social Resguardo Indígena Maguare identificado con NIT 901.053.503-9 se registra como actividad principal la organización de convenciones y eventos comerciales (CIIU 8230) y como actividad secundaria el catering para eventos (CIIU 5621).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87C" w14:textId="77777777" w:rsidR="004E0329" w:rsidRDefault="004E0329" w:rsidP="00A20990">
    <w:r>
      <w:rPr>
        <w:noProof/>
        <w:lang w:val="es-CO" w:eastAsia="es-CO"/>
      </w:rPr>
      <w:drawing>
        <wp:anchor distT="0" distB="0" distL="0" distR="0" simplePos="0" relativeHeight="251664387" behindDoc="1" locked="0" layoutInCell="1" allowOverlap="1" wp14:anchorId="7238EE24" wp14:editId="0D14DAD6">
          <wp:simplePos x="0" y="0"/>
          <wp:positionH relativeFrom="page">
            <wp:posOffset>1080135</wp:posOffset>
          </wp:positionH>
          <wp:positionV relativeFrom="page">
            <wp:posOffset>168910</wp:posOffset>
          </wp:positionV>
          <wp:extent cx="5972175" cy="817880"/>
          <wp:effectExtent l="0" t="0" r="0" b="0"/>
          <wp:wrapNone/>
          <wp:docPr id="485628666" name="Imagen 48562866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44187" name="Imagen 1695344187" descr="Forma&#10;&#10;Descripción generada automáticamente con confianza media"/>
                  <pic:cNvPicPr/>
                </pic:nvPicPr>
                <pic:blipFill>
                  <a:blip r:embed="rId1" cstate="print"/>
                  <a:stretch>
                    <a:fillRect/>
                  </a:stretch>
                </pic:blipFill>
                <pic:spPr>
                  <a:xfrm>
                    <a:off x="0" y="0"/>
                    <a:ext cx="5972175" cy="817880"/>
                  </a:xfrm>
                  <a:prstGeom prst="rect">
                    <a:avLst/>
                  </a:prstGeom>
                </pic:spPr>
              </pic:pic>
            </a:graphicData>
          </a:graphic>
        </wp:anchor>
      </w:drawing>
    </w:r>
  </w:p>
  <w:p w14:paraId="7E5985A8" w14:textId="77777777" w:rsidR="004E0329" w:rsidRDefault="004E0329" w:rsidP="00A20990">
    <w:pPr>
      <w:rPr>
        <w:sz w:val="16"/>
        <w:szCs w:val="16"/>
      </w:rPr>
    </w:pPr>
  </w:p>
  <w:p w14:paraId="4B69691A" w14:textId="77777777" w:rsidR="004E0329" w:rsidRDefault="004E0329" w:rsidP="00A209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93D4" w14:textId="77777777" w:rsidR="004E0329" w:rsidRDefault="004E0329" w:rsidP="00A20990">
    <w:pPr>
      <w:pStyle w:val="Encabezado"/>
    </w:pPr>
    <w:r>
      <w:rPr>
        <w:noProof/>
        <w:lang w:val="es-CO" w:eastAsia="es-CO"/>
      </w:rPr>
      <w:drawing>
        <wp:anchor distT="0" distB="0" distL="0" distR="0" simplePos="0" relativeHeight="251662339" behindDoc="1" locked="0" layoutInCell="1" allowOverlap="1" wp14:anchorId="6E2D44EE" wp14:editId="59BA4CAE">
          <wp:simplePos x="0" y="0"/>
          <wp:positionH relativeFrom="page">
            <wp:posOffset>1080135</wp:posOffset>
          </wp:positionH>
          <wp:positionV relativeFrom="page">
            <wp:posOffset>179705</wp:posOffset>
          </wp:positionV>
          <wp:extent cx="5972556" cy="818385"/>
          <wp:effectExtent l="0" t="0" r="0" b="0"/>
          <wp:wrapNone/>
          <wp:docPr id="821372474" name="Imagen 82137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72556" cy="8183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5217" w14:textId="77777777" w:rsidR="004E0329" w:rsidRDefault="004E0329">
    <w:pPr>
      <w:pStyle w:val="Textoindependiente"/>
      <w:spacing w:line="14" w:lineRule="auto"/>
      <w:rPr>
        <w:sz w:val="20"/>
      </w:rPr>
    </w:pPr>
    <w:r>
      <w:rPr>
        <w:noProof/>
        <w:lang w:val="es-CO" w:eastAsia="es-CO"/>
      </w:rPr>
      <w:drawing>
        <wp:anchor distT="0" distB="0" distL="0" distR="0" simplePos="0" relativeHeight="251658243" behindDoc="1" locked="0" layoutInCell="1" allowOverlap="1" wp14:anchorId="71E1FC76" wp14:editId="059F1E27">
          <wp:simplePos x="0" y="0"/>
          <wp:positionH relativeFrom="page">
            <wp:posOffset>900683</wp:posOffset>
          </wp:positionH>
          <wp:positionV relativeFrom="page">
            <wp:posOffset>350522</wp:posOffset>
          </wp:positionV>
          <wp:extent cx="5972556" cy="818385"/>
          <wp:effectExtent l="0" t="0" r="0" b="0"/>
          <wp:wrapNone/>
          <wp:docPr id="388105549" name="Imagen 38810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72556" cy="818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B3D"/>
    <w:multiLevelType w:val="hybridMultilevel"/>
    <w:tmpl w:val="48CC4D8C"/>
    <w:lvl w:ilvl="0" w:tplc="4B34894A">
      <w:start w:val="1"/>
      <w:numFmt w:val="lowerLetter"/>
      <w:lvlText w:val="%1."/>
      <w:lvlJc w:val="left"/>
      <w:pPr>
        <w:ind w:left="1069" w:hanging="360"/>
      </w:pPr>
      <w:rPr>
        <w:rFonts w:eastAsia="Times New Roman"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35A51F5"/>
    <w:multiLevelType w:val="hybridMultilevel"/>
    <w:tmpl w:val="6D1062FE"/>
    <w:lvl w:ilvl="0" w:tplc="03AC1EFA">
      <w:start w:val="1"/>
      <w:numFmt w:val="upperLetter"/>
      <w:lvlText w:val="%1."/>
      <w:lvlJc w:val="left"/>
      <w:pPr>
        <w:ind w:left="720" w:hanging="360"/>
      </w:pPr>
    </w:lvl>
    <w:lvl w:ilvl="1" w:tplc="E27E794A" w:tentative="1">
      <w:start w:val="1"/>
      <w:numFmt w:val="lowerLetter"/>
      <w:lvlText w:val="%2."/>
      <w:lvlJc w:val="left"/>
      <w:pPr>
        <w:ind w:left="1440" w:hanging="360"/>
      </w:pPr>
    </w:lvl>
    <w:lvl w:ilvl="2" w:tplc="B2588DA6" w:tentative="1">
      <w:start w:val="1"/>
      <w:numFmt w:val="lowerRoman"/>
      <w:lvlText w:val="%3."/>
      <w:lvlJc w:val="right"/>
      <w:pPr>
        <w:ind w:left="2160" w:hanging="180"/>
      </w:pPr>
    </w:lvl>
    <w:lvl w:ilvl="3" w:tplc="C44297C2" w:tentative="1">
      <w:start w:val="1"/>
      <w:numFmt w:val="decimal"/>
      <w:lvlText w:val="%4."/>
      <w:lvlJc w:val="left"/>
      <w:pPr>
        <w:ind w:left="2880" w:hanging="360"/>
      </w:pPr>
    </w:lvl>
    <w:lvl w:ilvl="4" w:tplc="6FC8EE0E" w:tentative="1">
      <w:start w:val="1"/>
      <w:numFmt w:val="lowerLetter"/>
      <w:lvlText w:val="%5."/>
      <w:lvlJc w:val="left"/>
      <w:pPr>
        <w:ind w:left="3600" w:hanging="360"/>
      </w:pPr>
    </w:lvl>
    <w:lvl w:ilvl="5" w:tplc="2A52F8CA" w:tentative="1">
      <w:start w:val="1"/>
      <w:numFmt w:val="lowerRoman"/>
      <w:lvlText w:val="%6."/>
      <w:lvlJc w:val="right"/>
      <w:pPr>
        <w:ind w:left="4320" w:hanging="180"/>
      </w:pPr>
    </w:lvl>
    <w:lvl w:ilvl="6" w:tplc="0FAA6F98" w:tentative="1">
      <w:start w:val="1"/>
      <w:numFmt w:val="decimal"/>
      <w:lvlText w:val="%7."/>
      <w:lvlJc w:val="left"/>
      <w:pPr>
        <w:ind w:left="5040" w:hanging="360"/>
      </w:pPr>
    </w:lvl>
    <w:lvl w:ilvl="7" w:tplc="7BBECA4A" w:tentative="1">
      <w:start w:val="1"/>
      <w:numFmt w:val="lowerLetter"/>
      <w:lvlText w:val="%8."/>
      <w:lvlJc w:val="left"/>
      <w:pPr>
        <w:ind w:left="5760" w:hanging="360"/>
      </w:pPr>
    </w:lvl>
    <w:lvl w:ilvl="8" w:tplc="0CC8A56C" w:tentative="1">
      <w:start w:val="1"/>
      <w:numFmt w:val="lowerRoman"/>
      <w:lvlText w:val="%9."/>
      <w:lvlJc w:val="right"/>
      <w:pPr>
        <w:ind w:left="6480" w:hanging="180"/>
      </w:pPr>
    </w:lvl>
  </w:abstractNum>
  <w:abstractNum w:abstractNumId="2" w15:restartNumberingAfterBreak="0">
    <w:nsid w:val="03BE3FBE"/>
    <w:multiLevelType w:val="multilevel"/>
    <w:tmpl w:val="21F0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131EB"/>
    <w:multiLevelType w:val="multilevel"/>
    <w:tmpl w:val="F6D868B4"/>
    <w:lvl w:ilvl="0">
      <w:start w:val="1"/>
      <w:numFmt w:val="bullet"/>
      <w:pStyle w:val="Ttulo3"/>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02B6D9B"/>
    <w:multiLevelType w:val="multilevel"/>
    <w:tmpl w:val="53F6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10200"/>
    <w:multiLevelType w:val="hybridMultilevel"/>
    <w:tmpl w:val="E3F85F0C"/>
    <w:lvl w:ilvl="0" w:tplc="D2E4F100">
      <w:start w:val="1"/>
      <w:numFmt w:val="upperLetter"/>
      <w:lvlText w:val="%1."/>
      <w:lvlJc w:val="left"/>
      <w:pPr>
        <w:ind w:left="720" w:hanging="360"/>
      </w:pPr>
      <w:rPr>
        <w:rFonts w:hint="default"/>
        <w:b/>
        <w:color w:val="1F497D" w:themeColor="text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2D262E"/>
    <w:multiLevelType w:val="hybridMultilevel"/>
    <w:tmpl w:val="BA6A1E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843BC7"/>
    <w:multiLevelType w:val="hybridMultilevel"/>
    <w:tmpl w:val="FFD402F8"/>
    <w:lvl w:ilvl="0" w:tplc="14068A56">
      <w:numFmt w:val="bullet"/>
      <w:lvlText w:val="•"/>
      <w:lvlJc w:val="left"/>
      <w:pPr>
        <w:ind w:left="1065" w:hanging="705"/>
      </w:pPr>
      <w:rPr>
        <w:rFonts w:ascii="Arial Narrow" w:eastAsiaTheme="minorHAnsi" w:hAnsi="Arial Narrow" w:cstheme="minorBidi" w:hint="default"/>
      </w:rPr>
    </w:lvl>
    <w:lvl w:ilvl="1" w:tplc="8E06F31C">
      <w:start w:val="1"/>
      <w:numFmt w:val="bullet"/>
      <w:lvlText w:val="o"/>
      <w:lvlJc w:val="left"/>
      <w:pPr>
        <w:ind w:left="1440" w:hanging="360"/>
      </w:pPr>
      <w:rPr>
        <w:rFonts w:ascii="Courier New" w:hAnsi="Courier New" w:cs="Wingdings" w:hint="default"/>
      </w:rPr>
    </w:lvl>
    <w:lvl w:ilvl="2" w:tplc="0B0870CC">
      <w:start w:val="1"/>
      <w:numFmt w:val="bullet"/>
      <w:lvlText w:val=""/>
      <w:lvlJc w:val="left"/>
      <w:pPr>
        <w:ind w:left="2160" w:hanging="360"/>
      </w:pPr>
      <w:rPr>
        <w:rFonts w:ascii="Wingdings" w:hAnsi="Wingdings" w:hint="default"/>
      </w:rPr>
    </w:lvl>
    <w:lvl w:ilvl="3" w:tplc="A6441AFE">
      <w:start w:val="1"/>
      <w:numFmt w:val="bullet"/>
      <w:lvlText w:val=""/>
      <w:lvlJc w:val="left"/>
      <w:pPr>
        <w:ind w:left="2880" w:hanging="360"/>
      </w:pPr>
      <w:rPr>
        <w:rFonts w:ascii="Symbol" w:hAnsi="Symbol" w:hint="default"/>
      </w:rPr>
    </w:lvl>
    <w:lvl w:ilvl="4" w:tplc="EDD0F89E">
      <w:start w:val="1"/>
      <w:numFmt w:val="bullet"/>
      <w:lvlText w:val="o"/>
      <w:lvlJc w:val="left"/>
      <w:pPr>
        <w:ind w:left="3600" w:hanging="360"/>
      </w:pPr>
      <w:rPr>
        <w:rFonts w:ascii="Courier New" w:hAnsi="Courier New" w:cs="Wingdings" w:hint="default"/>
      </w:rPr>
    </w:lvl>
    <w:lvl w:ilvl="5" w:tplc="8926F442">
      <w:start w:val="1"/>
      <w:numFmt w:val="bullet"/>
      <w:lvlText w:val=""/>
      <w:lvlJc w:val="left"/>
      <w:pPr>
        <w:ind w:left="4320" w:hanging="360"/>
      </w:pPr>
      <w:rPr>
        <w:rFonts w:ascii="Wingdings" w:hAnsi="Wingdings" w:hint="default"/>
      </w:rPr>
    </w:lvl>
    <w:lvl w:ilvl="6" w:tplc="302680AE">
      <w:start w:val="1"/>
      <w:numFmt w:val="bullet"/>
      <w:lvlText w:val=""/>
      <w:lvlJc w:val="left"/>
      <w:pPr>
        <w:ind w:left="5040" w:hanging="360"/>
      </w:pPr>
      <w:rPr>
        <w:rFonts w:ascii="Symbol" w:hAnsi="Symbol" w:hint="default"/>
      </w:rPr>
    </w:lvl>
    <w:lvl w:ilvl="7" w:tplc="1AE883FE">
      <w:start w:val="1"/>
      <w:numFmt w:val="bullet"/>
      <w:lvlText w:val="o"/>
      <w:lvlJc w:val="left"/>
      <w:pPr>
        <w:ind w:left="5760" w:hanging="360"/>
      </w:pPr>
      <w:rPr>
        <w:rFonts w:ascii="Courier New" w:hAnsi="Courier New" w:cs="Wingdings" w:hint="default"/>
      </w:rPr>
    </w:lvl>
    <w:lvl w:ilvl="8" w:tplc="2350039C">
      <w:start w:val="1"/>
      <w:numFmt w:val="bullet"/>
      <w:lvlText w:val=""/>
      <w:lvlJc w:val="left"/>
      <w:pPr>
        <w:ind w:left="6480" w:hanging="360"/>
      </w:pPr>
      <w:rPr>
        <w:rFonts w:ascii="Wingdings" w:hAnsi="Wingdings" w:hint="default"/>
      </w:rPr>
    </w:lvl>
  </w:abstractNum>
  <w:abstractNum w:abstractNumId="8" w15:restartNumberingAfterBreak="0">
    <w:nsid w:val="2EFC2B7C"/>
    <w:multiLevelType w:val="multilevel"/>
    <w:tmpl w:val="D1A4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81839"/>
    <w:multiLevelType w:val="hybridMultilevel"/>
    <w:tmpl w:val="0CCC72EC"/>
    <w:lvl w:ilvl="0" w:tplc="46302894">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656C03"/>
    <w:multiLevelType w:val="hybridMultilevel"/>
    <w:tmpl w:val="F96686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6F741E"/>
    <w:multiLevelType w:val="hybridMultilevel"/>
    <w:tmpl w:val="CAE663BA"/>
    <w:lvl w:ilvl="0" w:tplc="9EE4343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6324A84"/>
    <w:multiLevelType w:val="hybridMultilevel"/>
    <w:tmpl w:val="1C7052AA"/>
    <w:lvl w:ilvl="0" w:tplc="9EE4343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72008F"/>
    <w:multiLevelType w:val="hybridMultilevel"/>
    <w:tmpl w:val="1D8E2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BD5517"/>
    <w:multiLevelType w:val="hybridMultilevel"/>
    <w:tmpl w:val="4580D660"/>
    <w:lvl w:ilvl="0" w:tplc="74DCB7D0">
      <w:numFmt w:val="bullet"/>
      <w:lvlText w:val=""/>
      <w:lvlJc w:val="left"/>
      <w:pPr>
        <w:ind w:left="478" w:hanging="360"/>
      </w:pPr>
      <w:rPr>
        <w:rFonts w:ascii="Symbol" w:eastAsia="Verdana" w:hAnsi="Symbol" w:cs="Verdana" w:hint="default"/>
      </w:rPr>
    </w:lvl>
    <w:lvl w:ilvl="1" w:tplc="240A0003" w:tentative="1">
      <w:start w:val="1"/>
      <w:numFmt w:val="bullet"/>
      <w:lvlText w:val="o"/>
      <w:lvlJc w:val="left"/>
      <w:pPr>
        <w:ind w:left="1198" w:hanging="360"/>
      </w:pPr>
      <w:rPr>
        <w:rFonts w:ascii="Courier New" w:hAnsi="Courier New" w:cs="Courier New" w:hint="default"/>
      </w:rPr>
    </w:lvl>
    <w:lvl w:ilvl="2" w:tplc="240A0005" w:tentative="1">
      <w:start w:val="1"/>
      <w:numFmt w:val="bullet"/>
      <w:lvlText w:val=""/>
      <w:lvlJc w:val="left"/>
      <w:pPr>
        <w:ind w:left="1918" w:hanging="360"/>
      </w:pPr>
      <w:rPr>
        <w:rFonts w:ascii="Wingdings" w:hAnsi="Wingdings" w:hint="default"/>
      </w:rPr>
    </w:lvl>
    <w:lvl w:ilvl="3" w:tplc="240A0001" w:tentative="1">
      <w:start w:val="1"/>
      <w:numFmt w:val="bullet"/>
      <w:lvlText w:val=""/>
      <w:lvlJc w:val="left"/>
      <w:pPr>
        <w:ind w:left="2638" w:hanging="360"/>
      </w:pPr>
      <w:rPr>
        <w:rFonts w:ascii="Symbol" w:hAnsi="Symbol" w:hint="default"/>
      </w:rPr>
    </w:lvl>
    <w:lvl w:ilvl="4" w:tplc="240A0003" w:tentative="1">
      <w:start w:val="1"/>
      <w:numFmt w:val="bullet"/>
      <w:lvlText w:val="o"/>
      <w:lvlJc w:val="left"/>
      <w:pPr>
        <w:ind w:left="3358" w:hanging="360"/>
      </w:pPr>
      <w:rPr>
        <w:rFonts w:ascii="Courier New" w:hAnsi="Courier New" w:cs="Courier New" w:hint="default"/>
      </w:rPr>
    </w:lvl>
    <w:lvl w:ilvl="5" w:tplc="240A0005" w:tentative="1">
      <w:start w:val="1"/>
      <w:numFmt w:val="bullet"/>
      <w:lvlText w:val=""/>
      <w:lvlJc w:val="left"/>
      <w:pPr>
        <w:ind w:left="4078" w:hanging="360"/>
      </w:pPr>
      <w:rPr>
        <w:rFonts w:ascii="Wingdings" w:hAnsi="Wingdings" w:hint="default"/>
      </w:rPr>
    </w:lvl>
    <w:lvl w:ilvl="6" w:tplc="240A0001" w:tentative="1">
      <w:start w:val="1"/>
      <w:numFmt w:val="bullet"/>
      <w:lvlText w:val=""/>
      <w:lvlJc w:val="left"/>
      <w:pPr>
        <w:ind w:left="4798" w:hanging="360"/>
      </w:pPr>
      <w:rPr>
        <w:rFonts w:ascii="Symbol" w:hAnsi="Symbol" w:hint="default"/>
      </w:rPr>
    </w:lvl>
    <w:lvl w:ilvl="7" w:tplc="240A0003" w:tentative="1">
      <w:start w:val="1"/>
      <w:numFmt w:val="bullet"/>
      <w:lvlText w:val="o"/>
      <w:lvlJc w:val="left"/>
      <w:pPr>
        <w:ind w:left="5518" w:hanging="360"/>
      </w:pPr>
      <w:rPr>
        <w:rFonts w:ascii="Courier New" w:hAnsi="Courier New" w:cs="Courier New" w:hint="default"/>
      </w:rPr>
    </w:lvl>
    <w:lvl w:ilvl="8" w:tplc="240A0005" w:tentative="1">
      <w:start w:val="1"/>
      <w:numFmt w:val="bullet"/>
      <w:lvlText w:val=""/>
      <w:lvlJc w:val="left"/>
      <w:pPr>
        <w:ind w:left="6238" w:hanging="360"/>
      </w:pPr>
      <w:rPr>
        <w:rFonts w:ascii="Wingdings" w:hAnsi="Wingdings" w:hint="default"/>
      </w:rPr>
    </w:lvl>
  </w:abstractNum>
  <w:abstractNum w:abstractNumId="15" w15:restartNumberingAfterBreak="0">
    <w:nsid w:val="3B3C350B"/>
    <w:multiLevelType w:val="multilevel"/>
    <w:tmpl w:val="3A8A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23248"/>
    <w:multiLevelType w:val="hybridMultilevel"/>
    <w:tmpl w:val="C18A79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3A86939"/>
    <w:multiLevelType w:val="hybridMultilevel"/>
    <w:tmpl w:val="22662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A020A3"/>
    <w:multiLevelType w:val="hybridMultilevel"/>
    <w:tmpl w:val="EBAE3B12"/>
    <w:lvl w:ilvl="0" w:tplc="6C3A890C">
      <w:start w:val="1"/>
      <w:numFmt w:val="upperLetter"/>
      <w:pStyle w:val="Ttulo2"/>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BA22AF"/>
    <w:multiLevelType w:val="hybridMultilevel"/>
    <w:tmpl w:val="E020CD0C"/>
    <w:lvl w:ilvl="0" w:tplc="236C6624">
      <w:numFmt w:val="bullet"/>
      <w:lvlText w:val="-"/>
      <w:lvlJc w:val="left"/>
      <w:pPr>
        <w:ind w:left="720" w:hanging="360"/>
      </w:pPr>
      <w:rPr>
        <w:rFonts w:ascii="Arial Narrow" w:eastAsia="MS Mincho"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3B18F2"/>
    <w:multiLevelType w:val="multilevel"/>
    <w:tmpl w:val="77BC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9120C0"/>
    <w:multiLevelType w:val="hybridMultilevel"/>
    <w:tmpl w:val="45228E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1C0304B"/>
    <w:multiLevelType w:val="hybridMultilevel"/>
    <w:tmpl w:val="3E6640D0"/>
    <w:lvl w:ilvl="0" w:tplc="ED1861D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6B40C3"/>
    <w:multiLevelType w:val="hybridMultilevel"/>
    <w:tmpl w:val="B23AD224"/>
    <w:lvl w:ilvl="0" w:tplc="31722D3E">
      <w:start w:val="1"/>
      <w:numFmt w:val="upperRoman"/>
      <w:pStyle w:val="Ttulo1"/>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8C147E9"/>
    <w:multiLevelType w:val="hybridMultilevel"/>
    <w:tmpl w:val="F74487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20677498">
    <w:abstractNumId w:val="14"/>
  </w:num>
  <w:num w:numId="2" w16cid:durableId="1574008518">
    <w:abstractNumId w:val="19"/>
  </w:num>
  <w:num w:numId="3" w16cid:durableId="580021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778011">
    <w:abstractNumId w:val="22"/>
  </w:num>
  <w:num w:numId="5" w16cid:durableId="229970293">
    <w:abstractNumId w:val="5"/>
  </w:num>
  <w:num w:numId="6" w16cid:durableId="528418724">
    <w:abstractNumId w:val="1"/>
  </w:num>
  <w:num w:numId="7" w16cid:durableId="1083532794">
    <w:abstractNumId w:val="20"/>
  </w:num>
  <w:num w:numId="8" w16cid:durableId="29844450">
    <w:abstractNumId w:val="2"/>
  </w:num>
  <w:num w:numId="9" w16cid:durableId="1085035276">
    <w:abstractNumId w:val="4"/>
  </w:num>
  <w:num w:numId="10" w16cid:durableId="1760977522">
    <w:abstractNumId w:val="12"/>
  </w:num>
  <w:num w:numId="11" w16cid:durableId="1430814082">
    <w:abstractNumId w:val="11"/>
  </w:num>
  <w:num w:numId="12" w16cid:durableId="102919207">
    <w:abstractNumId w:val="10"/>
  </w:num>
  <w:num w:numId="13" w16cid:durableId="141585069">
    <w:abstractNumId w:val="16"/>
  </w:num>
  <w:num w:numId="14" w16cid:durableId="931475271">
    <w:abstractNumId w:val="7"/>
  </w:num>
  <w:num w:numId="15" w16cid:durableId="1064448068">
    <w:abstractNumId w:val="17"/>
  </w:num>
  <w:num w:numId="16" w16cid:durableId="718407056">
    <w:abstractNumId w:val="13"/>
  </w:num>
  <w:num w:numId="17" w16cid:durableId="1167483217">
    <w:abstractNumId w:val="21"/>
  </w:num>
  <w:num w:numId="18" w16cid:durableId="1862402325">
    <w:abstractNumId w:val="3"/>
  </w:num>
  <w:num w:numId="19" w16cid:durableId="298194250">
    <w:abstractNumId w:val="1"/>
    <w:lvlOverride w:ilvl="0">
      <w:startOverride w:val="1"/>
    </w:lvlOverride>
  </w:num>
  <w:num w:numId="20" w16cid:durableId="1505238741">
    <w:abstractNumId w:val="8"/>
  </w:num>
  <w:num w:numId="21" w16cid:durableId="1817456450">
    <w:abstractNumId w:val="15"/>
  </w:num>
  <w:num w:numId="22" w16cid:durableId="423301253">
    <w:abstractNumId w:val="23"/>
  </w:num>
  <w:num w:numId="23" w16cid:durableId="578441117">
    <w:abstractNumId w:val="18"/>
  </w:num>
  <w:num w:numId="24" w16cid:durableId="1316834226">
    <w:abstractNumId w:val="24"/>
  </w:num>
  <w:num w:numId="25" w16cid:durableId="39983747">
    <w:abstractNumId w:val="0"/>
  </w:num>
  <w:num w:numId="26" w16cid:durableId="673651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F47"/>
    <w:rsid w:val="0000230C"/>
    <w:rsid w:val="00004A05"/>
    <w:rsid w:val="00015CE6"/>
    <w:rsid w:val="00020EB1"/>
    <w:rsid w:val="000276CF"/>
    <w:rsid w:val="0003175E"/>
    <w:rsid w:val="000341F0"/>
    <w:rsid w:val="00040996"/>
    <w:rsid w:val="00040BDE"/>
    <w:rsid w:val="00047404"/>
    <w:rsid w:val="00047E2D"/>
    <w:rsid w:val="00052AC4"/>
    <w:rsid w:val="00053565"/>
    <w:rsid w:val="0005471A"/>
    <w:rsid w:val="00072016"/>
    <w:rsid w:val="000744E5"/>
    <w:rsid w:val="00075921"/>
    <w:rsid w:val="0007655E"/>
    <w:rsid w:val="000776DA"/>
    <w:rsid w:val="00080746"/>
    <w:rsid w:val="000815B7"/>
    <w:rsid w:val="00090364"/>
    <w:rsid w:val="00091CF1"/>
    <w:rsid w:val="00096F76"/>
    <w:rsid w:val="000A15BF"/>
    <w:rsid w:val="000A2684"/>
    <w:rsid w:val="000A5527"/>
    <w:rsid w:val="000A59BC"/>
    <w:rsid w:val="000A5CA3"/>
    <w:rsid w:val="000B3C81"/>
    <w:rsid w:val="000B50D3"/>
    <w:rsid w:val="000C540A"/>
    <w:rsid w:val="000D1B84"/>
    <w:rsid w:val="000D2792"/>
    <w:rsid w:val="000D27CA"/>
    <w:rsid w:val="000D33A6"/>
    <w:rsid w:val="000D7C96"/>
    <w:rsid w:val="000E3AED"/>
    <w:rsid w:val="000E7496"/>
    <w:rsid w:val="000F0E10"/>
    <w:rsid w:val="001006A2"/>
    <w:rsid w:val="001017B5"/>
    <w:rsid w:val="001029CF"/>
    <w:rsid w:val="00104262"/>
    <w:rsid w:val="00104BBE"/>
    <w:rsid w:val="00115E97"/>
    <w:rsid w:val="00115F99"/>
    <w:rsid w:val="00127D6B"/>
    <w:rsid w:val="00132E82"/>
    <w:rsid w:val="00133FCB"/>
    <w:rsid w:val="00134610"/>
    <w:rsid w:val="00140AAE"/>
    <w:rsid w:val="00145880"/>
    <w:rsid w:val="001574AF"/>
    <w:rsid w:val="0015C0A8"/>
    <w:rsid w:val="00167B28"/>
    <w:rsid w:val="00171EAF"/>
    <w:rsid w:val="001724E0"/>
    <w:rsid w:val="00174F13"/>
    <w:rsid w:val="0017666D"/>
    <w:rsid w:val="00177FA4"/>
    <w:rsid w:val="001845C3"/>
    <w:rsid w:val="00184B3F"/>
    <w:rsid w:val="00186A18"/>
    <w:rsid w:val="001962DE"/>
    <w:rsid w:val="001A00B5"/>
    <w:rsid w:val="001A0980"/>
    <w:rsid w:val="001A0AC0"/>
    <w:rsid w:val="001A19B7"/>
    <w:rsid w:val="001A26CC"/>
    <w:rsid w:val="001A38D5"/>
    <w:rsid w:val="001A5D91"/>
    <w:rsid w:val="001A5E0F"/>
    <w:rsid w:val="001A623F"/>
    <w:rsid w:val="001A7953"/>
    <w:rsid w:val="001B06E9"/>
    <w:rsid w:val="001B0F80"/>
    <w:rsid w:val="001C1AAC"/>
    <w:rsid w:val="001C2B28"/>
    <w:rsid w:val="001C73E3"/>
    <w:rsid w:val="001D33E3"/>
    <w:rsid w:val="001D3762"/>
    <w:rsid w:val="001E3454"/>
    <w:rsid w:val="001E5301"/>
    <w:rsid w:val="001E56EA"/>
    <w:rsid w:val="001E74A6"/>
    <w:rsid w:val="001F2652"/>
    <w:rsid w:val="001F2D35"/>
    <w:rsid w:val="001F3819"/>
    <w:rsid w:val="001F5D6B"/>
    <w:rsid w:val="001F749B"/>
    <w:rsid w:val="00203C7B"/>
    <w:rsid w:val="002107B5"/>
    <w:rsid w:val="00211AE2"/>
    <w:rsid w:val="0021601C"/>
    <w:rsid w:val="00216071"/>
    <w:rsid w:val="00217F13"/>
    <w:rsid w:val="002229C3"/>
    <w:rsid w:val="00222B1D"/>
    <w:rsid w:val="00222D24"/>
    <w:rsid w:val="002255B4"/>
    <w:rsid w:val="00227F41"/>
    <w:rsid w:val="002372C6"/>
    <w:rsid w:val="00243134"/>
    <w:rsid w:val="00243545"/>
    <w:rsid w:val="00243EED"/>
    <w:rsid w:val="002464EE"/>
    <w:rsid w:val="00254A5B"/>
    <w:rsid w:val="002574CF"/>
    <w:rsid w:val="00260A79"/>
    <w:rsid w:val="00266A8F"/>
    <w:rsid w:val="00281096"/>
    <w:rsid w:val="00284776"/>
    <w:rsid w:val="002876E8"/>
    <w:rsid w:val="002916FE"/>
    <w:rsid w:val="00293A2E"/>
    <w:rsid w:val="00297F5A"/>
    <w:rsid w:val="002A0EDD"/>
    <w:rsid w:val="002A28BB"/>
    <w:rsid w:val="002A66DE"/>
    <w:rsid w:val="002B1C40"/>
    <w:rsid w:val="002C198C"/>
    <w:rsid w:val="002C439C"/>
    <w:rsid w:val="002C4DAD"/>
    <w:rsid w:val="002D13E2"/>
    <w:rsid w:val="002D4A4A"/>
    <w:rsid w:val="002D5BAF"/>
    <w:rsid w:val="002D7CF7"/>
    <w:rsid w:val="002E11CE"/>
    <w:rsid w:val="002E3036"/>
    <w:rsid w:val="002E439A"/>
    <w:rsid w:val="002E461C"/>
    <w:rsid w:val="002E5306"/>
    <w:rsid w:val="002F1E62"/>
    <w:rsid w:val="002F53B4"/>
    <w:rsid w:val="002F66AB"/>
    <w:rsid w:val="002F7474"/>
    <w:rsid w:val="003002D1"/>
    <w:rsid w:val="0031536F"/>
    <w:rsid w:val="00320026"/>
    <w:rsid w:val="003203FD"/>
    <w:rsid w:val="00321F6D"/>
    <w:rsid w:val="00324928"/>
    <w:rsid w:val="00333DD9"/>
    <w:rsid w:val="0033486F"/>
    <w:rsid w:val="00335F03"/>
    <w:rsid w:val="003371AD"/>
    <w:rsid w:val="00342A44"/>
    <w:rsid w:val="003435B6"/>
    <w:rsid w:val="00345FCA"/>
    <w:rsid w:val="0034732D"/>
    <w:rsid w:val="0035074B"/>
    <w:rsid w:val="00352183"/>
    <w:rsid w:val="00356694"/>
    <w:rsid w:val="003569E0"/>
    <w:rsid w:val="003645C4"/>
    <w:rsid w:val="00365E8A"/>
    <w:rsid w:val="003878E6"/>
    <w:rsid w:val="003907E2"/>
    <w:rsid w:val="0039438F"/>
    <w:rsid w:val="00394A06"/>
    <w:rsid w:val="00395594"/>
    <w:rsid w:val="00396122"/>
    <w:rsid w:val="00397C9D"/>
    <w:rsid w:val="003A29F3"/>
    <w:rsid w:val="003A728B"/>
    <w:rsid w:val="003B0462"/>
    <w:rsid w:val="003B5A73"/>
    <w:rsid w:val="003C1FDC"/>
    <w:rsid w:val="003D13DD"/>
    <w:rsid w:val="003E01B2"/>
    <w:rsid w:val="003E0772"/>
    <w:rsid w:val="003E0D74"/>
    <w:rsid w:val="003E0F57"/>
    <w:rsid w:val="003E19D7"/>
    <w:rsid w:val="003E1C4E"/>
    <w:rsid w:val="003F0E57"/>
    <w:rsid w:val="003F36E2"/>
    <w:rsid w:val="003F4581"/>
    <w:rsid w:val="00404831"/>
    <w:rsid w:val="00406F3E"/>
    <w:rsid w:val="00410A78"/>
    <w:rsid w:val="00413583"/>
    <w:rsid w:val="004151B6"/>
    <w:rsid w:val="00415A15"/>
    <w:rsid w:val="00416B29"/>
    <w:rsid w:val="004203FC"/>
    <w:rsid w:val="00420AF5"/>
    <w:rsid w:val="0042302F"/>
    <w:rsid w:val="00425319"/>
    <w:rsid w:val="004263DF"/>
    <w:rsid w:val="004309E1"/>
    <w:rsid w:val="00436384"/>
    <w:rsid w:val="00436FFC"/>
    <w:rsid w:val="00437906"/>
    <w:rsid w:val="00442535"/>
    <w:rsid w:val="004632BB"/>
    <w:rsid w:val="004716D2"/>
    <w:rsid w:val="00473DE6"/>
    <w:rsid w:val="00473FEB"/>
    <w:rsid w:val="00480276"/>
    <w:rsid w:val="00483D18"/>
    <w:rsid w:val="00491E58"/>
    <w:rsid w:val="0049452D"/>
    <w:rsid w:val="00494F92"/>
    <w:rsid w:val="00496D37"/>
    <w:rsid w:val="00497A0B"/>
    <w:rsid w:val="004A4B40"/>
    <w:rsid w:val="004A6F87"/>
    <w:rsid w:val="004B3F11"/>
    <w:rsid w:val="004C29CC"/>
    <w:rsid w:val="004E0329"/>
    <w:rsid w:val="004E0ACC"/>
    <w:rsid w:val="004E2C3C"/>
    <w:rsid w:val="004E3327"/>
    <w:rsid w:val="004E55DA"/>
    <w:rsid w:val="004F4ED7"/>
    <w:rsid w:val="004F5425"/>
    <w:rsid w:val="00502F04"/>
    <w:rsid w:val="005069BC"/>
    <w:rsid w:val="00512957"/>
    <w:rsid w:val="005140E1"/>
    <w:rsid w:val="00515C50"/>
    <w:rsid w:val="00517440"/>
    <w:rsid w:val="00517F86"/>
    <w:rsid w:val="005200D3"/>
    <w:rsid w:val="00523151"/>
    <w:rsid w:val="00523D0D"/>
    <w:rsid w:val="00523DFF"/>
    <w:rsid w:val="0052500F"/>
    <w:rsid w:val="00525B9E"/>
    <w:rsid w:val="005302E0"/>
    <w:rsid w:val="00534094"/>
    <w:rsid w:val="00540695"/>
    <w:rsid w:val="0054157A"/>
    <w:rsid w:val="005427CB"/>
    <w:rsid w:val="00544A59"/>
    <w:rsid w:val="00546CB7"/>
    <w:rsid w:val="00551659"/>
    <w:rsid w:val="0055283B"/>
    <w:rsid w:val="00554FC1"/>
    <w:rsid w:val="005703AE"/>
    <w:rsid w:val="00571B0B"/>
    <w:rsid w:val="00572AB4"/>
    <w:rsid w:val="00575B9C"/>
    <w:rsid w:val="0058270D"/>
    <w:rsid w:val="00593D98"/>
    <w:rsid w:val="00596FB2"/>
    <w:rsid w:val="005979CD"/>
    <w:rsid w:val="005B0D17"/>
    <w:rsid w:val="005B3429"/>
    <w:rsid w:val="005B367B"/>
    <w:rsid w:val="005B55BA"/>
    <w:rsid w:val="005B6F65"/>
    <w:rsid w:val="005B73E1"/>
    <w:rsid w:val="005C0CEE"/>
    <w:rsid w:val="005C15FE"/>
    <w:rsid w:val="005C2FE2"/>
    <w:rsid w:val="005C582A"/>
    <w:rsid w:val="005C7001"/>
    <w:rsid w:val="005D076B"/>
    <w:rsid w:val="005D1ACB"/>
    <w:rsid w:val="005D2BD9"/>
    <w:rsid w:val="005D34D3"/>
    <w:rsid w:val="005D77D9"/>
    <w:rsid w:val="005E081D"/>
    <w:rsid w:val="005E36AD"/>
    <w:rsid w:val="005E51F7"/>
    <w:rsid w:val="005F1932"/>
    <w:rsid w:val="005F4052"/>
    <w:rsid w:val="005F6738"/>
    <w:rsid w:val="0060217C"/>
    <w:rsid w:val="00602272"/>
    <w:rsid w:val="006034F4"/>
    <w:rsid w:val="00605311"/>
    <w:rsid w:val="0061171E"/>
    <w:rsid w:val="0061395B"/>
    <w:rsid w:val="00614FB2"/>
    <w:rsid w:val="00616107"/>
    <w:rsid w:val="00616D0B"/>
    <w:rsid w:val="00622FA4"/>
    <w:rsid w:val="006230E0"/>
    <w:rsid w:val="00626B45"/>
    <w:rsid w:val="006306B5"/>
    <w:rsid w:val="00634A87"/>
    <w:rsid w:val="00640C33"/>
    <w:rsid w:val="006438E6"/>
    <w:rsid w:val="00644B86"/>
    <w:rsid w:val="00644CE3"/>
    <w:rsid w:val="00645A48"/>
    <w:rsid w:val="0065111A"/>
    <w:rsid w:val="006511A9"/>
    <w:rsid w:val="006520E7"/>
    <w:rsid w:val="00655C9A"/>
    <w:rsid w:val="00656D84"/>
    <w:rsid w:val="006579D3"/>
    <w:rsid w:val="00667A63"/>
    <w:rsid w:val="006748D4"/>
    <w:rsid w:val="00675991"/>
    <w:rsid w:val="00677D49"/>
    <w:rsid w:val="006804C5"/>
    <w:rsid w:val="006827E8"/>
    <w:rsid w:val="0068379E"/>
    <w:rsid w:val="0069017F"/>
    <w:rsid w:val="0069661E"/>
    <w:rsid w:val="006967ED"/>
    <w:rsid w:val="006A493D"/>
    <w:rsid w:val="006B1D60"/>
    <w:rsid w:val="006B7397"/>
    <w:rsid w:val="006B7A8B"/>
    <w:rsid w:val="006C39A0"/>
    <w:rsid w:val="006C3B80"/>
    <w:rsid w:val="006D3A4A"/>
    <w:rsid w:val="006D5A82"/>
    <w:rsid w:val="006E130C"/>
    <w:rsid w:val="006E2536"/>
    <w:rsid w:val="006E41E4"/>
    <w:rsid w:val="006E442B"/>
    <w:rsid w:val="006E67F8"/>
    <w:rsid w:val="006F2933"/>
    <w:rsid w:val="006F6E5F"/>
    <w:rsid w:val="007016ED"/>
    <w:rsid w:val="007025B4"/>
    <w:rsid w:val="00702B8E"/>
    <w:rsid w:val="00703407"/>
    <w:rsid w:val="00704219"/>
    <w:rsid w:val="00706047"/>
    <w:rsid w:val="0071114E"/>
    <w:rsid w:val="0072445C"/>
    <w:rsid w:val="00724ABD"/>
    <w:rsid w:val="00730424"/>
    <w:rsid w:val="0073140F"/>
    <w:rsid w:val="00734839"/>
    <w:rsid w:val="0074031D"/>
    <w:rsid w:val="00740BC9"/>
    <w:rsid w:val="00740D89"/>
    <w:rsid w:val="00741217"/>
    <w:rsid w:val="00743501"/>
    <w:rsid w:val="00753307"/>
    <w:rsid w:val="007562DF"/>
    <w:rsid w:val="00767505"/>
    <w:rsid w:val="0077006F"/>
    <w:rsid w:val="00777248"/>
    <w:rsid w:val="0078382F"/>
    <w:rsid w:val="00785374"/>
    <w:rsid w:val="00787172"/>
    <w:rsid w:val="00791530"/>
    <w:rsid w:val="00791DC3"/>
    <w:rsid w:val="00791F5A"/>
    <w:rsid w:val="007923C0"/>
    <w:rsid w:val="007A0F4F"/>
    <w:rsid w:val="007A412F"/>
    <w:rsid w:val="007A4C6E"/>
    <w:rsid w:val="007B7CBA"/>
    <w:rsid w:val="007C02A8"/>
    <w:rsid w:val="007C1C40"/>
    <w:rsid w:val="007C272D"/>
    <w:rsid w:val="007C7228"/>
    <w:rsid w:val="007D2F5A"/>
    <w:rsid w:val="007D606A"/>
    <w:rsid w:val="007D7439"/>
    <w:rsid w:val="007E04C4"/>
    <w:rsid w:val="007E0D81"/>
    <w:rsid w:val="007E0DA3"/>
    <w:rsid w:val="007E367B"/>
    <w:rsid w:val="007E3FF0"/>
    <w:rsid w:val="007E62DA"/>
    <w:rsid w:val="007E7B7F"/>
    <w:rsid w:val="007F00A2"/>
    <w:rsid w:val="007F516E"/>
    <w:rsid w:val="007F5AC7"/>
    <w:rsid w:val="0080057D"/>
    <w:rsid w:val="008020C5"/>
    <w:rsid w:val="00805763"/>
    <w:rsid w:val="008074DD"/>
    <w:rsid w:val="00812ABA"/>
    <w:rsid w:val="00813F26"/>
    <w:rsid w:val="00814455"/>
    <w:rsid w:val="008153C6"/>
    <w:rsid w:val="008224CF"/>
    <w:rsid w:val="00823978"/>
    <w:rsid w:val="00843302"/>
    <w:rsid w:val="00850B82"/>
    <w:rsid w:val="008535E6"/>
    <w:rsid w:val="00861C78"/>
    <w:rsid w:val="0086733F"/>
    <w:rsid w:val="00867F63"/>
    <w:rsid w:val="0087132C"/>
    <w:rsid w:val="008758F4"/>
    <w:rsid w:val="00882A8F"/>
    <w:rsid w:val="008832B1"/>
    <w:rsid w:val="0088492C"/>
    <w:rsid w:val="00890C69"/>
    <w:rsid w:val="008A468D"/>
    <w:rsid w:val="008A73D0"/>
    <w:rsid w:val="008A7513"/>
    <w:rsid w:val="008B401A"/>
    <w:rsid w:val="008B4AD0"/>
    <w:rsid w:val="008B52AA"/>
    <w:rsid w:val="008B608D"/>
    <w:rsid w:val="008B7E18"/>
    <w:rsid w:val="008C23DD"/>
    <w:rsid w:val="008C2B58"/>
    <w:rsid w:val="008C689A"/>
    <w:rsid w:val="008C6973"/>
    <w:rsid w:val="008D2AD3"/>
    <w:rsid w:val="008E15C7"/>
    <w:rsid w:val="008E246A"/>
    <w:rsid w:val="008E46A1"/>
    <w:rsid w:val="008E7D10"/>
    <w:rsid w:val="008E7F44"/>
    <w:rsid w:val="008F1D04"/>
    <w:rsid w:val="008F4FB1"/>
    <w:rsid w:val="008F5600"/>
    <w:rsid w:val="008F7844"/>
    <w:rsid w:val="00902E8F"/>
    <w:rsid w:val="0090741B"/>
    <w:rsid w:val="00907B14"/>
    <w:rsid w:val="00910AB5"/>
    <w:rsid w:val="00912439"/>
    <w:rsid w:val="009166E9"/>
    <w:rsid w:val="00923E9A"/>
    <w:rsid w:val="00924FEB"/>
    <w:rsid w:val="00927028"/>
    <w:rsid w:val="00931F86"/>
    <w:rsid w:val="00935299"/>
    <w:rsid w:val="009378F9"/>
    <w:rsid w:val="009414B2"/>
    <w:rsid w:val="0094268A"/>
    <w:rsid w:val="009448EF"/>
    <w:rsid w:val="00944997"/>
    <w:rsid w:val="00945380"/>
    <w:rsid w:val="009472F8"/>
    <w:rsid w:val="00947830"/>
    <w:rsid w:val="00947C74"/>
    <w:rsid w:val="00952B5F"/>
    <w:rsid w:val="00952CCB"/>
    <w:rsid w:val="009560CF"/>
    <w:rsid w:val="0096393A"/>
    <w:rsid w:val="00972ABB"/>
    <w:rsid w:val="0097403A"/>
    <w:rsid w:val="009743E2"/>
    <w:rsid w:val="009759A5"/>
    <w:rsid w:val="009760F7"/>
    <w:rsid w:val="00985199"/>
    <w:rsid w:val="0098658A"/>
    <w:rsid w:val="00992271"/>
    <w:rsid w:val="009922B4"/>
    <w:rsid w:val="00997A2A"/>
    <w:rsid w:val="00997D28"/>
    <w:rsid w:val="009A2B69"/>
    <w:rsid w:val="009A5170"/>
    <w:rsid w:val="009B16F1"/>
    <w:rsid w:val="009B5699"/>
    <w:rsid w:val="009B588E"/>
    <w:rsid w:val="009B5F79"/>
    <w:rsid w:val="009C0028"/>
    <w:rsid w:val="009C206A"/>
    <w:rsid w:val="009C5229"/>
    <w:rsid w:val="009C654E"/>
    <w:rsid w:val="009D2026"/>
    <w:rsid w:val="009D3B70"/>
    <w:rsid w:val="009D4D12"/>
    <w:rsid w:val="009D5D90"/>
    <w:rsid w:val="009E2FA9"/>
    <w:rsid w:val="009E5F2C"/>
    <w:rsid w:val="009E643D"/>
    <w:rsid w:val="009E74D6"/>
    <w:rsid w:val="009E7A93"/>
    <w:rsid w:val="00A07276"/>
    <w:rsid w:val="00A07524"/>
    <w:rsid w:val="00A136DA"/>
    <w:rsid w:val="00A146B4"/>
    <w:rsid w:val="00A1725C"/>
    <w:rsid w:val="00A20687"/>
    <w:rsid w:val="00A20990"/>
    <w:rsid w:val="00A23B26"/>
    <w:rsid w:val="00A24863"/>
    <w:rsid w:val="00A251E0"/>
    <w:rsid w:val="00A25D4F"/>
    <w:rsid w:val="00A34B81"/>
    <w:rsid w:val="00A35BBD"/>
    <w:rsid w:val="00A3706F"/>
    <w:rsid w:val="00A37342"/>
    <w:rsid w:val="00A37ADD"/>
    <w:rsid w:val="00A42BED"/>
    <w:rsid w:val="00A43F24"/>
    <w:rsid w:val="00A47CF7"/>
    <w:rsid w:val="00A4F727"/>
    <w:rsid w:val="00A55670"/>
    <w:rsid w:val="00A55A84"/>
    <w:rsid w:val="00A56C33"/>
    <w:rsid w:val="00A61821"/>
    <w:rsid w:val="00A62735"/>
    <w:rsid w:val="00A639F6"/>
    <w:rsid w:val="00A73240"/>
    <w:rsid w:val="00A74CFF"/>
    <w:rsid w:val="00A75483"/>
    <w:rsid w:val="00A81C6B"/>
    <w:rsid w:val="00A8571C"/>
    <w:rsid w:val="00A85FBA"/>
    <w:rsid w:val="00A86A33"/>
    <w:rsid w:val="00A87D55"/>
    <w:rsid w:val="00A9192A"/>
    <w:rsid w:val="00A92853"/>
    <w:rsid w:val="00A94D1B"/>
    <w:rsid w:val="00A957EF"/>
    <w:rsid w:val="00A96FDE"/>
    <w:rsid w:val="00AA39CC"/>
    <w:rsid w:val="00AA5C47"/>
    <w:rsid w:val="00AA6A91"/>
    <w:rsid w:val="00AB3286"/>
    <w:rsid w:val="00AB4F47"/>
    <w:rsid w:val="00AB5F58"/>
    <w:rsid w:val="00AC1D38"/>
    <w:rsid w:val="00AC243D"/>
    <w:rsid w:val="00AC41DB"/>
    <w:rsid w:val="00AC5D59"/>
    <w:rsid w:val="00AC6533"/>
    <w:rsid w:val="00AD13C2"/>
    <w:rsid w:val="00AD1B6F"/>
    <w:rsid w:val="00AD2374"/>
    <w:rsid w:val="00AD2D25"/>
    <w:rsid w:val="00AD65B0"/>
    <w:rsid w:val="00AD736A"/>
    <w:rsid w:val="00AE400D"/>
    <w:rsid w:val="00AE5C56"/>
    <w:rsid w:val="00AF34E5"/>
    <w:rsid w:val="00AF36B8"/>
    <w:rsid w:val="00AF42AC"/>
    <w:rsid w:val="00AF6143"/>
    <w:rsid w:val="00AF78B4"/>
    <w:rsid w:val="00B011F8"/>
    <w:rsid w:val="00B01B6D"/>
    <w:rsid w:val="00B0267A"/>
    <w:rsid w:val="00B0353A"/>
    <w:rsid w:val="00B037F3"/>
    <w:rsid w:val="00B06CFB"/>
    <w:rsid w:val="00B11B3B"/>
    <w:rsid w:val="00B163DE"/>
    <w:rsid w:val="00B17378"/>
    <w:rsid w:val="00B20047"/>
    <w:rsid w:val="00B2015B"/>
    <w:rsid w:val="00B20B48"/>
    <w:rsid w:val="00B22004"/>
    <w:rsid w:val="00B23E6E"/>
    <w:rsid w:val="00B255FB"/>
    <w:rsid w:val="00B31217"/>
    <w:rsid w:val="00B33698"/>
    <w:rsid w:val="00B342A4"/>
    <w:rsid w:val="00B377EF"/>
    <w:rsid w:val="00B41D08"/>
    <w:rsid w:val="00B42D57"/>
    <w:rsid w:val="00B46546"/>
    <w:rsid w:val="00B504D7"/>
    <w:rsid w:val="00B5063E"/>
    <w:rsid w:val="00B51E06"/>
    <w:rsid w:val="00B5415A"/>
    <w:rsid w:val="00B625D8"/>
    <w:rsid w:val="00B64DAD"/>
    <w:rsid w:val="00B73AAE"/>
    <w:rsid w:val="00B73C1C"/>
    <w:rsid w:val="00B74993"/>
    <w:rsid w:val="00B76233"/>
    <w:rsid w:val="00B82B19"/>
    <w:rsid w:val="00B82EA1"/>
    <w:rsid w:val="00B92779"/>
    <w:rsid w:val="00B93DBB"/>
    <w:rsid w:val="00B94896"/>
    <w:rsid w:val="00BA2CC7"/>
    <w:rsid w:val="00BA2FE3"/>
    <w:rsid w:val="00BB349E"/>
    <w:rsid w:val="00BB580E"/>
    <w:rsid w:val="00BC0A8A"/>
    <w:rsid w:val="00BC37D2"/>
    <w:rsid w:val="00BC762C"/>
    <w:rsid w:val="00BD04DD"/>
    <w:rsid w:val="00BD2551"/>
    <w:rsid w:val="00BD25B4"/>
    <w:rsid w:val="00BD2FDC"/>
    <w:rsid w:val="00BD40BD"/>
    <w:rsid w:val="00BE0FA7"/>
    <w:rsid w:val="00BE2819"/>
    <w:rsid w:val="00BE2976"/>
    <w:rsid w:val="00BE341A"/>
    <w:rsid w:val="00BE651B"/>
    <w:rsid w:val="00BE6A8F"/>
    <w:rsid w:val="00BF3A55"/>
    <w:rsid w:val="00C007E6"/>
    <w:rsid w:val="00C03082"/>
    <w:rsid w:val="00C10E82"/>
    <w:rsid w:val="00C11F38"/>
    <w:rsid w:val="00C159DF"/>
    <w:rsid w:val="00C2131E"/>
    <w:rsid w:val="00C237FB"/>
    <w:rsid w:val="00C238A9"/>
    <w:rsid w:val="00C24D33"/>
    <w:rsid w:val="00C264A1"/>
    <w:rsid w:val="00C26CF7"/>
    <w:rsid w:val="00C2736C"/>
    <w:rsid w:val="00C32046"/>
    <w:rsid w:val="00C47E90"/>
    <w:rsid w:val="00C526C9"/>
    <w:rsid w:val="00C52A7B"/>
    <w:rsid w:val="00C5552E"/>
    <w:rsid w:val="00C55A82"/>
    <w:rsid w:val="00C57768"/>
    <w:rsid w:val="00C644AA"/>
    <w:rsid w:val="00C668BC"/>
    <w:rsid w:val="00C672D9"/>
    <w:rsid w:val="00C762ED"/>
    <w:rsid w:val="00C772F9"/>
    <w:rsid w:val="00C8002A"/>
    <w:rsid w:val="00C80F16"/>
    <w:rsid w:val="00C847E9"/>
    <w:rsid w:val="00C939ED"/>
    <w:rsid w:val="00C949C8"/>
    <w:rsid w:val="00C97C4D"/>
    <w:rsid w:val="00CB23C4"/>
    <w:rsid w:val="00CB2BFE"/>
    <w:rsid w:val="00CB3BC7"/>
    <w:rsid w:val="00CB7FA3"/>
    <w:rsid w:val="00CC3AAC"/>
    <w:rsid w:val="00CC4EBD"/>
    <w:rsid w:val="00CC518B"/>
    <w:rsid w:val="00CD03E6"/>
    <w:rsid w:val="00CD1B0A"/>
    <w:rsid w:val="00CD7578"/>
    <w:rsid w:val="00CD7887"/>
    <w:rsid w:val="00CE2F62"/>
    <w:rsid w:val="00CE39FF"/>
    <w:rsid w:val="00CE5D25"/>
    <w:rsid w:val="00CF240C"/>
    <w:rsid w:val="00CF514A"/>
    <w:rsid w:val="00D004B3"/>
    <w:rsid w:val="00D06072"/>
    <w:rsid w:val="00D14259"/>
    <w:rsid w:val="00D17507"/>
    <w:rsid w:val="00D208C5"/>
    <w:rsid w:val="00D22C4D"/>
    <w:rsid w:val="00D266C9"/>
    <w:rsid w:val="00D268AB"/>
    <w:rsid w:val="00D26A44"/>
    <w:rsid w:val="00D277E2"/>
    <w:rsid w:val="00D301A2"/>
    <w:rsid w:val="00D326B4"/>
    <w:rsid w:val="00D50D50"/>
    <w:rsid w:val="00D50F3E"/>
    <w:rsid w:val="00D65454"/>
    <w:rsid w:val="00D65C23"/>
    <w:rsid w:val="00D65D2D"/>
    <w:rsid w:val="00D67931"/>
    <w:rsid w:val="00D704F6"/>
    <w:rsid w:val="00D70DD2"/>
    <w:rsid w:val="00D7333E"/>
    <w:rsid w:val="00D76016"/>
    <w:rsid w:val="00D80112"/>
    <w:rsid w:val="00D81C77"/>
    <w:rsid w:val="00D82E35"/>
    <w:rsid w:val="00D83F28"/>
    <w:rsid w:val="00D8449B"/>
    <w:rsid w:val="00D90CB0"/>
    <w:rsid w:val="00D9193D"/>
    <w:rsid w:val="00D924C7"/>
    <w:rsid w:val="00D9787C"/>
    <w:rsid w:val="00DA34FE"/>
    <w:rsid w:val="00DA5B80"/>
    <w:rsid w:val="00DA629C"/>
    <w:rsid w:val="00DB43C3"/>
    <w:rsid w:val="00DB4DCD"/>
    <w:rsid w:val="00DB7A04"/>
    <w:rsid w:val="00DC03C7"/>
    <w:rsid w:val="00DC2E26"/>
    <w:rsid w:val="00DC319E"/>
    <w:rsid w:val="00DD2D6C"/>
    <w:rsid w:val="00DD3EF8"/>
    <w:rsid w:val="00DD6219"/>
    <w:rsid w:val="00DD6F01"/>
    <w:rsid w:val="00DE0B4C"/>
    <w:rsid w:val="00DE42F1"/>
    <w:rsid w:val="00DE5054"/>
    <w:rsid w:val="00DF4737"/>
    <w:rsid w:val="00DF4F2E"/>
    <w:rsid w:val="00DF551E"/>
    <w:rsid w:val="00DF6316"/>
    <w:rsid w:val="00DF73EA"/>
    <w:rsid w:val="00E012A1"/>
    <w:rsid w:val="00E03C8D"/>
    <w:rsid w:val="00E2161F"/>
    <w:rsid w:val="00E230A8"/>
    <w:rsid w:val="00E45737"/>
    <w:rsid w:val="00E473EC"/>
    <w:rsid w:val="00E515D6"/>
    <w:rsid w:val="00E60094"/>
    <w:rsid w:val="00E75A8B"/>
    <w:rsid w:val="00E80A5A"/>
    <w:rsid w:val="00EA3ADD"/>
    <w:rsid w:val="00EA4946"/>
    <w:rsid w:val="00EA7CC0"/>
    <w:rsid w:val="00EB5727"/>
    <w:rsid w:val="00EB5C49"/>
    <w:rsid w:val="00EC0776"/>
    <w:rsid w:val="00EC2194"/>
    <w:rsid w:val="00EC6E0D"/>
    <w:rsid w:val="00ED03D9"/>
    <w:rsid w:val="00ED03DF"/>
    <w:rsid w:val="00ED1623"/>
    <w:rsid w:val="00ED2989"/>
    <w:rsid w:val="00ED5735"/>
    <w:rsid w:val="00ED8522"/>
    <w:rsid w:val="00EE06BB"/>
    <w:rsid w:val="00EE1B4D"/>
    <w:rsid w:val="00EE21B9"/>
    <w:rsid w:val="00EE2AB9"/>
    <w:rsid w:val="00EF2696"/>
    <w:rsid w:val="00EF2ECC"/>
    <w:rsid w:val="00EF3298"/>
    <w:rsid w:val="00EF4319"/>
    <w:rsid w:val="00F00047"/>
    <w:rsid w:val="00F031F5"/>
    <w:rsid w:val="00F11DE7"/>
    <w:rsid w:val="00F13B41"/>
    <w:rsid w:val="00F23167"/>
    <w:rsid w:val="00F23B60"/>
    <w:rsid w:val="00F24355"/>
    <w:rsid w:val="00F34122"/>
    <w:rsid w:val="00F3533C"/>
    <w:rsid w:val="00F4102C"/>
    <w:rsid w:val="00F44505"/>
    <w:rsid w:val="00F44A7C"/>
    <w:rsid w:val="00F46CE3"/>
    <w:rsid w:val="00F472B5"/>
    <w:rsid w:val="00F50F41"/>
    <w:rsid w:val="00F537AF"/>
    <w:rsid w:val="00F56511"/>
    <w:rsid w:val="00F570AC"/>
    <w:rsid w:val="00F61044"/>
    <w:rsid w:val="00F63C3A"/>
    <w:rsid w:val="00F719A7"/>
    <w:rsid w:val="00F72BC3"/>
    <w:rsid w:val="00F7542E"/>
    <w:rsid w:val="00F76BE6"/>
    <w:rsid w:val="00F83952"/>
    <w:rsid w:val="00F83C3F"/>
    <w:rsid w:val="00F95B93"/>
    <w:rsid w:val="00F97DFC"/>
    <w:rsid w:val="00FA14C8"/>
    <w:rsid w:val="00FB163C"/>
    <w:rsid w:val="00FB2C5F"/>
    <w:rsid w:val="00FB6DC7"/>
    <w:rsid w:val="00FB7054"/>
    <w:rsid w:val="00FB7824"/>
    <w:rsid w:val="00FC2AAC"/>
    <w:rsid w:val="00FD37A0"/>
    <w:rsid w:val="00FD6F06"/>
    <w:rsid w:val="00FD7959"/>
    <w:rsid w:val="00FE1B5C"/>
    <w:rsid w:val="00FE4125"/>
    <w:rsid w:val="00FE5CFD"/>
    <w:rsid w:val="00FF43D5"/>
    <w:rsid w:val="015EA4B2"/>
    <w:rsid w:val="016226A0"/>
    <w:rsid w:val="0176A17B"/>
    <w:rsid w:val="01E79830"/>
    <w:rsid w:val="0240C788"/>
    <w:rsid w:val="02C4ACF0"/>
    <w:rsid w:val="02F7E4BE"/>
    <w:rsid w:val="031CC383"/>
    <w:rsid w:val="037DF832"/>
    <w:rsid w:val="045103E0"/>
    <w:rsid w:val="04604087"/>
    <w:rsid w:val="04BE9E9F"/>
    <w:rsid w:val="04EB206D"/>
    <w:rsid w:val="05AA0F65"/>
    <w:rsid w:val="0686F0CE"/>
    <w:rsid w:val="0698B6CD"/>
    <w:rsid w:val="06AC48A6"/>
    <w:rsid w:val="06DC03F9"/>
    <w:rsid w:val="06F010A5"/>
    <w:rsid w:val="071F6276"/>
    <w:rsid w:val="076B0447"/>
    <w:rsid w:val="076FF9A1"/>
    <w:rsid w:val="07CB0A53"/>
    <w:rsid w:val="0807FB9E"/>
    <w:rsid w:val="080C8A9F"/>
    <w:rsid w:val="0873F730"/>
    <w:rsid w:val="088D53D4"/>
    <w:rsid w:val="08CA1895"/>
    <w:rsid w:val="091CA3D5"/>
    <w:rsid w:val="092BB2CE"/>
    <w:rsid w:val="093D205D"/>
    <w:rsid w:val="09A6E9B8"/>
    <w:rsid w:val="0A671591"/>
    <w:rsid w:val="0B3EFC95"/>
    <w:rsid w:val="0B4FCD6A"/>
    <w:rsid w:val="0B7A0DC0"/>
    <w:rsid w:val="0B882A5B"/>
    <w:rsid w:val="0BC04BCE"/>
    <w:rsid w:val="0CD56AC6"/>
    <w:rsid w:val="0DF0DBB8"/>
    <w:rsid w:val="0E09144D"/>
    <w:rsid w:val="0F875064"/>
    <w:rsid w:val="0FE853E2"/>
    <w:rsid w:val="102F0DDE"/>
    <w:rsid w:val="103F0A54"/>
    <w:rsid w:val="11094E05"/>
    <w:rsid w:val="110B473E"/>
    <w:rsid w:val="110E64C6"/>
    <w:rsid w:val="112A9E8C"/>
    <w:rsid w:val="11439232"/>
    <w:rsid w:val="116E736E"/>
    <w:rsid w:val="117335C3"/>
    <w:rsid w:val="11CC83FD"/>
    <w:rsid w:val="11DADAB5"/>
    <w:rsid w:val="12428D51"/>
    <w:rsid w:val="1294007D"/>
    <w:rsid w:val="1318B3D3"/>
    <w:rsid w:val="13658AE3"/>
    <w:rsid w:val="13803A97"/>
    <w:rsid w:val="13EC52AB"/>
    <w:rsid w:val="14152302"/>
    <w:rsid w:val="1460A762"/>
    <w:rsid w:val="1468B494"/>
    <w:rsid w:val="14CDF93B"/>
    <w:rsid w:val="14CFA67B"/>
    <w:rsid w:val="14F8E088"/>
    <w:rsid w:val="15229E8C"/>
    <w:rsid w:val="15F27611"/>
    <w:rsid w:val="161BE631"/>
    <w:rsid w:val="16A80A43"/>
    <w:rsid w:val="16CD4365"/>
    <w:rsid w:val="175BCB56"/>
    <w:rsid w:val="17ABC7B3"/>
    <w:rsid w:val="183F54FA"/>
    <w:rsid w:val="184A1C39"/>
    <w:rsid w:val="184D8506"/>
    <w:rsid w:val="18EC1AF0"/>
    <w:rsid w:val="190CDB4A"/>
    <w:rsid w:val="190E933F"/>
    <w:rsid w:val="196EFD8C"/>
    <w:rsid w:val="19796777"/>
    <w:rsid w:val="1A090E1A"/>
    <w:rsid w:val="1A2034EB"/>
    <w:rsid w:val="1A21F59D"/>
    <w:rsid w:val="1A7610A7"/>
    <w:rsid w:val="1B5DFA11"/>
    <w:rsid w:val="1B6EFA08"/>
    <w:rsid w:val="1BBDC5FE"/>
    <w:rsid w:val="1C360078"/>
    <w:rsid w:val="1C5323E9"/>
    <w:rsid w:val="1C7AF767"/>
    <w:rsid w:val="1CFBBBA7"/>
    <w:rsid w:val="1D044DCD"/>
    <w:rsid w:val="1D907A2B"/>
    <w:rsid w:val="1DE34AC8"/>
    <w:rsid w:val="1E2FDF3C"/>
    <w:rsid w:val="1E477630"/>
    <w:rsid w:val="1E8997D8"/>
    <w:rsid w:val="1E8C24A5"/>
    <w:rsid w:val="1E9862F7"/>
    <w:rsid w:val="1ED3C597"/>
    <w:rsid w:val="1EE6CE1B"/>
    <w:rsid w:val="1F4FDABE"/>
    <w:rsid w:val="1FDBB7BE"/>
    <w:rsid w:val="2025913C"/>
    <w:rsid w:val="206110B0"/>
    <w:rsid w:val="20780EC4"/>
    <w:rsid w:val="209D1A65"/>
    <w:rsid w:val="214AED85"/>
    <w:rsid w:val="21643A66"/>
    <w:rsid w:val="22E90CB7"/>
    <w:rsid w:val="235835C6"/>
    <w:rsid w:val="2442EA24"/>
    <w:rsid w:val="2506A8DE"/>
    <w:rsid w:val="2518032D"/>
    <w:rsid w:val="25708B88"/>
    <w:rsid w:val="25E9C777"/>
    <w:rsid w:val="26059B4E"/>
    <w:rsid w:val="260F1EC9"/>
    <w:rsid w:val="2618A081"/>
    <w:rsid w:val="276B6666"/>
    <w:rsid w:val="278DEB94"/>
    <w:rsid w:val="27DF08F9"/>
    <w:rsid w:val="28158C6F"/>
    <w:rsid w:val="282FFE55"/>
    <w:rsid w:val="2835E5E4"/>
    <w:rsid w:val="288CEAFB"/>
    <w:rsid w:val="28A4713B"/>
    <w:rsid w:val="28CFE025"/>
    <w:rsid w:val="28DA6B8A"/>
    <w:rsid w:val="28F34C2F"/>
    <w:rsid w:val="28F5B56B"/>
    <w:rsid w:val="292268C5"/>
    <w:rsid w:val="292278C4"/>
    <w:rsid w:val="2A429995"/>
    <w:rsid w:val="2A75F5F2"/>
    <w:rsid w:val="2A7604E1"/>
    <w:rsid w:val="2B855BDC"/>
    <w:rsid w:val="2BB2C1F5"/>
    <w:rsid w:val="2C642735"/>
    <w:rsid w:val="2CCC6DE1"/>
    <w:rsid w:val="2D5971FF"/>
    <w:rsid w:val="2DCCBCE3"/>
    <w:rsid w:val="2E1475CF"/>
    <w:rsid w:val="2E1F354A"/>
    <w:rsid w:val="2EC0A827"/>
    <w:rsid w:val="2EE32968"/>
    <w:rsid w:val="2EF9CF6F"/>
    <w:rsid w:val="2F4C7D17"/>
    <w:rsid w:val="2F987E20"/>
    <w:rsid w:val="2FBDDE89"/>
    <w:rsid w:val="3007FF7C"/>
    <w:rsid w:val="303EA44E"/>
    <w:rsid w:val="30929E7B"/>
    <w:rsid w:val="30D0EB83"/>
    <w:rsid w:val="3125CF6E"/>
    <w:rsid w:val="312EA59D"/>
    <w:rsid w:val="3144E9B8"/>
    <w:rsid w:val="31A71396"/>
    <w:rsid w:val="31FEC15B"/>
    <w:rsid w:val="3203A10F"/>
    <w:rsid w:val="32D00534"/>
    <w:rsid w:val="330C571A"/>
    <w:rsid w:val="33690355"/>
    <w:rsid w:val="33A84A85"/>
    <w:rsid w:val="33A8E336"/>
    <w:rsid w:val="33E3F461"/>
    <w:rsid w:val="33F4C6D9"/>
    <w:rsid w:val="33FC7E06"/>
    <w:rsid w:val="342335DF"/>
    <w:rsid w:val="34296905"/>
    <w:rsid w:val="34491064"/>
    <w:rsid w:val="34CCD32C"/>
    <w:rsid w:val="34E73149"/>
    <w:rsid w:val="350763DF"/>
    <w:rsid w:val="352C2B05"/>
    <w:rsid w:val="35338287"/>
    <w:rsid w:val="354B181A"/>
    <w:rsid w:val="3568E6D4"/>
    <w:rsid w:val="35BA8FAB"/>
    <w:rsid w:val="35D3D80C"/>
    <w:rsid w:val="363B93E4"/>
    <w:rsid w:val="3653DFAE"/>
    <w:rsid w:val="36A93B85"/>
    <w:rsid w:val="3731FA73"/>
    <w:rsid w:val="373B509D"/>
    <w:rsid w:val="37616228"/>
    <w:rsid w:val="37854CA7"/>
    <w:rsid w:val="37CDF1B8"/>
    <w:rsid w:val="37DCC593"/>
    <w:rsid w:val="37F3E443"/>
    <w:rsid w:val="3821D598"/>
    <w:rsid w:val="386B6152"/>
    <w:rsid w:val="38A131F9"/>
    <w:rsid w:val="38A73A99"/>
    <w:rsid w:val="3922E1E5"/>
    <w:rsid w:val="3989852D"/>
    <w:rsid w:val="39BC20A6"/>
    <w:rsid w:val="3A72F15F"/>
    <w:rsid w:val="3AEA59B2"/>
    <w:rsid w:val="3AEC6EAF"/>
    <w:rsid w:val="3AEE62E7"/>
    <w:rsid w:val="3B0619B6"/>
    <w:rsid w:val="3B553754"/>
    <w:rsid w:val="3B686BA3"/>
    <w:rsid w:val="3BBD3E0C"/>
    <w:rsid w:val="3BBE7A4E"/>
    <w:rsid w:val="3BD747FD"/>
    <w:rsid w:val="3C77B1C3"/>
    <w:rsid w:val="3CC1A8F9"/>
    <w:rsid w:val="3CE84F4B"/>
    <w:rsid w:val="3D56A5F5"/>
    <w:rsid w:val="3E7B4508"/>
    <w:rsid w:val="3EE98DAC"/>
    <w:rsid w:val="3F7935B9"/>
    <w:rsid w:val="3F83083F"/>
    <w:rsid w:val="3FC38C51"/>
    <w:rsid w:val="40095920"/>
    <w:rsid w:val="403EC476"/>
    <w:rsid w:val="40A93B9B"/>
    <w:rsid w:val="40AC029B"/>
    <w:rsid w:val="40B7F7CD"/>
    <w:rsid w:val="4163FDCE"/>
    <w:rsid w:val="41CF65B6"/>
    <w:rsid w:val="4210CD64"/>
    <w:rsid w:val="42438A92"/>
    <w:rsid w:val="42451F6D"/>
    <w:rsid w:val="43868917"/>
    <w:rsid w:val="43D85CD3"/>
    <w:rsid w:val="44244D4A"/>
    <w:rsid w:val="44ECBF76"/>
    <w:rsid w:val="4555E9CB"/>
    <w:rsid w:val="4592DFC3"/>
    <w:rsid w:val="4593257F"/>
    <w:rsid w:val="46DCB8C3"/>
    <w:rsid w:val="470006A7"/>
    <w:rsid w:val="4759C8F2"/>
    <w:rsid w:val="476388D9"/>
    <w:rsid w:val="4786BE2C"/>
    <w:rsid w:val="47B6109D"/>
    <w:rsid w:val="4857532B"/>
    <w:rsid w:val="485AA111"/>
    <w:rsid w:val="4939DFD3"/>
    <w:rsid w:val="493BDD7E"/>
    <w:rsid w:val="4967A56D"/>
    <w:rsid w:val="499C1E29"/>
    <w:rsid w:val="4A477FC6"/>
    <w:rsid w:val="4A5DCAE1"/>
    <w:rsid w:val="4BE57AAA"/>
    <w:rsid w:val="4C5F89BB"/>
    <w:rsid w:val="4C618B47"/>
    <w:rsid w:val="4C93D412"/>
    <w:rsid w:val="4CCFF413"/>
    <w:rsid w:val="4CF85DDE"/>
    <w:rsid w:val="4D5835E4"/>
    <w:rsid w:val="4D5DC48F"/>
    <w:rsid w:val="4D777FEB"/>
    <w:rsid w:val="4DC5A978"/>
    <w:rsid w:val="4E0C1A7D"/>
    <w:rsid w:val="4E271902"/>
    <w:rsid w:val="4EF07ED0"/>
    <w:rsid w:val="4EFEF89C"/>
    <w:rsid w:val="4F21E74D"/>
    <w:rsid w:val="4F2B8FFB"/>
    <w:rsid w:val="4F6ECB33"/>
    <w:rsid w:val="504ECBA6"/>
    <w:rsid w:val="50617346"/>
    <w:rsid w:val="5128AD52"/>
    <w:rsid w:val="5145F7BD"/>
    <w:rsid w:val="519073F6"/>
    <w:rsid w:val="51C99B19"/>
    <w:rsid w:val="523C78BE"/>
    <w:rsid w:val="527D2378"/>
    <w:rsid w:val="52A5C9CC"/>
    <w:rsid w:val="53D7B1A7"/>
    <w:rsid w:val="53EB84CA"/>
    <w:rsid w:val="53F22A61"/>
    <w:rsid w:val="5423018A"/>
    <w:rsid w:val="54DBB352"/>
    <w:rsid w:val="54F4E5C8"/>
    <w:rsid w:val="554CEF74"/>
    <w:rsid w:val="555556E5"/>
    <w:rsid w:val="558C5CF0"/>
    <w:rsid w:val="55EF4530"/>
    <w:rsid w:val="55FE6F83"/>
    <w:rsid w:val="5618F0D2"/>
    <w:rsid w:val="564218E4"/>
    <w:rsid w:val="5662B91C"/>
    <w:rsid w:val="56AC55FE"/>
    <w:rsid w:val="57148E38"/>
    <w:rsid w:val="5723258C"/>
    <w:rsid w:val="579F640D"/>
    <w:rsid w:val="57DCBBFF"/>
    <w:rsid w:val="57DF8707"/>
    <w:rsid w:val="57FF7635"/>
    <w:rsid w:val="580DBE40"/>
    <w:rsid w:val="5818D156"/>
    <w:rsid w:val="582E0C15"/>
    <w:rsid w:val="58667A14"/>
    <w:rsid w:val="586F4DFA"/>
    <w:rsid w:val="58739C1E"/>
    <w:rsid w:val="58BAB3F8"/>
    <w:rsid w:val="58D27241"/>
    <w:rsid w:val="58DAB002"/>
    <w:rsid w:val="5937A002"/>
    <w:rsid w:val="598D6C82"/>
    <w:rsid w:val="599032D3"/>
    <w:rsid w:val="59F5CABF"/>
    <w:rsid w:val="59F8DA8C"/>
    <w:rsid w:val="59FA030A"/>
    <w:rsid w:val="5A7BD2A0"/>
    <w:rsid w:val="5AB95AAE"/>
    <w:rsid w:val="5AC16364"/>
    <w:rsid w:val="5B8DFD46"/>
    <w:rsid w:val="5BFB9E74"/>
    <w:rsid w:val="5BFBAC0E"/>
    <w:rsid w:val="5BFF0741"/>
    <w:rsid w:val="5C0A1303"/>
    <w:rsid w:val="5C118AF4"/>
    <w:rsid w:val="5C14C861"/>
    <w:rsid w:val="5C2BC5D2"/>
    <w:rsid w:val="5C8F9657"/>
    <w:rsid w:val="5CB5E9AF"/>
    <w:rsid w:val="5D8E251B"/>
    <w:rsid w:val="5E2A9545"/>
    <w:rsid w:val="5E7600D7"/>
    <w:rsid w:val="5ED4200A"/>
    <w:rsid w:val="601BA7EB"/>
    <w:rsid w:val="6054B545"/>
    <w:rsid w:val="60C691E7"/>
    <w:rsid w:val="60CF0F97"/>
    <w:rsid w:val="6108EA43"/>
    <w:rsid w:val="612791A8"/>
    <w:rsid w:val="613D2D35"/>
    <w:rsid w:val="621F1341"/>
    <w:rsid w:val="624F1427"/>
    <w:rsid w:val="6281CF65"/>
    <w:rsid w:val="62B4AF80"/>
    <w:rsid w:val="631DB0E4"/>
    <w:rsid w:val="631F09AA"/>
    <w:rsid w:val="636ACED5"/>
    <w:rsid w:val="63B57A58"/>
    <w:rsid w:val="63DEA376"/>
    <w:rsid w:val="63FD669F"/>
    <w:rsid w:val="642B5969"/>
    <w:rsid w:val="644C1FB7"/>
    <w:rsid w:val="64929B9F"/>
    <w:rsid w:val="6543CF93"/>
    <w:rsid w:val="65993700"/>
    <w:rsid w:val="65A1F105"/>
    <w:rsid w:val="65A47D8A"/>
    <w:rsid w:val="65B85CB9"/>
    <w:rsid w:val="66131125"/>
    <w:rsid w:val="6620624F"/>
    <w:rsid w:val="6657591C"/>
    <w:rsid w:val="666D4A57"/>
    <w:rsid w:val="669DE724"/>
    <w:rsid w:val="66E00390"/>
    <w:rsid w:val="672696E4"/>
    <w:rsid w:val="67294D06"/>
    <w:rsid w:val="679B91ED"/>
    <w:rsid w:val="67B6EF73"/>
    <w:rsid w:val="6840889D"/>
    <w:rsid w:val="68728F43"/>
    <w:rsid w:val="68B8C291"/>
    <w:rsid w:val="6906E701"/>
    <w:rsid w:val="69726CDA"/>
    <w:rsid w:val="69A2D196"/>
    <w:rsid w:val="69A4240A"/>
    <w:rsid w:val="69C330A1"/>
    <w:rsid w:val="69F4BAD3"/>
    <w:rsid w:val="6A2E83F9"/>
    <w:rsid w:val="6A3F8B84"/>
    <w:rsid w:val="6A7F118E"/>
    <w:rsid w:val="6AB2B61B"/>
    <w:rsid w:val="6AC74BDD"/>
    <w:rsid w:val="6B4054AB"/>
    <w:rsid w:val="6B49CB98"/>
    <w:rsid w:val="6B8DFF15"/>
    <w:rsid w:val="6BDA6FB9"/>
    <w:rsid w:val="6C4419C8"/>
    <w:rsid w:val="6C80AA25"/>
    <w:rsid w:val="6CC06003"/>
    <w:rsid w:val="6CF4BF37"/>
    <w:rsid w:val="6DADACE7"/>
    <w:rsid w:val="6DECB43E"/>
    <w:rsid w:val="6E684D4F"/>
    <w:rsid w:val="6E73208F"/>
    <w:rsid w:val="6E96A1C4"/>
    <w:rsid w:val="6F7FE794"/>
    <w:rsid w:val="6F9767D5"/>
    <w:rsid w:val="6FC2F79B"/>
    <w:rsid w:val="6FEB1BB0"/>
    <w:rsid w:val="7028DD97"/>
    <w:rsid w:val="7060D75E"/>
    <w:rsid w:val="710F4C20"/>
    <w:rsid w:val="711BB7F5"/>
    <w:rsid w:val="71402ABD"/>
    <w:rsid w:val="71631FBC"/>
    <w:rsid w:val="71896AB1"/>
    <w:rsid w:val="718E04F5"/>
    <w:rsid w:val="72381E48"/>
    <w:rsid w:val="72A07BF7"/>
    <w:rsid w:val="72D6722F"/>
    <w:rsid w:val="7352549E"/>
    <w:rsid w:val="73569693"/>
    <w:rsid w:val="740E8A47"/>
    <w:rsid w:val="748F241F"/>
    <w:rsid w:val="74B1A9C0"/>
    <w:rsid w:val="75B12295"/>
    <w:rsid w:val="75D4C90D"/>
    <w:rsid w:val="75D600BB"/>
    <w:rsid w:val="75DFB3EC"/>
    <w:rsid w:val="7605A218"/>
    <w:rsid w:val="7635E37E"/>
    <w:rsid w:val="7739F054"/>
    <w:rsid w:val="773EF3F0"/>
    <w:rsid w:val="776C7EDF"/>
    <w:rsid w:val="779478A5"/>
    <w:rsid w:val="77B761E9"/>
    <w:rsid w:val="7821EB76"/>
    <w:rsid w:val="7825C5C1"/>
    <w:rsid w:val="788BC706"/>
    <w:rsid w:val="7890135D"/>
    <w:rsid w:val="7936F306"/>
    <w:rsid w:val="79851AE3"/>
    <w:rsid w:val="79EDAD97"/>
    <w:rsid w:val="7A0AB9D3"/>
    <w:rsid w:val="7A534E2E"/>
    <w:rsid w:val="7AA5B4FA"/>
    <w:rsid w:val="7B00FDEF"/>
    <w:rsid w:val="7B173B74"/>
    <w:rsid w:val="7B42AE4C"/>
    <w:rsid w:val="7B516DC7"/>
    <w:rsid w:val="7B62AFBC"/>
    <w:rsid w:val="7C384E75"/>
    <w:rsid w:val="7C4597D5"/>
    <w:rsid w:val="7CA8E27B"/>
    <w:rsid w:val="7CF2AAC5"/>
    <w:rsid w:val="7D254E59"/>
    <w:rsid w:val="7D5D52D4"/>
    <w:rsid w:val="7D6D5664"/>
    <w:rsid w:val="7D8032FA"/>
    <w:rsid w:val="7DA1E9C9"/>
    <w:rsid w:val="7DA824A4"/>
    <w:rsid w:val="7DB27B92"/>
    <w:rsid w:val="7DCDE8A7"/>
    <w:rsid w:val="7DEE8495"/>
    <w:rsid w:val="7E431ECA"/>
    <w:rsid w:val="7F2E522E"/>
    <w:rsid w:val="7F36F03B"/>
    <w:rsid w:val="7F86F2F4"/>
    <w:rsid w:val="7FD5ADB2"/>
    <w:rsid w:val="7FF9BDB5"/>
    <w:rsid w:val="7FFE1B45"/>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AE71"/>
  <w15:docId w15:val="{59C9D210-D36F-40F5-AE43-FACC7163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380"/>
    <w:rPr>
      <w:rFonts w:ascii="Verdana" w:eastAsia="Verdana" w:hAnsi="Verdana" w:cs="Verdana"/>
      <w:lang w:val="es-ES"/>
    </w:rPr>
  </w:style>
  <w:style w:type="paragraph" w:styleId="Ttulo1">
    <w:name w:val="heading 1"/>
    <w:aliases w:val="TituloPrincipal"/>
    <w:basedOn w:val="Normal"/>
    <w:link w:val="Ttulo1Car"/>
    <w:uiPriority w:val="9"/>
    <w:qFormat/>
    <w:rsid w:val="00A20990"/>
    <w:pPr>
      <w:keepNext/>
      <w:keepLines/>
      <w:widowControl/>
      <w:numPr>
        <w:numId w:val="22"/>
      </w:numPr>
      <w:autoSpaceDE/>
      <w:autoSpaceDN/>
      <w:spacing w:before="240"/>
      <w:outlineLvl w:val="0"/>
    </w:pPr>
    <w:rPr>
      <w:rFonts w:ascii="Arial" w:eastAsiaTheme="majorEastAsia" w:hAnsi="Arial" w:cs="Arial"/>
      <w:b/>
      <w:bCs/>
      <w:color w:val="365F91" w:themeColor="accent1" w:themeShade="BF"/>
      <w:lang w:val="es-CO" w:eastAsia="es-ES"/>
    </w:rPr>
  </w:style>
  <w:style w:type="paragraph" w:styleId="Ttulo2">
    <w:name w:val="heading 2"/>
    <w:basedOn w:val="Normal"/>
    <w:next w:val="Normal"/>
    <w:link w:val="Ttulo2Car"/>
    <w:uiPriority w:val="9"/>
    <w:unhideWhenUsed/>
    <w:qFormat/>
    <w:rsid w:val="00A20990"/>
    <w:pPr>
      <w:widowControl/>
      <w:numPr>
        <w:numId w:val="23"/>
      </w:numPr>
      <w:autoSpaceDE/>
      <w:autoSpaceDN/>
      <w:outlineLvl w:val="1"/>
    </w:pPr>
    <w:rPr>
      <w:rFonts w:ascii="Arial" w:eastAsia="MS Mincho" w:hAnsi="Arial" w:cs="Arial"/>
      <w:b/>
      <w:bCs/>
      <w:u w:val="double"/>
      <w:lang w:val="es-CO" w:eastAsia="es-ES"/>
    </w:rPr>
  </w:style>
  <w:style w:type="paragraph" w:styleId="Ttulo3">
    <w:name w:val="heading 3"/>
    <w:basedOn w:val="Normal"/>
    <w:next w:val="Normal"/>
    <w:link w:val="Ttulo3Car"/>
    <w:uiPriority w:val="9"/>
    <w:unhideWhenUsed/>
    <w:qFormat/>
    <w:rsid w:val="00A20990"/>
    <w:pPr>
      <w:keepNext/>
      <w:keepLines/>
      <w:widowControl/>
      <w:numPr>
        <w:numId w:val="18"/>
      </w:numPr>
      <w:autoSpaceDE/>
      <w:autoSpaceDN/>
      <w:spacing w:before="40"/>
      <w:outlineLvl w:val="2"/>
    </w:pPr>
    <w:rPr>
      <w:rFonts w:ascii="Arial" w:eastAsiaTheme="majorEastAsia" w:hAnsi="Arial" w:cs="Arial"/>
      <w:b/>
      <w:bCs/>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Principal Car"/>
    <w:basedOn w:val="Fuentedeprrafopredeter"/>
    <w:link w:val="Ttulo1"/>
    <w:uiPriority w:val="9"/>
    <w:rsid w:val="00A20990"/>
    <w:rPr>
      <w:rFonts w:ascii="Arial" w:eastAsiaTheme="majorEastAsia" w:hAnsi="Arial" w:cs="Arial"/>
      <w:b/>
      <w:bCs/>
      <w:color w:val="365F91" w:themeColor="accent1" w:themeShade="BF"/>
      <w:lang w:val="es-CO" w:eastAsia="es-ES"/>
    </w:rPr>
  </w:style>
  <w:style w:type="character" w:customStyle="1" w:styleId="Ttulo2Car">
    <w:name w:val="Título 2 Car"/>
    <w:basedOn w:val="Fuentedeprrafopredeter"/>
    <w:link w:val="Ttulo2"/>
    <w:uiPriority w:val="9"/>
    <w:rsid w:val="00A20990"/>
    <w:rPr>
      <w:rFonts w:ascii="Arial" w:eastAsia="MS Mincho" w:hAnsi="Arial" w:cs="Arial"/>
      <w:b/>
      <w:bCs/>
      <w:u w:val="double"/>
      <w:lang w:val="es-CO" w:eastAsia="es-ES"/>
    </w:rPr>
  </w:style>
  <w:style w:type="character" w:customStyle="1" w:styleId="Ttulo3Car">
    <w:name w:val="Título 3 Car"/>
    <w:basedOn w:val="Fuentedeprrafopredeter"/>
    <w:link w:val="Ttulo3"/>
    <w:uiPriority w:val="9"/>
    <w:rsid w:val="00A20990"/>
    <w:rPr>
      <w:rFonts w:ascii="Arial" w:eastAsiaTheme="majorEastAsia" w:hAnsi="Arial" w:cs="Arial"/>
      <w:b/>
      <w:bCs/>
      <w:lang w:val="es-CO" w:eastAsia="es-ES"/>
    </w:rPr>
  </w:style>
  <w:style w:type="table" w:customStyle="1" w:styleId="NormalTable0">
    <w:name w:val="Normal Table0"/>
    <w:uiPriority w:val="2"/>
    <w:semiHidden/>
    <w:unhideWhenUsed/>
    <w:qFormat/>
    <w:rsid w:val="000D7C96"/>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Normal. Viñetas,List,titulo 3,Ha,Bullets,Lista vistosa - Énfasis 11,Cuadrícula clara - Énfasis 31,Num Bullet 1"/>
    <w:basedOn w:val="Normal"/>
    <w:link w:val="PrrafodelistaCar"/>
    <w:uiPriority w:val="34"/>
    <w:qFormat/>
  </w:style>
  <w:style w:type="character" w:customStyle="1" w:styleId="PrrafodelistaCar">
    <w:name w:val="Párrafo de lista Car"/>
    <w:aliases w:val="Normal. Viñetas Car,List Car,titulo 3 Car,Ha Car,Bullets Car,Lista vistosa - Énfasis 11 Car,Cuadrícula clara - Énfasis 31 Car,Num Bullet 1 Car"/>
    <w:link w:val="Prrafodelista"/>
    <w:uiPriority w:val="34"/>
    <w:locked/>
    <w:rsid w:val="00A20990"/>
    <w:rPr>
      <w:rFonts w:ascii="Verdana" w:eastAsia="Verdana" w:hAnsi="Verdana" w:cs="Verdana"/>
      <w:lang w:val="es-ES"/>
    </w:r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5F1932"/>
    <w:rPr>
      <w:sz w:val="16"/>
      <w:szCs w:val="16"/>
    </w:rPr>
  </w:style>
  <w:style w:type="paragraph" w:styleId="Textocomentario">
    <w:name w:val="annotation text"/>
    <w:basedOn w:val="Normal"/>
    <w:link w:val="TextocomentarioCar"/>
    <w:uiPriority w:val="99"/>
    <w:unhideWhenUsed/>
    <w:rsid w:val="005F1932"/>
    <w:rPr>
      <w:sz w:val="20"/>
      <w:szCs w:val="20"/>
    </w:rPr>
  </w:style>
  <w:style w:type="character" w:customStyle="1" w:styleId="TextocomentarioCar">
    <w:name w:val="Texto comentario Car"/>
    <w:basedOn w:val="Fuentedeprrafopredeter"/>
    <w:link w:val="Textocomentario"/>
    <w:uiPriority w:val="99"/>
    <w:rsid w:val="005F1932"/>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5F1932"/>
    <w:rPr>
      <w:b/>
      <w:bCs/>
    </w:rPr>
  </w:style>
  <w:style w:type="character" w:customStyle="1" w:styleId="AsuntodelcomentarioCar">
    <w:name w:val="Asunto del comentario Car"/>
    <w:basedOn w:val="TextocomentarioCar"/>
    <w:link w:val="Asuntodelcomentario"/>
    <w:uiPriority w:val="99"/>
    <w:semiHidden/>
    <w:rsid w:val="005F1932"/>
    <w:rPr>
      <w:rFonts w:ascii="Verdana" w:eastAsia="Verdana" w:hAnsi="Verdana" w:cs="Verdana"/>
      <w:b/>
      <w:bCs/>
      <w:sz w:val="20"/>
      <w:szCs w:val="20"/>
      <w:lang w:val="es-ES"/>
    </w:rPr>
  </w:style>
  <w:style w:type="paragraph" w:styleId="Revisin">
    <w:name w:val="Revision"/>
    <w:hidden/>
    <w:uiPriority w:val="99"/>
    <w:semiHidden/>
    <w:rsid w:val="001A5D91"/>
    <w:pPr>
      <w:widowControl/>
      <w:autoSpaceDE/>
      <w:autoSpaceDN/>
    </w:pPr>
    <w:rPr>
      <w:rFonts w:ascii="Verdana" w:eastAsia="Verdana" w:hAnsi="Verdana" w:cs="Verdana"/>
      <w:lang w:val="es-ES"/>
    </w:rPr>
  </w:style>
  <w:style w:type="paragraph" w:styleId="Encabezado">
    <w:name w:val="header"/>
    <w:basedOn w:val="Normal"/>
    <w:link w:val="EncabezadoCar"/>
    <w:uiPriority w:val="99"/>
    <w:unhideWhenUsed/>
    <w:rsid w:val="006D3A4A"/>
    <w:pPr>
      <w:tabs>
        <w:tab w:val="center" w:pos="4419"/>
        <w:tab w:val="right" w:pos="8838"/>
      </w:tabs>
    </w:pPr>
  </w:style>
  <w:style w:type="character" w:customStyle="1" w:styleId="EncabezadoCar">
    <w:name w:val="Encabezado Car"/>
    <w:basedOn w:val="Fuentedeprrafopredeter"/>
    <w:link w:val="Encabezado"/>
    <w:uiPriority w:val="99"/>
    <w:rsid w:val="006D3A4A"/>
    <w:rPr>
      <w:rFonts w:ascii="Verdana" w:eastAsia="Verdana" w:hAnsi="Verdana" w:cs="Verdana"/>
      <w:lang w:val="es-ES"/>
    </w:rPr>
  </w:style>
  <w:style w:type="paragraph" w:styleId="Piedepgina">
    <w:name w:val="footer"/>
    <w:basedOn w:val="Normal"/>
    <w:link w:val="PiedepginaCar"/>
    <w:uiPriority w:val="99"/>
    <w:unhideWhenUsed/>
    <w:rsid w:val="006D3A4A"/>
    <w:pPr>
      <w:tabs>
        <w:tab w:val="center" w:pos="4419"/>
        <w:tab w:val="right" w:pos="8838"/>
      </w:tabs>
    </w:pPr>
  </w:style>
  <w:style w:type="character" w:customStyle="1" w:styleId="PiedepginaCar">
    <w:name w:val="Pie de página Car"/>
    <w:basedOn w:val="Fuentedeprrafopredeter"/>
    <w:link w:val="Piedepgina"/>
    <w:uiPriority w:val="99"/>
    <w:rsid w:val="006D3A4A"/>
    <w:rPr>
      <w:rFonts w:ascii="Verdana" w:eastAsia="Verdana" w:hAnsi="Verdana" w:cs="Verdana"/>
      <w:lang w:val="es-ES"/>
    </w:rPr>
  </w:style>
  <w:style w:type="paragraph" w:styleId="Textodeglobo">
    <w:name w:val="Balloon Text"/>
    <w:basedOn w:val="Normal"/>
    <w:link w:val="TextodegloboCar"/>
    <w:uiPriority w:val="99"/>
    <w:semiHidden/>
    <w:unhideWhenUsed/>
    <w:rsid w:val="00F63C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C3A"/>
    <w:rPr>
      <w:rFonts w:ascii="Segoe UI" w:eastAsia="Verdana" w:hAnsi="Segoe UI" w:cs="Segoe UI"/>
      <w:sz w:val="18"/>
      <w:szCs w:val="18"/>
      <w:lang w:val="es-ES"/>
    </w:rPr>
  </w:style>
  <w:style w:type="character" w:styleId="Hipervnculo">
    <w:name w:val="Hyperlink"/>
    <w:basedOn w:val="Fuentedeprrafopredeter"/>
    <w:uiPriority w:val="99"/>
    <w:unhideWhenUsed/>
    <w:rsid w:val="000A2684"/>
    <w:rPr>
      <w:color w:val="0000FF" w:themeColor="hyperlink"/>
      <w:u w:val="single"/>
    </w:rPr>
  </w:style>
  <w:style w:type="character" w:customStyle="1" w:styleId="Mencinsinresolver1">
    <w:name w:val="Mención sin resolver1"/>
    <w:basedOn w:val="Fuentedeprrafopredeter"/>
    <w:uiPriority w:val="99"/>
    <w:semiHidden/>
    <w:unhideWhenUsed/>
    <w:rsid w:val="000A2684"/>
    <w:rPr>
      <w:color w:val="605E5C"/>
      <w:shd w:val="clear" w:color="auto" w:fill="E1DFDD"/>
    </w:rPr>
  </w:style>
  <w:style w:type="paragraph" w:customStyle="1" w:styleId="paragraph">
    <w:name w:val="paragraph"/>
    <w:basedOn w:val="Normal"/>
    <w:rsid w:val="00AD736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FB7824"/>
    <w:pPr>
      <w:widowControl/>
      <w:autoSpaceDE/>
      <w:autoSpaceDN/>
      <w:spacing w:before="100" w:beforeAutospacing="1" w:after="119"/>
    </w:pPr>
    <w:rPr>
      <w:rFonts w:ascii="Times New Roman" w:eastAsia="Calibri" w:hAnsi="Times New Roman" w:cs="Times New Roman"/>
      <w:sz w:val="24"/>
      <w:szCs w:val="24"/>
      <w:lang w:eastAsia="es-ES"/>
    </w:rPr>
  </w:style>
  <w:style w:type="paragraph" w:styleId="Textonotapie">
    <w:name w:val="footnote text"/>
    <w:aliases w:val="Ref. de nota al pie1,Footnote Text Char,Footnote Text Char Char Char Char,Footnote Text Char Char Char Char Char Char Char Char,FA Fu"/>
    <w:basedOn w:val="Normal"/>
    <w:link w:val="TextonotapieCar"/>
    <w:uiPriority w:val="99"/>
    <w:unhideWhenUsed/>
    <w:qFormat/>
    <w:rsid w:val="00072016"/>
    <w:rPr>
      <w:sz w:val="20"/>
      <w:szCs w:val="20"/>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uiPriority w:val="99"/>
    <w:rsid w:val="00072016"/>
    <w:rPr>
      <w:rFonts w:ascii="Verdana" w:eastAsia="Verdana" w:hAnsi="Verdana" w:cs="Verdana"/>
      <w:sz w:val="20"/>
      <w:szCs w:val="20"/>
      <w:lang w:val="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qFormat/>
    <w:rsid w:val="00072016"/>
    <w:rPr>
      <w:rFonts w:cs="Times New Roman"/>
      <w:vertAlign w:val="superscript"/>
    </w:rPr>
  </w:style>
  <w:style w:type="character" w:styleId="Nmerodepgina">
    <w:name w:val="page number"/>
    <w:basedOn w:val="Fuentedeprrafopredeter"/>
    <w:rsid w:val="00A20990"/>
  </w:style>
  <w:style w:type="character" w:styleId="Textoennegrita">
    <w:name w:val="Strong"/>
    <w:basedOn w:val="Fuentedeprrafopredeter"/>
    <w:uiPriority w:val="22"/>
    <w:qFormat/>
    <w:rsid w:val="00A20990"/>
    <w:rPr>
      <w:b/>
      <w:bCs/>
    </w:rPr>
  </w:style>
  <w:style w:type="paragraph" w:customStyle="1" w:styleId="Prrafodelista1">
    <w:name w:val="Párrafo de lista1"/>
    <w:uiPriority w:val="99"/>
    <w:rsid w:val="00A20990"/>
    <w:pPr>
      <w:widowControl/>
      <w:autoSpaceDE/>
      <w:autoSpaceDN/>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A20990"/>
    <w:pPr>
      <w:widowControl/>
      <w:autoSpaceDE/>
      <w:autoSpaceDN/>
    </w:pPr>
    <w:rPr>
      <w:rFonts w:ascii="Times New Roman" w:eastAsia="ヒラギノ角ゴ Pro W3" w:hAnsi="Times New Roman" w:cs="Times New Roman"/>
      <w:color w:val="000000"/>
      <w:sz w:val="20"/>
      <w:szCs w:val="20"/>
      <w:lang w:val="es-CO" w:eastAsia="es-CO"/>
    </w:rPr>
  </w:style>
  <w:style w:type="paragraph" w:customStyle="1" w:styleId="FormatolibreCAAA">
    <w:name w:val="Formato libre C A A A"/>
    <w:uiPriority w:val="99"/>
    <w:rsid w:val="00A20990"/>
    <w:pPr>
      <w:widowControl/>
      <w:autoSpaceDE/>
      <w:autoSpaceDN/>
    </w:pPr>
    <w:rPr>
      <w:rFonts w:ascii="Times New Roman" w:eastAsia="ヒラギノ角ゴ Pro W3" w:hAnsi="Times New Roman" w:cs="Times New Roman"/>
      <w:color w:val="000000"/>
      <w:sz w:val="20"/>
      <w:szCs w:val="20"/>
      <w:lang w:val="es-CO" w:eastAsia="es-CO"/>
    </w:rPr>
  </w:style>
  <w:style w:type="paragraph" w:customStyle="1" w:styleId="Formatolibre">
    <w:name w:val="Formato libre"/>
    <w:uiPriority w:val="99"/>
    <w:rsid w:val="00A20990"/>
    <w:pPr>
      <w:widowControl/>
      <w:autoSpaceDE/>
      <w:autoSpaceDN/>
    </w:pPr>
    <w:rPr>
      <w:rFonts w:ascii="Times New Roman" w:eastAsia="ヒラギノ角ゴ Pro W3" w:hAnsi="Times New Roman" w:cs="Times New Roman"/>
      <w:color w:val="000000"/>
      <w:sz w:val="20"/>
      <w:szCs w:val="20"/>
      <w:lang w:val="es-CO" w:eastAsia="es-CO"/>
    </w:rPr>
  </w:style>
  <w:style w:type="paragraph" w:customStyle="1" w:styleId="FormatolibreCA">
    <w:name w:val="Formato libre C A"/>
    <w:uiPriority w:val="99"/>
    <w:rsid w:val="00A20990"/>
    <w:pPr>
      <w:widowControl/>
      <w:autoSpaceDE/>
      <w:autoSpaceDN/>
    </w:pPr>
    <w:rPr>
      <w:rFonts w:ascii="Times New Roman" w:eastAsia="ヒラギノ角ゴ Pro W3" w:hAnsi="Times New Roman" w:cs="Times New Roman"/>
      <w:color w:val="000000"/>
      <w:sz w:val="20"/>
      <w:szCs w:val="20"/>
      <w:lang w:val="es-CO" w:eastAsia="es-CO"/>
    </w:rPr>
  </w:style>
  <w:style w:type="paragraph" w:customStyle="1" w:styleId="Prrafodelista2">
    <w:name w:val="Párrafo de lista2"/>
    <w:uiPriority w:val="99"/>
    <w:rsid w:val="00A20990"/>
    <w:pPr>
      <w:widowControl/>
      <w:autoSpaceDE/>
      <w:autoSpaceDN/>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A20990"/>
    <w:pPr>
      <w:widowControl/>
      <w:autoSpaceDE/>
      <w:autoSpaceDN/>
    </w:pPr>
    <w:rPr>
      <w:lang w:val="es-CO"/>
    </w:rPr>
  </w:style>
  <w:style w:type="character" w:customStyle="1" w:styleId="SinespaciadoCar">
    <w:name w:val="Sin espaciado Car"/>
    <w:aliases w:val="Subtitulo Car"/>
    <w:basedOn w:val="Fuentedeprrafopredeter"/>
    <w:link w:val="Sinespaciado"/>
    <w:uiPriority w:val="1"/>
    <w:locked/>
    <w:rsid w:val="00A20990"/>
    <w:rPr>
      <w:lang w:val="es-CO"/>
    </w:rPr>
  </w:style>
  <w:style w:type="character" w:customStyle="1" w:styleId="Ttulo1Car1">
    <w:name w:val="Título 1 Car1"/>
    <w:aliases w:val="TituloPrincipal Car1"/>
    <w:basedOn w:val="Fuentedeprrafopredeter"/>
    <w:uiPriority w:val="9"/>
    <w:rsid w:val="00A20990"/>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A20990"/>
    <w:pPr>
      <w:widowControl/>
      <w:autoSpaceDE/>
      <w:autoSpaceDN/>
      <w:spacing w:before="100" w:beforeAutospacing="1" w:after="119"/>
    </w:pPr>
    <w:rPr>
      <w:rFonts w:ascii="Arial" w:eastAsia="Calibri" w:hAnsi="Arial" w:cs="Arial"/>
      <w:lang w:eastAsia="es-ES"/>
    </w:rPr>
  </w:style>
  <w:style w:type="character" w:customStyle="1" w:styleId="SubttuloCar">
    <w:name w:val="Subtítulo Car"/>
    <w:aliases w:val="Tablas Car"/>
    <w:basedOn w:val="Fuentedeprrafopredeter"/>
    <w:link w:val="Subttulo"/>
    <w:uiPriority w:val="11"/>
    <w:locked/>
    <w:rsid w:val="00A20990"/>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A20990"/>
    <w:pPr>
      <w:widowControl/>
      <w:autoSpaceDE/>
      <w:autoSpaceDN/>
      <w:jc w:val="both"/>
    </w:pPr>
    <w:rPr>
      <w:rFonts w:ascii="Arial" w:eastAsiaTheme="majorEastAsia" w:hAnsi="Arial" w:cstheme="majorBidi"/>
      <w:iCs/>
      <w:spacing w:val="15"/>
      <w:sz w:val="16"/>
      <w:szCs w:val="24"/>
      <w:lang w:eastAsia="es-ES"/>
    </w:rPr>
  </w:style>
  <w:style w:type="character" w:customStyle="1" w:styleId="SubttuloCar1">
    <w:name w:val="Subtítulo Car1"/>
    <w:aliases w:val="Tablas Car1"/>
    <w:basedOn w:val="Fuentedeprrafopredeter"/>
    <w:uiPriority w:val="11"/>
    <w:rsid w:val="00A20990"/>
    <w:rPr>
      <w:rFonts w:eastAsiaTheme="minorEastAsia"/>
      <w:color w:val="5A5A5A" w:themeColor="text1" w:themeTint="A5"/>
      <w:spacing w:val="15"/>
      <w:lang w:val="es-ES"/>
    </w:rPr>
  </w:style>
  <w:style w:type="paragraph" w:styleId="Textoindependiente2">
    <w:name w:val="Body Text 2"/>
    <w:basedOn w:val="Normal"/>
    <w:link w:val="Textoindependiente2Car"/>
    <w:uiPriority w:val="99"/>
    <w:semiHidden/>
    <w:unhideWhenUsed/>
    <w:rsid w:val="00A20990"/>
    <w:pPr>
      <w:widowControl/>
      <w:autoSpaceDE/>
      <w:autoSpaceDN/>
      <w:jc w:val="both"/>
    </w:pPr>
    <w:rPr>
      <w:rFonts w:ascii="Arial" w:eastAsia="Times New Roman" w:hAnsi="Arial" w:cs="Arial"/>
      <w:sz w:val="20"/>
      <w:szCs w:val="20"/>
      <w:lang w:val="es-ES_tradnl" w:eastAsia="es-ES"/>
    </w:rPr>
  </w:style>
  <w:style w:type="character" w:customStyle="1" w:styleId="Textoindependiente2Car">
    <w:name w:val="Texto independiente 2 Car"/>
    <w:basedOn w:val="Fuentedeprrafopredeter"/>
    <w:link w:val="Textoindependiente2"/>
    <w:uiPriority w:val="99"/>
    <w:semiHidden/>
    <w:rsid w:val="00A20990"/>
    <w:rPr>
      <w:rFonts w:ascii="Arial" w:eastAsia="Times New Roman" w:hAnsi="Arial" w:cs="Arial"/>
      <w:sz w:val="20"/>
      <w:szCs w:val="20"/>
      <w:lang w:val="es-ES_tradnl" w:eastAsia="es-ES"/>
    </w:rPr>
  </w:style>
  <w:style w:type="paragraph" w:customStyle="1" w:styleId="Default">
    <w:name w:val="Default"/>
    <w:rsid w:val="00A20990"/>
    <w:pPr>
      <w:widowControl/>
      <w:adjustRightInd w:val="0"/>
    </w:pPr>
    <w:rPr>
      <w:rFonts w:ascii="Arial" w:hAnsi="Arial" w:cs="Arial"/>
      <w:color w:val="000000"/>
      <w:sz w:val="24"/>
      <w:szCs w:val="24"/>
    </w:rPr>
  </w:style>
  <w:style w:type="paragraph" w:customStyle="1" w:styleId="CONPESTexto">
    <w:name w:val="CONPES Texto"/>
    <w:basedOn w:val="Normal"/>
    <w:uiPriority w:val="99"/>
    <w:qFormat/>
    <w:rsid w:val="00A20990"/>
    <w:pPr>
      <w:widowControl/>
      <w:autoSpaceDE/>
      <w:autoSpaceDN/>
      <w:spacing w:before="120" w:after="120" w:line="276" w:lineRule="auto"/>
      <w:ind w:firstLine="567"/>
      <w:jc w:val="both"/>
    </w:pPr>
    <w:rPr>
      <w:rFonts w:ascii="Futura Std Book" w:eastAsia="Calibri" w:hAnsi="Futura Std Book" w:cs="Arial"/>
      <w:color w:val="000000"/>
      <w:lang w:val="es-CO"/>
    </w:rPr>
  </w:style>
  <w:style w:type="paragraph" w:customStyle="1" w:styleId="xmsonormal">
    <w:name w:val="x_msonormal"/>
    <w:basedOn w:val="Normal"/>
    <w:uiPriority w:val="99"/>
    <w:rsid w:val="00A20990"/>
    <w:pPr>
      <w:widowControl/>
      <w:autoSpaceDE/>
      <w:autoSpaceDN/>
      <w:spacing w:before="100" w:beforeAutospacing="1" w:after="100" w:afterAutospacing="1"/>
    </w:pPr>
    <w:rPr>
      <w:rFonts w:ascii="Arial" w:eastAsia="Times New Roman" w:hAnsi="Arial" w:cs="Arial"/>
      <w:lang w:val="es-CO" w:eastAsia="es-CO"/>
    </w:rPr>
  </w:style>
  <w:style w:type="character" w:styleId="nfasissutil">
    <w:name w:val="Subtle Emphasis"/>
    <w:aliases w:val="Notas al pie"/>
    <w:basedOn w:val="Fuentedeprrafopredeter"/>
    <w:uiPriority w:val="19"/>
    <w:qFormat/>
    <w:rsid w:val="00A20990"/>
    <w:rPr>
      <w:rFonts w:ascii="Arial" w:hAnsi="Arial" w:cs="Arial" w:hint="default"/>
      <w:i w:val="0"/>
      <w:iCs/>
      <w:color w:val="auto"/>
      <w:sz w:val="16"/>
    </w:rPr>
  </w:style>
  <w:style w:type="table" w:styleId="Tablaconcuadrcula4-nfasis4">
    <w:name w:val="Grid Table 4 Accent 4"/>
    <w:basedOn w:val="Tablanormal"/>
    <w:uiPriority w:val="49"/>
    <w:rsid w:val="00A20990"/>
    <w:pPr>
      <w:widowControl/>
      <w:autoSpaceDE/>
      <w:autoSpaceDN/>
    </w:pPr>
    <w:rPr>
      <w:lang w:val="es-CO"/>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A20990"/>
  </w:style>
  <w:style w:type="paragraph" w:customStyle="1" w:styleId="Cuerpo">
    <w:name w:val="Cuerpo"/>
    <w:uiPriority w:val="99"/>
    <w:rsid w:val="00A20990"/>
    <w:pPr>
      <w:widowControl/>
      <w:autoSpaceDE/>
      <w:autoSpaceDN/>
    </w:pPr>
    <w:rPr>
      <w:rFonts w:ascii="Times New Roman" w:eastAsia="Arial Unicode MS" w:hAnsi="Arial Unicode MS" w:cs="Arial Unicode MS"/>
      <w:color w:val="000000"/>
      <w:sz w:val="24"/>
      <w:szCs w:val="24"/>
      <w:u w:color="000000"/>
      <w:lang w:val="es-CO" w:eastAsia="es-CO"/>
    </w:rPr>
  </w:style>
  <w:style w:type="paragraph" w:styleId="Descripcin">
    <w:name w:val="caption"/>
    <w:basedOn w:val="Normal"/>
    <w:next w:val="Normal"/>
    <w:uiPriority w:val="35"/>
    <w:unhideWhenUsed/>
    <w:qFormat/>
    <w:rsid w:val="00A20990"/>
    <w:pPr>
      <w:widowControl/>
      <w:autoSpaceDE/>
      <w:autoSpaceDN/>
      <w:jc w:val="center"/>
    </w:pPr>
    <w:rPr>
      <w:rFonts w:ascii="Arial" w:eastAsia="MS Mincho" w:hAnsi="Arial" w:cs="Arial"/>
      <w:i/>
      <w:iCs/>
      <w:color w:val="1F497D" w:themeColor="text2"/>
      <w:lang w:eastAsia="es-ES"/>
    </w:rPr>
  </w:style>
  <w:style w:type="character" w:customStyle="1" w:styleId="normaltextrun">
    <w:name w:val="normaltextrun"/>
    <w:basedOn w:val="Fuentedeprrafopredeter"/>
    <w:rsid w:val="00A20990"/>
  </w:style>
  <w:style w:type="character" w:customStyle="1" w:styleId="eop">
    <w:name w:val="eop"/>
    <w:basedOn w:val="Fuentedeprrafopredeter"/>
    <w:rsid w:val="00A20990"/>
  </w:style>
  <w:style w:type="paragraph" w:styleId="Ttulo">
    <w:name w:val="Title"/>
    <w:basedOn w:val="Normal"/>
    <w:next w:val="Normal"/>
    <w:link w:val="TtuloCar"/>
    <w:uiPriority w:val="10"/>
    <w:qFormat/>
    <w:rsid w:val="00A20990"/>
    <w:pPr>
      <w:widowControl/>
      <w:autoSpaceDE/>
      <w:autoSpaceDN/>
      <w:contextualSpacing/>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uiPriority w:val="10"/>
    <w:rsid w:val="00A20990"/>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uiPriority w:val="99"/>
    <w:semiHidden/>
    <w:unhideWhenUsed/>
    <w:rsid w:val="00677D49"/>
    <w:rPr>
      <w:color w:val="800080" w:themeColor="followedHyperlink"/>
      <w:u w:val="single"/>
    </w:rPr>
  </w:style>
  <w:style w:type="character" w:customStyle="1" w:styleId="Mencinsinresolver2">
    <w:name w:val="Mención sin resolver2"/>
    <w:basedOn w:val="Fuentedeprrafopredeter"/>
    <w:uiPriority w:val="99"/>
    <w:semiHidden/>
    <w:unhideWhenUsed/>
    <w:rsid w:val="00572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1409">
      <w:bodyDiv w:val="1"/>
      <w:marLeft w:val="0"/>
      <w:marRight w:val="0"/>
      <w:marTop w:val="0"/>
      <w:marBottom w:val="0"/>
      <w:divBdr>
        <w:top w:val="none" w:sz="0" w:space="0" w:color="auto"/>
        <w:left w:val="none" w:sz="0" w:space="0" w:color="auto"/>
        <w:bottom w:val="none" w:sz="0" w:space="0" w:color="auto"/>
        <w:right w:val="none" w:sz="0" w:space="0" w:color="auto"/>
      </w:divBdr>
    </w:div>
    <w:div w:id="779564945">
      <w:bodyDiv w:val="1"/>
      <w:marLeft w:val="0"/>
      <w:marRight w:val="0"/>
      <w:marTop w:val="0"/>
      <w:marBottom w:val="0"/>
      <w:divBdr>
        <w:top w:val="none" w:sz="0" w:space="0" w:color="auto"/>
        <w:left w:val="none" w:sz="0" w:space="0" w:color="auto"/>
        <w:bottom w:val="none" w:sz="0" w:space="0" w:color="auto"/>
        <w:right w:val="none" w:sz="0" w:space="0" w:color="auto"/>
      </w:divBdr>
    </w:div>
    <w:div w:id="1023364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3141155" TargetMode="External"/><Relationship Id="rId21"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518106" TargetMode="External"/><Relationship Id="rId42" Type="http://schemas.openxmlformats.org/officeDocument/2006/relationships/hyperlink" Target="http://portalgestiondoc.minhacienda.red/PortalEmpleado/viewer.jsp?config=MQHc9kYtW591JoJg1YQtBqEoLwl+shvYKgz6rzkuYxGah31bGM7BxTTQUG7HT6wnqSP/3dNpbZnQXBIB4mdsoFLRGVvDQBMOByZEKD/A3F7haCbA77FWv/x/+8lbZmAH30HNh/y3ZQuyJb2AMHWO9uBI6DXtCW1sZisqEcDvOlXDawCKx2Hr4DAPRHDuj3M3&amp;guid=5b8a275118abe00669643d1&amp;idrepository=879" TargetMode="External"/><Relationship Id="rId47" Type="http://schemas.openxmlformats.org/officeDocument/2006/relationships/hyperlink" Target="http://portalgestiondoc.minhacienda.red/PortalEmpleado/viewer.jsp?config=43a4IwlEvMEd3cygJd02DW+ZvWv32hPOH+TAsZudOMNlQnbQsQIz5QFHceU9gPPDbcQyCTaLJdT6I6Em4/y6Jqp5qQmkNHn3o8twFqqvOGWXv4vImLyoEvrWWSbSd35YJBumNsnGGkmWHEFntj9SJFr4xUqJuXV5y5ZgrPXx2LdYqg7KiXWaN5CSzCoH801w&amp;guid=5b8a275118abe0066964741&amp;idrepository=879" TargetMode="External"/><Relationship Id="rId63" Type="http://schemas.openxmlformats.org/officeDocument/2006/relationships/hyperlink" Target="https://community.secop.gov.co/Public/Tendering/OpportunityDetail/Index?noticeUID=CO1.NTC.2806900&amp;isFromPublicArea=True&amp;isModal=true&amp;asPopupView=true" TargetMode="External"/><Relationship Id="rId68" Type="http://schemas.openxmlformats.org/officeDocument/2006/relationships/hyperlink" Target="http://www.colombiacompra.gov.co/amp-ordenes-de-compra" TargetMode="External"/><Relationship Id="rId16" Type="http://schemas.openxmlformats.org/officeDocument/2006/relationships/image" Target="media/image7.png"/><Relationship Id="rId11" Type="http://schemas.openxmlformats.org/officeDocument/2006/relationships/image" Target="media/image2.png"/><Relationship Id="rId32" Type="http://schemas.openxmlformats.org/officeDocument/2006/relationships/hyperlink" Target="https://www.colombiacompra.gov.co/tienda-virtual-del-estado-colombiano/ordenes-compra/72682" TargetMode="External"/><Relationship Id="rId37" Type="http://schemas.openxmlformats.org/officeDocument/2006/relationships/hyperlink" Target="http://www.colombiacompra.gov.co/amp-ordenes-de-compra?config=/9cjVomUs0nd5l7xgTmsfzbfbtGgfe3YnUiR06pLFav8FWubuKFhHgD77jirscpGu42NoUE0aj3S4tse8BP40V/hOHwM3NbNxJU5JdzU0DdcO+wN57Ai9MamniAPXUNx5X7arWMF3Sf4Q4jIC9fPfkA2Cl68gA3UaQmoBSmpdzcJQc/RmmtL17GiANZo6sMO&amp;guid=5b8a275118abdcc9f534b2f&amp;idrepository=879" TargetMode="External"/><Relationship Id="rId53" Type="http://schemas.openxmlformats.org/officeDocument/2006/relationships/hyperlink" Target="http://portalgestiondoc.minhacienda.red/PortalEmpleado/viewer.jsp?numConstancia=18-1-197284&amp;g-recaptcha-response=03AGdBq24oQcwE6lrQR9_HUifaaeN2o7IHoGA5RExlhXuZ1gQL6bPUYLfsfQ-Rc44DKM527_d9brcd6F50_L1dYkrEXg0OQEREsM4PwSdxTciBCkpDIG9peIsAi3MnokjWwdW7So8E4R9Oy3HXyw-ltRqTF-c7FdXIKRTb3AeFXlV7pyCp4BWYl6-fdT-gKkZ5Mdqd3tfK_xRFJo7pSlnJBzgS_byX7FT0c8bgxgBE7jWZYirtWLQdNtK8roV56bgffqEpFSTPYndUNmyRQd8YMjGFVfQMKr8ixxX6lx-TzqtmRlAr_1KSrge7MtBPfs0bcKfRf8aT4U11NvZzqRNlCSpfISF4IaEmyUTO9TdIAae0K6GjBgjwXFlIpiYEQHWUE_BtdyuhIRm7qIE85rJCIUuekLnCSryCFPAVVh2Iz4I1qO7rAMwF6BvaQ5nfgjfAGFU2pxfVdKRLZaqplWSiSS9e9fXul_PjqGfkah85GL8OB-dVSf0WaY6WSrld3xw8s__5Vj2OepOWxJOj3ZIPTboQDIBwkN73oQ" TargetMode="External"/><Relationship Id="rId58" Type="http://schemas.openxmlformats.org/officeDocument/2006/relationships/hyperlink" Target="http://portalgestiondoc.minhacienda.red/PortalEmpleado/viewer.jsp?prevCtxLbl=Buscar+procesos&amp;prevCtxUrl=https%3a%2f%2fwww.secop.gov.co%3a443%2fCO1BusinessLine%2fTendering%2fContractNoticeManagement%2fIndex&amp;notice=CO1.NTC.1976367" TargetMode="External"/><Relationship Id="rId74" Type="http://schemas.openxmlformats.org/officeDocument/2006/relationships/hyperlink" Target="http://portalgestiondoc.minhacienda.red/PortalEmpleado/viewer.jsp?config=3cVwtdGgx8xlm82ZzYN3LdLXVi9EOGNYZLmKr3RYEzz/Ak7pCxnaEcbdhwT8Ge8VX5S0fGoXPtXcr6JKLQKNmX7foQVJxVpOUzRFDJUWtG7EHuozpZUuOKLO2CfgpULB1EIHRj1k5N+k2v8mMyaWbXOWjjI1V4N4ZdSdMUyrvub2pqmREzkPbZjh0VGfXyWa&amp;guid=7bef3bba18bab9b7758-6d51&amp;idrepository=879"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contratos.gov.co/consultas/detalleProceso.do" TargetMode="External"/><Relationship Id="rId19"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244803" TargetMode="External"/><Relationship Id="rId14" Type="http://schemas.openxmlformats.org/officeDocument/2006/relationships/image" Target="media/image5.png"/><Relationship Id="rId22"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1976367" TargetMode="External"/><Relationship Id="rId27" Type="http://schemas.openxmlformats.org/officeDocument/2006/relationships/hyperlink" Target="http://portalgestiondoc.minhacienda.red/PortalEmpleado/viewer.jsp?noticeUID=CO1.NTC.2806900&amp;isFromPublicArea=True&amp;isModal=true&amp;asPopupView=true" TargetMode="External"/><Relationship Id="rId30" Type="http://schemas.openxmlformats.org/officeDocument/2006/relationships/hyperlink" Target="https://www.colombiacompra.gov.co/tienda-virtual-del-estado-colombiano/ordenes-compra/77691?prevCtxLbl=Buscar+procesos&amp;prevCtxUrl=https%3a%2f%2fwww.secop.gov.co%3a443%2fCO1BusinessLine%2fTendering%2fContractNoticeManagement%2fIndex&amp;notice=CO1.NTC.3292287" TargetMode="External"/><Relationship Id="rId35" Type="http://schemas.openxmlformats.org/officeDocument/2006/relationships/header" Target="header2.xml"/><Relationship Id="rId43" Type="http://schemas.openxmlformats.org/officeDocument/2006/relationships/hyperlink" Target="https://www.secop.gov.co/CO1BusinessLine/Tendering/ContractNoticeView/Index?config=OIKiDW+AAYJKUzyqKBFynHkrTfadRw5IWFE+2TA6nzRluD/0epetYFqZQ2Zc5qQK4XLamUz/f4tyIamxB1ONQ/9OwgQE7yR4QSSH1kbUwCaO09lOq/NhRSMbhzwCqsvD4WL9p3vZNk8BY1RHI+BvUixZPJdowIedNT6xxlN7OnH++sAi82rWtCVco26MHG+m&amp;guid=5b8a275118abe00669643cf&amp;idrepository=879" TargetMode="External"/><Relationship Id="rId48" Type="http://schemas.openxmlformats.org/officeDocument/2006/relationships/hyperlink" Target="https://www.secop.gov.co/CO1BusinessLine/Tendering/ContractNoticeView/Index?config=g/sE5TYYZBONXNciclJTo9X3FwoJlhCmznTRGENUpjH4D3YYLKiT1Ph9a5GFZdXgHvTu3FNIQ8ronG3Tpv0FPEUWJ1tPkF3RCHm/znUI5+ygdF1RGbAVvV6CjzWsPcBuqWJs9sYkY5rP7AG5cBv0Mc5EDMWtc6gkxPkaewqRChmOR68Sz5DD/Hn0TVuLK7EK&amp;guid=5b8a275118abe00669632d9&amp;idrepository=879" TargetMode="External"/><Relationship Id="rId56" Type="http://schemas.openxmlformats.org/officeDocument/2006/relationships/hyperlink" Target="https://community.secop.gov.co/Public/Tendering/OpportunityDetail/Index?numConstancia=19-1-207796&amp;g-recaptcha-response=03AGdBq26psleHBUEGruff5MkjIa3CgO0q6Yv5brsCr4-9A2Y3rrP4tiNW0Mzq41qAkEfo1A63yFt2JdFAVtnmOdHOnS0CduH0eVvKnSJLj6lf3noEVMz-1eeOoHgChuvKILEdWmpnG6rdJiKo1HtAI8XZZGK1G5BfvFC-_XSxmKUd55BgGALrFanMlifDxCknMJZZ-cG8aZiO1V4pVvrS1GJ0JuaZ8xzfNSjGBcCsl5XEcAE6yH128nWzM1GtJyGTmPdaIKOzy7drHEOdiLvXOoX0wE3bOoESmnUPyPPNqv_p-VH7x5dK7x-0eBcu0qR8BldID0tVKMf-xzIk1imORNTlWO94N5H9-cCmBAk_kQxPxRBh1P0u-_5Xc8tZsFg1LSfA45K0OHgtDyDLpcsKm5niu4W261lJbBWy7jmG3aPin9LTfOtUxqcJPMeMdPMxCsrLhBiy-_UxhsxjBGzZZYSVfqlBGYeMQQ" TargetMode="External"/><Relationship Id="rId64"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2946311" TargetMode="External"/><Relationship Id="rId69" Type="http://schemas.openxmlformats.org/officeDocument/2006/relationships/hyperlink" Target="http://portalgestiondoc.minhacienda.red/PortalEmpleado/viewer.jsp?config=GJVUAKejwFz++JafBpy3TrKgBq3sTRHQ9cmSpmhm5YM/KRR44euSM7DbVRNYucFZldJ6c2KevNrEXGx1diFx54i87hf2qHhqHrm3l2OY/uliqx8/58qjZpy26UvCjZJTVzbD3sg34wOWt2Hj67CTYccYepiMHfTOfWW1Eb0sztX9v+qPbfLvzl3o2DT/2o7Y&amp;guid=5b8a275118abe00669661ef&amp;idrepository=879" TargetMode="External"/><Relationship Id="rId77"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portalgestiondoc.minhacienda.red/PortalEmpleado/viewer.jsp?config=S9sACvUx109MikEsRE6Sjhd9AgN/TOwESsmWDD+FVtYIklH7zw5bL3lCLzhNC6VrpyXazBkCX3Qcr0Ay05D3pScXqe0fgnEAUzRlb4HVwtjp/Skkuc5rSt9SR+kvEdxGLhDiXxIpVMqBFwgXwB9HnEichbokNotzXllHIBqtjVhbUazZNQxee3HhSonisc5F&amp;guid=5b8a275118abe00669650f3&amp;idrepository=879" TargetMode="External"/><Relationship Id="rId72" Type="http://schemas.openxmlformats.org/officeDocument/2006/relationships/hyperlink" Target="https://www.contratos.gov.co/consultas/detalleProceso.do?config=yxefaYjsHOUqdG0hwLP88O/MAufapa5OK/jWIAwQjz19BQybZXwCFOciTESVdMz9A27Bt/Wizec5LGBLepREeobNS2l2hQnRxA0wmrNTFwKfPSciCVQVn4KMxSngvNa+sa1lAOIwENtKdj5sY7sINevEaj6Pap7SYgPxNC0yG/GjDgwk+adtivNbnpuNoNoJ&amp;guid=5b8a275118abe00669671db&amp;idrepository=879"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secop.gov.co/CO1BusinessLine/Tendering/ContractNoticeView/Index?numConstancia=18-1-197284&amp;g-recaptcha-response=03AGdBq24oQcwE6lrQR9_HUifaaeN2o7IHoGA5RExlhXuZ1gQL6bPUYLfsfQ-Rc44DKM527_d9brcd6F50_L1dYkrEXg0OQEREsM4PwSdxTciBCkpDIG9peIsAi3MnokjWwdW7So8E4R9Oy3HXyw-ltRqTF-c7FdXIKRTb3AeFXlV7pyCp4BWYl6-fdT-gKkZ5Mdqd3tfK_xRFJo7pSlnJBzgS_byX7FT0c8bgxgBE7jWZYirtWLQdNtK8roV56bgffqEpFSTPYndUNmyRQd8YMjGFVfQMKr8ixxX6lx-TzqtmRlAr_1KSrge7MtBPfs0bcKfRf8aT4U11NvZzqRNlCSpfISF4IaEmyUTO9TdIAae0K6GjBgjwXFlIpiYEQHWUE_BtdyuhIRm7qIE85rJCIUuekLnCSryCFPAVVh2Iz4I1qO7rAMwF6BvaQ5nfgjfAGFU2pxfVdKRLZaqplWSiSS9e9fXul_PjqGfkah85GL8OB-dVSf0WaY6WSrld3xw8s__5Vj2OepOWxJOj3ZIPTboQDIBwkN73oQ" TargetMode="External"/><Relationship Id="rId25" Type="http://schemas.openxmlformats.org/officeDocument/2006/relationships/hyperlink" Target="http://portalgestiondoc.minhacienda.red/PortalEmpleado/viewer.jsp" TargetMode="External"/><Relationship Id="rId33" Type="http://schemas.openxmlformats.org/officeDocument/2006/relationships/header" Target="header1.xml"/><Relationship Id="rId38" Type="http://schemas.openxmlformats.org/officeDocument/2006/relationships/hyperlink" Target="http://portalgestiondoc.minhacienda.red/PortalEmpleado/viewer.jsp?config=iK2SGFTjw4BzJVAzCTtHJ5t8uwhRF7c0onTNsO1ltU1L1jotFDT7xHb+vIUMg+ucBZbfVpCa7sVqpR+xlZFCOwl37vEOrNBpzFcqREJfs0MJp1sh1peDOuldARf5yzvX7et9FN9uqqYD6576nJiElf94i5iPBY+hcS+UShwJstmay7Ii6QJy/Eml8e9accur&amp;guid=5b8a275118abe006696-72e7&amp;idrepository=879" TargetMode="External"/><Relationship Id="rId46" Type="http://schemas.openxmlformats.org/officeDocument/2006/relationships/hyperlink" Target="http://portalgestiondoc.minhacienda.red/PortalEmpleado/viewer.jsp?config=g/sE5TYYZBONXNciclJTo9X3FwoJlhCmznTRGENUpjH4D3YYLKiT1Ph9a5GFZdXgHvTu3FNIQ8ronG3Tpv0FPEUWJ1tPkF3RCHm/znUI5+ygdF1RGbAVvV6CjzWsPcBuqWJs9sYkY5rP7AG5cBv0Mc5EDMWtc6gkxPkaewqRChmOR68Sz5DD/Hn0TVuLK7EK&amp;guid=5b8a275118abe00669632d9&amp;idrepository=879" TargetMode="External"/><Relationship Id="rId59" Type="http://schemas.openxmlformats.org/officeDocument/2006/relationships/hyperlink" Target="https://www.contratos.gov.co/consultas/detalleProceso.do" TargetMode="External"/><Relationship Id="rId67" Type="http://schemas.openxmlformats.org/officeDocument/2006/relationships/hyperlink" Target="https://www.colombiacompra.gov.co/tienda-virtual-del-estado-colombiano/ordenes-compra/77691?prevCtxLbl=Buscar+procesos&amp;prevCtxUrl=https%3a%2f%2fwww.secop.gov.co%3a443%2fCO1BusinessLine%2fTendering%2fContractNoticeManagement%2fIndex&amp;notice=CO1.NTC.3396738" TargetMode="External"/><Relationship Id="rId20" Type="http://schemas.openxmlformats.org/officeDocument/2006/relationships/hyperlink" Target="http://portalgestiondoc.minhacienda.red/PortalEmpleado/viewer.jsp?numConstancia=19-1-207796&amp;g-recaptcha-response=03AGdBq26psleHBUEGruff5MkjIa3CgO0q6Yv5brsCr4-9A2Y3rrP4tiNW0Mzq41qAkEfo1A63yFt2JdFAVtnmOdHOnS0CduH0eVvKnSJLj6lf3noEVMz-1eeOoHgChuvKILEdWmpnG6rdJiKo1HtAI8XZZGK1G5BfvFC-_XSxmKUd55BgGALrFanMlifDxCknMJZZ-cG8aZiO1V4pVvrS1GJ0JuaZ8xzfNSjGBcCsl5XEcAE6yH128nWzM1GtJyGTmPdaIKOzy7drHEOdiLvXOoX0wE3bOoESmnUPyPPNqv_p-VH7x5dK7x-0eBcu0qR8BldID0tVKMf-xzIk1imORNTlWO94N5H9-cCmBAk_kQxPxRBh1P0u-_5Xc8tZsFg1LSfA45K0OHgtDyDLpcsKm5niu4W261lJbBWy7jmG3aPin9LTfOtUxqcJPMeMdPMxCsrLhBiy-_UxhsxjBGzZZYSVfqlBGYeMQQ" TargetMode="External"/><Relationship Id="rId41" Type="http://schemas.openxmlformats.org/officeDocument/2006/relationships/hyperlink" Target="http://portalgestiondoc.minhacienda.red/PortalEmpleado/viewer.jsp?config=g/sE5TYYZBONXNciclJTo9X3FwoJlhCmznTRGENUpjH4D3YYLKiT1Ph9a5GFZdXgHvTu3FNIQ8ronG3Tpv0FPEUWJ1tPkF3RCHm/znUI5+ygdF1RGbAVvV6CjzWsPcBuqWJs9sYkY5rP7AG5cBv0Mc5EDMWtc6gkxPkaewqRChmOR68Sz5DD/Hn0TVuLK7EK&amp;guid=5b8a275118abe00669632d9&amp;idrepository=879" TargetMode="External"/><Relationship Id="rId54" Type="http://schemas.openxmlformats.org/officeDocument/2006/relationships/hyperlink" Target="https://www.colombiacompra.gov.co/tienda-virtual-del-estado-colombiano/ordenes-compra/66808?numConstancia=19-1-201009&amp;g-recaptcha-response=03AGdBq27iWObAQK6iCp9Frz2Q0KNdsMRBDgu2ZPjDR12Ts21bK27F3SdtmdXMHk1ymKb5vXGFbjceH0o5LhrE1L_cINVMJjEpI9mqGF2DPbZ09zSGFXMBCdW-fMhig4TZC3wdoM6YkhEUYcqAF-T0uanFHwwBYMwoJZVT_b4tNMsRWj4QrY73Q3tJi_EDJAi-HW0Wv7Yo5mX_RsSDhq5iTY_MZjRPDLcgjLFH0pgXZAfAxJGAHJ2U-dSqmftE9pT-UoYmiBqoCC7DIXubk3n0QhJyeFwy9kEUUs5-Y28apAi_Sa-t6nynBy3YSMzGtENouqpwmqOHlGy1OEAnsfuKSqDtUL0eT1vT5PH7cIn-KZbv528jz4GSHtxkh6qVzwrvsNMpZcnVrRIxZ4x5qI2w4OQuEbV2gCKneWwhlutMCvPdrsVXn0FpaQlTIzIwVO2jbDF_bgUxYGzPvaqw-OEcW8dnRHP60jSnUP_ClKrUXfu3jZt9uJUJSV0lD9OHgSwUHAILUupNeIRUzSKgSFxHHT8pn0E0118OgZQznlOa5NaGfugy320TO-s" TargetMode="External"/><Relationship Id="rId62"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3141155" TargetMode="External"/><Relationship Id="rId70" Type="http://schemas.openxmlformats.org/officeDocument/2006/relationships/hyperlink" Target="https://www.contratos.gov.co/consultas/detalleProceso.do?config=0JSxFD0ZgyjDEsxc7nj3zRiRjZvC+Zo5uzuSVFOyCiWQtsJP40wDGpqr+xjqR0e8/9jOHGOQzHVE/TNToWiLzNkC6g84ADq3cqEOTBMgnslxzWWF7poRKjWvSFhfkmygzaegegGm0UCan3q9uVXpzgu9zp02fdDc4Eq9juMoVV0AaRX0FgkSc2zoTpTIdcv+&amp;guid=5b8a275118abe00669671df&amp;idrepository=879" TargetMode="External"/><Relationship Id="rId75" Type="http://schemas.openxmlformats.org/officeDocument/2006/relationships/hyperlink" Target="http://portalgestiondoc.minhacienda.red/PortalEmpleado/viewer.jsp?config=hSxCmE1m5kFQwToZYOZv0sG5U7fChF5HiUvtubPYJaf0LvmKEwrR8MI7OpKR90GB0gK1dzxLz7bwXGWKLvwaVgxBc3biiu2ufU8iajO6BTwDSCcIa0C+4tgUSPMeXlc8lg/c6CLPuQ1rfLZnBzW9u0uj+oQUohMU0dxEI+CPStSFA3ePKLn8YDWYJ6FzU8VW&amp;guid=7bef3bba18bab9b7758-6d4d&amp;idrepository=879"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contratos.gov.co/consultas/detalleProceso.do" TargetMode="External"/><Relationship Id="rId28"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2946311" TargetMode="External"/><Relationship Id="rId36" Type="http://schemas.openxmlformats.org/officeDocument/2006/relationships/footer" Target="footer2.xml"/><Relationship Id="rId49" Type="http://schemas.openxmlformats.org/officeDocument/2006/relationships/hyperlink" Target="http://portalgestiondoc.minhacienda.red/PortalEmpleado/viewer.jsp?config=5Q6B6aPGzyRCAq9xkWYVxGjUXYmUksKymz1cyo97NtOjgCR14b4mtzLzoRHfZp9hhIfrH2XOZqWVSCV8ZndJI0LMvL6NdXzXRxtFN3WXt89ayzvKagwe8AhBDWXKcog5C7ykh7i5aUoCOCwl64cSa9Y1ZzbaONRDYrzpBs23EVBIShNdiOTPf2kQg69WIWD6&amp;guid=5b8a275118abe00669650ef&amp;idrepository=879" TargetMode="External"/><Relationship Id="rId57" Type="http://schemas.openxmlformats.org/officeDocument/2006/relationships/hyperlink" Target="http://portalgestiondoc.minhacienda.red/PortalEmpleado/viewer.jsp?prevCtxLbl=Buscar+procesos&amp;prevCtxUrl=https%3a%2f%2fwww.secop.gov.co%3a443%2fCO1BusinessLine%2fTendering%2fContractNoticeManagement%2fIndex&amp;notice=CO1.NTC.1518106" TargetMode="External"/><Relationship Id="rId10" Type="http://schemas.openxmlformats.org/officeDocument/2006/relationships/image" Target="media/image1.png"/><Relationship Id="rId31" Type="http://schemas.openxmlformats.org/officeDocument/2006/relationships/hyperlink" Target="https://www.colombiacompra.gov.co/tienda-virtual-del-estado-colombiano/ordenes-compra/66808?prevCtxLbl=Buscar+procesos&amp;prevCtxUrl=https%3a%2f%2fwww.secop.gov.co%3a443%2fCO1BusinessLine%2fTendering%2fContractNoticeManagement%2fIndex&amp;notice=CO1.NTC.3396738" TargetMode="External"/><Relationship Id="rId44" Type="http://schemas.openxmlformats.org/officeDocument/2006/relationships/hyperlink" Target="https://www.secop.gov.co/CO1BusinessLine/Tendering/ContractNoticeView/Index?config=g/sE5TYYZBONXNciclJTo9X3FwoJlhCmznTRGENUpjH4D3YYLKiT1Ph9a5GFZdXgHvTu3FNIQ8ronG3Tpv0FPEUWJ1tPkF3RCHm/znUI5+ygdF1RGbAVvV6CjzWsPcBuqWJs9sYkY5rP7AG5cBv0Mc5EDMWtc6gkxPkaewqRChmOR68Sz5DD/Hn0TVuLK7EK&amp;guid=5b8a275118abe00669632d9&amp;idrepository=879" TargetMode="External"/><Relationship Id="rId52" Type="http://schemas.openxmlformats.org/officeDocument/2006/relationships/hyperlink" Target="http://portalgestiondoc.minhacienda.red/PortalEmpleado/viewer.jsp" TargetMode="External"/><Relationship Id="rId60" Type="http://schemas.openxmlformats.org/officeDocument/2006/relationships/hyperlink" Target="https://www.secop.gov.co/CO1BusinessLine/Tendering/ContractNoticeView/Index" TargetMode="External"/><Relationship Id="rId65"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3006017" TargetMode="External"/><Relationship Id="rId73" Type="http://schemas.openxmlformats.org/officeDocument/2006/relationships/hyperlink" Target="http://portalgestiondoc.minhacienda.red/PortalEmpleado/viewer.jsp?config=Xkw2i0CU7/qMc2cBVtdelqomSsHXTGnO3pW7Nl3sHjPhdg/XC4rDJMMlN5qR4xptvo+6E+VpX0rpmbrMIcm15ndc96dJVoU9TIkQjimVidVwEjieH2iTrzsNCzXhyrIiFn+ET4PaWert0SbQKhkBqxYTs2fDSUxVUi1qAWe7xYpwik0Uzhltu+z20fLULdy3&amp;guid=5b8a275118abe00669671dd&amp;idrepository=879" TargetMode="External"/><Relationship Id="rId78" Type="http://schemas.openxmlformats.org/officeDocument/2006/relationships/footer" Target="footer3.xml"/><Relationship Id="rId8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colombiacompra.gov.co/amp-ordenes-de-compra?numConstancia=19-1-201009&amp;g-recaptcha-response=03AGdBq27iWObAQK6iCp9Frz2Q0KNdsMRBDgu2ZPjDR12Ts21bK27F3SdtmdXMHk1ymKb5vXGFbjceH0o5LhrE1L_cINVMJjEpI9mqGF2DPbZ09zSGFXMBCdW-fMhig4TZC3wdoM6YkhEUYcqAF-T0uanFHwwBYMwoJZVT_b4tNMsRWj4QrY73Q3tJi_EDJAi-HW0Wv7Yo5mX_RsSDhq5iTY_MZjRPDLcgjLFH0pgXZAfAxJGAHJ2U-dSqmftE9pT-UoYmiBqoCC7DIXubk3n0QhJyeFwy9kEUUs5-Y28apAi_Sa-t6nynBy3YSMzGtENouqpwmqOHlGy1OEAnsfuKSqDtUL0eT1vT5PH7cIn-KZbv528jz4GSHtxkh6qVzwrvsNMpZcnVrRIxZ4x5qI2w4OQuEbV2gCKneWwhlutMCvPdrsVXn0FpaQlTIzIwVO2jbDF_bgUxYGzPvaqw-OEcW8dnRHP60jSnUP_ClKrUXfu3jZt9uJUJSV0lD9OHgSwUHAILUupNeIRUzSKgSFxHHT8pn0E0118OgZQznlOa5NaGfugy320TO-s" TargetMode="External"/><Relationship Id="rId39" Type="http://schemas.openxmlformats.org/officeDocument/2006/relationships/hyperlink" Target="https://www.colombiacompra.gov.co/tienda-virtual-del-estado-colombiano/ordenes-compra/72682?config=w7GVOfi8wjwL+nAZfiQT+YGM+T443KRFobnF0N4hOx7ecy3l9kFF7IztKMKiSc8V5Z80Znm6bt9jWN7eupukEXKRGzlEIuLisxkt2uENs0SCtUDBAA7IW2Ued9JK6AlIRLEymFD/6a/JGtg8fWytw2Qwcc4HYmpCDZCDF1RgeF16EhFrxp+SRGnA3w0rIks5&amp;guid=5b8a275118abe006696ace&amp;idrepository=879" TargetMode="External"/><Relationship Id="rId34" Type="http://schemas.openxmlformats.org/officeDocument/2006/relationships/footer" Target="footer1.xml"/><Relationship Id="rId50" Type="http://schemas.openxmlformats.org/officeDocument/2006/relationships/hyperlink" Target="https://www.secop.gov.co/CO1BusinessLine/Tendering/ContractNoticeView/Index?config=dOIyUjERFnBZ1K2vCglvDtwB4mvwH1mmMlS3LmvP0nU7p7hcsQLdfftuRLnu4+1e+7elmJy1NrIgv9TgPafls04Ctz7CGnP7iES4apJlZvP6XYqFk6FL8kK98/Ws0GwaS2g+SNaLX4DylG2np7zkJ7YW2m9iHuCo4E1Sv2MxGxuaHUVcROY3YkpmAtRrRXQN&amp;guid=5b8a275118abe00669650f1&amp;idrepository=879" TargetMode="External"/><Relationship Id="rId55" Type="http://schemas.openxmlformats.org/officeDocument/2006/relationships/hyperlink" Target="http://portalgestiondoc.minhacienda.red/PortalEmpleado/viewer.jsp?prevCtxLbl=Buscar+procesos&amp;prevCtxUrl=https%3a%2f%2fwww.secop.gov.co%3a443%2fCO1BusinessLine%2fTendering%2fContractNoticeManagement%2fIndex&amp;notice=CO1.NTC.1244803" TargetMode="External"/><Relationship Id="rId76" Type="http://schemas.openxmlformats.org/officeDocument/2006/relationships/hyperlink" Target="https://www.contratos.gov.co/consultas/detalleProceso.do?config=WfjPUXBchby/4I1sN2WVKOa9SPnR5W6Ag+ibq7NCnrhE5NpRz9LleSVTWzB8kbz8LJRe3K2NhMvUKE4wxP4ioQ2z0ALgvjkAOgH/SNN49hR3NXp7SmA2chMt+uA22yRtebnTLPYiZA0VddvDHbwLzJZXrnQBSXC3Eck8gkKld75gkrsPxD3KP4DBzBZp6Pk4&amp;guid=7bef3bba18bab9b7758-6d4f&amp;idrepository=879" TargetMode="External"/><Relationship Id="rId7" Type="http://schemas.openxmlformats.org/officeDocument/2006/relationships/webSettings" Target="webSettings.xml"/><Relationship Id="rId71" Type="http://schemas.openxmlformats.org/officeDocument/2006/relationships/hyperlink" Target="http://portalgestiondoc.minhacienda.red/PortalEmpleado/viewer.jsp?config=PyndlgOdDtcfkuzA60fLccGhn+uJhmqHaKAs9HrIfGQ/U+zSS2K8WbS8+YvCCp6FkRZd5zMIgIvv7l551v9WqNChya+cG4Lvlst6pu+5yPUSPB9TAP3PEjYHJPAMTILZQnXEVoZaOOyuDkvQ2obotSs969r8qH5SpkFclGUV6/ihVlzatTiph4E9PVHHtSmx&amp;guid=5b8a275118abe00669671d9&amp;idrepository=879" TargetMode="External"/><Relationship Id="rId2" Type="http://schemas.openxmlformats.org/officeDocument/2006/relationships/customXml" Target="../customXml/item2.xml"/><Relationship Id="rId29" Type="http://schemas.openxmlformats.org/officeDocument/2006/relationships/hyperlink" Target="http://portalgestiondoc.minhacienda.red/PortalEmpleado/viewer.jsp?prevCtxLbl=Buscar+procesos&amp;prevCtxUrl=https%3a%2f%2fwww.secop.gov.co%3a443%2fCO1BusinessLine%2fTendering%2fContractNoticeManagement%2fIndex&amp;notice=CO1.NTC.3006017" TargetMode="External"/><Relationship Id="rId24" Type="http://schemas.openxmlformats.org/officeDocument/2006/relationships/hyperlink" Target="https://www.secop.gov.co/CO1BusinessLine/Tendering/ContractNoticeView/Index" TargetMode="External"/><Relationship Id="rId40" Type="http://schemas.openxmlformats.org/officeDocument/2006/relationships/hyperlink" Target="http://portalgestiondoc.minhacienda.red/PortalEmpleado/viewer.jsp?config=5mdpR8zb0NcJMdfVf4aMtekuHMhESuvAaGq3URxzBg1tEodCcyfUaBS8MvTlLGmCxCu9u7nlXaFS/XXaK4vFYtdYZPXGYjwQ/md4vG/WPR+J6wRb6j8j4BoNLVEalIombG44jVUcb9roMHg8jz3HGiTFFvX+DdBazL3IiPKU0u7G/reSqsNLOgnfAx7iLdlw&amp;guid=5b8a275118abe0066962108&amp;idrepository=879" TargetMode="External"/><Relationship Id="rId45" Type="http://schemas.openxmlformats.org/officeDocument/2006/relationships/hyperlink" Target="http://portalgestiondoc.minhacienda.red/PortalEmpleado/viewer.jsp?config=5Q6B6aPGzyRCAq9xkWYVxGjUXYmUksKymz1cyo97NtOjgCR14b4mtzLzoRHfZp9hhIfrH2XOZqWVSCV8ZndJI0LMvL6NdXzXRxtFN3WXt89ayzvKagwe8AhBDWXKcog5C7ykh7i5aUoCOCwl64cSa9Y1ZzbaONRDYrzpBs23EVBIShNdiOTPf2kQg69WIWD6&amp;guid=5b8a275118abe00669650ef&amp;idrepository=879" TargetMode="External"/><Relationship Id="rId66" Type="http://schemas.openxmlformats.org/officeDocument/2006/relationships/hyperlink" Target="https://www.secop.gov.co/CO1BusinessLine/Tendering/ContractNoticeView/Index?prevCtxLbl=Buscar+procesos&amp;prevCtxUrl=https%3a%2f%2fwww.secop.gov.co%3a443%2fCO1BusinessLine%2fTendering%2fContractNoticeManagement%2fIndex&amp;notice=CO1.NTC.3292287"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inhacienda.gov.co/" TargetMode="External"/><Relationship Id="rId1" Type="http://schemas.openxmlformats.org/officeDocument/2006/relationships/hyperlink" Target="mailto:relacionciudadano@minhaciend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1" ma:contentTypeDescription="Crear nuevo documento." ma:contentTypeScope="" ma:versionID="95c742ab715e99821918e1f63b0b25f8">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d5835e5f055d4bd16bc0795399cb00c2"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B43D06EB-2263-46BC-8EE6-D92E9AE011CD}">
  <ds:schemaRefs>
    <ds:schemaRef ds:uri="http://schemas.microsoft.com/sharepoint/v3/contenttype/forms"/>
  </ds:schemaRefs>
</ds:datastoreItem>
</file>

<file path=customXml/itemProps2.xml><?xml version="1.0" encoding="utf-8"?>
<ds:datastoreItem xmlns:ds="http://schemas.openxmlformats.org/officeDocument/2006/customXml" ds:itemID="{57898BDE-D1D7-4C0C-8E81-E2A0D0A5ECCD}">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044E10AD-C21B-4609-BA79-4E990B016481}"/>
</file>

<file path=customXml/itemProps4.xml><?xml version="1.0" encoding="utf-8"?>
<ds:datastoreItem xmlns:ds="http://schemas.openxmlformats.org/officeDocument/2006/customXml" ds:itemID="{ABE72937-73D8-4FBE-95A9-28D29AE14C06}"/>
</file>

<file path=docProps/app.xml><?xml version="1.0" encoding="utf-8"?>
<Properties xmlns="http://schemas.openxmlformats.org/officeDocument/2006/extended-properties" xmlns:vt="http://schemas.openxmlformats.org/officeDocument/2006/docPropsVTypes">
  <Template>Normal</Template>
  <TotalTime>1</TotalTime>
  <Pages>49</Pages>
  <Words>44090</Words>
  <Characters>242499</Characters>
  <Application>Microsoft Office Word</Application>
  <DocSecurity>0</DocSecurity>
  <Lines>2020</Lines>
  <Paragraphs>572</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286017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Francisco Encizar Acosta Moreno</dc:creator>
  <cp:keywords/>
  <cp:lastModifiedBy>Pablo Andres Parra Cubides</cp:lastModifiedBy>
  <cp:revision>2</cp:revision>
  <dcterms:created xsi:type="dcterms:W3CDTF">2023-12-14T21:55:00Z</dcterms:created>
  <dcterms:modified xsi:type="dcterms:W3CDTF">2023-12-14T21:55:00Z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2016</vt:lpwstr>
  </property>
  <property fmtid="{D5CDD505-2E9C-101B-9397-08002B2CF9AE}" pid="4" name="LastSaved">
    <vt:filetime>2023-07-17T00:00:00Z</vt:filetime>
  </property>
  <property fmtid="{D5CDD505-2E9C-101B-9397-08002B2CF9AE}" pid="5" name="ContentTypeId">
    <vt:lpwstr>0x0101005E9E5816CD457649A2FC257344E438ED</vt:lpwstr>
  </property>
</Properties>
</file>