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98A" w:rsidRPr="00A21B5C" w:rsidRDefault="00045917" w:rsidP="00A21B5C">
      <w:pPr>
        <w:pStyle w:val="Sinespaciado"/>
        <w:contextualSpacing/>
        <w:jc w:val="center"/>
        <w:rPr>
          <w:rFonts w:ascii="Arial" w:hAnsi="Arial" w:cs="Arial"/>
          <w:b/>
          <w:szCs w:val="24"/>
        </w:rPr>
      </w:pPr>
      <w:bookmarkStart w:id="0" w:name="_GoBack"/>
      <w:bookmarkEnd w:id="0"/>
      <w:r w:rsidRPr="00A21B5C">
        <w:rPr>
          <w:rFonts w:ascii="Arial" w:hAnsi="Arial" w:cs="Arial"/>
          <w:b/>
          <w:szCs w:val="24"/>
        </w:rPr>
        <w:t>INFORME DE ESTADO DE</w:t>
      </w:r>
      <w:r w:rsidR="008C2E4A" w:rsidRPr="00A21B5C">
        <w:rPr>
          <w:rFonts w:ascii="Arial" w:hAnsi="Arial" w:cs="Arial"/>
          <w:b/>
          <w:szCs w:val="24"/>
        </w:rPr>
        <w:t xml:space="preserve"> LA ADMINISTRACIÓN DE LA ASIGNACIÓN ESPECIAL</w:t>
      </w:r>
      <w:r w:rsidR="0045298A" w:rsidRPr="00A21B5C">
        <w:rPr>
          <w:rFonts w:ascii="Arial" w:hAnsi="Arial" w:cs="Arial"/>
          <w:b/>
          <w:szCs w:val="24"/>
        </w:rPr>
        <w:t xml:space="preserve"> DEL SISTEMA GENERAL DE PARTICIPACIONES</w:t>
      </w:r>
      <w:r w:rsidR="008C2E4A" w:rsidRPr="00A21B5C">
        <w:rPr>
          <w:rFonts w:ascii="Arial" w:hAnsi="Arial" w:cs="Arial"/>
          <w:b/>
          <w:szCs w:val="24"/>
        </w:rPr>
        <w:t xml:space="preserve"> PARA RESGUARDOS INDÍGENAS EN EL </w:t>
      </w:r>
    </w:p>
    <w:p w:rsidR="008C2E4A" w:rsidRPr="00A21B5C" w:rsidRDefault="008C2E4A" w:rsidP="00A21B5C">
      <w:pPr>
        <w:pStyle w:val="Sinespaciado"/>
        <w:contextualSpacing/>
        <w:jc w:val="center"/>
        <w:rPr>
          <w:rFonts w:ascii="Arial" w:hAnsi="Arial" w:cs="Arial"/>
          <w:b/>
          <w:szCs w:val="24"/>
        </w:rPr>
      </w:pPr>
      <w:r w:rsidRPr="00A21B5C">
        <w:rPr>
          <w:rFonts w:ascii="Arial" w:hAnsi="Arial" w:cs="Arial"/>
          <w:b/>
          <w:szCs w:val="24"/>
        </w:rPr>
        <w:t>MUNICIPIO DE DIBULLA – LA GUAJIRA</w:t>
      </w:r>
      <w:r w:rsidRPr="00A21B5C">
        <w:rPr>
          <w:rFonts w:ascii="Arial" w:hAnsi="Arial" w:cs="Arial"/>
          <w:b/>
        </w:rPr>
        <w:t>.</w:t>
      </w:r>
    </w:p>
    <w:p w:rsidR="008C2E4A" w:rsidRPr="00A21B5C" w:rsidRDefault="008C2E4A" w:rsidP="00A21B5C">
      <w:pPr>
        <w:pStyle w:val="Sinespaciado"/>
        <w:contextualSpacing/>
        <w:jc w:val="center"/>
        <w:rPr>
          <w:rFonts w:ascii="Arial" w:hAnsi="Arial" w:cs="Arial"/>
          <w:b/>
          <w:sz w:val="20"/>
        </w:rPr>
      </w:pPr>
    </w:p>
    <w:tbl>
      <w:tblPr>
        <w:tblStyle w:val="Tablaconcuadrcula"/>
        <w:tblW w:w="0" w:type="auto"/>
        <w:tblBorders>
          <w:insideH w:val="single" w:sz="6" w:space="0" w:color="auto"/>
          <w:insideV w:val="single" w:sz="6" w:space="0" w:color="auto"/>
        </w:tblBorders>
        <w:tblLook w:val="04A0" w:firstRow="1" w:lastRow="0" w:firstColumn="1" w:lastColumn="0" w:noHBand="0" w:noVBand="1"/>
      </w:tblPr>
      <w:tblGrid>
        <w:gridCol w:w="2239"/>
        <w:gridCol w:w="6509"/>
      </w:tblGrid>
      <w:tr w:rsidR="008C2E4A" w:rsidRPr="00A21B5C" w:rsidTr="008C2E4A">
        <w:trPr>
          <w:trHeight w:val="276"/>
        </w:trPr>
        <w:tc>
          <w:tcPr>
            <w:tcW w:w="2239" w:type="dxa"/>
            <w:tcBorders>
              <w:top w:val="single" w:sz="4" w:space="0" w:color="auto"/>
              <w:left w:val="single" w:sz="4" w:space="0" w:color="auto"/>
              <w:bottom w:val="dashSmallGap" w:sz="4" w:space="0" w:color="A6A6A6" w:themeColor="background1" w:themeShade="A6"/>
              <w:right w:val="single" w:sz="6" w:space="0" w:color="auto"/>
            </w:tcBorders>
            <w:hideMark/>
          </w:tcPr>
          <w:p w:rsidR="008C2E4A" w:rsidRPr="00A21B5C" w:rsidRDefault="008C2E4A" w:rsidP="00A21B5C">
            <w:pPr>
              <w:pStyle w:val="NormalWeb"/>
              <w:spacing w:before="0" w:beforeAutospacing="0" w:after="0"/>
              <w:contextualSpacing/>
              <w:jc w:val="both"/>
              <w:rPr>
                <w:rFonts w:ascii="Arial" w:hAnsi="Arial" w:cs="Arial"/>
                <w:b/>
                <w:sz w:val="22"/>
                <w:szCs w:val="22"/>
              </w:rPr>
            </w:pPr>
            <w:r w:rsidRPr="00A21B5C">
              <w:rPr>
                <w:rFonts w:ascii="Arial" w:hAnsi="Arial" w:cs="Arial"/>
                <w:b/>
                <w:bCs/>
                <w:sz w:val="22"/>
                <w:szCs w:val="22"/>
              </w:rPr>
              <w:t>Número de Expediente</w:t>
            </w:r>
          </w:p>
        </w:tc>
        <w:tc>
          <w:tcPr>
            <w:tcW w:w="6509" w:type="dxa"/>
            <w:tcBorders>
              <w:top w:val="single" w:sz="4" w:space="0" w:color="auto"/>
              <w:left w:val="single" w:sz="6" w:space="0" w:color="auto"/>
              <w:bottom w:val="dashSmallGap" w:sz="4" w:space="0" w:color="A6A6A6" w:themeColor="background1" w:themeShade="A6"/>
              <w:right w:val="single" w:sz="4" w:space="0" w:color="auto"/>
            </w:tcBorders>
            <w:hideMark/>
          </w:tcPr>
          <w:p w:rsidR="008C2E4A" w:rsidRPr="00A21B5C" w:rsidRDefault="008C2E4A" w:rsidP="00A21B5C">
            <w:pPr>
              <w:pStyle w:val="NormalWeb"/>
              <w:spacing w:before="0" w:beforeAutospacing="0" w:after="0"/>
              <w:contextualSpacing/>
              <w:rPr>
                <w:rFonts w:ascii="Arial" w:hAnsi="Arial" w:cs="Arial"/>
                <w:b/>
                <w:bCs/>
                <w:sz w:val="14"/>
                <w:szCs w:val="14"/>
              </w:rPr>
            </w:pPr>
            <w:r w:rsidRPr="00A21B5C">
              <w:rPr>
                <w:rFonts w:ascii="Arial" w:hAnsi="Arial" w:cs="Arial"/>
                <w:bCs/>
                <w:sz w:val="22"/>
                <w:szCs w:val="22"/>
              </w:rPr>
              <w:t>24/2019/D028-PREDI</w:t>
            </w:r>
          </w:p>
        </w:tc>
      </w:tr>
      <w:tr w:rsidR="008C2E4A" w:rsidRPr="00A21B5C" w:rsidTr="008C2E4A">
        <w:trPr>
          <w:trHeight w:val="276"/>
        </w:trPr>
        <w:tc>
          <w:tcPr>
            <w:tcW w:w="2239" w:type="dxa"/>
            <w:tcBorders>
              <w:top w:val="dashSmallGap" w:sz="4" w:space="0" w:color="A6A6A6" w:themeColor="background1" w:themeShade="A6"/>
              <w:left w:val="single" w:sz="4" w:space="0" w:color="auto"/>
              <w:bottom w:val="dashSmallGap" w:sz="4" w:space="0" w:color="A6A6A6" w:themeColor="background1" w:themeShade="A6"/>
              <w:right w:val="single" w:sz="6" w:space="0" w:color="auto"/>
            </w:tcBorders>
            <w:hideMark/>
          </w:tcPr>
          <w:p w:rsidR="008C2E4A" w:rsidRPr="00A21B5C" w:rsidRDefault="008C2E4A" w:rsidP="00A21B5C">
            <w:pPr>
              <w:pStyle w:val="NormalWeb"/>
              <w:spacing w:before="0" w:beforeAutospacing="0" w:after="0"/>
              <w:contextualSpacing/>
              <w:jc w:val="both"/>
              <w:rPr>
                <w:rFonts w:ascii="Arial" w:hAnsi="Arial" w:cs="Arial"/>
                <w:b/>
                <w:bCs/>
                <w:sz w:val="22"/>
                <w:szCs w:val="22"/>
              </w:rPr>
            </w:pPr>
            <w:r w:rsidRPr="00A21B5C">
              <w:rPr>
                <w:rFonts w:ascii="Arial" w:hAnsi="Arial" w:cs="Arial"/>
                <w:b/>
                <w:bCs/>
                <w:sz w:val="22"/>
                <w:szCs w:val="22"/>
              </w:rPr>
              <w:t>Sector</w:t>
            </w:r>
          </w:p>
        </w:tc>
        <w:tc>
          <w:tcPr>
            <w:tcW w:w="6509" w:type="dxa"/>
            <w:tcBorders>
              <w:top w:val="dashSmallGap" w:sz="4" w:space="0" w:color="A6A6A6" w:themeColor="background1" w:themeShade="A6"/>
              <w:left w:val="single" w:sz="6" w:space="0" w:color="auto"/>
              <w:bottom w:val="dashSmallGap" w:sz="4" w:space="0" w:color="A6A6A6" w:themeColor="background1" w:themeShade="A6"/>
              <w:right w:val="single" w:sz="4" w:space="0" w:color="auto"/>
            </w:tcBorders>
            <w:hideMark/>
          </w:tcPr>
          <w:p w:rsidR="008C2E4A" w:rsidRPr="00A21B5C" w:rsidRDefault="008C2E4A" w:rsidP="00A21B5C">
            <w:pPr>
              <w:pStyle w:val="NormalWeb"/>
              <w:spacing w:before="0" w:beforeAutospacing="0" w:after="0"/>
              <w:contextualSpacing/>
              <w:jc w:val="both"/>
              <w:rPr>
                <w:rFonts w:ascii="Arial" w:hAnsi="Arial" w:cs="Arial"/>
                <w:bCs/>
                <w:sz w:val="22"/>
                <w:szCs w:val="22"/>
              </w:rPr>
            </w:pPr>
            <w:r w:rsidRPr="00A21B5C">
              <w:rPr>
                <w:rFonts w:ascii="Arial" w:hAnsi="Arial" w:cs="Arial"/>
                <w:bCs/>
                <w:sz w:val="22"/>
                <w:szCs w:val="22"/>
              </w:rPr>
              <w:t>Asignación Especial para Resguardos Indígenas - AESGPRI</w:t>
            </w:r>
          </w:p>
        </w:tc>
      </w:tr>
      <w:tr w:rsidR="008C2E4A" w:rsidRPr="00A21B5C" w:rsidTr="008C2E4A">
        <w:trPr>
          <w:trHeight w:val="294"/>
        </w:trPr>
        <w:tc>
          <w:tcPr>
            <w:tcW w:w="2239" w:type="dxa"/>
            <w:tcBorders>
              <w:top w:val="dashSmallGap" w:sz="4" w:space="0" w:color="A6A6A6" w:themeColor="background1" w:themeShade="A6"/>
              <w:left w:val="single" w:sz="4" w:space="0" w:color="auto"/>
              <w:bottom w:val="dashSmallGap" w:sz="4" w:space="0" w:color="A6A6A6" w:themeColor="background1" w:themeShade="A6"/>
              <w:right w:val="single" w:sz="6" w:space="0" w:color="auto"/>
            </w:tcBorders>
            <w:hideMark/>
          </w:tcPr>
          <w:p w:rsidR="008C2E4A" w:rsidRPr="00A21B5C" w:rsidRDefault="008C2E4A" w:rsidP="00A21B5C">
            <w:pPr>
              <w:pStyle w:val="NormalWeb"/>
              <w:spacing w:before="0" w:beforeAutospacing="0" w:after="0"/>
              <w:contextualSpacing/>
              <w:jc w:val="both"/>
              <w:rPr>
                <w:rFonts w:ascii="Arial" w:hAnsi="Arial" w:cs="Arial"/>
                <w:b/>
                <w:bCs/>
                <w:sz w:val="22"/>
                <w:szCs w:val="22"/>
              </w:rPr>
            </w:pPr>
            <w:r w:rsidRPr="00A21B5C">
              <w:rPr>
                <w:rFonts w:ascii="Arial" w:hAnsi="Arial" w:cs="Arial"/>
                <w:b/>
                <w:bCs/>
                <w:sz w:val="22"/>
                <w:szCs w:val="22"/>
              </w:rPr>
              <w:t>Tipo de Entidad</w:t>
            </w:r>
          </w:p>
        </w:tc>
        <w:tc>
          <w:tcPr>
            <w:tcW w:w="6509" w:type="dxa"/>
            <w:tcBorders>
              <w:top w:val="dashSmallGap" w:sz="4" w:space="0" w:color="A6A6A6" w:themeColor="background1" w:themeShade="A6"/>
              <w:left w:val="single" w:sz="6" w:space="0" w:color="auto"/>
              <w:bottom w:val="dashSmallGap" w:sz="4" w:space="0" w:color="A6A6A6" w:themeColor="background1" w:themeShade="A6"/>
              <w:right w:val="single" w:sz="4" w:space="0" w:color="auto"/>
            </w:tcBorders>
            <w:hideMark/>
          </w:tcPr>
          <w:p w:rsidR="008C2E4A" w:rsidRPr="00A21B5C" w:rsidRDefault="008C2E4A" w:rsidP="00A21B5C">
            <w:pPr>
              <w:contextualSpacing/>
              <w:jc w:val="both"/>
              <w:rPr>
                <w:rFonts w:ascii="Arial" w:hAnsi="Arial" w:cs="Arial"/>
                <w:sz w:val="22"/>
                <w:szCs w:val="22"/>
              </w:rPr>
            </w:pPr>
            <w:r w:rsidRPr="00A21B5C">
              <w:rPr>
                <w:rFonts w:ascii="Arial" w:hAnsi="Arial" w:cs="Arial"/>
                <w:sz w:val="22"/>
                <w:szCs w:val="22"/>
              </w:rPr>
              <w:t>Municipio</w:t>
            </w:r>
          </w:p>
        </w:tc>
      </w:tr>
      <w:tr w:rsidR="008C2E4A" w:rsidRPr="00A21B5C" w:rsidTr="008C2E4A">
        <w:trPr>
          <w:trHeight w:val="276"/>
        </w:trPr>
        <w:tc>
          <w:tcPr>
            <w:tcW w:w="2239" w:type="dxa"/>
            <w:tcBorders>
              <w:top w:val="dashSmallGap" w:sz="4" w:space="0" w:color="A6A6A6" w:themeColor="background1" w:themeShade="A6"/>
              <w:left w:val="single" w:sz="4" w:space="0" w:color="auto"/>
              <w:bottom w:val="single" w:sz="4" w:space="0" w:color="auto"/>
              <w:right w:val="single" w:sz="6" w:space="0" w:color="auto"/>
            </w:tcBorders>
            <w:hideMark/>
          </w:tcPr>
          <w:p w:rsidR="008C2E4A" w:rsidRPr="00A21B5C" w:rsidRDefault="008C2E4A" w:rsidP="00A21B5C">
            <w:pPr>
              <w:pStyle w:val="NormalWeb"/>
              <w:spacing w:before="0" w:beforeAutospacing="0" w:after="0"/>
              <w:contextualSpacing/>
              <w:jc w:val="both"/>
              <w:rPr>
                <w:rFonts w:ascii="Arial" w:hAnsi="Arial" w:cs="Arial"/>
                <w:b/>
                <w:bCs/>
                <w:sz w:val="22"/>
                <w:szCs w:val="22"/>
              </w:rPr>
            </w:pPr>
            <w:r w:rsidRPr="00A21B5C">
              <w:rPr>
                <w:rFonts w:ascii="Arial" w:hAnsi="Arial" w:cs="Arial"/>
                <w:b/>
                <w:bCs/>
                <w:sz w:val="22"/>
                <w:szCs w:val="22"/>
              </w:rPr>
              <w:t>Entidad</w:t>
            </w:r>
          </w:p>
        </w:tc>
        <w:tc>
          <w:tcPr>
            <w:tcW w:w="6509" w:type="dxa"/>
            <w:tcBorders>
              <w:top w:val="dashSmallGap" w:sz="4" w:space="0" w:color="A6A6A6" w:themeColor="background1" w:themeShade="A6"/>
              <w:left w:val="single" w:sz="6" w:space="0" w:color="auto"/>
              <w:bottom w:val="single" w:sz="4" w:space="0" w:color="auto"/>
              <w:right w:val="single" w:sz="4" w:space="0" w:color="auto"/>
            </w:tcBorders>
            <w:hideMark/>
          </w:tcPr>
          <w:p w:rsidR="008C2E4A" w:rsidRPr="00A21B5C" w:rsidRDefault="008C2E4A" w:rsidP="00A21B5C">
            <w:pPr>
              <w:contextualSpacing/>
              <w:jc w:val="both"/>
              <w:rPr>
                <w:rFonts w:ascii="Arial" w:hAnsi="Arial" w:cs="Arial"/>
                <w:sz w:val="22"/>
                <w:szCs w:val="22"/>
              </w:rPr>
            </w:pPr>
            <w:bookmarkStart w:id="1" w:name="deptoymuni"/>
            <w:bookmarkEnd w:id="1"/>
            <w:r w:rsidRPr="00A21B5C">
              <w:rPr>
                <w:rFonts w:ascii="Arial" w:hAnsi="Arial" w:cs="Arial"/>
                <w:sz w:val="22"/>
                <w:szCs w:val="22"/>
              </w:rPr>
              <w:t>Dibulla – La Guajira (Resguardo Indígena Kogui – Malayo – Arhuaco)</w:t>
            </w:r>
          </w:p>
        </w:tc>
      </w:tr>
    </w:tbl>
    <w:p w:rsidR="008C2E4A" w:rsidRPr="00A21B5C" w:rsidRDefault="008C2E4A" w:rsidP="00A21B5C">
      <w:pPr>
        <w:contextualSpacing/>
        <w:rPr>
          <w:rFonts w:ascii="Arial" w:hAnsi="Arial" w:cs="Arial"/>
          <w:sz w:val="22"/>
          <w:lang w:val="es-CO"/>
        </w:rPr>
      </w:pPr>
    </w:p>
    <w:p w:rsidR="008C2E4A" w:rsidRPr="00A21B5C" w:rsidRDefault="008C2E4A" w:rsidP="00A21B5C">
      <w:pPr>
        <w:numPr>
          <w:ilvl w:val="0"/>
          <w:numId w:val="1"/>
        </w:numPr>
        <w:pBdr>
          <w:bottom w:val="single" w:sz="4" w:space="1" w:color="auto"/>
        </w:pBdr>
        <w:tabs>
          <w:tab w:val="clear" w:pos="840"/>
          <w:tab w:val="num" w:pos="284"/>
          <w:tab w:val="left" w:pos="8460"/>
        </w:tabs>
        <w:ind w:left="284" w:hanging="284"/>
        <w:contextualSpacing/>
        <w:jc w:val="both"/>
        <w:rPr>
          <w:rFonts w:ascii="Arial" w:hAnsi="Arial" w:cs="Arial"/>
          <w:b/>
          <w:sz w:val="22"/>
          <w:lang w:val="es-CO"/>
        </w:rPr>
      </w:pPr>
      <w:r w:rsidRPr="00A21B5C">
        <w:rPr>
          <w:rFonts w:ascii="Arial" w:hAnsi="Arial" w:cs="Arial"/>
          <w:b/>
          <w:sz w:val="22"/>
          <w:lang w:val="es-CO"/>
        </w:rPr>
        <w:t>INTRODUCCIÓN</w:t>
      </w:r>
      <w:r w:rsidR="000A3EF5" w:rsidRPr="00A21B5C">
        <w:rPr>
          <w:rFonts w:ascii="Arial" w:hAnsi="Arial" w:cs="Arial"/>
          <w:b/>
          <w:sz w:val="22"/>
          <w:lang w:val="es-CO"/>
        </w:rPr>
        <w:t>:</w:t>
      </w:r>
    </w:p>
    <w:p w:rsidR="008C2E4A" w:rsidRPr="00A21B5C" w:rsidRDefault="008C2E4A" w:rsidP="00A21B5C">
      <w:pPr>
        <w:ind w:left="426"/>
        <w:contextualSpacing/>
        <w:jc w:val="both"/>
        <w:rPr>
          <w:rFonts w:ascii="Arial" w:hAnsi="Arial" w:cs="Arial"/>
          <w:b/>
          <w:sz w:val="22"/>
          <w:szCs w:val="22"/>
          <w:lang w:val="es-CO"/>
        </w:rPr>
      </w:pPr>
    </w:p>
    <w:p w:rsidR="008C2E4A" w:rsidRPr="00A21B5C" w:rsidRDefault="008C2E4A" w:rsidP="00A21B5C">
      <w:pPr>
        <w:numPr>
          <w:ilvl w:val="1"/>
          <w:numId w:val="1"/>
        </w:numPr>
        <w:tabs>
          <w:tab w:val="clear" w:pos="360"/>
          <w:tab w:val="num" w:pos="284"/>
        </w:tabs>
        <w:ind w:left="284" w:hanging="284"/>
        <w:contextualSpacing/>
        <w:jc w:val="both"/>
        <w:rPr>
          <w:rFonts w:ascii="Arial" w:hAnsi="Arial" w:cs="Arial"/>
          <w:b/>
          <w:sz w:val="22"/>
          <w:szCs w:val="22"/>
          <w:lang w:val="es-CO"/>
        </w:rPr>
      </w:pPr>
      <w:r w:rsidRPr="00A21B5C">
        <w:rPr>
          <w:rFonts w:ascii="Arial" w:hAnsi="Arial" w:cs="Arial"/>
          <w:b/>
          <w:sz w:val="22"/>
          <w:szCs w:val="22"/>
          <w:lang w:val="es-CO"/>
        </w:rPr>
        <w:t>ANTECEDENTES</w:t>
      </w:r>
      <w:r w:rsidR="000A3EF5" w:rsidRPr="00A21B5C">
        <w:rPr>
          <w:rFonts w:ascii="Arial" w:hAnsi="Arial" w:cs="Arial"/>
          <w:b/>
          <w:sz w:val="22"/>
          <w:szCs w:val="22"/>
          <w:lang w:val="es-CO"/>
        </w:rPr>
        <w:t>.</w:t>
      </w:r>
    </w:p>
    <w:p w:rsidR="008C2E4A" w:rsidRPr="00A21B5C" w:rsidRDefault="008C2E4A" w:rsidP="00A21B5C">
      <w:pPr>
        <w:contextualSpacing/>
        <w:jc w:val="both"/>
        <w:rPr>
          <w:rFonts w:ascii="Arial" w:hAnsi="Arial" w:cs="Arial"/>
          <w:b/>
          <w:sz w:val="22"/>
          <w:szCs w:val="22"/>
          <w:lang w:val="es-CO"/>
        </w:rPr>
      </w:pPr>
    </w:p>
    <w:p w:rsidR="00C07FFD" w:rsidRPr="00A21B5C" w:rsidRDefault="008C2E4A" w:rsidP="00A21B5C">
      <w:pPr>
        <w:pStyle w:val="Sinespaciado"/>
        <w:contextualSpacing/>
        <w:jc w:val="both"/>
        <w:rPr>
          <w:rFonts w:ascii="Arial" w:eastAsia="MS Mincho" w:hAnsi="Arial" w:cs="Arial"/>
          <w:lang w:eastAsia="es-ES"/>
        </w:rPr>
      </w:pPr>
      <w:r w:rsidRPr="00A21B5C">
        <w:rPr>
          <w:rFonts w:ascii="Arial" w:eastAsia="MS Mincho" w:hAnsi="Arial" w:cs="Arial"/>
          <w:lang w:eastAsia="es-ES"/>
        </w:rPr>
        <w:t>La Dirección General de Apoyo Fiscal</w:t>
      </w:r>
      <w:r w:rsidR="00B06CB3" w:rsidRPr="00A21B5C">
        <w:rPr>
          <w:rFonts w:ascii="Arial" w:eastAsia="MS Mincho" w:hAnsi="Arial" w:cs="Arial"/>
          <w:lang w:eastAsia="es-ES"/>
        </w:rPr>
        <w:t xml:space="preserve"> </w:t>
      </w:r>
      <w:r w:rsidRPr="00A21B5C">
        <w:rPr>
          <w:rFonts w:ascii="Arial" w:eastAsia="MS Mincho" w:hAnsi="Arial" w:cs="Arial"/>
          <w:lang w:eastAsia="es-ES"/>
        </w:rPr>
        <w:t>-</w:t>
      </w:r>
      <w:r w:rsidR="00B06CB3" w:rsidRPr="00A21B5C">
        <w:rPr>
          <w:rFonts w:ascii="Arial" w:eastAsia="MS Mincho" w:hAnsi="Arial" w:cs="Arial"/>
          <w:lang w:eastAsia="es-ES"/>
        </w:rPr>
        <w:t xml:space="preserve"> </w:t>
      </w:r>
      <w:r w:rsidRPr="00A21B5C">
        <w:rPr>
          <w:rFonts w:ascii="Arial" w:eastAsia="MS Mincho" w:hAnsi="Arial" w:cs="Arial"/>
          <w:lang w:eastAsia="es-ES"/>
        </w:rPr>
        <w:t>DAF en el marco de las funciones asignadas por los Decretos 028 de 2008, 791 de 2009 y 1068 de 2015</w:t>
      </w:r>
      <w:r w:rsidR="00B06CB3" w:rsidRPr="00A21B5C">
        <w:rPr>
          <w:rFonts w:ascii="Arial" w:eastAsia="MS Mincho" w:hAnsi="Arial" w:cs="Arial"/>
          <w:lang w:eastAsia="es-ES"/>
        </w:rPr>
        <w:t>,</w:t>
      </w:r>
      <w:r w:rsidRPr="00A21B5C">
        <w:rPr>
          <w:rFonts w:ascii="Arial" w:eastAsia="MS Mincho" w:hAnsi="Arial" w:cs="Arial"/>
          <w:lang w:eastAsia="es-ES"/>
        </w:rPr>
        <w:t xml:space="preserve"> y la Resolución 794 de 2009, activó las acciones de Seguimiento referidas en el Decreto 028 de 2008 en el Municipio de Dibulla – La Guajira</w:t>
      </w:r>
      <w:r w:rsidR="00494347" w:rsidRPr="00A21B5C">
        <w:rPr>
          <w:rFonts w:ascii="Arial" w:eastAsia="MS Mincho" w:hAnsi="Arial" w:cs="Arial"/>
          <w:lang w:eastAsia="es-ES"/>
        </w:rPr>
        <w:t>,</w:t>
      </w:r>
      <w:r w:rsidRPr="00A21B5C">
        <w:rPr>
          <w:rFonts w:ascii="Arial" w:eastAsia="MS Mincho" w:hAnsi="Arial" w:cs="Arial"/>
          <w:lang w:eastAsia="es-ES"/>
        </w:rPr>
        <w:t xml:space="preserve"> </w:t>
      </w:r>
      <w:r w:rsidR="00C2229E" w:rsidRPr="00A21B5C">
        <w:rPr>
          <w:rFonts w:ascii="Arial" w:eastAsia="MS Mincho" w:hAnsi="Arial" w:cs="Arial"/>
          <w:lang w:eastAsia="es-ES"/>
        </w:rPr>
        <w:t xml:space="preserve">con base en </w:t>
      </w:r>
      <w:r w:rsidR="007C2897" w:rsidRPr="00A21B5C">
        <w:rPr>
          <w:rFonts w:ascii="Arial" w:eastAsia="MS Mincho" w:hAnsi="Arial" w:cs="Arial"/>
          <w:lang w:eastAsia="es-ES"/>
        </w:rPr>
        <w:t xml:space="preserve">el Informe de Monitoreo SGP de Propósito General y Asignaciones Especiales vigencia 2016 </w:t>
      </w:r>
      <w:r w:rsidR="0086176F" w:rsidRPr="00A21B5C">
        <w:rPr>
          <w:rFonts w:ascii="Arial" w:eastAsia="MS Mincho" w:hAnsi="Arial" w:cs="Arial"/>
          <w:lang w:eastAsia="es-ES"/>
        </w:rPr>
        <w:t>realizado por el Departamento Nacional de Planeación – DNP</w:t>
      </w:r>
      <w:r w:rsidR="00522262" w:rsidRPr="00A21B5C">
        <w:rPr>
          <w:rFonts w:ascii="Arial" w:eastAsia="MS Mincho" w:hAnsi="Arial" w:cs="Arial"/>
          <w:lang w:eastAsia="es-ES"/>
        </w:rPr>
        <w:t xml:space="preserve"> y</w:t>
      </w:r>
      <w:r w:rsidR="0086176F" w:rsidRPr="00A21B5C">
        <w:rPr>
          <w:rFonts w:ascii="Arial" w:eastAsia="MS Mincho" w:hAnsi="Arial" w:cs="Arial"/>
          <w:lang w:eastAsia="es-ES"/>
        </w:rPr>
        <w:t xml:space="preserve"> remitido a esta Dirección mediante oficio </w:t>
      </w:r>
      <w:r w:rsidR="00B50D5C" w:rsidRPr="00A21B5C">
        <w:rPr>
          <w:rFonts w:ascii="Arial" w:eastAsia="MS Mincho" w:hAnsi="Arial" w:cs="Arial"/>
          <w:lang w:eastAsia="es-ES"/>
        </w:rPr>
        <w:t xml:space="preserve">con No. de </w:t>
      </w:r>
      <w:r w:rsidR="0086176F" w:rsidRPr="00A21B5C">
        <w:rPr>
          <w:rFonts w:ascii="Arial" w:eastAsia="MS Mincho" w:hAnsi="Arial" w:cs="Arial"/>
          <w:lang w:eastAsia="es-ES"/>
        </w:rPr>
        <w:t>radicado 1-2017-052606 del 10 de julio 2017</w:t>
      </w:r>
      <w:r w:rsidR="00767C4A" w:rsidRPr="00A21B5C">
        <w:rPr>
          <w:rFonts w:ascii="Arial" w:eastAsia="MS Mincho" w:hAnsi="Arial" w:cs="Arial"/>
          <w:lang w:eastAsia="es-ES"/>
        </w:rPr>
        <w:t xml:space="preserve">, </w:t>
      </w:r>
      <w:r w:rsidR="00660032" w:rsidRPr="00A21B5C">
        <w:rPr>
          <w:rFonts w:ascii="Arial" w:eastAsia="MS Mincho" w:hAnsi="Arial" w:cs="Arial"/>
          <w:lang w:eastAsia="es-ES"/>
        </w:rPr>
        <w:t>de acuerdo con el cual la</w:t>
      </w:r>
      <w:r w:rsidR="00767C4A" w:rsidRPr="00A21B5C">
        <w:rPr>
          <w:rFonts w:ascii="Arial" w:eastAsia="MS Mincho" w:hAnsi="Arial" w:cs="Arial"/>
          <w:lang w:eastAsia="es-ES"/>
        </w:rPr>
        <w:t xml:space="preserve"> Entidad Territorial </w:t>
      </w:r>
      <w:r w:rsidR="007C2897" w:rsidRPr="00A21B5C">
        <w:rPr>
          <w:rFonts w:ascii="Arial" w:eastAsia="MS Mincho" w:hAnsi="Arial" w:cs="Arial"/>
          <w:lang w:eastAsia="es-ES"/>
        </w:rPr>
        <w:t>presentaba un</w:t>
      </w:r>
      <w:r w:rsidR="00767C4A" w:rsidRPr="00A21B5C">
        <w:rPr>
          <w:rFonts w:ascii="Arial" w:eastAsia="MS Mincho" w:hAnsi="Arial" w:cs="Arial"/>
          <w:lang w:eastAsia="es-ES"/>
        </w:rPr>
        <w:t xml:space="preserve"> nivel de riesgo Critico Alto </w:t>
      </w:r>
      <w:r w:rsidR="00660032" w:rsidRPr="00A21B5C">
        <w:rPr>
          <w:rFonts w:ascii="Arial" w:eastAsia="MS Mincho" w:hAnsi="Arial" w:cs="Arial"/>
          <w:lang w:eastAsia="es-ES"/>
        </w:rPr>
        <w:t>para</w:t>
      </w:r>
      <w:r w:rsidR="008435BB" w:rsidRPr="00A21B5C">
        <w:rPr>
          <w:rFonts w:ascii="Arial" w:eastAsia="MS Mincho" w:hAnsi="Arial" w:cs="Arial"/>
          <w:lang w:eastAsia="es-ES"/>
        </w:rPr>
        <w:t xml:space="preserve"> la Asignación Especial del Sistema General de Participaciones para Resguardos Indígenas</w:t>
      </w:r>
      <w:r w:rsidR="005542A5" w:rsidRPr="00A21B5C">
        <w:rPr>
          <w:rFonts w:ascii="Arial" w:eastAsia="MS Mincho" w:hAnsi="Arial" w:cs="Arial"/>
          <w:lang w:eastAsia="es-ES"/>
        </w:rPr>
        <w:t xml:space="preserve"> – AESGPRI</w:t>
      </w:r>
      <w:r w:rsidR="00494347" w:rsidRPr="00A21B5C">
        <w:rPr>
          <w:rFonts w:ascii="Arial" w:eastAsia="MS Mincho" w:hAnsi="Arial" w:cs="Arial"/>
          <w:lang w:eastAsia="es-ES"/>
        </w:rPr>
        <w:t>. Así, en cumplimiento del artículo 2.6.3.4.3 del Decreto 1068 de 2015, la Dirección General de Apoyo Fiscal con el fin de garantizar el uso adecuado de los recursos del SGP, solicitó al Municipio</w:t>
      </w:r>
      <w:r w:rsidR="004D3963" w:rsidRPr="00A21B5C">
        <w:rPr>
          <w:rFonts w:ascii="Arial" w:eastAsia="MS Mincho" w:hAnsi="Arial" w:cs="Arial"/>
          <w:lang w:eastAsia="es-ES"/>
        </w:rPr>
        <w:t xml:space="preserve"> de Dibulla – La Guajira</w:t>
      </w:r>
      <w:r w:rsidR="00494347" w:rsidRPr="00A21B5C">
        <w:rPr>
          <w:rFonts w:ascii="Arial" w:eastAsia="MS Mincho" w:hAnsi="Arial" w:cs="Arial"/>
          <w:lang w:eastAsia="es-ES"/>
        </w:rPr>
        <w:t xml:space="preserve"> información referente a la Asignación Especial para Resguardos Indígenas</w:t>
      </w:r>
      <w:r w:rsidR="005E51F8" w:rsidRPr="00A21B5C">
        <w:rPr>
          <w:rFonts w:ascii="Arial" w:eastAsia="MS Mincho" w:hAnsi="Arial" w:cs="Arial"/>
          <w:lang w:eastAsia="es-ES"/>
        </w:rPr>
        <w:t xml:space="preserve"> a través del oficio</w:t>
      </w:r>
      <w:r w:rsidR="00494347" w:rsidRPr="00A21B5C">
        <w:rPr>
          <w:rFonts w:ascii="Arial" w:eastAsia="MS Mincho" w:hAnsi="Arial" w:cs="Arial"/>
          <w:lang w:eastAsia="es-ES"/>
        </w:rPr>
        <w:t xml:space="preserve"> con</w:t>
      </w:r>
      <w:r w:rsidR="00E1324E" w:rsidRPr="00A21B5C">
        <w:rPr>
          <w:rFonts w:ascii="Arial" w:eastAsia="MS Mincho" w:hAnsi="Arial" w:cs="Arial"/>
          <w:lang w:eastAsia="es-ES"/>
        </w:rPr>
        <w:t xml:space="preserve"> </w:t>
      </w:r>
      <w:r w:rsidR="005B4BEB" w:rsidRPr="00A21B5C">
        <w:rPr>
          <w:rFonts w:ascii="Arial" w:eastAsia="MS Mincho" w:hAnsi="Arial" w:cs="Arial"/>
          <w:lang w:eastAsia="es-ES"/>
        </w:rPr>
        <w:t>número</w:t>
      </w:r>
      <w:r w:rsidR="00494347" w:rsidRPr="00A21B5C">
        <w:rPr>
          <w:rFonts w:ascii="Arial" w:eastAsia="MS Mincho" w:hAnsi="Arial" w:cs="Arial"/>
          <w:lang w:eastAsia="es-ES"/>
        </w:rPr>
        <w:t xml:space="preserve"> </w:t>
      </w:r>
      <w:r w:rsidR="00E1324E" w:rsidRPr="00A21B5C">
        <w:rPr>
          <w:rFonts w:ascii="Arial" w:eastAsia="MS Mincho" w:hAnsi="Arial" w:cs="Arial"/>
          <w:lang w:eastAsia="es-ES"/>
        </w:rPr>
        <w:t xml:space="preserve">de </w:t>
      </w:r>
      <w:r w:rsidR="00494347" w:rsidRPr="00A21B5C">
        <w:rPr>
          <w:rFonts w:ascii="Arial" w:eastAsia="MS Mincho" w:hAnsi="Arial" w:cs="Arial"/>
          <w:lang w:eastAsia="es-ES"/>
        </w:rPr>
        <w:t>radicado 2-2017</w:t>
      </w:r>
      <w:r w:rsidR="005E51F8" w:rsidRPr="00A21B5C">
        <w:rPr>
          <w:rFonts w:ascii="Arial" w:eastAsia="MS Mincho" w:hAnsi="Arial" w:cs="Arial"/>
          <w:lang w:eastAsia="es-ES"/>
        </w:rPr>
        <w:t>-</w:t>
      </w:r>
      <w:r w:rsidR="00494347" w:rsidRPr="00A21B5C">
        <w:rPr>
          <w:rFonts w:ascii="Arial" w:eastAsia="MS Mincho" w:hAnsi="Arial" w:cs="Arial"/>
          <w:lang w:eastAsia="es-ES"/>
        </w:rPr>
        <w:t xml:space="preserve">028973 del 6 de septiembre de 2017, reiterando el requerimiento mediante oficio con </w:t>
      </w:r>
      <w:r w:rsidR="005B4BEB" w:rsidRPr="00A21B5C">
        <w:rPr>
          <w:rFonts w:ascii="Arial" w:eastAsia="MS Mincho" w:hAnsi="Arial" w:cs="Arial"/>
          <w:lang w:eastAsia="es-ES"/>
        </w:rPr>
        <w:t>número</w:t>
      </w:r>
      <w:r w:rsidR="00E1324E" w:rsidRPr="00A21B5C">
        <w:rPr>
          <w:rFonts w:ascii="Arial" w:eastAsia="MS Mincho" w:hAnsi="Arial" w:cs="Arial"/>
          <w:lang w:eastAsia="es-ES"/>
        </w:rPr>
        <w:t xml:space="preserve"> de </w:t>
      </w:r>
      <w:r w:rsidR="00494347" w:rsidRPr="00A21B5C">
        <w:rPr>
          <w:rFonts w:ascii="Arial" w:eastAsia="MS Mincho" w:hAnsi="Arial" w:cs="Arial"/>
          <w:lang w:eastAsia="es-ES"/>
        </w:rPr>
        <w:t>radicado</w:t>
      </w:r>
      <w:r w:rsidR="00836B65" w:rsidRPr="00A21B5C">
        <w:rPr>
          <w:rFonts w:ascii="Arial" w:eastAsia="MS Mincho" w:hAnsi="Arial" w:cs="Arial"/>
          <w:lang w:eastAsia="es-ES"/>
        </w:rPr>
        <w:t xml:space="preserve"> </w:t>
      </w:r>
      <w:r w:rsidR="00494347" w:rsidRPr="00A21B5C">
        <w:rPr>
          <w:rFonts w:ascii="Arial" w:eastAsia="MS Mincho" w:hAnsi="Arial" w:cs="Arial"/>
          <w:lang w:eastAsia="es-ES"/>
        </w:rPr>
        <w:t>2-2017-039493 del 21 de noviembre de 2017</w:t>
      </w:r>
      <w:r w:rsidR="00836B65" w:rsidRPr="00A21B5C">
        <w:rPr>
          <w:rFonts w:ascii="Arial" w:eastAsia="MS Mincho" w:hAnsi="Arial" w:cs="Arial"/>
          <w:lang w:eastAsia="es-ES"/>
        </w:rPr>
        <w:t>.</w:t>
      </w:r>
    </w:p>
    <w:p w:rsidR="00A048B7" w:rsidRPr="00A21B5C" w:rsidRDefault="00A048B7" w:rsidP="00A21B5C">
      <w:pPr>
        <w:pStyle w:val="Sinespaciado"/>
        <w:contextualSpacing/>
        <w:jc w:val="both"/>
        <w:rPr>
          <w:rFonts w:ascii="Arial" w:eastAsia="MS Mincho" w:hAnsi="Arial" w:cs="Arial"/>
          <w:lang w:eastAsia="es-ES"/>
        </w:rPr>
      </w:pPr>
    </w:p>
    <w:p w:rsidR="002166FF" w:rsidRPr="00A21B5C" w:rsidRDefault="005D1345" w:rsidP="00A21B5C">
      <w:pPr>
        <w:pStyle w:val="Sinespaciado"/>
        <w:contextualSpacing/>
        <w:jc w:val="both"/>
        <w:rPr>
          <w:rFonts w:ascii="Arial" w:eastAsia="MS Mincho" w:hAnsi="Arial" w:cs="Arial"/>
          <w:lang w:eastAsia="es-ES"/>
        </w:rPr>
      </w:pPr>
      <w:r w:rsidRPr="00A21B5C">
        <w:rPr>
          <w:rFonts w:ascii="Arial" w:eastAsia="MS Mincho" w:hAnsi="Arial" w:cs="Arial"/>
          <w:lang w:eastAsia="es-ES"/>
        </w:rPr>
        <w:t xml:space="preserve">Los requerimientos de información fueron atendidos por la Entidad Territorial </w:t>
      </w:r>
      <w:r w:rsidR="00272386" w:rsidRPr="00A21B5C">
        <w:rPr>
          <w:rFonts w:ascii="Arial" w:eastAsia="MS Mincho" w:hAnsi="Arial" w:cs="Arial"/>
          <w:lang w:eastAsia="es-ES"/>
        </w:rPr>
        <w:t>con el envío de información mediante los correos con</w:t>
      </w:r>
      <w:r w:rsidR="00C07FFD" w:rsidRPr="00A21B5C">
        <w:rPr>
          <w:rFonts w:ascii="Arial" w:eastAsia="MS Mincho" w:hAnsi="Arial" w:cs="Arial"/>
          <w:lang w:eastAsia="es-ES"/>
        </w:rPr>
        <w:t xml:space="preserve"> </w:t>
      </w:r>
      <w:r w:rsidR="005B4BEB" w:rsidRPr="00A21B5C">
        <w:rPr>
          <w:rFonts w:ascii="Arial" w:eastAsia="MS Mincho" w:hAnsi="Arial" w:cs="Arial"/>
          <w:lang w:eastAsia="es-ES"/>
        </w:rPr>
        <w:t>número</w:t>
      </w:r>
      <w:r w:rsidR="00C07FFD" w:rsidRPr="00A21B5C">
        <w:rPr>
          <w:rFonts w:ascii="Arial" w:eastAsia="MS Mincho" w:hAnsi="Arial" w:cs="Arial"/>
          <w:lang w:eastAsia="es-ES"/>
        </w:rPr>
        <w:t xml:space="preserve"> de</w:t>
      </w:r>
      <w:r w:rsidR="00272386" w:rsidRPr="00A21B5C">
        <w:rPr>
          <w:rFonts w:ascii="Arial" w:eastAsia="MS Mincho" w:hAnsi="Arial" w:cs="Arial"/>
          <w:lang w:eastAsia="es-ES"/>
        </w:rPr>
        <w:t xml:space="preserve"> radicado 1-2017-098002 del 3 de noviembre de 2017</w:t>
      </w:r>
      <w:r w:rsidR="00F51293" w:rsidRPr="00A21B5C">
        <w:rPr>
          <w:rFonts w:ascii="Arial" w:eastAsia="MS Mincho" w:hAnsi="Arial" w:cs="Arial"/>
          <w:lang w:eastAsia="es-ES"/>
        </w:rPr>
        <w:t xml:space="preserve">, </w:t>
      </w:r>
      <w:r w:rsidR="00272386" w:rsidRPr="00A21B5C">
        <w:rPr>
          <w:rFonts w:ascii="Arial" w:eastAsia="MS Mincho" w:hAnsi="Arial" w:cs="Arial"/>
          <w:lang w:eastAsia="es-ES"/>
        </w:rPr>
        <w:t>1-2017-099002 del 24 de noviembre de 2017 y 1-2017-099005 del 28 de noviembre de 2017</w:t>
      </w:r>
      <w:r w:rsidR="006A5F45" w:rsidRPr="00A21B5C">
        <w:rPr>
          <w:rFonts w:ascii="Arial" w:eastAsia="MS Mincho" w:hAnsi="Arial" w:cs="Arial"/>
          <w:lang w:eastAsia="es-ES"/>
        </w:rPr>
        <w:t>,</w:t>
      </w:r>
      <w:r w:rsidR="00AB2F6D" w:rsidRPr="00A21B5C">
        <w:rPr>
          <w:rFonts w:ascii="Arial" w:eastAsia="MS Mincho" w:hAnsi="Arial" w:cs="Arial"/>
          <w:lang w:eastAsia="es-ES"/>
        </w:rPr>
        <w:t xml:space="preserve"> </w:t>
      </w:r>
      <w:r w:rsidR="00B61D3F" w:rsidRPr="00A21B5C">
        <w:rPr>
          <w:rFonts w:ascii="Arial" w:eastAsia="MS Mincho" w:hAnsi="Arial" w:cs="Arial"/>
          <w:lang w:eastAsia="es-ES"/>
        </w:rPr>
        <w:t xml:space="preserve">a </w:t>
      </w:r>
      <w:r w:rsidR="003E1594" w:rsidRPr="00A21B5C">
        <w:rPr>
          <w:rFonts w:ascii="Arial" w:eastAsia="MS Mincho" w:hAnsi="Arial" w:cs="Arial"/>
          <w:lang w:eastAsia="es-ES"/>
        </w:rPr>
        <w:t xml:space="preserve">partir de la cual </w:t>
      </w:r>
      <w:r w:rsidR="001F0680" w:rsidRPr="00A21B5C">
        <w:rPr>
          <w:rFonts w:ascii="Arial" w:eastAsia="MS Mincho" w:hAnsi="Arial" w:cs="Arial"/>
          <w:lang w:eastAsia="es-ES"/>
        </w:rPr>
        <w:t xml:space="preserve">la Dirección </w:t>
      </w:r>
      <w:r w:rsidR="006A5F45" w:rsidRPr="00A21B5C">
        <w:rPr>
          <w:rFonts w:ascii="Arial" w:eastAsia="MS Mincho" w:hAnsi="Arial" w:cs="Arial"/>
          <w:lang w:eastAsia="es-ES"/>
        </w:rPr>
        <w:t xml:space="preserve">General </w:t>
      </w:r>
      <w:r w:rsidR="001F0680" w:rsidRPr="00A21B5C">
        <w:rPr>
          <w:rFonts w:ascii="Arial" w:eastAsia="MS Mincho" w:hAnsi="Arial" w:cs="Arial"/>
          <w:lang w:eastAsia="es-ES"/>
        </w:rPr>
        <w:t xml:space="preserve">de Apoyo Fiscal generó el </w:t>
      </w:r>
      <w:r w:rsidR="005B4BEB" w:rsidRPr="00A21B5C">
        <w:rPr>
          <w:rFonts w:ascii="Arial" w:eastAsia="MS Mincho" w:hAnsi="Arial" w:cs="Arial"/>
          <w:lang w:eastAsia="es-ES"/>
        </w:rPr>
        <w:t>“</w:t>
      </w:r>
      <w:r w:rsidR="001F0680" w:rsidRPr="00A21B5C">
        <w:rPr>
          <w:rFonts w:ascii="Arial" w:hAnsi="Arial" w:cs="Arial"/>
          <w:i/>
          <w:iCs/>
        </w:rPr>
        <w:t xml:space="preserve">Informe </w:t>
      </w:r>
      <w:r w:rsidR="001F0680" w:rsidRPr="00A21B5C">
        <w:rPr>
          <w:rFonts w:ascii="Arial" w:eastAsia="MS Mincho" w:hAnsi="Arial" w:cs="Arial"/>
          <w:i/>
          <w:iCs/>
          <w:lang w:eastAsia="es-ES"/>
        </w:rPr>
        <w:t>d</w:t>
      </w:r>
      <w:r w:rsidR="001F0680" w:rsidRPr="00A21B5C">
        <w:rPr>
          <w:rFonts w:ascii="Arial" w:hAnsi="Arial" w:cs="Arial"/>
          <w:i/>
          <w:iCs/>
        </w:rPr>
        <w:t xml:space="preserve">e </w:t>
      </w:r>
      <w:r w:rsidR="001F0680" w:rsidRPr="00A21B5C">
        <w:rPr>
          <w:rFonts w:ascii="Arial" w:eastAsia="MS Mincho" w:hAnsi="Arial" w:cs="Arial"/>
          <w:i/>
          <w:iCs/>
          <w:lang w:eastAsia="es-ES"/>
        </w:rPr>
        <w:t xml:space="preserve">Prediagnóstico </w:t>
      </w:r>
      <w:r w:rsidR="001F0680" w:rsidRPr="00A21B5C">
        <w:rPr>
          <w:rFonts w:ascii="Arial" w:hAnsi="Arial" w:cs="Arial"/>
          <w:i/>
          <w:iCs/>
        </w:rPr>
        <w:t xml:space="preserve">Institucional </w:t>
      </w:r>
      <w:r w:rsidR="001F0680" w:rsidRPr="00A21B5C">
        <w:rPr>
          <w:rFonts w:ascii="Arial" w:eastAsia="MS Mincho" w:hAnsi="Arial" w:cs="Arial"/>
          <w:i/>
          <w:iCs/>
          <w:lang w:eastAsia="es-ES"/>
        </w:rPr>
        <w:t>e</w:t>
      </w:r>
      <w:r w:rsidR="001F0680" w:rsidRPr="00A21B5C">
        <w:rPr>
          <w:rFonts w:ascii="Arial" w:hAnsi="Arial" w:cs="Arial"/>
          <w:i/>
          <w:iCs/>
        </w:rPr>
        <w:t xml:space="preserve">n </w:t>
      </w:r>
      <w:r w:rsidR="001F0680" w:rsidRPr="00A21B5C">
        <w:rPr>
          <w:rFonts w:ascii="Arial" w:eastAsia="MS Mincho" w:hAnsi="Arial" w:cs="Arial"/>
          <w:i/>
          <w:iCs/>
          <w:lang w:eastAsia="es-ES"/>
        </w:rPr>
        <w:t>l</w:t>
      </w:r>
      <w:r w:rsidR="001F0680" w:rsidRPr="00A21B5C">
        <w:rPr>
          <w:rFonts w:ascii="Arial" w:hAnsi="Arial" w:cs="Arial"/>
          <w:i/>
          <w:iCs/>
        </w:rPr>
        <w:t xml:space="preserve">a </w:t>
      </w:r>
      <w:r w:rsidR="001F0680" w:rsidRPr="00A21B5C">
        <w:rPr>
          <w:rFonts w:ascii="Arial" w:eastAsia="MS Mincho" w:hAnsi="Arial" w:cs="Arial"/>
          <w:i/>
          <w:iCs/>
          <w:lang w:eastAsia="es-ES"/>
        </w:rPr>
        <w:t>a</w:t>
      </w:r>
      <w:r w:rsidR="001F0680" w:rsidRPr="00A21B5C">
        <w:rPr>
          <w:rFonts w:ascii="Arial" w:hAnsi="Arial" w:cs="Arial"/>
          <w:i/>
          <w:iCs/>
        </w:rPr>
        <w:t xml:space="preserve">dministración </w:t>
      </w:r>
      <w:r w:rsidR="001F0680" w:rsidRPr="00A21B5C">
        <w:rPr>
          <w:rFonts w:ascii="Arial" w:eastAsia="MS Mincho" w:hAnsi="Arial" w:cs="Arial"/>
          <w:i/>
          <w:iCs/>
          <w:lang w:eastAsia="es-ES"/>
        </w:rPr>
        <w:t>d</w:t>
      </w:r>
      <w:r w:rsidR="001F0680" w:rsidRPr="00A21B5C">
        <w:rPr>
          <w:rFonts w:ascii="Arial" w:hAnsi="Arial" w:cs="Arial"/>
          <w:i/>
          <w:iCs/>
        </w:rPr>
        <w:t xml:space="preserve">e </w:t>
      </w:r>
      <w:r w:rsidR="001F0680" w:rsidRPr="00A21B5C">
        <w:rPr>
          <w:rFonts w:ascii="Arial" w:eastAsia="MS Mincho" w:hAnsi="Arial" w:cs="Arial"/>
          <w:i/>
          <w:iCs/>
          <w:lang w:eastAsia="es-ES"/>
        </w:rPr>
        <w:t>l</w:t>
      </w:r>
      <w:r w:rsidR="001F0680" w:rsidRPr="00A21B5C">
        <w:rPr>
          <w:rFonts w:ascii="Arial" w:hAnsi="Arial" w:cs="Arial"/>
          <w:i/>
          <w:iCs/>
        </w:rPr>
        <w:t xml:space="preserve">a Asignación Especial </w:t>
      </w:r>
      <w:r w:rsidR="001F0680" w:rsidRPr="00A21B5C">
        <w:rPr>
          <w:rFonts w:ascii="Arial" w:eastAsia="MS Mincho" w:hAnsi="Arial" w:cs="Arial"/>
          <w:i/>
          <w:iCs/>
          <w:lang w:eastAsia="es-ES"/>
        </w:rPr>
        <w:t>p</w:t>
      </w:r>
      <w:r w:rsidR="001F0680" w:rsidRPr="00A21B5C">
        <w:rPr>
          <w:rFonts w:ascii="Arial" w:hAnsi="Arial" w:cs="Arial"/>
          <w:i/>
          <w:iCs/>
        </w:rPr>
        <w:t xml:space="preserve">ara Resguardos Indígenas </w:t>
      </w:r>
      <w:r w:rsidR="001F0680" w:rsidRPr="00A21B5C">
        <w:rPr>
          <w:rFonts w:ascii="Arial" w:eastAsia="MS Mincho" w:hAnsi="Arial" w:cs="Arial"/>
          <w:i/>
          <w:iCs/>
          <w:lang w:eastAsia="es-ES"/>
        </w:rPr>
        <w:t>e</w:t>
      </w:r>
      <w:r w:rsidR="001F0680" w:rsidRPr="00A21B5C">
        <w:rPr>
          <w:rFonts w:ascii="Arial" w:hAnsi="Arial" w:cs="Arial"/>
          <w:i/>
          <w:iCs/>
        </w:rPr>
        <w:t xml:space="preserve">n </w:t>
      </w:r>
      <w:r w:rsidR="001F0680" w:rsidRPr="00A21B5C">
        <w:rPr>
          <w:rFonts w:ascii="Arial" w:eastAsia="MS Mincho" w:hAnsi="Arial" w:cs="Arial"/>
          <w:i/>
          <w:iCs/>
          <w:lang w:eastAsia="es-ES"/>
        </w:rPr>
        <w:t>e</w:t>
      </w:r>
      <w:r w:rsidR="001F0680" w:rsidRPr="00A21B5C">
        <w:rPr>
          <w:rFonts w:ascii="Arial" w:hAnsi="Arial" w:cs="Arial"/>
          <w:i/>
          <w:iCs/>
        </w:rPr>
        <w:t xml:space="preserve">l Municipio </w:t>
      </w:r>
      <w:r w:rsidR="00477EDC" w:rsidRPr="00A21B5C">
        <w:rPr>
          <w:rFonts w:ascii="Arial" w:eastAsia="MS Mincho" w:hAnsi="Arial" w:cs="Arial"/>
          <w:i/>
          <w:iCs/>
          <w:lang w:eastAsia="es-ES"/>
        </w:rPr>
        <w:t>d</w:t>
      </w:r>
      <w:r w:rsidR="001F0680" w:rsidRPr="00A21B5C">
        <w:rPr>
          <w:rFonts w:ascii="Arial" w:hAnsi="Arial" w:cs="Arial"/>
          <w:i/>
          <w:iCs/>
        </w:rPr>
        <w:t>e Dibulla – La Guajira</w:t>
      </w:r>
      <w:r w:rsidR="00616D19" w:rsidRPr="00A21B5C">
        <w:rPr>
          <w:rFonts w:ascii="Arial" w:eastAsia="MS Mincho" w:hAnsi="Arial" w:cs="Arial"/>
          <w:i/>
          <w:iCs/>
          <w:lang w:eastAsia="es-ES"/>
        </w:rPr>
        <w:t xml:space="preserve"> v</w:t>
      </w:r>
      <w:r w:rsidR="001F0680" w:rsidRPr="00A21B5C">
        <w:rPr>
          <w:rFonts w:ascii="Arial" w:hAnsi="Arial" w:cs="Arial"/>
          <w:i/>
          <w:iCs/>
        </w:rPr>
        <w:t xml:space="preserve">igencias 2015 </w:t>
      </w:r>
      <w:r w:rsidR="001F0680" w:rsidRPr="00A21B5C">
        <w:rPr>
          <w:rFonts w:ascii="Arial" w:eastAsia="MS Mincho" w:hAnsi="Arial" w:cs="Arial"/>
          <w:i/>
          <w:iCs/>
          <w:lang w:eastAsia="es-ES"/>
        </w:rPr>
        <w:t>a</w:t>
      </w:r>
      <w:r w:rsidR="001F0680" w:rsidRPr="00A21B5C">
        <w:rPr>
          <w:rFonts w:ascii="Arial" w:hAnsi="Arial" w:cs="Arial"/>
          <w:i/>
          <w:iCs/>
        </w:rPr>
        <w:t xml:space="preserve"> 2018</w:t>
      </w:r>
      <w:r w:rsidR="005B4BEB" w:rsidRPr="00A21B5C">
        <w:rPr>
          <w:rFonts w:ascii="Arial" w:hAnsi="Arial" w:cs="Arial"/>
        </w:rPr>
        <w:t>”</w:t>
      </w:r>
      <w:r w:rsidR="001F0680" w:rsidRPr="00A21B5C">
        <w:rPr>
          <w:rFonts w:ascii="Arial" w:eastAsia="MS Mincho" w:hAnsi="Arial" w:cs="Arial"/>
          <w:i/>
          <w:iCs/>
          <w:lang w:eastAsia="es-ES"/>
        </w:rPr>
        <w:t xml:space="preserve">. </w:t>
      </w:r>
      <w:r w:rsidR="00494347" w:rsidRPr="00A21B5C">
        <w:rPr>
          <w:rFonts w:ascii="Arial" w:eastAsia="MS Mincho" w:hAnsi="Arial" w:cs="Arial"/>
          <w:lang w:eastAsia="es-ES"/>
        </w:rPr>
        <w:t>Ahora bien,</w:t>
      </w:r>
      <w:r w:rsidR="004C41B4" w:rsidRPr="00A21B5C">
        <w:rPr>
          <w:rFonts w:ascii="Arial" w:eastAsia="MS Mincho" w:hAnsi="Arial" w:cs="Arial"/>
          <w:lang w:eastAsia="es-ES"/>
        </w:rPr>
        <w:t xml:space="preserve"> con base en las conclusiones del </w:t>
      </w:r>
      <w:r w:rsidR="00616D19" w:rsidRPr="00A21B5C">
        <w:rPr>
          <w:rFonts w:ascii="Arial" w:eastAsia="MS Mincho" w:hAnsi="Arial" w:cs="Arial"/>
          <w:lang w:eastAsia="es-ES"/>
        </w:rPr>
        <w:t>I</w:t>
      </w:r>
      <w:r w:rsidR="004C41B4" w:rsidRPr="00A21B5C">
        <w:rPr>
          <w:rFonts w:ascii="Arial" w:eastAsia="MS Mincho" w:hAnsi="Arial" w:cs="Arial"/>
          <w:lang w:eastAsia="es-ES"/>
        </w:rPr>
        <w:t xml:space="preserve">nforme de </w:t>
      </w:r>
      <w:r w:rsidR="00616D19" w:rsidRPr="00A21B5C">
        <w:rPr>
          <w:rFonts w:ascii="Arial" w:eastAsia="MS Mincho" w:hAnsi="Arial" w:cs="Arial"/>
          <w:lang w:eastAsia="es-ES"/>
        </w:rPr>
        <w:t>P</w:t>
      </w:r>
      <w:r w:rsidR="00991777" w:rsidRPr="00A21B5C">
        <w:rPr>
          <w:rFonts w:ascii="Arial" w:eastAsia="MS Mincho" w:hAnsi="Arial" w:cs="Arial"/>
          <w:lang w:eastAsia="es-ES"/>
        </w:rPr>
        <w:t>rediagnóstico</w:t>
      </w:r>
      <w:r w:rsidR="006E3F38" w:rsidRPr="00A21B5C">
        <w:rPr>
          <w:rFonts w:ascii="Arial" w:eastAsia="MS Mincho" w:hAnsi="Arial" w:cs="Arial"/>
          <w:lang w:eastAsia="es-ES"/>
        </w:rPr>
        <w:t>,</w:t>
      </w:r>
      <w:r w:rsidR="00991777" w:rsidRPr="00A21B5C">
        <w:rPr>
          <w:rFonts w:ascii="Arial" w:eastAsia="MS Mincho" w:hAnsi="Arial" w:cs="Arial"/>
          <w:lang w:eastAsia="es-ES"/>
        </w:rPr>
        <w:t xml:space="preserve"> y</w:t>
      </w:r>
      <w:r w:rsidR="00494347" w:rsidRPr="00A21B5C">
        <w:rPr>
          <w:rFonts w:ascii="Arial" w:eastAsia="MS Mincho" w:hAnsi="Arial" w:cs="Arial"/>
          <w:lang w:eastAsia="es-ES"/>
        </w:rPr>
        <w:t xml:space="preserve"> </w:t>
      </w:r>
      <w:r w:rsidR="00647C4D" w:rsidRPr="00A21B5C">
        <w:rPr>
          <w:rFonts w:ascii="Arial" w:eastAsia="MS Mincho" w:hAnsi="Arial" w:cs="Arial"/>
          <w:lang w:eastAsia="es-ES"/>
        </w:rPr>
        <w:t xml:space="preserve">en atención al </w:t>
      </w:r>
      <w:r w:rsidR="006E3F38" w:rsidRPr="00A21B5C">
        <w:rPr>
          <w:rFonts w:ascii="Arial" w:eastAsia="MS Mincho" w:hAnsi="Arial" w:cs="Arial"/>
          <w:lang w:eastAsia="es-ES"/>
        </w:rPr>
        <w:t xml:space="preserve">Informe de Monitoreo </w:t>
      </w:r>
      <w:r w:rsidR="00EE584D" w:rsidRPr="00A21B5C">
        <w:rPr>
          <w:rFonts w:ascii="Arial" w:eastAsia="MS Mincho" w:hAnsi="Arial" w:cs="Arial"/>
          <w:lang w:eastAsia="es-ES"/>
        </w:rPr>
        <w:t xml:space="preserve">General </w:t>
      </w:r>
      <w:r w:rsidR="006E3F38" w:rsidRPr="00A21B5C">
        <w:rPr>
          <w:rFonts w:ascii="Arial" w:eastAsia="MS Mincho" w:hAnsi="Arial" w:cs="Arial"/>
          <w:lang w:eastAsia="es-ES"/>
        </w:rPr>
        <w:t xml:space="preserve">SGP de Propósito General y Asignaciones Especiales vigencia 2017, realizado y remitido por el Departamento Nacional de Planeación a través del oficio con </w:t>
      </w:r>
      <w:r w:rsidR="005B4BEB" w:rsidRPr="00A21B5C">
        <w:rPr>
          <w:rFonts w:ascii="Arial" w:eastAsia="MS Mincho" w:hAnsi="Arial" w:cs="Arial"/>
          <w:lang w:eastAsia="es-ES"/>
        </w:rPr>
        <w:t>número</w:t>
      </w:r>
      <w:r w:rsidR="006E3F38" w:rsidRPr="00A21B5C">
        <w:rPr>
          <w:rFonts w:ascii="Arial" w:eastAsia="MS Mincho" w:hAnsi="Arial" w:cs="Arial"/>
          <w:lang w:eastAsia="es-ES"/>
        </w:rPr>
        <w:t xml:space="preserve"> de radicado 1-2018-059099 del 3 de julio de 2018</w:t>
      </w:r>
      <w:r w:rsidR="00556D53" w:rsidRPr="00A21B5C">
        <w:rPr>
          <w:rFonts w:ascii="Arial" w:eastAsia="MS Mincho" w:hAnsi="Arial" w:cs="Arial"/>
          <w:lang w:eastAsia="es-ES"/>
        </w:rPr>
        <w:t xml:space="preserve">, </w:t>
      </w:r>
      <w:r w:rsidR="00647C4D" w:rsidRPr="00A21B5C">
        <w:rPr>
          <w:rFonts w:ascii="Arial" w:eastAsia="MS Mincho" w:hAnsi="Arial" w:cs="Arial"/>
          <w:lang w:eastAsia="es-ES"/>
        </w:rPr>
        <w:t xml:space="preserve">en el </w:t>
      </w:r>
      <w:r w:rsidR="008C548E" w:rsidRPr="00A21B5C">
        <w:rPr>
          <w:rFonts w:ascii="Arial" w:eastAsia="MS Mincho" w:hAnsi="Arial" w:cs="Arial"/>
          <w:lang w:eastAsia="es-ES"/>
        </w:rPr>
        <w:t xml:space="preserve">que </w:t>
      </w:r>
      <w:r w:rsidR="00126193" w:rsidRPr="00A21B5C">
        <w:rPr>
          <w:rFonts w:ascii="Arial" w:eastAsia="MS Mincho" w:hAnsi="Arial" w:cs="Arial"/>
          <w:lang w:eastAsia="es-ES"/>
        </w:rPr>
        <w:t>se</w:t>
      </w:r>
      <w:r w:rsidR="002A6625" w:rsidRPr="00A21B5C">
        <w:rPr>
          <w:rFonts w:ascii="Arial" w:eastAsia="MS Mincho" w:hAnsi="Arial" w:cs="Arial"/>
          <w:lang w:eastAsia="es-ES"/>
        </w:rPr>
        <w:t xml:space="preserve"> recomendó</w:t>
      </w:r>
      <w:r w:rsidR="00DB312B" w:rsidRPr="00A21B5C">
        <w:rPr>
          <w:rFonts w:ascii="Arial" w:eastAsia="MS Mincho" w:hAnsi="Arial" w:cs="Arial"/>
          <w:lang w:eastAsia="es-ES"/>
        </w:rPr>
        <w:t xml:space="preserve"> la adopción de una</w:t>
      </w:r>
      <w:r w:rsidR="006818AE" w:rsidRPr="00A21B5C">
        <w:rPr>
          <w:rFonts w:ascii="Arial" w:eastAsia="MS Mincho" w:hAnsi="Arial" w:cs="Arial"/>
          <w:lang w:eastAsia="es-ES"/>
        </w:rPr>
        <w:t xml:space="preserve"> de las</w:t>
      </w:r>
      <w:r w:rsidR="00DB312B" w:rsidRPr="00A21B5C">
        <w:rPr>
          <w:rFonts w:ascii="Arial" w:eastAsia="MS Mincho" w:hAnsi="Arial" w:cs="Arial"/>
          <w:lang w:eastAsia="es-ES"/>
        </w:rPr>
        <w:t xml:space="preserve"> medida</w:t>
      </w:r>
      <w:r w:rsidR="006818AE" w:rsidRPr="00A21B5C">
        <w:rPr>
          <w:rFonts w:ascii="Arial" w:eastAsia="MS Mincho" w:hAnsi="Arial" w:cs="Arial"/>
          <w:lang w:eastAsia="es-ES"/>
        </w:rPr>
        <w:t>s</w:t>
      </w:r>
      <w:r w:rsidR="00DB312B" w:rsidRPr="00A21B5C">
        <w:rPr>
          <w:rFonts w:ascii="Arial" w:eastAsia="MS Mincho" w:hAnsi="Arial" w:cs="Arial"/>
          <w:lang w:eastAsia="es-ES"/>
        </w:rPr>
        <w:t xml:space="preserve"> de la</w:t>
      </w:r>
      <w:r w:rsidR="006818AE" w:rsidRPr="00A21B5C">
        <w:rPr>
          <w:rFonts w:ascii="Arial" w:eastAsia="MS Mincho" w:hAnsi="Arial" w:cs="Arial"/>
          <w:lang w:eastAsia="es-ES"/>
        </w:rPr>
        <w:t>s</w:t>
      </w:r>
      <w:r w:rsidR="00DB312B" w:rsidRPr="00A21B5C">
        <w:rPr>
          <w:rFonts w:ascii="Arial" w:eastAsia="MS Mincho" w:hAnsi="Arial" w:cs="Arial"/>
          <w:lang w:eastAsia="es-ES"/>
        </w:rPr>
        <w:t xml:space="preserve"> cuales trata el Capítulo V del Decreto 028 de</w:t>
      </w:r>
      <w:r w:rsidR="00EE584D" w:rsidRPr="00A21B5C">
        <w:rPr>
          <w:rFonts w:ascii="Arial" w:eastAsia="MS Mincho" w:hAnsi="Arial" w:cs="Arial"/>
          <w:lang w:eastAsia="es-ES"/>
        </w:rPr>
        <w:t xml:space="preserve"> </w:t>
      </w:r>
      <w:r w:rsidR="00DB312B" w:rsidRPr="00A21B5C">
        <w:rPr>
          <w:rFonts w:ascii="Arial" w:eastAsia="MS Mincho" w:hAnsi="Arial" w:cs="Arial"/>
          <w:lang w:eastAsia="es-ES"/>
        </w:rPr>
        <w:t>2008</w:t>
      </w:r>
      <w:r w:rsidR="00EE584D" w:rsidRPr="00A21B5C">
        <w:rPr>
          <w:rFonts w:ascii="Arial" w:eastAsia="MS Mincho" w:hAnsi="Arial" w:cs="Arial"/>
          <w:lang w:eastAsia="es-ES"/>
        </w:rPr>
        <w:t>,</w:t>
      </w:r>
      <w:r w:rsidR="00556D53" w:rsidRPr="00A21B5C">
        <w:rPr>
          <w:rFonts w:ascii="Arial" w:eastAsia="MS Mincho" w:hAnsi="Arial" w:cs="Arial"/>
          <w:lang w:eastAsia="es-ES"/>
        </w:rPr>
        <w:t xml:space="preserve"> </w:t>
      </w:r>
      <w:r w:rsidR="00CA4CC9" w:rsidRPr="00A21B5C">
        <w:rPr>
          <w:rFonts w:ascii="Arial" w:eastAsia="MS Mincho" w:hAnsi="Arial" w:cs="Arial"/>
          <w:lang w:eastAsia="es-ES"/>
        </w:rPr>
        <w:t xml:space="preserve">teniendo en cuenta la recurrencia </w:t>
      </w:r>
      <w:r w:rsidR="003D2EC3" w:rsidRPr="00A21B5C">
        <w:rPr>
          <w:rFonts w:ascii="Arial" w:eastAsia="MS Mincho" w:hAnsi="Arial" w:cs="Arial"/>
          <w:lang w:eastAsia="es-ES"/>
        </w:rPr>
        <w:t>en el</w:t>
      </w:r>
      <w:r w:rsidR="00EE584D" w:rsidRPr="00A21B5C">
        <w:rPr>
          <w:rFonts w:ascii="Arial" w:eastAsia="MS Mincho" w:hAnsi="Arial" w:cs="Arial"/>
          <w:lang w:eastAsia="es-ES"/>
        </w:rPr>
        <w:t xml:space="preserve"> </w:t>
      </w:r>
      <w:r w:rsidR="005B4BEB" w:rsidRPr="00A21B5C">
        <w:rPr>
          <w:rFonts w:ascii="Arial" w:eastAsia="MS Mincho" w:hAnsi="Arial" w:cs="Arial"/>
          <w:lang w:eastAsia="es-ES"/>
        </w:rPr>
        <w:t>E</w:t>
      </w:r>
      <w:r w:rsidR="00EE584D" w:rsidRPr="00A21B5C">
        <w:rPr>
          <w:rFonts w:ascii="Arial" w:eastAsia="MS Mincho" w:hAnsi="Arial" w:cs="Arial"/>
          <w:lang w:eastAsia="es-ES"/>
        </w:rPr>
        <w:t xml:space="preserve">vento de </w:t>
      </w:r>
      <w:r w:rsidR="005B4BEB" w:rsidRPr="00A21B5C">
        <w:rPr>
          <w:rFonts w:ascii="Arial" w:eastAsia="MS Mincho" w:hAnsi="Arial" w:cs="Arial"/>
          <w:lang w:eastAsia="es-ES"/>
        </w:rPr>
        <w:t>R</w:t>
      </w:r>
      <w:r w:rsidR="00EE584D" w:rsidRPr="00A21B5C">
        <w:rPr>
          <w:rFonts w:ascii="Arial" w:eastAsia="MS Mincho" w:hAnsi="Arial" w:cs="Arial"/>
          <w:lang w:eastAsia="es-ES"/>
        </w:rPr>
        <w:t xml:space="preserve">iesgo </w:t>
      </w:r>
      <w:r w:rsidR="005B4BEB" w:rsidRPr="00A21B5C">
        <w:rPr>
          <w:rFonts w:ascii="Arial" w:eastAsia="MS Mincho" w:hAnsi="Arial" w:cs="Arial"/>
          <w:lang w:eastAsia="es-ES"/>
        </w:rPr>
        <w:t xml:space="preserve">9.1 </w:t>
      </w:r>
      <w:r w:rsidR="00EE584D" w:rsidRPr="00A21B5C">
        <w:rPr>
          <w:rFonts w:ascii="Arial" w:eastAsia="MS Mincho" w:hAnsi="Arial" w:cs="Arial"/>
          <w:lang w:eastAsia="es-ES"/>
        </w:rPr>
        <w:t>“</w:t>
      </w:r>
      <w:r w:rsidR="00EE584D" w:rsidRPr="00A21B5C">
        <w:rPr>
          <w:rFonts w:ascii="Arial" w:hAnsi="Arial" w:cs="Arial"/>
          <w:i/>
        </w:rPr>
        <w:t>No envío de información conforme a los plazos, condiciones y formatos indicados por el Gobierno Nacional, y/o remitir o entregar información incompleta o errónea</w:t>
      </w:r>
      <w:r w:rsidR="00EE584D" w:rsidRPr="00A21B5C">
        <w:rPr>
          <w:rFonts w:ascii="Arial" w:eastAsia="MS Mincho" w:hAnsi="Arial" w:cs="Arial"/>
          <w:lang w:eastAsia="es-ES"/>
        </w:rPr>
        <w:t xml:space="preserve">”, </w:t>
      </w:r>
      <w:r w:rsidR="006818AE" w:rsidRPr="00A21B5C">
        <w:rPr>
          <w:rFonts w:ascii="Arial" w:eastAsia="MS Mincho" w:hAnsi="Arial" w:cs="Arial"/>
          <w:lang w:eastAsia="es-ES"/>
        </w:rPr>
        <w:t xml:space="preserve">para </w:t>
      </w:r>
      <w:r w:rsidR="0080741B" w:rsidRPr="00A21B5C">
        <w:rPr>
          <w:rFonts w:ascii="Arial" w:eastAsia="MS Mincho" w:hAnsi="Arial" w:cs="Arial"/>
          <w:lang w:eastAsia="es-ES"/>
        </w:rPr>
        <w:t xml:space="preserve">el grupo de </w:t>
      </w:r>
      <w:r w:rsidR="005B4BEB" w:rsidRPr="00A21B5C">
        <w:rPr>
          <w:rFonts w:ascii="Arial" w:eastAsia="MS Mincho" w:hAnsi="Arial" w:cs="Arial"/>
          <w:lang w:eastAsia="es-ES"/>
        </w:rPr>
        <w:t>e</w:t>
      </w:r>
      <w:r w:rsidR="0080741B" w:rsidRPr="00A21B5C">
        <w:rPr>
          <w:rFonts w:ascii="Arial" w:eastAsia="MS Mincho" w:hAnsi="Arial" w:cs="Arial"/>
          <w:lang w:eastAsia="es-ES"/>
        </w:rPr>
        <w:t xml:space="preserve">ntidades </w:t>
      </w:r>
      <w:r w:rsidR="005B4BEB" w:rsidRPr="00A21B5C">
        <w:rPr>
          <w:rFonts w:ascii="Arial" w:eastAsia="MS Mincho" w:hAnsi="Arial" w:cs="Arial"/>
          <w:lang w:eastAsia="es-ES"/>
        </w:rPr>
        <w:t>t</w:t>
      </w:r>
      <w:r w:rsidR="0080741B" w:rsidRPr="00A21B5C">
        <w:rPr>
          <w:rFonts w:ascii="Arial" w:eastAsia="MS Mincho" w:hAnsi="Arial" w:cs="Arial"/>
          <w:lang w:eastAsia="es-ES"/>
        </w:rPr>
        <w:t xml:space="preserve">erritoriales con nivel de riesgo Critico Alto que </w:t>
      </w:r>
      <w:r w:rsidR="00F6684E" w:rsidRPr="00A21B5C">
        <w:rPr>
          <w:rFonts w:ascii="Arial" w:eastAsia="MS Mincho" w:hAnsi="Arial" w:cs="Arial"/>
          <w:lang w:eastAsia="es-ES"/>
        </w:rPr>
        <w:t>present</w:t>
      </w:r>
      <w:r w:rsidR="00B477D3" w:rsidRPr="00A21B5C">
        <w:rPr>
          <w:rFonts w:ascii="Arial" w:eastAsia="MS Mincho" w:hAnsi="Arial" w:cs="Arial"/>
          <w:lang w:eastAsia="es-ES"/>
        </w:rPr>
        <w:t>aban</w:t>
      </w:r>
      <w:r w:rsidR="00F6684E" w:rsidRPr="00A21B5C">
        <w:rPr>
          <w:rFonts w:ascii="Arial" w:eastAsia="MS Mincho" w:hAnsi="Arial" w:cs="Arial"/>
          <w:lang w:eastAsia="es-ES"/>
        </w:rPr>
        <w:t xml:space="preserve"> recurrencia de al </w:t>
      </w:r>
      <w:r w:rsidR="00F6684E" w:rsidRPr="00A21B5C">
        <w:rPr>
          <w:rFonts w:ascii="Arial" w:eastAsia="MS Mincho" w:hAnsi="Arial" w:cs="Arial"/>
          <w:lang w:eastAsia="es-ES"/>
        </w:rPr>
        <w:lastRenderedPageBreak/>
        <w:t>menos tres (3) años</w:t>
      </w:r>
      <w:r w:rsidR="006818AE" w:rsidRPr="00A21B5C">
        <w:rPr>
          <w:rFonts w:ascii="Arial" w:eastAsia="MS Mincho" w:hAnsi="Arial" w:cs="Arial"/>
          <w:lang w:eastAsia="es-ES"/>
        </w:rPr>
        <w:t xml:space="preserve">, </w:t>
      </w:r>
      <w:r w:rsidR="00E31F75" w:rsidRPr="00A21B5C">
        <w:rPr>
          <w:rFonts w:ascii="Arial" w:eastAsia="MS Mincho" w:hAnsi="Arial" w:cs="Arial"/>
          <w:lang w:eastAsia="es-ES"/>
        </w:rPr>
        <w:t xml:space="preserve">y </w:t>
      </w:r>
      <w:r w:rsidR="009B64CA" w:rsidRPr="00A21B5C">
        <w:rPr>
          <w:rFonts w:ascii="Arial" w:eastAsia="MS Mincho" w:hAnsi="Arial" w:cs="Arial"/>
          <w:lang w:eastAsia="es-ES"/>
        </w:rPr>
        <w:t>del cual hac</w:t>
      </w:r>
      <w:r w:rsidR="003A150F" w:rsidRPr="00A21B5C">
        <w:rPr>
          <w:rFonts w:ascii="Arial" w:eastAsia="MS Mincho" w:hAnsi="Arial" w:cs="Arial"/>
          <w:lang w:eastAsia="es-ES"/>
        </w:rPr>
        <w:t>í</w:t>
      </w:r>
      <w:r w:rsidR="009B64CA" w:rsidRPr="00A21B5C">
        <w:rPr>
          <w:rFonts w:ascii="Arial" w:eastAsia="MS Mincho" w:hAnsi="Arial" w:cs="Arial"/>
          <w:lang w:eastAsia="es-ES"/>
        </w:rPr>
        <w:t xml:space="preserve">a parte el </w:t>
      </w:r>
      <w:r w:rsidR="006818AE" w:rsidRPr="00A21B5C">
        <w:rPr>
          <w:rFonts w:ascii="Arial" w:eastAsia="MS Mincho" w:hAnsi="Arial" w:cs="Arial"/>
          <w:lang w:eastAsia="es-ES"/>
        </w:rPr>
        <w:t>Municipio de Dibulla – La Guajira</w:t>
      </w:r>
      <w:r w:rsidR="00E31F75" w:rsidRPr="00A21B5C">
        <w:rPr>
          <w:rFonts w:ascii="Arial" w:eastAsia="MS Mincho" w:hAnsi="Arial" w:cs="Arial"/>
          <w:lang w:eastAsia="es-ES"/>
        </w:rPr>
        <w:t>,</w:t>
      </w:r>
      <w:r w:rsidR="00632648" w:rsidRPr="00A21B5C">
        <w:rPr>
          <w:rFonts w:ascii="Arial" w:eastAsia="MS Mincho" w:hAnsi="Arial" w:cs="Arial"/>
          <w:lang w:eastAsia="es-ES"/>
        </w:rPr>
        <w:t xml:space="preserve"> </w:t>
      </w:r>
      <w:r w:rsidR="005B4BEB" w:rsidRPr="00A21B5C">
        <w:rPr>
          <w:rFonts w:ascii="Arial" w:eastAsia="MS Mincho" w:hAnsi="Arial" w:cs="Arial"/>
          <w:lang w:eastAsia="es-ES"/>
        </w:rPr>
        <w:t>esta Dirección</w:t>
      </w:r>
      <w:r w:rsidR="00632648" w:rsidRPr="00A21B5C">
        <w:rPr>
          <w:rFonts w:ascii="Arial" w:eastAsia="MS Mincho" w:hAnsi="Arial" w:cs="Arial"/>
          <w:lang w:eastAsia="es-ES"/>
        </w:rPr>
        <w:t xml:space="preserve"> </w:t>
      </w:r>
      <w:r w:rsidR="00991777" w:rsidRPr="00A21B5C">
        <w:rPr>
          <w:rFonts w:ascii="Arial" w:eastAsia="MS Mincho" w:hAnsi="Arial" w:cs="Arial"/>
          <w:lang w:eastAsia="es-ES"/>
        </w:rPr>
        <w:t>prioriz</w:t>
      </w:r>
      <w:r w:rsidR="00610F65" w:rsidRPr="00A21B5C">
        <w:rPr>
          <w:rFonts w:ascii="Arial" w:eastAsia="MS Mincho" w:hAnsi="Arial" w:cs="Arial"/>
          <w:lang w:eastAsia="es-ES"/>
        </w:rPr>
        <w:t>ó</w:t>
      </w:r>
      <w:r w:rsidR="00991777" w:rsidRPr="00A21B5C">
        <w:rPr>
          <w:rFonts w:ascii="Arial" w:eastAsia="MS Mincho" w:hAnsi="Arial" w:cs="Arial"/>
          <w:lang w:eastAsia="es-ES"/>
        </w:rPr>
        <w:t xml:space="preserve"> la </w:t>
      </w:r>
      <w:r w:rsidR="00610F65" w:rsidRPr="00A21B5C">
        <w:rPr>
          <w:rFonts w:ascii="Arial" w:eastAsia="MS Mincho" w:hAnsi="Arial" w:cs="Arial"/>
          <w:lang w:eastAsia="es-ES"/>
        </w:rPr>
        <w:t>E</w:t>
      </w:r>
      <w:r w:rsidR="00991777" w:rsidRPr="00A21B5C">
        <w:rPr>
          <w:rFonts w:ascii="Arial" w:eastAsia="MS Mincho" w:hAnsi="Arial" w:cs="Arial"/>
          <w:lang w:eastAsia="es-ES"/>
        </w:rPr>
        <w:t xml:space="preserve">ntidad </w:t>
      </w:r>
      <w:r w:rsidR="00632648" w:rsidRPr="00A21B5C">
        <w:rPr>
          <w:rFonts w:ascii="Arial" w:eastAsia="MS Mincho" w:hAnsi="Arial" w:cs="Arial"/>
          <w:lang w:eastAsia="es-ES"/>
        </w:rPr>
        <w:t xml:space="preserve">Territorial </w:t>
      </w:r>
      <w:r w:rsidR="00991777" w:rsidRPr="00A21B5C">
        <w:rPr>
          <w:rFonts w:ascii="Arial" w:eastAsia="MS Mincho" w:hAnsi="Arial" w:cs="Arial"/>
          <w:lang w:eastAsia="es-ES"/>
        </w:rPr>
        <w:t xml:space="preserve">para </w:t>
      </w:r>
      <w:r w:rsidR="00292754" w:rsidRPr="00A21B5C">
        <w:rPr>
          <w:rFonts w:ascii="Arial" w:eastAsia="MS Mincho" w:hAnsi="Arial" w:cs="Arial"/>
          <w:lang w:eastAsia="es-ES"/>
        </w:rPr>
        <w:t>llevar</w:t>
      </w:r>
      <w:r w:rsidR="00E31F75" w:rsidRPr="00A21B5C">
        <w:rPr>
          <w:rFonts w:ascii="Arial" w:eastAsia="MS Mincho" w:hAnsi="Arial" w:cs="Arial"/>
          <w:lang w:eastAsia="es-ES"/>
        </w:rPr>
        <w:t xml:space="preserve"> a</w:t>
      </w:r>
      <w:r w:rsidR="00292754" w:rsidRPr="00A21B5C">
        <w:rPr>
          <w:rFonts w:ascii="Arial" w:eastAsia="MS Mincho" w:hAnsi="Arial" w:cs="Arial"/>
          <w:lang w:eastAsia="es-ES"/>
        </w:rPr>
        <w:t xml:space="preserve"> cabo </w:t>
      </w:r>
      <w:r w:rsidR="00991777" w:rsidRPr="00A21B5C">
        <w:rPr>
          <w:rFonts w:ascii="Arial" w:eastAsia="MS Mincho" w:hAnsi="Arial" w:cs="Arial"/>
          <w:lang w:eastAsia="es-ES"/>
        </w:rPr>
        <w:t xml:space="preserve">una visita de </w:t>
      </w:r>
      <w:r w:rsidR="00430BC8" w:rsidRPr="00A21B5C">
        <w:rPr>
          <w:rFonts w:ascii="Arial" w:eastAsia="MS Mincho" w:hAnsi="Arial" w:cs="Arial"/>
          <w:lang w:eastAsia="es-ES"/>
        </w:rPr>
        <w:t>reconocimiento</w:t>
      </w:r>
      <w:r w:rsidR="00E31F75" w:rsidRPr="00A21B5C">
        <w:rPr>
          <w:rFonts w:ascii="Arial" w:eastAsia="MS Mincho" w:hAnsi="Arial" w:cs="Arial"/>
          <w:lang w:eastAsia="es-ES"/>
        </w:rPr>
        <w:t>, a</w:t>
      </w:r>
      <w:r w:rsidR="00924BF6" w:rsidRPr="00A21B5C">
        <w:rPr>
          <w:rFonts w:ascii="Arial" w:eastAsia="MS Mincho" w:hAnsi="Arial" w:cs="Arial"/>
          <w:lang w:eastAsia="es-ES"/>
        </w:rPr>
        <w:t xml:space="preserve"> fin de </w:t>
      </w:r>
      <w:r w:rsidR="008C2E4A" w:rsidRPr="00A21B5C">
        <w:rPr>
          <w:rFonts w:ascii="Arial" w:eastAsia="MS Mincho" w:hAnsi="Arial" w:cs="Arial"/>
          <w:lang w:eastAsia="es-ES"/>
        </w:rPr>
        <w:t>conocer a detalle</w:t>
      </w:r>
      <w:r w:rsidR="00E31F75" w:rsidRPr="00A21B5C">
        <w:rPr>
          <w:rFonts w:ascii="Arial" w:eastAsia="MS Mincho" w:hAnsi="Arial" w:cs="Arial"/>
          <w:lang w:eastAsia="es-ES"/>
        </w:rPr>
        <w:t xml:space="preserve"> </w:t>
      </w:r>
      <w:r w:rsidR="008C2E4A" w:rsidRPr="00A21B5C">
        <w:rPr>
          <w:rFonts w:ascii="Arial" w:eastAsia="MS Mincho" w:hAnsi="Arial" w:cs="Arial"/>
          <w:lang w:eastAsia="es-ES"/>
        </w:rPr>
        <w:t>las situaciones</w:t>
      </w:r>
      <w:r w:rsidR="00924BF6" w:rsidRPr="00A21B5C">
        <w:rPr>
          <w:rFonts w:ascii="Arial" w:eastAsia="MS Mincho" w:hAnsi="Arial" w:cs="Arial"/>
          <w:lang w:eastAsia="es-ES"/>
        </w:rPr>
        <w:t xml:space="preserve"> de riesgo</w:t>
      </w:r>
      <w:r w:rsidR="008C2E4A" w:rsidRPr="00A21B5C">
        <w:rPr>
          <w:rFonts w:ascii="Arial" w:eastAsia="MS Mincho" w:hAnsi="Arial" w:cs="Arial"/>
          <w:lang w:eastAsia="es-ES"/>
        </w:rPr>
        <w:t xml:space="preserve"> </w:t>
      </w:r>
      <w:r w:rsidR="00430BC8" w:rsidRPr="00A21B5C">
        <w:rPr>
          <w:rFonts w:ascii="Arial" w:eastAsia="MS Mincho" w:hAnsi="Arial" w:cs="Arial"/>
          <w:lang w:eastAsia="es-ES"/>
        </w:rPr>
        <w:t>identificad</w:t>
      </w:r>
      <w:r w:rsidR="00331FA1" w:rsidRPr="00A21B5C">
        <w:rPr>
          <w:rFonts w:ascii="Arial" w:eastAsia="MS Mincho" w:hAnsi="Arial" w:cs="Arial"/>
          <w:lang w:eastAsia="es-ES"/>
        </w:rPr>
        <w:t>a</w:t>
      </w:r>
      <w:r w:rsidR="00430BC8" w:rsidRPr="00A21B5C">
        <w:rPr>
          <w:rFonts w:ascii="Arial" w:eastAsia="MS Mincho" w:hAnsi="Arial" w:cs="Arial"/>
          <w:lang w:eastAsia="es-ES"/>
        </w:rPr>
        <w:t>s.</w:t>
      </w:r>
    </w:p>
    <w:p w:rsidR="002166FF" w:rsidRPr="00A21B5C" w:rsidRDefault="002166FF" w:rsidP="00A21B5C">
      <w:pPr>
        <w:pStyle w:val="Sinespaciado"/>
        <w:tabs>
          <w:tab w:val="left" w:pos="709"/>
        </w:tabs>
        <w:contextualSpacing/>
        <w:jc w:val="both"/>
        <w:rPr>
          <w:rFonts w:ascii="Arial" w:eastAsia="MS Mincho" w:hAnsi="Arial" w:cs="Arial"/>
          <w:lang w:eastAsia="es-ES"/>
        </w:rPr>
      </w:pPr>
    </w:p>
    <w:p w:rsidR="008C2E4A" w:rsidRPr="00A21B5C" w:rsidRDefault="00430BC8" w:rsidP="00A21B5C">
      <w:pPr>
        <w:pStyle w:val="Sinespaciado"/>
        <w:tabs>
          <w:tab w:val="left" w:pos="709"/>
        </w:tabs>
        <w:contextualSpacing/>
        <w:jc w:val="both"/>
        <w:rPr>
          <w:rFonts w:ascii="Arial" w:eastAsia="MS Mincho" w:hAnsi="Arial" w:cs="Arial"/>
          <w:lang w:eastAsia="es-ES"/>
        </w:rPr>
      </w:pPr>
      <w:r w:rsidRPr="00A21B5C">
        <w:rPr>
          <w:rFonts w:ascii="Arial" w:eastAsia="MS Mincho" w:hAnsi="Arial" w:cs="Arial"/>
          <w:lang w:eastAsia="es-ES"/>
        </w:rPr>
        <w:t xml:space="preserve">El </w:t>
      </w:r>
      <w:r w:rsidR="008C2E4A" w:rsidRPr="00A21B5C">
        <w:rPr>
          <w:rFonts w:ascii="Arial" w:eastAsia="MS Mincho" w:hAnsi="Arial" w:cs="Arial"/>
          <w:lang w:eastAsia="es-ES"/>
        </w:rPr>
        <w:t>anunci</w:t>
      </w:r>
      <w:r w:rsidRPr="00A21B5C">
        <w:rPr>
          <w:rFonts w:ascii="Arial" w:eastAsia="MS Mincho" w:hAnsi="Arial" w:cs="Arial"/>
          <w:lang w:eastAsia="es-ES"/>
        </w:rPr>
        <w:t>o</w:t>
      </w:r>
      <w:r w:rsidR="008C2E4A" w:rsidRPr="00A21B5C">
        <w:rPr>
          <w:rFonts w:ascii="Arial" w:eastAsia="MS Mincho" w:hAnsi="Arial" w:cs="Arial"/>
          <w:lang w:eastAsia="es-ES"/>
        </w:rPr>
        <w:t xml:space="preserve"> </w:t>
      </w:r>
      <w:r w:rsidR="004F50E4" w:rsidRPr="00A21B5C">
        <w:rPr>
          <w:rFonts w:ascii="Arial" w:eastAsia="MS Mincho" w:hAnsi="Arial" w:cs="Arial"/>
          <w:lang w:eastAsia="es-ES"/>
        </w:rPr>
        <w:t>de</w:t>
      </w:r>
      <w:r w:rsidR="008C2E4A" w:rsidRPr="00A21B5C">
        <w:rPr>
          <w:rFonts w:ascii="Arial" w:eastAsia="MS Mincho" w:hAnsi="Arial" w:cs="Arial"/>
          <w:lang w:eastAsia="es-ES"/>
        </w:rPr>
        <w:t xml:space="preserve"> visita oficial de reconocimiento institucional a la Entidad Territorial y</w:t>
      </w:r>
      <w:r w:rsidRPr="00A21B5C">
        <w:rPr>
          <w:rFonts w:ascii="Arial" w:eastAsia="MS Mincho" w:hAnsi="Arial" w:cs="Arial"/>
          <w:lang w:eastAsia="es-ES"/>
        </w:rPr>
        <w:t xml:space="preserve"> el </w:t>
      </w:r>
      <w:r w:rsidR="008C2E4A" w:rsidRPr="00A21B5C">
        <w:rPr>
          <w:rFonts w:ascii="Arial" w:eastAsia="MS Mincho" w:hAnsi="Arial" w:cs="Arial"/>
          <w:lang w:eastAsia="es-ES"/>
        </w:rPr>
        <w:t>requerimiento de información de carácter presupuestal, contractual y programático de las vigencias 2017 y 2018</w:t>
      </w:r>
      <w:r w:rsidRPr="00A21B5C">
        <w:rPr>
          <w:rFonts w:ascii="Arial" w:eastAsia="MS Mincho" w:hAnsi="Arial" w:cs="Arial"/>
          <w:lang w:eastAsia="es-ES"/>
        </w:rPr>
        <w:t xml:space="preserve"> requerido para la misma, se remitió</w:t>
      </w:r>
      <w:r w:rsidR="007500E8" w:rsidRPr="00A21B5C">
        <w:rPr>
          <w:rFonts w:ascii="Arial" w:eastAsia="MS Mincho" w:hAnsi="Arial" w:cs="Arial"/>
          <w:lang w:eastAsia="es-ES"/>
        </w:rPr>
        <w:t xml:space="preserve"> al Municipio de Dibulla – La Guajira</w:t>
      </w:r>
      <w:r w:rsidR="008C2E4A" w:rsidRPr="00A21B5C">
        <w:rPr>
          <w:rFonts w:ascii="Arial" w:eastAsia="MS Mincho" w:hAnsi="Arial" w:cs="Arial"/>
          <w:lang w:eastAsia="es-ES"/>
        </w:rPr>
        <w:t xml:space="preserve"> mediante oficio con </w:t>
      </w:r>
      <w:r w:rsidR="005B4BEB" w:rsidRPr="00A21B5C">
        <w:rPr>
          <w:rFonts w:ascii="Arial" w:eastAsia="MS Mincho" w:hAnsi="Arial" w:cs="Arial"/>
          <w:lang w:eastAsia="es-ES"/>
        </w:rPr>
        <w:t>número</w:t>
      </w:r>
      <w:r w:rsidR="00F1194A" w:rsidRPr="00A21B5C">
        <w:rPr>
          <w:rFonts w:ascii="Arial" w:eastAsia="MS Mincho" w:hAnsi="Arial" w:cs="Arial"/>
          <w:lang w:eastAsia="es-ES"/>
        </w:rPr>
        <w:t xml:space="preserve"> de r</w:t>
      </w:r>
      <w:r w:rsidR="008C2E4A" w:rsidRPr="00A21B5C">
        <w:rPr>
          <w:rFonts w:ascii="Arial" w:eastAsia="MS Mincho" w:hAnsi="Arial" w:cs="Arial"/>
          <w:lang w:eastAsia="es-ES"/>
        </w:rPr>
        <w:t xml:space="preserve">adicado 2-2019-013555 del 13 de marzo de 2019. </w:t>
      </w:r>
      <w:r w:rsidR="007500E8" w:rsidRPr="00A21B5C">
        <w:rPr>
          <w:rFonts w:ascii="Arial" w:eastAsia="MS Mincho" w:hAnsi="Arial" w:cs="Arial"/>
          <w:lang w:eastAsia="es-ES"/>
        </w:rPr>
        <w:t>L</w:t>
      </w:r>
      <w:r w:rsidR="008C2E4A" w:rsidRPr="00A21B5C">
        <w:rPr>
          <w:rFonts w:ascii="Arial" w:eastAsia="MS Mincho" w:hAnsi="Arial" w:cs="Arial"/>
          <w:lang w:eastAsia="es-ES"/>
        </w:rPr>
        <w:t xml:space="preserve">os delegados de </w:t>
      </w:r>
      <w:r w:rsidR="005B4BEB" w:rsidRPr="00A21B5C">
        <w:rPr>
          <w:rFonts w:ascii="Arial" w:eastAsia="MS Mincho" w:hAnsi="Arial" w:cs="Arial"/>
          <w:lang w:eastAsia="es-ES"/>
        </w:rPr>
        <w:t>esta Dirección</w:t>
      </w:r>
      <w:r w:rsidR="008C2E4A" w:rsidRPr="00A21B5C">
        <w:rPr>
          <w:rFonts w:ascii="Arial" w:eastAsia="MS Mincho" w:hAnsi="Arial" w:cs="Arial"/>
          <w:lang w:eastAsia="es-ES"/>
        </w:rPr>
        <w:t xml:space="preserve"> realizaron</w:t>
      </w:r>
      <w:r w:rsidR="007500E8" w:rsidRPr="00A21B5C">
        <w:rPr>
          <w:rFonts w:ascii="Arial" w:eastAsia="MS Mincho" w:hAnsi="Arial" w:cs="Arial"/>
          <w:lang w:eastAsia="es-ES"/>
        </w:rPr>
        <w:t xml:space="preserve"> la</w:t>
      </w:r>
      <w:r w:rsidR="008C2E4A" w:rsidRPr="00A21B5C">
        <w:rPr>
          <w:rFonts w:ascii="Arial" w:eastAsia="MS Mincho" w:hAnsi="Arial" w:cs="Arial"/>
          <w:lang w:eastAsia="es-ES"/>
        </w:rPr>
        <w:t xml:space="preserve"> visita oficial de reconocimiento institucional al Municipio en la AESGPRI los días 7</w:t>
      </w:r>
      <w:r w:rsidR="0073563C" w:rsidRPr="00A21B5C">
        <w:rPr>
          <w:rFonts w:ascii="Arial" w:eastAsia="MS Mincho" w:hAnsi="Arial" w:cs="Arial"/>
          <w:lang w:eastAsia="es-ES"/>
        </w:rPr>
        <w:t xml:space="preserve">, 8, 9 y </w:t>
      </w:r>
      <w:r w:rsidR="008C2E4A" w:rsidRPr="00A21B5C">
        <w:rPr>
          <w:rFonts w:ascii="Arial" w:eastAsia="MS Mincho" w:hAnsi="Arial" w:cs="Arial"/>
          <w:lang w:eastAsia="es-ES"/>
        </w:rPr>
        <w:t>10 de mayo de 2019. Posteriormente, fue recibida la información requerida en el oficio de anuncio de visita mediante</w:t>
      </w:r>
      <w:r w:rsidR="00E16D24" w:rsidRPr="00A21B5C">
        <w:rPr>
          <w:rFonts w:ascii="Arial" w:eastAsia="MS Mincho" w:hAnsi="Arial" w:cs="Arial"/>
          <w:lang w:eastAsia="es-ES"/>
        </w:rPr>
        <w:t xml:space="preserve"> </w:t>
      </w:r>
      <w:r w:rsidR="003F77DF" w:rsidRPr="00A21B5C">
        <w:rPr>
          <w:rFonts w:ascii="Arial" w:eastAsia="MS Mincho" w:hAnsi="Arial" w:cs="Arial"/>
          <w:lang w:eastAsia="es-ES"/>
        </w:rPr>
        <w:t xml:space="preserve">la </w:t>
      </w:r>
      <w:r w:rsidR="00E16D24" w:rsidRPr="00A21B5C">
        <w:rPr>
          <w:rFonts w:ascii="Arial" w:eastAsia="MS Mincho" w:hAnsi="Arial" w:cs="Arial"/>
          <w:lang w:eastAsia="es-ES"/>
        </w:rPr>
        <w:t xml:space="preserve">comunicación con </w:t>
      </w:r>
      <w:r w:rsidR="005B4BEB" w:rsidRPr="00A21B5C">
        <w:rPr>
          <w:rFonts w:ascii="Arial" w:eastAsia="MS Mincho" w:hAnsi="Arial" w:cs="Arial"/>
          <w:lang w:eastAsia="es-ES"/>
        </w:rPr>
        <w:t>número</w:t>
      </w:r>
      <w:r w:rsidR="00E16D24" w:rsidRPr="00A21B5C">
        <w:rPr>
          <w:rFonts w:ascii="Arial" w:eastAsia="MS Mincho" w:hAnsi="Arial" w:cs="Arial"/>
          <w:lang w:eastAsia="es-ES"/>
        </w:rPr>
        <w:t xml:space="preserve"> de</w:t>
      </w:r>
      <w:r w:rsidR="008C2E4A" w:rsidRPr="00A21B5C">
        <w:rPr>
          <w:rFonts w:ascii="Arial" w:eastAsia="MS Mincho" w:hAnsi="Arial" w:cs="Arial"/>
          <w:lang w:eastAsia="es-ES"/>
        </w:rPr>
        <w:t xml:space="preserve"> radicado 1-2019-045802 del 20 de mayo de 2019, sobre la cual se realiza el análisis que se presenta en el siguiente Informe de </w:t>
      </w:r>
      <w:r w:rsidR="00C52428" w:rsidRPr="00A21B5C">
        <w:rPr>
          <w:rFonts w:ascii="Arial" w:eastAsia="MS Mincho" w:hAnsi="Arial" w:cs="Arial"/>
          <w:lang w:eastAsia="es-ES"/>
        </w:rPr>
        <w:t>Estado</w:t>
      </w:r>
      <w:r w:rsidR="00867283" w:rsidRPr="00A21B5C">
        <w:rPr>
          <w:rFonts w:ascii="Arial" w:eastAsia="MS Mincho" w:hAnsi="Arial" w:cs="Arial"/>
          <w:lang w:eastAsia="es-ES"/>
        </w:rPr>
        <w:t>, teniendo en cuenta</w:t>
      </w:r>
      <w:r w:rsidR="00C52428" w:rsidRPr="00A21B5C">
        <w:rPr>
          <w:rFonts w:ascii="Arial" w:eastAsia="MS Mincho" w:hAnsi="Arial" w:cs="Arial"/>
          <w:lang w:eastAsia="es-ES"/>
        </w:rPr>
        <w:t xml:space="preserve"> </w:t>
      </w:r>
      <w:r w:rsidR="008C2E4A" w:rsidRPr="00A21B5C">
        <w:rPr>
          <w:rFonts w:ascii="Arial" w:eastAsia="MS Mincho" w:hAnsi="Arial" w:cs="Arial"/>
          <w:lang w:eastAsia="es-ES"/>
        </w:rPr>
        <w:t>la información presupuestal y de tesorería, la información de programación y formulación de proyectos de inversión y la información contractual relacionada, de las vigencias 2016, 2017</w:t>
      </w:r>
      <w:r w:rsidR="00183819" w:rsidRPr="00A21B5C">
        <w:rPr>
          <w:rFonts w:ascii="Arial" w:eastAsia="MS Mincho" w:hAnsi="Arial" w:cs="Arial"/>
          <w:lang w:eastAsia="es-ES"/>
        </w:rPr>
        <w:t>,</w:t>
      </w:r>
      <w:r w:rsidR="008C2E4A" w:rsidRPr="00A21B5C">
        <w:rPr>
          <w:rFonts w:ascii="Arial" w:eastAsia="MS Mincho" w:hAnsi="Arial" w:cs="Arial"/>
          <w:lang w:eastAsia="es-ES"/>
        </w:rPr>
        <w:t xml:space="preserve"> 2018 y 2019</w:t>
      </w:r>
      <w:r w:rsidR="0098350D" w:rsidRPr="00A21B5C">
        <w:rPr>
          <w:rFonts w:ascii="Arial" w:eastAsia="MS Mincho" w:hAnsi="Arial" w:cs="Arial"/>
          <w:lang w:eastAsia="es-ES"/>
        </w:rPr>
        <w:t>.</w:t>
      </w:r>
    </w:p>
    <w:p w:rsidR="008C2E4A" w:rsidRPr="00A21B5C" w:rsidRDefault="008C2E4A" w:rsidP="00A21B5C">
      <w:pPr>
        <w:pStyle w:val="Sinespaciado"/>
        <w:contextualSpacing/>
        <w:jc w:val="both"/>
        <w:rPr>
          <w:rFonts w:ascii="Arial" w:hAnsi="Arial" w:cs="Arial"/>
        </w:rPr>
      </w:pPr>
    </w:p>
    <w:p w:rsidR="008C2E4A" w:rsidRPr="00A21B5C" w:rsidRDefault="008C2E4A" w:rsidP="00A21B5C">
      <w:pPr>
        <w:pStyle w:val="Sinespaciado"/>
        <w:numPr>
          <w:ilvl w:val="1"/>
          <w:numId w:val="1"/>
        </w:numPr>
        <w:tabs>
          <w:tab w:val="clear" w:pos="360"/>
          <w:tab w:val="num" w:pos="709"/>
        </w:tabs>
        <w:spacing w:after="120"/>
        <w:ind w:left="284" w:hanging="284"/>
        <w:contextualSpacing/>
        <w:jc w:val="both"/>
        <w:rPr>
          <w:rFonts w:ascii="Arial" w:hAnsi="Arial" w:cs="Arial"/>
          <w:b/>
        </w:rPr>
      </w:pPr>
      <w:r w:rsidRPr="00A21B5C">
        <w:rPr>
          <w:rFonts w:ascii="Arial" w:hAnsi="Arial" w:cs="Arial"/>
          <w:b/>
        </w:rPr>
        <w:t>CARACTERIZACIÓN</w:t>
      </w:r>
      <w:r w:rsidR="005B4BEB" w:rsidRPr="00A21B5C">
        <w:rPr>
          <w:rFonts w:ascii="Arial" w:hAnsi="Arial" w:cs="Arial"/>
          <w:b/>
        </w:rPr>
        <w:t>.</w:t>
      </w:r>
    </w:p>
    <w:p w:rsidR="008C2E4A" w:rsidRPr="00A21B5C" w:rsidRDefault="00525E80" w:rsidP="00A21B5C">
      <w:pPr>
        <w:pStyle w:val="Sinespaciado"/>
        <w:contextualSpacing/>
        <w:jc w:val="center"/>
        <w:rPr>
          <w:rFonts w:ascii="Arial" w:hAnsi="Arial" w:cs="Arial"/>
          <w:b/>
          <w:sz w:val="10"/>
          <w:szCs w:val="10"/>
        </w:rPr>
      </w:pPr>
      <w:r w:rsidRPr="00A21B5C">
        <w:rPr>
          <w:rFonts w:ascii="Arial" w:hAnsi="Arial" w:cs="Arial"/>
          <w:noProof/>
          <w:lang w:eastAsia="es-CO"/>
        </w:rPr>
        <w:drawing>
          <wp:inline distT="0" distB="0" distL="0" distR="0">
            <wp:extent cx="4633867" cy="25146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63718" cy="2530799"/>
                    </a:xfrm>
                    <a:prstGeom prst="rect">
                      <a:avLst/>
                    </a:prstGeom>
                  </pic:spPr>
                </pic:pic>
              </a:graphicData>
            </a:graphic>
          </wp:inline>
        </w:drawing>
      </w:r>
      <w:r w:rsidRPr="00A21B5C">
        <w:rPr>
          <w:rFonts w:ascii="Arial" w:hAnsi="Arial" w:cs="Arial"/>
          <w:noProof/>
          <w:lang w:eastAsia="es-CO"/>
        </w:rPr>
        <w:t xml:space="preserve"> </w:t>
      </w:r>
    </w:p>
    <w:p w:rsidR="001A0536" w:rsidRPr="00A21B5C" w:rsidRDefault="00525E80" w:rsidP="00A21B5C">
      <w:pPr>
        <w:pBdr>
          <w:bottom w:val="single" w:sz="4" w:space="1" w:color="auto"/>
        </w:pBdr>
        <w:tabs>
          <w:tab w:val="left" w:pos="8460"/>
        </w:tabs>
        <w:spacing w:after="120"/>
        <w:contextualSpacing/>
        <w:jc w:val="center"/>
        <w:rPr>
          <w:rFonts w:ascii="Arial" w:hAnsi="Arial" w:cs="Arial"/>
          <w:noProof/>
          <w:lang w:val="es-CO" w:eastAsia="es-CO"/>
        </w:rPr>
      </w:pPr>
      <w:r w:rsidRPr="00A21B5C">
        <w:rPr>
          <w:rFonts w:ascii="Arial" w:hAnsi="Arial" w:cs="Arial"/>
          <w:noProof/>
          <w:lang w:val="es-CO" w:eastAsia="es-CO"/>
        </w:rPr>
        <w:t xml:space="preserve"> </w:t>
      </w:r>
      <w:r w:rsidRPr="00A21B5C">
        <w:rPr>
          <w:rFonts w:ascii="Arial" w:hAnsi="Arial" w:cs="Arial"/>
          <w:noProof/>
          <w:lang w:val="es-CO" w:eastAsia="es-CO"/>
        </w:rPr>
        <w:drawing>
          <wp:inline distT="0" distB="0" distL="0" distR="0">
            <wp:extent cx="4708459" cy="19812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BEBA8EAE-BF5A-486C-A8C5-ECC9F3942E4B}">
                          <a14:imgProps xmlns:a14="http://schemas.microsoft.com/office/drawing/2010/main">
                            <a14:imgLayer r:embed="rId13">
                              <a14:imgEffect>
                                <a14:sharpenSoften amount="25000"/>
                              </a14:imgEffect>
                            </a14:imgLayer>
                          </a14:imgProps>
                        </a:ext>
                      </a:extLst>
                    </a:blip>
                    <a:stretch>
                      <a:fillRect/>
                    </a:stretch>
                  </pic:blipFill>
                  <pic:spPr>
                    <a:xfrm>
                      <a:off x="0" y="0"/>
                      <a:ext cx="4727111" cy="1989048"/>
                    </a:xfrm>
                    <a:prstGeom prst="rect">
                      <a:avLst/>
                    </a:prstGeom>
                  </pic:spPr>
                </pic:pic>
              </a:graphicData>
            </a:graphic>
          </wp:inline>
        </w:drawing>
      </w:r>
    </w:p>
    <w:p w:rsidR="00525E80" w:rsidRPr="00A21B5C" w:rsidRDefault="00525E80" w:rsidP="00A21B5C">
      <w:pPr>
        <w:pBdr>
          <w:bottom w:val="single" w:sz="4" w:space="1" w:color="auto"/>
        </w:pBdr>
        <w:tabs>
          <w:tab w:val="left" w:pos="8460"/>
        </w:tabs>
        <w:spacing w:after="120"/>
        <w:contextualSpacing/>
        <w:jc w:val="center"/>
        <w:rPr>
          <w:rFonts w:ascii="Arial" w:hAnsi="Arial" w:cs="Arial"/>
          <w:b/>
          <w:sz w:val="22"/>
          <w:lang w:val="es-CO"/>
        </w:rPr>
      </w:pPr>
      <w:r w:rsidRPr="00A21B5C">
        <w:rPr>
          <w:rFonts w:ascii="Arial" w:hAnsi="Arial" w:cs="Arial"/>
          <w:noProof/>
          <w:lang w:val="es-CO" w:eastAsia="es-CO"/>
        </w:rPr>
        <w:drawing>
          <wp:inline distT="0" distB="0" distL="0" distR="0">
            <wp:extent cx="4745291" cy="337185"/>
            <wp:effectExtent l="0" t="0" r="0" b="57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BEBA8EAE-BF5A-486C-A8C5-ECC9F3942E4B}">
                          <a14:imgProps xmlns:a14="http://schemas.microsoft.com/office/drawing/2010/main">
                            <a14:imgLayer r:embed="rId15">
                              <a14:imgEffect>
                                <a14:sharpenSoften amount="25000"/>
                              </a14:imgEffect>
                            </a14:imgLayer>
                          </a14:imgProps>
                        </a:ext>
                      </a:extLst>
                    </a:blip>
                    <a:stretch>
                      <a:fillRect/>
                    </a:stretch>
                  </pic:blipFill>
                  <pic:spPr>
                    <a:xfrm>
                      <a:off x="0" y="0"/>
                      <a:ext cx="4757878" cy="338079"/>
                    </a:xfrm>
                    <a:prstGeom prst="rect">
                      <a:avLst/>
                    </a:prstGeom>
                  </pic:spPr>
                </pic:pic>
              </a:graphicData>
            </a:graphic>
          </wp:inline>
        </w:drawing>
      </w:r>
    </w:p>
    <w:p w:rsidR="00F76A20" w:rsidRPr="00A21B5C" w:rsidRDefault="002F2B4B" w:rsidP="00A21B5C">
      <w:pPr>
        <w:pBdr>
          <w:bottom w:val="single" w:sz="4" w:space="1" w:color="auto"/>
        </w:pBdr>
        <w:tabs>
          <w:tab w:val="left" w:pos="8460"/>
        </w:tabs>
        <w:spacing w:after="120"/>
        <w:contextualSpacing/>
        <w:jc w:val="center"/>
        <w:rPr>
          <w:rFonts w:ascii="Arial" w:hAnsi="Arial" w:cs="Arial"/>
          <w:b/>
          <w:sz w:val="22"/>
          <w:lang w:val="es-CO"/>
        </w:rPr>
      </w:pPr>
      <w:r w:rsidRPr="00A21B5C">
        <w:rPr>
          <w:rFonts w:ascii="Arial" w:hAnsi="Arial" w:cs="Arial"/>
          <w:noProof/>
          <w:lang w:val="es-CO" w:eastAsia="es-CO"/>
        </w:rPr>
        <w:lastRenderedPageBreak/>
        <w:drawing>
          <wp:inline distT="0" distB="0" distL="0" distR="0">
            <wp:extent cx="4933950" cy="1537983"/>
            <wp:effectExtent l="0" t="0" r="0" b="508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extLst>
                        <a:ext uri="{BEBA8EAE-BF5A-486C-A8C5-ECC9F3942E4B}">
                          <a14:imgProps xmlns:a14="http://schemas.microsoft.com/office/drawing/2010/main">
                            <a14:imgLayer r:embed="rId17">
                              <a14:imgEffect>
                                <a14:sharpenSoften amount="25000"/>
                              </a14:imgEffect>
                            </a14:imgLayer>
                          </a14:imgProps>
                        </a:ext>
                      </a:extLst>
                    </a:blip>
                    <a:srcRect t="24086"/>
                    <a:stretch/>
                  </pic:blipFill>
                  <pic:spPr bwMode="auto">
                    <a:xfrm>
                      <a:off x="0" y="0"/>
                      <a:ext cx="4933950" cy="1537983"/>
                    </a:xfrm>
                    <a:prstGeom prst="rect">
                      <a:avLst/>
                    </a:prstGeom>
                    <a:ln>
                      <a:noFill/>
                    </a:ln>
                    <a:extLst>
                      <a:ext uri="{53640926-AAD7-44D8-BBD7-CCE9431645EC}">
                        <a14:shadowObscured xmlns:a14="http://schemas.microsoft.com/office/drawing/2010/main"/>
                      </a:ext>
                    </a:extLst>
                  </pic:spPr>
                </pic:pic>
              </a:graphicData>
            </a:graphic>
          </wp:inline>
        </w:drawing>
      </w:r>
      <w:r w:rsidR="006C2049" w:rsidRPr="00A21B5C">
        <w:rPr>
          <w:rFonts w:ascii="Arial" w:hAnsi="Arial" w:cs="Arial"/>
          <w:b/>
          <w:sz w:val="22"/>
          <w:lang w:val="es-CO"/>
        </w:rPr>
        <w:t xml:space="preserve">   </w:t>
      </w:r>
      <w:r w:rsidR="00873941" w:rsidRPr="00A21B5C">
        <w:rPr>
          <w:rFonts w:ascii="Arial" w:hAnsi="Arial" w:cs="Arial"/>
          <w:b/>
          <w:sz w:val="22"/>
          <w:lang w:val="es-CO"/>
        </w:rPr>
        <w:t xml:space="preserve">     </w:t>
      </w:r>
    </w:p>
    <w:p w:rsidR="008C2E4A" w:rsidRPr="00A21B5C" w:rsidRDefault="008C2E4A" w:rsidP="00A21B5C">
      <w:pPr>
        <w:pStyle w:val="Prrafodelista"/>
        <w:numPr>
          <w:ilvl w:val="0"/>
          <w:numId w:val="1"/>
        </w:numPr>
        <w:pBdr>
          <w:bottom w:val="single" w:sz="4" w:space="1" w:color="auto"/>
        </w:pBdr>
        <w:tabs>
          <w:tab w:val="clear" w:pos="840"/>
          <w:tab w:val="num" w:pos="1200"/>
          <w:tab w:val="left" w:pos="8460"/>
        </w:tabs>
        <w:ind w:left="284" w:hanging="284"/>
        <w:jc w:val="both"/>
        <w:rPr>
          <w:rFonts w:ascii="Arial" w:hAnsi="Arial" w:cs="Arial"/>
          <w:b/>
          <w:sz w:val="22"/>
          <w:lang w:val="es-CO"/>
        </w:rPr>
      </w:pPr>
      <w:r w:rsidRPr="00A21B5C">
        <w:rPr>
          <w:rFonts w:ascii="Arial" w:hAnsi="Arial" w:cs="Arial"/>
          <w:b/>
          <w:sz w:val="22"/>
          <w:lang w:val="es-CO"/>
        </w:rPr>
        <w:t>SITUACIÓN FINANCIERA</w:t>
      </w:r>
      <w:r w:rsidR="005B4BEB" w:rsidRPr="00A21B5C">
        <w:rPr>
          <w:rFonts w:ascii="Arial" w:hAnsi="Arial" w:cs="Arial"/>
          <w:b/>
          <w:sz w:val="22"/>
          <w:lang w:val="es-CO"/>
        </w:rPr>
        <w:t>:</w:t>
      </w:r>
    </w:p>
    <w:p w:rsidR="008C2E4A" w:rsidRPr="00A21B5C" w:rsidRDefault="008C2E4A" w:rsidP="00A21B5C">
      <w:pPr>
        <w:contextualSpacing/>
        <w:rPr>
          <w:rFonts w:ascii="Arial" w:eastAsia="Calibri" w:hAnsi="Arial" w:cs="Arial"/>
          <w:b/>
          <w:sz w:val="26"/>
          <w:szCs w:val="26"/>
          <w:lang w:val="es-CO" w:eastAsia="en-US"/>
        </w:rPr>
      </w:pPr>
    </w:p>
    <w:p w:rsidR="00DE4BC7" w:rsidRPr="00A21B5C" w:rsidRDefault="00DE4BC7" w:rsidP="00A21B5C">
      <w:pPr>
        <w:pStyle w:val="Prrafodelista"/>
        <w:numPr>
          <w:ilvl w:val="1"/>
          <w:numId w:val="1"/>
        </w:numPr>
        <w:tabs>
          <w:tab w:val="clear" w:pos="360"/>
          <w:tab w:val="num" w:pos="142"/>
        </w:tabs>
        <w:ind w:left="284" w:hanging="284"/>
        <w:rPr>
          <w:rFonts w:ascii="Arial" w:eastAsia="Calibri" w:hAnsi="Arial" w:cs="Arial"/>
          <w:b/>
          <w:sz w:val="26"/>
          <w:szCs w:val="26"/>
          <w:lang w:val="es-CO" w:eastAsia="en-US"/>
        </w:rPr>
      </w:pPr>
      <w:r w:rsidRPr="00A21B5C">
        <w:rPr>
          <w:rFonts w:ascii="Arial" w:hAnsi="Arial" w:cs="Arial"/>
          <w:b/>
          <w:sz w:val="22"/>
          <w:lang w:val="es-CO"/>
        </w:rPr>
        <w:t>MANEJO PRESUPUESTAL</w:t>
      </w:r>
      <w:r w:rsidR="005B4BEB" w:rsidRPr="00A21B5C">
        <w:rPr>
          <w:rFonts w:ascii="Arial" w:hAnsi="Arial" w:cs="Arial"/>
          <w:b/>
          <w:sz w:val="22"/>
          <w:lang w:val="es-CO"/>
        </w:rPr>
        <w:t>.</w:t>
      </w:r>
    </w:p>
    <w:p w:rsidR="00DE4BC7" w:rsidRPr="00A21B5C" w:rsidRDefault="00DE4BC7" w:rsidP="00A21B5C">
      <w:pPr>
        <w:pStyle w:val="Prrafodelista"/>
        <w:ind w:left="360"/>
        <w:rPr>
          <w:rFonts w:ascii="Arial" w:eastAsia="Calibri" w:hAnsi="Arial" w:cs="Arial"/>
          <w:b/>
          <w:sz w:val="18"/>
          <w:szCs w:val="18"/>
          <w:lang w:val="es-CO" w:eastAsia="en-US"/>
        </w:rPr>
      </w:pPr>
    </w:p>
    <w:p w:rsidR="008C2E4A" w:rsidRPr="00A21B5C" w:rsidRDefault="008C2E4A" w:rsidP="00A21B5C">
      <w:pPr>
        <w:contextualSpacing/>
        <w:jc w:val="both"/>
        <w:rPr>
          <w:rFonts w:ascii="Arial" w:hAnsi="Arial" w:cs="Arial"/>
          <w:sz w:val="22"/>
          <w:szCs w:val="22"/>
        </w:rPr>
      </w:pPr>
      <w:r w:rsidRPr="00A21B5C">
        <w:rPr>
          <w:rFonts w:ascii="Arial" w:hAnsi="Arial" w:cs="Arial"/>
          <w:sz w:val="22"/>
          <w:szCs w:val="22"/>
        </w:rPr>
        <w:t xml:space="preserve">Con base en las ejecuciones presupuestales de </w:t>
      </w:r>
      <w:r w:rsidR="005B4BEB" w:rsidRPr="00A21B5C">
        <w:rPr>
          <w:rFonts w:ascii="Arial" w:hAnsi="Arial" w:cs="Arial"/>
          <w:sz w:val="22"/>
          <w:szCs w:val="22"/>
        </w:rPr>
        <w:t>i</w:t>
      </w:r>
      <w:r w:rsidRPr="00A21B5C">
        <w:rPr>
          <w:rFonts w:ascii="Arial" w:hAnsi="Arial" w:cs="Arial"/>
          <w:sz w:val="22"/>
          <w:szCs w:val="22"/>
        </w:rPr>
        <w:t xml:space="preserve">ngresos y </w:t>
      </w:r>
      <w:r w:rsidR="005B4BEB" w:rsidRPr="00A21B5C">
        <w:rPr>
          <w:rFonts w:ascii="Arial" w:hAnsi="Arial" w:cs="Arial"/>
          <w:sz w:val="22"/>
          <w:szCs w:val="22"/>
        </w:rPr>
        <w:t>g</w:t>
      </w:r>
      <w:r w:rsidRPr="00A21B5C">
        <w:rPr>
          <w:rFonts w:ascii="Arial" w:hAnsi="Arial" w:cs="Arial"/>
          <w:sz w:val="22"/>
          <w:szCs w:val="22"/>
        </w:rPr>
        <w:t xml:space="preserve">astos de </w:t>
      </w:r>
      <w:r w:rsidR="005B4BEB" w:rsidRPr="00A21B5C">
        <w:rPr>
          <w:rFonts w:ascii="Arial" w:hAnsi="Arial" w:cs="Arial"/>
          <w:sz w:val="22"/>
          <w:szCs w:val="22"/>
        </w:rPr>
        <w:t>i</w:t>
      </w:r>
      <w:r w:rsidRPr="00A21B5C">
        <w:rPr>
          <w:rFonts w:ascii="Arial" w:hAnsi="Arial" w:cs="Arial"/>
          <w:sz w:val="22"/>
          <w:szCs w:val="22"/>
        </w:rPr>
        <w:t xml:space="preserve">nversión, </w:t>
      </w:r>
      <w:r w:rsidR="00EA6CC0" w:rsidRPr="00A21B5C">
        <w:rPr>
          <w:rFonts w:ascii="Arial" w:hAnsi="Arial" w:cs="Arial"/>
          <w:sz w:val="22"/>
          <w:szCs w:val="22"/>
        </w:rPr>
        <w:t xml:space="preserve">en </w:t>
      </w:r>
      <w:r w:rsidRPr="00A21B5C">
        <w:rPr>
          <w:rFonts w:ascii="Arial" w:hAnsi="Arial" w:cs="Arial"/>
          <w:sz w:val="22"/>
          <w:szCs w:val="22"/>
        </w:rPr>
        <w:t xml:space="preserve">los documentos de </w:t>
      </w:r>
      <w:r w:rsidR="005B4BEB" w:rsidRPr="00A21B5C">
        <w:rPr>
          <w:rFonts w:ascii="Arial" w:hAnsi="Arial" w:cs="Arial"/>
          <w:sz w:val="22"/>
          <w:szCs w:val="22"/>
        </w:rPr>
        <w:t>c</w:t>
      </w:r>
      <w:r w:rsidRPr="00A21B5C">
        <w:rPr>
          <w:rFonts w:ascii="Arial" w:hAnsi="Arial" w:cs="Arial"/>
          <w:sz w:val="22"/>
          <w:szCs w:val="22"/>
        </w:rPr>
        <w:t xml:space="preserve">ierre </w:t>
      </w:r>
      <w:r w:rsidR="005B4BEB" w:rsidRPr="00A21B5C">
        <w:rPr>
          <w:rFonts w:ascii="Arial" w:hAnsi="Arial" w:cs="Arial"/>
          <w:sz w:val="22"/>
          <w:szCs w:val="22"/>
        </w:rPr>
        <w:t>p</w:t>
      </w:r>
      <w:r w:rsidRPr="00A21B5C">
        <w:rPr>
          <w:rFonts w:ascii="Arial" w:hAnsi="Arial" w:cs="Arial"/>
          <w:sz w:val="22"/>
          <w:szCs w:val="22"/>
        </w:rPr>
        <w:t xml:space="preserve">resupuestal y </w:t>
      </w:r>
      <w:r w:rsidR="00EA6CC0" w:rsidRPr="00A21B5C">
        <w:rPr>
          <w:rFonts w:ascii="Arial" w:hAnsi="Arial" w:cs="Arial"/>
          <w:sz w:val="22"/>
          <w:szCs w:val="22"/>
        </w:rPr>
        <w:t xml:space="preserve">en los </w:t>
      </w:r>
      <w:r w:rsidR="005B4BEB" w:rsidRPr="00A21B5C">
        <w:rPr>
          <w:rFonts w:ascii="Arial" w:hAnsi="Arial" w:cs="Arial"/>
          <w:sz w:val="22"/>
          <w:szCs w:val="22"/>
        </w:rPr>
        <w:t>a</w:t>
      </w:r>
      <w:r w:rsidRPr="00A21B5C">
        <w:rPr>
          <w:rFonts w:ascii="Arial" w:hAnsi="Arial" w:cs="Arial"/>
          <w:sz w:val="22"/>
          <w:szCs w:val="22"/>
        </w:rPr>
        <w:t xml:space="preserve">ctos </w:t>
      </w:r>
      <w:r w:rsidR="005B4BEB" w:rsidRPr="00A21B5C">
        <w:rPr>
          <w:rFonts w:ascii="Arial" w:hAnsi="Arial" w:cs="Arial"/>
          <w:sz w:val="22"/>
          <w:szCs w:val="22"/>
        </w:rPr>
        <w:t>a</w:t>
      </w:r>
      <w:r w:rsidRPr="00A21B5C">
        <w:rPr>
          <w:rFonts w:ascii="Arial" w:hAnsi="Arial" w:cs="Arial"/>
          <w:sz w:val="22"/>
          <w:szCs w:val="22"/>
        </w:rPr>
        <w:t>dministrativos de constitución de cuentas por pagar y reservas presupuestales</w:t>
      </w:r>
      <w:r w:rsidR="00D11B5F" w:rsidRPr="00A21B5C">
        <w:rPr>
          <w:rFonts w:ascii="Arial" w:hAnsi="Arial" w:cs="Arial"/>
          <w:sz w:val="22"/>
          <w:szCs w:val="22"/>
        </w:rPr>
        <w:t xml:space="preserve"> para las vigencias 2016, 2017 y 2018</w:t>
      </w:r>
      <w:r w:rsidRPr="00A21B5C">
        <w:rPr>
          <w:rFonts w:ascii="Arial" w:hAnsi="Arial" w:cs="Arial"/>
          <w:sz w:val="22"/>
          <w:szCs w:val="22"/>
        </w:rPr>
        <w:t>, aportados por el Municipio de Dibulla – La Guajira</w:t>
      </w:r>
      <w:r w:rsidR="00867283" w:rsidRPr="00A21B5C">
        <w:rPr>
          <w:rFonts w:ascii="Arial" w:hAnsi="Arial" w:cs="Arial"/>
          <w:sz w:val="22"/>
          <w:szCs w:val="22"/>
        </w:rPr>
        <w:t>,</w:t>
      </w:r>
      <w:r w:rsidRPr="00A21B5C">
        <w:rPr>
          <w:rFonts w:ascii="Arial" w:hAnsi="Arial" w:cs="Arial"/>
          <w:sz w:val="22"/>
          <w:szCs w:val="22"/>
        </w:rPr>
        <w:t xml:space="preserve"> </w:t>
      </w:r>
      <w:r w:rsidR="00E733C4" w:rsidRPr="00A21B5C">
        <w:rPr>
          <w:rFonts w:ascii="Arial" w:hAnsi="Arial" w:cs="Arial"/>
          <w:sz w:val="22"/>
          <w:szCs w:val="22"/>
        </w:rPr>
        <w:t>además de la información reportada por la Entidad Territorial en</w:t>
      </w:r>
      <w:r w:rsidR="005B4BEB" w:rsidRPr="00A21B5C">
        <w:rPr>
          <w:rFonts w:ascii="Arial" w:hAnsi="Arial" w:cs="Arial"/>
          <w:sz w:val="22"/>
          <w:szCs w:val="22"/>
        </w:rPr>
        <w:t xml:space="preserve"> el Formulario Único Territorial - FUT</w:t>
      </w:r>
      <w:r w:rsidR="00E733C4" w:rsidRPr="00A21B5C">
        <w:rPr>
          <w:rFonts w:ascii="Arial" w:hAnsi="Arial" w:cs="Arial"/>
          <w:sz w:val="22"/>
          <w:szCs w:val="22"/>
        </w:rPr>
        <w:t xml:space="preserve"> </w:t>
      </w:r>
      <w:r w:rsidR="005B4BEB" w:rsidRPr="00A21B5C">
        <w:rPr>
          <w:rFonts w:ascii="Arial" w:hAnsi="Arial" w:cs="Arial"/>
          <w:sz w:val="22"/>
          <w:szCs w:val="22"/>
        </w:rPr>
        <w:t xml:space="preserve">en </w:t>
      </w:r>
      <w:r w:rsidR="00E733C4" w:rsidRPr="00A21B5C">
        <w:rPr>
          <w:rFonts w:ascii="Arial" w:hAnsi="Arial" w:cs="Arial"/>
          <w:sz w:val="22"/>
          <w:szCs w:val="22"/>
        </w:rPr>
        <w:t xml:space="preserve">las </w:t>
      </w:r>
      <w:r w:rsidR="005B4BEB" w:rsidRPr="00A21B5C">
        <w:rPr>
          <w:rFonts w:ascii="Arial" w:hAnsi="Arial" w:cs="Arial"/>
          <w:sz w:val="22"/>
          <w:szCs w:val="22"/>
        </w:rPr>
        <w:t>C</w:t>
      </w:r>
      <w:r w:rsidR="00E733C4" w:rsidRPr="00A21B5C">
        <w:rPr>
          <w:rFonts w:ascii="Arial" w:hAnsi="Arial" w:cs="Arial"/>
          <w:sz w:val="22"/>
          <w:szCs w:val="22"/>
        </w:rPr>
        <w:t xml:space="preserve">ategorías Resguardos 1 y Resguardos 2 para la vigencia 2019, </w:t>
      </w:r>
      <w:r w:rsidRPr="00A21B5C">
        <w:rPr>
          <w:rFonts w:ascii="Arial" w:hAnsi="Arial" w:cs="Arial"/>
          <w:sz w:val="22"/>
          <w:szCs w:val="22"/>
        </w:rPr>
        <w:t xml:space="preserve">se construyó el escenario presupuestal de los recursos de la Asignación Especial para Resguardos Indígenas del </w:t>
      </w:r>
      <w:r w:rsidRPr="00A21B5C">
        <w:rPr>
          <w:rFonts w:ascii="Arial" w:hAnsi="Arial" w:cs="Arial"/>
          <w:iCs/>
          <w:sz w:val="22"/>
          <w:szCs w:val="22"/>
        </w:rPr>
        <w:t>Resguardo Kogui – Malayo - Arhuaco</w:t>
      </w:r>
      <w:r w:rsidRPr="00A21B5C">
        <w:rPr>
          <w:rFonts w:ascii="Arial" w:hAnsi="Arial" w:cs="Arial"/>
          <w:sz w:val="22"/>
          <w:szCs w:val="22"/>
        </w:rPr>
        <w:t xml:space="preserve"> en jurisdicción del Municipio de Dibulla </w:t>
      </w:r>
      <w:r w:rsidR="005B4BEB" w:rsidRPr="00A21B5C">
        <w:rPr>
          <w:rFonts w:ascii="Arial" w:hAnsi="Arial" w:cs="Arial"/>
          <w:sz w:val="22"/>
          <w:szCs w:val="22"/>
        </w:rPr>
        <w:t xml:space="preserve">- </w:t>
      </w:r>
      <w:r w:rsidRPr="00A21B5C">
        <w:rPr>
          <w:rFonts w:ascii="Arial" w:hAnsi="Arial" w:cs="Arial"/>
          <w:sz w:val="22"/>
          <w:szCs w:val="22"/>
        </w:rPr>
        <w:t>La Guajira. De igual forma, se validaron las cifras informadas en las ejecuciones presupuestales, tomando las fuentes que se detallan en la Tabla N</w:t>
      </w:r>
      <w:r w:rsidR="005B4BEB" w:rsidRPr="00A21B5C">
        <w:rPr>
          <w:rFonts w:ascii="Arial" w:hAnsi="Arial" w:cs="Arial"/>
          <w:sz w:val="22"/>
          <w:szCs w:val="22"/>
        </w:rPr>
        <w:t>o.</w:t>
      </w:r>
      <w:r w:rsidRPr="00A21B5C">
        <w:rPr>
          <w:rFonts w:ascii="Arial" w:hAnsi="Arial" w:cs="Arial"/>
          <w:sz w:val="22"/>
          <w:szCs w:val="22"/>
        </w:rPr>
        <w:t xml:space="preserve"> 1, identificando las diferencias y situaciones que se relacionan con las referencias o marcas de auditoría en la columna derecha de cada vigencia:</w:t>
      </w:r>
    </w:p>
    <w:p w:rsidR="008C2E4A" w:rsidRPr="00A21B5C" w:rsidRDefault="008C2E4A" w:rsidP="00A21B5C">
      <w:pPr>
        <w:spacing w:after="160"/>
        <w:contextualSpacing/>
        <w:rPr>
          <w:rFonts w:ascii="Arial" w:eastAsia="Calibri" w:hAnsi="Arial" w:cs="Arial"/>
          <w:b/>
          <w:sz w:val="26"/>
          <w:szCs w:val="26"/>
          <w:lang w:val="es-CO" w:eastAsia="en-US"/>
        </w:rPr>
      </w:pPr>
    </w:p>
    <w:p w:rsidR="00E4434A" w:rsidRPr="00A21B5C" w:rsidRDefault="008C2E4A" w:rsidP="00A21B5C">
      <w:pPr>
        <w:spacing w:after="160"/>
        <w:contextualSpacing/>
        <w:jc w:val="center"/>
        <w:rPr>
          <w:rFonts w:ascii="Arial" w:eastAsia="Calibri" w:hAnsi="Arial" w:cs="Arial"/>
          <w:sz w:val="22"/>
          <w:szCs w:val="22"/>
          <w:lang w:val="es-CO" w:eastAsia="en-US"/>
        </w:rPr>
      </w:pPr>
      <w:r w:rsidRPr="00A21B5C">
        <w:rPr>
          <w:rFonts w:ascii="Arial" w:eastAsia="Calibri" w:hAnsi="Arial" w:cs="Arial"/>
          <w:b/>
          <w:sz w:val="22"/>
          <w:szCs w:val="22"/>
          <w:lang w:val="es-CO" w:eastAsia="en-US"/>
        </w:rPr>
        <w:t xml:space="preserve">Tabla N° 1: </w:t>
      </w:r>
      <w:r w:rsidRPr="00A21B5C">
        <w:rPr>
          <w:rFonts w:ascii="Arial" w:eastAsia="Calibri" w:hAnsi="Arial" w:cs="Arial"/>
          <w:sz w:val="22"/>
          <w:szCs w:val="22"/>
          <w:lang w:val="es-CO" w:eastAsia="en-US"/>
        </w:rPr>
        <w:t xml:space="preserve">Manejo presupuestal de los recursos AESGPRI. Municipio de Dibulla </w:t>
      </w:r>
      <w:r w:rsidR="00B052BA" w:rsidRPr="00A21B5C">
        <w:rPr>
          <w:rFonts w:ascii="Arial" w:eastAsia="Calibri" w:hAnsi="Arial" w:cs="Arial"/>
          <w:sz w:val="22"/>
          <w:szCs w:val="22"/>
          <w:lang w:val="es-CO" w:eastAsia="en-US"/>
        </w:rPr>
        <w:t xml:space="preserve">- </w:t>
      </w:r>
      <w:r w:rsidRPr="00A21B5C">
        <w:rPr>
          <w:rFonts w:ascii="Arial" w:eastAsia="Calibri" w:hAnsi="Arial" w:cs="Arial"/>
          <w:sz w:val="22"/>
          <w:szCs w:val="22"/>
          <w:lang w:val="es-CO" w:eastAsia="en-US"/>
        </w:rPr>
        <w:t xml:space="preserve">La Guajira. </w:t>
      </w:r>
    </w:p>
    <w:p w:rsidR="00AA5A6B" w:rsidRPr="00A21B5C" w:rsidRDefault="008C2E4A" w:rsidP="00A21B5C">
      <w:pPr>
        <w:contextualSpacing/>
        <w:jc w:val="center"/>
        <w:rPr>
          <w:rFonts w:ascii="Arial" w:eastAsia="Calibri" w:hAnsi="Arial" w:cs="Arial"/>
          <w:sz w:val="22"/>
          <w:szCs w:val="22"/>
          <w:lang w:val="es-CO" w:eastAsia="en-US"/>
        </w:rPr>
      </w:pPr>
      <w:r w:rsidRPr="00A21B5C">
        <w:rPr>
          <w:rFonts w:ascii="Arial" w:eastAsia="Calibri" w:hAnsi="Arial" w:cs="Arial"/>
          <w:sz w:val="22"/>
          <w:szCs w:val="22"/>
          <w:lang w:val="es-CO" w:eastAsia="en-US"/>
        </w:rPr>
        <w:t>Vigencias 2016, 2017</w:t>
      </w:r>
      <w:r w:rsidR="00E733C4" w:rsidRPr="00A21B5C">
        <w:rPr>
          <w:rFonts w:ascii="Arial" w:eastAsia="Calibri" w:hAnsi="Arial" w:cs="Arial"/>
          <w:sz w:val="22"/>
          <w:szCs w:val="22"/>
          <w:lang w:val="es-CO" w:eastAsia="en-US"/>
        </w:rPr>
        <w:t>,</w:t>
      </w:r>
      <w:r w:rsidRPr="00A21B5C">
        <w:rPr>
          <w:rFonts w:ascii="Arial" w:eastAsia="Calibri" w:hAnsi="Arial" w:cs="Arial"/>
          <w:sz w:val="22"/>
          <w:szCs w:val="22"/>
          <w:lang w:val="es-CO" w:eastAsia="en-US"/>
        </w:rPr>
        <w:t xml:space="preserve"> 2018</w:t>
      </w:r>
      <w:r w:rsidR="00E733C4" w:rsidRPr="00A21B5C">
        <w:rPr>
          <w:rFonts w:ascii="Arial" w:eastAsia="Calibri" w:hAnsi="Arial" w:cs="Arial"/>
          <w:sz w:val="22"/>
          <w:szCs w:val="22"/>
          <w:lang w:val="es-CO" w:eastAsia="en-US"/>
        </w:rPr>
        <w:t xml:space="preserve"> y 2019.</w:t>
      </w:r>
    </w:p>
    <w:p w:rsidR="008C2E4A" w:rsidRPr="00A21B5C" w:rsidRDefault="008C2E4A" w:rsidP="00A21B5C">
      <w:pPr>
        <w:contextualSpacing/>
        <w:jc w:val="center"/>
        <w:rPr>
          <w:rFonts w:ascii="Arial" w:eastAsia="Calibri" w:hAnsi="Arial" w:cs="Arial"/>
          <w:b/>
          <w:sz w:val="20"/>
          <w:szCs w:val="20"/>
          <w:lang w:val="es-CO" w:eastAsia="en-US"/>
        </w:rPr>
      </w:pPr>
    </w:p>
    <w:tbl>
      <w:tblPr>
        <w:tblW w:w="10773" w:type="dxa"/>
        <w:jc w:val="center"/>
        <w:tblLayout w:type="fixed"/>
        <w:tblCellMar>
          <w:left w:w="70" w:type="dxa"/>
          <w:right w:w="70" w:type="dxa"/>
        </w:tblCellMar>
        <w:tblLook w:val="04A0" w:firstRow="1" w:lastRow="0" w:firstColumn="1" w:lastColumn="0" w:noHBand="0" w:noVBand="1"/>
      </w:tblPr>
      <w:tblGrid>
        <w:gridCol w:w="2835"/>
        <w:gridCol w:w="1560"/>
        <w:gridCol w:w="425"/>
        <w:gridCol w:w="1559"/>
        <w:gridCol w:w="425"/>
        <w:gridCol w:w="1560"/>
        <w:gridCol w:w="425"/>
        <w:gridCol w:w="1559"/>
        <w:gridCol w:w="425"/>
      </w:tblGrid>
      <w:tr w:rsidR="00C6555E" w:rsidRPr="00A21B5C" w:rsidTr="00DB3F75">
        <w:trPr>
          <w:trHeight w:val="320"/>
          <w:jc w:val="center"/>
        </w:trPr>
        <w:tc>
          <w:tcPr>
            <w:tcW w:w="2835" w:type="dxa"/>
            <w:tcBorders>
              <w:top w:val="single" w:sz="4" w:space="0" w:color="215868" w:themeColor="accent5" w:themeShade="80"/>
              <w:left w:val="nil"/>
              <w:bottom w:val="single" w:sz="8" w:space="0" w:color="auto"/>
              <w:right w:val="nil"/>
            </w:tcBorders>
            <w:shd w:val="clear" w:color="auto" w:fill="215868" w:themeFill="accent5" w:themeFillShade="80"/>
            <w:noWrap/>
            <w:vAlign w:val="center"/>
            <w:hideMark/>
          </w:tcPr>
          <w:p w:rsidR="00DB3F75" w:rsidRPr="00A21B5C" w:rsidRDefault="00DB3F75" w:rsidP="00A21B5C">
            <w:pPr>
              <w:contextualSpacing/>
              <w:rPr>
                <w:rFonts w:ascii="Arial" w:eastAsia="Calibri" w:hAnsi="Arial" w:cs="Arial"/>
                <w:b/>
                <w:sz w:val="22"/>
                <w:szCs w:val="22"/>
                <w:lang w:val="es-CO" w:eastAsia="en-US"/>
              </w:rPr>
            </w:pPr>
          </w:p>
        </w:tc>
        <w:tc>
          <w:tcPr>
            <w:tcW w:w="1560" w:type="dxa"/>
            <w:tcBorders>
              <w:top w:val="single" w:sz="4" w:space="0" w:color="215868" w:themeColor="accent5" w:themeShade="80"/>
              <w:left w:val="nil"/>
              <w:bottom w:val="single" w:sz="8" w:space="0" w:color="auto"/>
              <w:right w:val="single" w:sz="4" w:space="0" w:color="215868" w:themeColor="accent5" w:themeShade="80"/>
            </w:tcBorders>
            <w:shd w:val="clear" w:color="auto" w:fill="215868" w:themeFill="accent5" w:themeFillShade="80"/>
            <w:noWrap/>
            <w:vAlign w:val="center"/>
            <w:hideMark/>
          </w:tcPr>
          <w:p w:rsidR="00DB3F75" w:rsidRPr="00A21B5C" w:rsidRDefault="00DB3F75" w:rsidP="00A21B5C">
            <w:pPr>
              <w:contextualSpacing/>
              <w:jc w:val="center"/>
              <w:rPr>
                <w:rFonts w:ascii="Arial" w:eastAsia="Times New Roman" w:hAnsi="Arial" w:cs="Arial"/>
                <w:b/>
                <w:bCs/>
                <w:color w:val="FFFFFF" w:themeColor="background1"/>
                <w:sz w:val="22"/>
                <w:szCs w:val="22"/>
                <w:lang w:val="es-CO" w:eastAsia="es-CO"/>
              </w:rPr>
            </w:pPr>
            <w:r w:rsidRPr="00A21B5C">
              <w:rPr>
                <w:rFonts w:ascii="Arial" w:eastAsia="Times New Roman" w:hAnsi="Arial" w:cs="Arial"/>
                <w:b/>
                <w:bCs/>
                <w:color w:val="FFFFFF" w:themeColor="background1"/>
                <w:sz w:val="22"/>
                <w:szCs w:val="22"/>
                <w:lang w:val="es-CO" w:eastAsia="es-CO"/>
              </w:rPr>
              <w:t>2016</w:t>
            </w:r>
          </w:p>
        </w:tc>
        <w:tc>
          <w:tcPr>
            <w:tcW w:w="425" w:type="dxa"/>
            <w:tcBorders>
              <w:top w:val="single" w:sz="4" w:space="0" w:color="215868" w:themeColor="accent5" w:themeShade="80"/>
              <w:left w:val="single" w:sz="4" w:space="0" w:color="215868" w:themeColor="accent5" w:themeShade="80"/>
              <w:bottom w:val="single" w:sz="8" w:space="0" w:color="auto"/>
              <w:right w:val="nil"/>
            </w:tcBorders>
            <w:shd w:val="clear" w:color="auto" w:fill="215868" w:themeFill="accent5" w:themeFillShade="80"/>
          </w:tcPr>
          <w:p w:rsidR="00DB3F75" w:rsidRPr="00A21B5C" w:rsidRDefault="00DB3F75" w:rsidP="00A21B5C">
            <w:pPr>
              <w:contextualSpacing/>
              <w:jc w:val="center"/>
              <w:rPr>
                <w:rFonts w:ascii="Arial" w:eastAsia="Times New Roman" w:hAnsi="Arial" w:cs="Arial"/>
                <w:b/>
                <w:bCs/>
                <w:color w:val="FFFFFF" w:themeColor="background1"/>
                <w:sz w:val="22"/>
                <w:szCs w:val="22"/>
                <w:lang w:val="es-CO" w:eastAsia="es-CO"/>
              </w:rPr>
            </w:pPr>
          </w:p>
        </w:tc>
        <w:tc>
          <w:tcPr>
            <w:tcW w:w="1559" w:type="dxa"/>
            <w:tcBorders>
              <w:top w:val="single" w:sz="4" w:space="0" w:color="215868" w:themeColor="accent5" w:themeShade="80"/>
              <w:left w:val="nil"/>
              <w:bottom w:val="single" w:sz="8" w:space="0" w:color="auto"/>
              <w:right w:val="single" w:sz="4" w:space="0" w:color="215868" w:themeColor="accent5" w:themeShade="80"/>
            </w:tcBorders>
            <w:shd w:val="clear" w:color="auto" w:fill="215868" w:themeFill="accent5" w:themeFillShade="80"/>
            <w:noWrap/>
            <w:vAlign w:val="center"/>
            <w:hideMark/>
          </w:tcPr>
          <w:p w:rsidR="00DB3F75" w:rsidRPr="00A21B5C" w:rsidRDefault="00DB3F75" w:rsidP="00A21B5C">
            <w:pPr>
              <w:contextualSpacing/>
              <w:jc w:val="center"/>
              <w:rPr>
                <w:rFonts w:ascii="Arial" w:eastAsia="Times New Roman" w:hAnsi="Arial" w:cs="Arial"/>
                <w:b/>
                <w:bCs/>
                <w:color w:val="FFFFFF" w:themeColor="background1"/>
                <w:sz w:val="22"/>
                <w:szCs w:val="22"/>
                <w:lang w:val="es-CO" w:eastAsia="es-CO"/>
              </w:rPr>
            </w:pPr>
            <w:r w:rsidRPr="00A21B5C">
              <w:rPr>
                <w:rFonts w:ascii="Arial" w:eastAsia="Times New Roman" w:hAnsi="Arial" w:cs="Arial"/>
                <w:b/>
                <w:bCs/>
                <w:color w:val="FFFFFF" w:themeColor="background1"/>
                <w:sz w:val="22"/>
                <w:szCs w:val="22"/>
                <w:lang w:val="es-CO" w:eastAsia="es-CO"/>
              </w:rPr>
              <w:t>2017</w:t>
            </w:r>
          </w:p>
        </w:tc>
        <w:tc>
          <w:tcPr>
            <w:tcW w:w="425" w:type="dxa"/>
            <w:tcBorders>
              <w:top w:val="single" w:sz="4" w:space="0" w:color="215868" w:themeColor="accent5" w:themeShade="80"/>
              <w:left w:val="single" w:sz="4" w:space="0" w:color="215868" w:themeColor="accent5" w:themeShade="80"/>
              <w:bottom w:val="single" w:sz="8" w:space="0" w:color="auto"/>
              <w:right w:val="nil"/>
            </w:tcBorders>
            <w:shd w:val="clear" w:color="auto" w:fill="215868" w:themeFill="accent5" w:themeFillShade="80"/>
          </w:tcPr>
          <w:p w:rsidR="00DB3F75" w:rsidRPr="00A21B5C" w:rsidRDefault="00DB3F75" w:rsidP="00A21B5C">
            <w:pPr>
              <w:contextualSpacing/>
              <w:jc w:val="center"/>
              <w:rPr>
                <w:rFonts w:ascii="Arial" w:eastAsia="Times New Roman" w:hAnsi="Arial" w:cs="Arial"/>
                <w:b/>
                <w:bCs/>
                <w:color w:val="FFFFFF" w:themeColor="background1"/>
                <w:sz w:val="22"/>
                <w:szCs w:val="22"/>
                <w:lang w:val="es-CO" w:eastAsia="es-CO"/>
              </w:rPr>
            </w:pPr>
          </w:p>
        </w:tc>
        <w:tc>
          <w:tcPr>
            <w:tcW w:w="1560" w:type="dxa"/>
            <w:tcBorders>
              <w:top w:val="single" w:sz="4" w:space="0" w:color="215868" w:themeColor="accent5" w:themeShade="80"/>
              <w:left w:val="nil"/>
              <w:bottom w:val="single" w:sz="8" w:space="0" w:color="auto"/>
              <w:right w:val="single" w:sz="4" w:space="0" w:color="215868" w:themeColor="accent5" w:themeShade="80"/>
            </w:tcBorders>
            <w:shd w:val="clear" w:color="auto" w:fill="215868" w:themeFill="accent5" w:themeFillShade="80"/>
            <w:noWrap/>
            <w:vAlign w:val="center"/>
            <w:hideMark/>
          </w:tcPr>
          <w:p w:rsidR="00DB3F75" w:rsidRPr="00A21B5C" w:rsidRDefault="00DB3F75" w:rsidP="00A21B5C">
            <w:pPr>
              <w:contextualSpacing/>
              <w:jc w:val="center"/>
              <w:rPr>
                <w:rFonts w:ascii="Arial" w:eastAsia="Times New Roman" w:hAnsi="Arial" w:cs="Arial"/>
                <w:b/>
                <w:bCs/>
                <w:color w:val="FFFFFF" w:themeColor="background1"/>
                <w:sz w:val="22"/>
                <w:szCs w:val="22"/>
                <w:lang w:val="es-CO" w:eastAsia="es-CO"/>
              </w:rPr>
            </w:pPr>
            <w:r w:rsidRPr="00A21B5C">
              <w:rPr>
                <w:rFonts w:ascii="Arial" w:eastAsia="Times New Roman" w:hAnsi="Arial" w:cs="Arial"/>
                <w:b/>
                <w:bCs/>
                <w:color w:val="FFFFFF" w:themeColor="background1"/>
                <w:sz w:val="22"/>
                <w:szCs w:val="22"/>
                <w:lang w:val="es-CO" w:eastAsia="es-CO"/>
              </w:rPr>
              <w:t>2018</w:t>
            </w:r>
          </w:p>
        </w:tc>
        <w:tc>
          <w:tcPr>
            <w:tcW w:w="425" w:type="dxa"/>
            <w:tcBorders>
              <w:top w:val="single" w:sz="4" w:space="0" w:color="215868" w:themeColor="accent5" w:themeShade="80"/>
              <w:left w:val="single" w:sz="4" w:space="0" w:color="215868" w:themeColor="accent5" w:themeShade="80"/>
              <w:bottom w:val="single" w:sz="8" w:space="0" w:color="auto"/>
              <w:right w:val="nil"/>
            </w:tcBorders>
            <w:shd w:val="clear" w:color="auto" w:fill="215868" w:themeFill="accent5" w:themeFillShade="80"/>
          </w:tcPr>
          <w:p w:rsidR="00DB3F75" w:rsidRPr="00A21B5C" w:rsidRDefault="00DB3F75" w:rsidP="00A21B5C">
            <w:pPr>
              <w:contextualSpacing/>
              <w:jc w:val="center"/>
              <w:rPr>
                <w:rFonts w:ascii="Arial" w:eastAsia="Times New Roman" w:hAnsi="Arial" w:cs="Arial"/>
                <w:b/>
                <w:bCs/>
                <w:color w:val="FFFFFF" w:themeColor="background1"/>
                <w:sz w:val="22"/>
                <w:szCs w:val="22"/>
                <w:lang w:val="es-CO" w:eastAsia="es-CO"/>
              </w:rPr>
            </w:pPr>
          </w:p>
        </w:tc>
        <w:tc>
          <w:tcPr>
            <w:tcW w:w="1559" w:type="dxa"/>
            <w:tcBorders>
              <w:top w:val="single" w:sz="4" w:space="0" w:color="215868" w:themeColor="accent5" w:themeShade="80"/>
              <w:left w:val="single" w:sz="4" w:space="0" w:color="215868" w:themeColor="accent5" w:themeShade="80"/>
              <w:bottom w:val="single" w:sz="8" w:space="0" w:color="auto"/>
              <w:right w:val="nil"/>
            </w:tcBorders>
            <w:shd w:val="clear" w:color="auto" w:fill="215868" w:themeFill="accent5" w:themeFillShade="80"/>
          </w:tcPr>
          <w:p w:rsidR="00DB3F75" w:rsidRPr="00A21B5C" w:rsidRDefault="00DB3F75" w:rsidP="00A21B5C">
            <w:pPr>
              <w:contextualSpacing/>
              <w:jc w:val="center"/>
              <w:rPr>
                <w:rFonts w:ascii="Arial" w:eastAsia="Times New Roman" w:hAnsi="Arial" w:cs="Arial"/>
                <w:b/>
                <w:bCs/>
                <w:color w:val="FFFFFF" w:themeColor="background1"/>
                <w:sz w:val="22"/>
                <w:szCs w:val="22"/>
                <w:lang w:val="es-CO" w:eastAsia="es-CO"/>
              </w:rPr>
            </w:pPr>
            <w:r w:rsidRPr="00A21B5C">
              <w:rPr>
                <w:rFonts w:ascii="Arial" w:eastAsia="Times New Roman" w:hAnsi="Arial" w:cs="Arial"/>
                <w:b/>
                <w:bCs/>
                <w:color w:val="FFFFFF" w:themeColor="background1"/>
                <w:sz w:val="22"/>
                <w:szCs w:val="22"/>
                <w:lang w:val="es-CO" w:eastAsia="es-CO"/>
              </w:rPr>
              <w:t>2019</w:t>
            </w:r>
          </w:p>
        </w:tc>
        <w:tc>
          <w:tcPr>
            <w:tcW w:w="425" w:type="dxa"/>
            <w:tcBorders>
              <w:top w:val="single" w:sz="4" w:space="0" w:color="215868" w:themeColor="accent5" w:themeShade="80"/>
              <w:left w:val="single" w:sz="4" w:space="0" w:color="215868" w:themeColor="accent5" w:themeShade="80"/>
              <w:bottom w:val="single" w:sz="8" w:space="0" w:color="auto"/>
              <w:right w:val="nil"/>
            </w:tcBorders>
            <w:shd w:val="clear" w:color="auto" w:fill="215868" w:themeFill="accent5" w:themeFillShade="80"/>
          </w:tcPr>
          <w:p w:rsidR="00DB3F75" w:rsidRPr="00A21B5C" w:rsidRDefault="00DB3F75" w:rsidP="00A21B5C">
            <w:pPr>
              <w:contextualSpacing/>
              <w:jc w:val="center"/>
              <w:rPr>
                <w:rFonts w:ascii="Arial" w:eastAsia="Times New Roman" w:hAnsi="Arial" w:cs="Arial"/>
                <w:b/>
                <w:bCs/>
                <w:color w:val="FFFFFF" w:themeColor="background1"/>
                <w:sz w:val="22"/>
                <w:szCs w:val="22"/>
                <w:lang w:val="es-CO" w:eastAsia="es-CO"/>
              </w:rPr>
            </w:pPr>
          </w:p>
        </w:tc>
      </w:tr>
      <w:tr w:rsidR="00D11B5F" w:rsidRPr="00A21B5C" w:rsidTr="00613441">
        <w:trPr>
          <w:trHeight w:val="305"/>
          <w:jc w:val="center"/>
        </w:trPr>
        <w:tc>
          <w:tcPr>
            <w:tcW w:w="2835" w:type="dxa"/>
            <w:tcBorders>
              <w:top w:val="nil"/>
              <w:left w:val="nil"/>
              <w:bottom w:val="single" w:sz="4" w:space="0" w:color="FFFFFF" w:themeColor="background1"/>
              <w:right w:val="nil"/>
            </w:tcBorders>
            <w:shd w:val="clear" w:color="auto" w:fill="DBE5F1" w:themeFill="accent1" w:themeFillTint="33"/>
            <w:noWrap/>
            <w:vAlign w:val="bottom"/>
            <w:hideMark/>
          </w:tcPr>
          <w:p w:rsidR="00D11B5F" w:rsidRPr="00A21B5C" w:rsidRDefault="00D11B5F" w:rsidP="00A21B5C">
            <w:pPr>
              <w:contextualSpacing/>
              <w:rPr>
                <w:rFonts w:ascii="Arial" w:eastAsia="Times New Roman" w:hAnsi="Arial" w:cs="Arial"/>
                <w:bCs/>
                <w:color w:val="000000"/>
                <w:sz w:val="22"/>
                <w:szCs w:val="22"/>
                <w:lang w:val="es-CO" w:eastAsia="es-CO"/>
              </w:rPr>
            </w:pPr>
            <w:r w:rsidRPr="00A21B5C">
              <w:rPr>
                <w:rFonts w:ascii="Arial" w:eastAsia="Times New Roman" w:hAnsi="Arial" w:cs="Arial"/>
                <w:bCs/>
                <w:color w:val="000000"/>
                <w:sz w:val="22"/>
                <w:szCs w:val="22"/>
                <w:lang w:val="es-CO" w:eastAsia="es-CO"/>
              </w:rPr>
              <w:t>Transferencias SGP</w:t>
            </w:r>
          </w:p>
        </w:tc>
        <w:tc>
          <w:tcPr>
            <w:tcW w:w="1560" w:type="dxa"/>
            <w:tcBorders>
              <w:top w:val="nil"/>
              <w:left w:val="nil"/>
              <w:bottom w:val="single" w:sz="4" w:space="0" w:color="FFFFFF" w:themeColor="background1"/>
              <w:right w:val="single" w:sz="4" w:space="0" w:color="FFFFFF"/>
            </w:tcBorders>
            <w:shd w:val="clear" w:color="auto" w:fill="DBE5F1" w:themeFill="accent1" w:themeFillTint="33"/>
            <w:noWrap/>
            <w:vAlign w:val="center"/>
            <w:hideMark/>
          </w:tcPr>
          <w:p w:rsidR="00D11B5F" w:rsidRPr="00A21B5C" w:rsidRDefault="00D11B5F" w:rsidP="00A21B5C">
            <w:pPr>
              <w:contextualSpacing/>
              <w:jc w:val="right"/>
              <w:rPr>
                <w:rFonts w:ascii="Arial" w:eastAsia="Times New Roman" w:hAnsi="Arial" w:cs="Arial"/>
                <w:color w:val="000000"/>
                <w:sz w:val="22"/>
                <w:szCs w:val="22"/>
                <w:lang w:val="es-CO" w:eastAsia="es-CO"/>
              </w:rPr>
            </w:pPr>
            <w:r w:rsidRPr="00A21B5C">
              <w:rPr>
                <w:rFonts w:ascii="Arial" w:eastAsia="Times New Roman" w:hAnsi="Arial" w:cs="Arial"/>
                <w:bCs/>
                <w:color w:val="000000"/>
                <w:sz w:val="22"/>
                <w:szCs w:val="22"/>
                <w:lang w:val="es-CO" w:eastAsia="en-US"/>
              </w:rPr>
              <w:t>$1.615.615.752</w:t>
            </w:r>
          </w:p>
        </w:tc>
        <w:tc>
          <w:tcPr>
            <w:tcW w:w="425" w:type="dxa"/>
            <w:tcBorders>
              <w:top w:val="nil"/>
              <w:left w:val="single" w:sz="4" w:space="0" w:color="FFFFFF"/>
              <w:bottom w:val="single" w:sz="4" w:space="0" w:color="FFFFFF" w:themeColor="background1"/>
              <w:right w:val="nil"/>
            </w:tcBorders>
            <w:shd w:val="clear" w:color="auto" w:fill="FFFFFF" w:themeFill="background1"/>
            <w:vAlign w:val="center"/>
          </w:tcPr>
          <w:p w:rsidR="00D11B5F" w:rsidRPr="00A21B5C" w:rsidRDefault="00D11B5F" w:rsidP="00A21B5C">
            <w:pPr>
              <w:contextualSpacing/>
              <w:jc w:val="right"/>
              <w:rPr>
                <w:rFonts w:ascii="Arial" w:eastAsia="Times New Roman" w:hAnsi="Arial" w:cs="Arial"/>
                <w:bCs/>
                <w:color w:val="000000"/>
                <w:sz w:val="22"/>
                <w:szCs w:val="22"/>
                <w:lang w:val="es-CO" w:eastAsia="en-US"/>
              </w:rPr>
            </w:pPr>
          </w:p>
        </w:tc>
        <w:tc>
          <w:tcPr>
            <w:tcW w:w="1559" w:type="dxa"/>
            <w:tcBorders>
              <w:top w:val="nil"/>
              <w:left w:val="nil"/>
              <w:bottom w:val="single" w:sz="4" w:space="0" w:color="FFFFFF" w:themeColor="background1"/>
              <w:right w:val="single" w:sz="4" w:space="0" w:color="FFFFFF"/>
            </w:tcBorders>
            <w:shd w:val="clear" w:color="auto" w:fill="DBE5F1" w:themeFill="accent1" w:themeFillTint="33"/>
            <w:noWrap/>
            <w:vAlign w:val="center"/>
            <w:hideMark/>
          </w:tcPr>
          <w:p w:rsidR="00D11B5F" w:rsidRPr="00A21B5C" w:rsidRDefault="00D11B5F" w:rsidP="00A21B5C">
            <w:pPr>
              <w:contextualSpacing/>
              <w:jc w:val="right"/>
              <w:rPr>
                <w:rFonts w:ascii="Arial" w:eastAsia="Times New Roman" w:hAnsi="Arial" w:cs="Arial"/>
                <w:color w:val="000000"/>
                <w:sz w:val="22"/>
                <w:szCs w:val="22"/>
                <w:lang w:val="es-CO" w:eastAsia="es-CO"/>
              </w:rPr>
            </w:pPr>
            <w:r w:rsidRPr="00A21B5C">
              <w:rPr>
                <w:rFonts w:ascii="Arial" w:eastAsia="Times New Roman" w:hAnsi="Arial" w:cs="Arial"/>
                <w:bCs/>
                <w:color w:val="000000"/>
                <w:sz w:val="22"/>
                <w:szCs w:val="22"/>
                <w:lang w:val="es-CO" w:eastAsia="en-US"/>
              </w:rPr>
              <w:t>$1.812.574.633</w:t>
            </w:r>
          </w:p>
        </w:tc>
        <w:tc>
          <w:tcPr>
            <w:tcW w:w="425" w:type="dxa"/>
            <w:tcBorders>
              <w:top w:val="nil"/>
              <w:left w:val="single" w:sz="4" w:space="0" w:color="FFFFFF"/>
              <w:bottom w:val="single" w:sz="4" w:space="0" w:color="FFFFFF" w:themeColor="background1"/>
              <w:right w:val="nil"/>
            </w:tcBorders>
            <w:shd w:val="clear" w:color="auto" w:fill="FFFFFF" w:themeFill="background1"/>
            <w:vAlign w:val="center"/>
          </w:tcPr>
          <w:p w:rsidR="00D11B5F" w:rsidRPr="00A21B5C" w:rsidRDefault="00D11B5F" w:rsidP="00A21B5C">
            <w:pPr>
              <w:contextualSpacing/>
              <w:jc w:val="right"/>
              <w:rPr>
                <w:rFonts w:ascii="Arial" w:eastAsia="Times New Roman" w:hAnsi="Arial" w:cs="Arial"/>
                <w:bCs/>
                <w:color w:val="FF0000"/>
                <w:sz w:val="22"/>
                <w:szCs w:val="22"/>
                <w:lang w:val="es-CO" w:eastAsia="en-US"/>
              </w:rPr>
            </w:pPr>
          </w:p>
        </w:tc>
        <w:tc>
          <w:tcPr>
            <w:tcW w:w="1560" w:type="dxa"/>
            <w:tcBorders>
              <w:top w:val="nil"/>
              <w:left w:val="nil"/>
              <w:bottom w:val="single" w:sz="4" w:space="0" w:color="FFFFFF" w:themeColor="background1"/>
              <w:right w:val="single" w:sz="4" w:space="0" w:color="FFFFFF"/>
            </w:tcBorders>
            <w:shd w:val="clear" w:color="auto" w:fill="DBE5F1" w:themeFill="accent1" w:themeFillTint="33"/>
            <w:noWrap/>
            <w:vAlign w:val="center"/>
            <w:hideMark/>
          </w:tcPr>
          <w:p w:rsidR="00D11B5F" w:rsidRPr="00A21B5C" w:rsidRDefault="00D11B5F" w:rsidP="00A21B5C">
            <w:pPr>
              <w:contextualSpacing/>
              <w:jc w:val="right"/>
              <w:rPr>
                <w:rFonts w:ascii="Arial" w:eastAsia="Times New Roman" w:hAnsi="Arial" w:cs="Arial"/>
                <w:color w:val="C00000"/>
                <w:sz w:val="22"/>
                <w:szCs w:val="22"/>
                <w:lang w:val="es-CO" w:eastAsia="es-CO"/>
              </w:rPr>
            </w:pPr>
            <w:r w:rsidRPr="00A21B5C">
              <w:rPr>
                <w:rFonts w:ascii="Arial" w:eastAsia="Times New Roman" w:hAnsi="Arial" w:cs="Arial"/>
                <w:bCs/>
                <w:color w:val="C00000"/>
                <w:sz w:val="22"/>
                <w:szCs w:val="22"/>
                <w:lang w:val="es-CO" w:eastAsia="en-US"/>
              </w:rPr>
              <w:t>$1.863.551.784</w:t>
            </w:r>
          </w:p>
        </w:tc>
        <w:tc>
          <w:tcPr>
            <w:tcW w:w="425" w:type="dxa"/>
            <w:vMerge w:val="restart"/>
            <w:tcBorders>
              <w:top w:val="nil"/>
              <w:left w:val="single" w:sz="4" w:space="0" w:color="FFFFFF"/>
              <w:bottom w:val="single" w:sz="4" w:space="0" w:color="595959" w:themeColor="text1" w:themeTint="A6"/>
              <w:right w:val="nil"/>
            </w:tcBorders>
            <w:vAlign w:val="center"/>
            <w:hideMark/>
          </w:tcPr>
          <w:p w:rsidR="00D11B5F" w:rsidRPr="00A21B5C" w:rsidRDefault="00D11B5F" w:rsidP="00A21B5C">
            <w:pPr>
              <w:contextualSpacing/>
              <w:jc w:val="center"/>
              <w:rPr>
                <w:rFonts w:ascii="Arial" w:eastAsia="Times New Roman" w:hAnsi="Arial" w:cs="Arial"/>
                <w:bCs/>
                <w:color w:val="FF0000"/>
                <w:sz w:val="22"/>
                <w:szCs w:val="22"/>
                <w:lang w:val="es-CO" w:eastAsia="en-US"/>
              </w:rPr>
            </w:pPr>
            <w:r w:rsidRPr="00A21B5C">
              <w:rPr>
                <w:rFonts w:ascii="Arial" w:eastAsia="Times New Roman" w:hAnsi="Arial" w:cs="Arial"/>
                <w:b/>
                <w:bCs/>
                <w:color w:val="C00000"/>
                <w:sz w:val="22"/>
                <w:szCs w:val="22"/>
                <w:lang w:val="es-CO" w:eastAsia="en-US"/>
              </w:rPr>
              <w:t>(6)</w:t>
            </w:r>
          </w:p>
        </w:tc>
        <w:tc>
          <w:tcPr>
            <w:tcW w:w="1559" w:type="dxa"/>
            <w:tcBorders>
              <w:top w:val="nil"/>
              <w:left w:val="single" w:sz="4" w:space="0" w:color="FFFFFF"/>
              <w:bottom w:val="single" w:sz="4" w:space="0" w:color="FFFFFF" w:themeColor="background1"/>
              <w:right w:val="nil"/>
            </w:tcBorders>
            <w:shd w:val="clear" w:color="auto" w:fill="DBE5F1" w:themeFill="accent1" w:themeFillTint="33"/>
          </w:tcPr>
          <w:p w:rsidR="00D11B5F" w:rsidRPr="00A21B5C" w:rsidRDefault="00D11B5F" w:rsidP="00A21B5C">
            <w:pPr>
              <w:contextualSpacing/>
              <w:jc w:val="right"/>
              <w:rPr>
                <w:rFonts w:ascii="Arial" w:eastAsia="Times New Roman" w:hAnsi="Arial" w:cs="Arial"/>
                <w:b/>
                <w:bCs/>
                <w:color w:val="C00000"/>
                <w:sz w:val="22"/>
                <w:szCs w:val="22"/>
                <w:lang w:val="es-CO" w:eastAsia="en-US"/>
              </w:rPr>
            </w:pPr>
            <w:r w:rsidRPr="00A21B5C">
              <w:rPr>
                <w:rFonts w:ascii="Arial" w:eastAsia="Times New Roman" w:hAnsi="Arial" w:cs="Arial"/>
                <w:bCs/>
                <w:color w:val="C00000"/>
                <w:sz w:val="22"/>
                <w:szCs w:val="22"/>
                <w:lang w:val="es-CO" w:eastAsia="en-US"/>
              </w:rPr>
              <w:t>$2.075.945.022</w:t>
            </w:r>
          </w:p>
        </w:tc>
        <w:tc>
          <w:tcPr>
            <w:tcW w:w="425" w:type="dxa"/>
            <w:vMerge w:val="restart"/>
            <w:tcBorders>
              <w:top w:val="nil"/>
              <w:left w:val="single" w:sz="4" w:space="0" w:color="FFFFFF"/>
              <w:right w:val="nil"/>
            </w:tcBorders>
            <w:vAlign w:val="center"/>
          </w:tcPr>
          <w:p w:rsidR="00D11B5F" w:rsidRPr="00A21B5C" w:rsidRDefault="00D11B5F" w:rsidP="00A21B5C">
            <w:pPr>
              <w:contextualSpacing/>
              <w:jc w:val="center"/>
              <w:rPr>
                <w:rFonts w:ascii="Arial" w:eastAsia="Times New Roman" w:hAnsi="Arial" w:cs="Arial"/>
                <w:b/>
                <w:bCs/>
                <w:color w:val="C00000"/>
                <w:sz w:val="22"/>
                <w:szCs w:val="22"/>
                <w:lang w:val="es-CO" w:eastAsia="en-US"/>
              </w:rPr>
            </w:pPr>
            <w:r w:rsidRPr="00A21B5C">
              <w:rPr>
                <w:rFonts w:ascii="Arial" w:eastAsia="Times New Roman" w:hAnsi="Arial" w:cs="Arial"/>
                <w:b/>
                <w:bCs/>
                <w:color w:val="C00000"/>
                <w:sz w:val="22"/>
                <w:szCs w:val="22"/>
                <w:lang w:val="es-CO" w:eastAsia="en-US"/>
              </w:rPr>
              <w:t>(8)</w:t>
            </w:r>
          </w:p>
        </w:tc>
      </w:tr>
      <w:tr w:rsidR="00D11B5F" w:rsidRPr="00A21B5C" w:rsidTr="00F729CC">
        <w:trPr>
          <w:trHeight w:val="305"/>
          <w:jc w:val="center"/>
        </w:trPr>
        <w:tc>
          <w:tcPr>
            <w:tcW w:w="2835" w:type="dxa"/>
            <w:tcBorders>
              <w:top w:val="single" w:sz="4" w:space="0" w:color="FFFFFF" w:themeColor="background1"/>
              <w:left w:val="nil"/>
              <w:bottom w:val="single" w:sz="4" w:space="0" w:color="595959" w:themeColor="text1" w:themeTint="A6"/>
              <w:right w:val="nil"/>
            </w:tcBorders>
            <w:noWrap/>
            <w:vAlign w:val="center"/>
            <w:hideMark/>
          </w:tcPr>
          <w:p w:rsidR="00D11B5F" w:rsidRPr="00A21B5C" w:rsidRDefault="00D11B5F" w:rsidP="00A21B5C">
            <w:pPr>
              <w:contextualSpacing/>
              <w:rPr>
                <w:rFonts w:ascii="Arial" w:eastAsia="Times New Roman" w:hAnsi="Arial" w:cs="Arial"/>
                <w:bCs/>
                <w:color w:val="595959" w:themeColor="text1" w:themeTint="A6"/>
                <w:sz w:val="18"/>
                <w:szCs w:val="22"/>
                <w:lang w:val="es-CO" w:eastAsia="es-CO"/>
              </w:rPr>
            </w:pPr>
            <w:r w:rsidRPr="00A21B5C">
              <w:rPr>
                <w:rFonts w:ascii="Arial" w:eastAsia="Times New Roman" w:hAnsi="Arial" w:cs="Arial"/>
                <w:bCs/>
                <w:color w:val="595959" w:themeColor="text1" w:themeTint="A6"/>
                <w:sz w:val="18"/>
                <w:szCs w:val="22"/>
                <w:lang w:val="es-CO" w:eastAsia="es-CO"/>
              </w:rPr>
              <w:t xml:space="preserve">  Documentos de distribución DNP</w:t>
            </w:r>
            <w:r w:rsidRPr="00A21B5C">
              <w:rPr>
                <w:rStyle w:val="Refdenotaalpie"/>
                <w:rFonts w:ascii="Arial" w:eastAsia="Times New Roman" w:hAnsi="Arial" w:cs="Arial"/>
                <w:bCs/>
                <w:color w:val="595959" w:themeColor="text1" w:themeTint="A6"/>
                <w:sz w:val="18"/>
                <w:szCs w:val="22"/>
                <w:lang w:val="es-CO" w:eastAsia="es-CO"/>
              </w:rPr>
              <w:footnoteReference w:id="2"/>
            </w:r>
          </w:p>
        </w:tc>
        <w:tc>
          <w:tcPr>
            <w:tcW w:w="1560" w:type="dxa"/>
            <w:tcBorders>
              <w:top w:val="single" w:sz="4" w:space="0" w:color="FFFFFF" w:themeColor="background1"/>
              <w:left w:val="nil"/>
              <w:bottom w:val="single" w:sz="4" w:space="0" w:color="595959" w:themeColor="text1" w:themeTint="A6"/>
              <w:right w:val="single" w:sz="4" w:space="0" w:color="FFFFFF"/>
            </w:tcBorders>
            <w:noWrap/>
            <w:vAlign w:val="center"/>
            <w:hideMark/>
          </w:tcPr>
          <w:p w:rsidR="00D11B5F" w:rsidRPr="00A21B5C" w:rsidRDefault="00D11B5F" w:rsidP="00A21B5C">
            <w:pPr>
              <w:contextualSpacing/>
              <w:jc w:val="right"/>
              <w:rPr>
                <w:rFonts w:ascii="Arial" w:eastAsia="Times New Roman" w:hAnsi="Arial" w:cs="Arial"/>
                <w:color w:val="595959" w:themeColor="text1" w:themeTint="A6"/>
                <w:sz w:val="18"/>
                <w:szCs w:val="22"/>
                <w:lang w:val="es-CO" w:eastAsia="es-CO"/>
              </w:rPr>
            </w:pPr>
            <w:r w:rsidRPr="00A21B5C">
              <w:rPr>
                <w:rFonts w:ascii="Arial" w:eastAsia="Times New Roman" w:hAnsi="Arial" w:cs="Arial"/>
                <w:bCs/>
                <w:color w:val="595959" w:themeColor="text1" w:themeTint="A6"/>
                <w:sz w:val="18"/>
                <w:szCs w:val="22"/>
                <w:lang w:val="es-CO" w:eastAsia="en-US"/>
              </w:rPr>
              <w:t>$1.615.615.752</w:t>
            </w:r>
          </w:p>
        </w:tc>
        <w:tc>
          <w:tcPr>
            <w:tcW w:w="425" w:type="dxa"/>
            <w:tcBorders>
              <w:top w:val="single" w:sz="4" w:space="0" w:color="FFFFFF" w:themeColor="background1"/>
              <w:left w:val="single" w:sz="4" w:space="0" w:color="FFFFFF"/>
              <w:bottom w:val="single" w:sz="4" w:space="0" w:color="595959" w:themeColor="text1" w:themeTint="A6"/>
              <w:right w:val="nil"/>
            </w:tcBorders>
            <w:shd w:val="clear" w:color="auto" w:fill="FFFFFF" w:themeFill="background1"/>
            <w:vAlign w:val="center"/>
          </w:tcPr>
          <w:p w:rsidR="00D11B5F" w:rsidRPr="00A21B5C" w:rsidRDefault="00D11B5F" w:rsidP="00A21B5C">
            <w:pPr>
              <w:contextualSpacing/>
              <w:jc w:val="right"/>
              <w:rPr>
                <w:rFonts w:ascii="Arial" w:eastAsia="Times New Roman" w:hAnsi="Arial" w:cs="Arial"/>
                <w:color w:val="595959" w:themeColor="text1" w:themeTint="A6"/>
                <w:sz w:val="18"/>
                <w:szCs w:val="22"/>
                <w:lang w:val="es-CO" w:eastAsia="es-CO"/>
              </w:rPr>
            </w:pPr>
          </w:p>
        </w:tc>
        <w:tc>
          <w:tcPr>
            <w:tcW w:w="1559" w:type="dxa"/>
            <w:tcBorders>
              <w:top w:val="single" w:sz="4" w:space="0" w:color="FFFFFF" w:themeColor="background1"/>
              <w:left w:val="nil"/>
              <w:bottom w:val="single" w:sz="4" w:space="0" w:color="595959" w:themeColor="text1" w:themeTint="A6"/>
              <w:right w:val="single" w:sz="4" w:space="0" w:color="FFFFFF"/>
            </w:tcBorders>
            <w:noWrap/>
            <w:vAlign w:val="center"/>
            <w:hideMark/>
          </w:tcPr>
          <w:p w:rsidR="00D11B5F" w:rsidRPr="00A21B5C" w:rsidRDefault="00D11B5F" w:rsidP="00A21B5C">
            <w:pPr>
              <w:contextualSpacing/>
              <w:jc w:val="right"/>
              <w:rPr>
                <w:rFonts w:ascii="Arial" w:eastAsia="Times New Roman" w:hAnsi="Arial" w:cs="Arial"/>
                <w:color w:val="595959" w:themeColor="text1" w:themeTint="A6"/>
                <w:sz w:val="18"/>
                <w:szCs w:val="22"/>
                <w:lang w:val="es-CO" w:eastAsia="es-CO"/>
              </w:rPr>
            </w:pPr>
            <w:r w:rsidRPr="00A21B5C">
              <w:rPr>
                <w:rFonts w:ascii="Arial" w:eastAsia="Times New Roman" w:hAnsi="Arial" w:cs="Arial"/>
                <w:color w:val="595959" w:themeColor="text1" w:themeTint="A6"/>
                <w:sz w:val="18"/>
                <w:szCs w:val="22"/>
                <w:lang w:val="es-CO" w:eastAsia="es-CO"/>
              </w:rPr>
              <w:t>$1.812.574.633</w:t>
            </w:r>
          </w:p>
        </w:tc>
        <w:tc>
          <w:tcPr>
            <w:tcW w:w="425" w:type="dxa"/>
            <w:tcBorders>
              <w:top w:val="single" w:sz="4" w:space="0" w:color="FFFFFF" w:themeColor="background1"/>
              <w:left w:val="single" w:sz="4" w:space="0" w:color="FFFFFF"/>
              <w:bottom w:val="single" w:sz="4" w:space="0" w:color="595959" w:themeColor="text1" w:themeTint="A6"/>
              <w:right w:val="nil"/>
            </w:tcBorders>
            <w:shd w:val="clear" w:color="auto" w:fill="FFFFFF" w:themeFill="background1"/>
            <w:vAlign w:val="center"/>
          </w:tcPr>
          <w:p w:rsidR="00D11B5F" w:rsidRPr="00A21B5C" w:rsidRDefault="00D11B5F" w:rsidP="00A21B5C">
            <w:pPr>
              <w:contextualSpacing/>
              <w:jc w:val="right"/>
              <w:rPr>
                <w:rFonts w:ascii="Arial" w:eastAsia="Times New Roman" w:hAnsi="Arial" w:cs="Arial"/>
                <w:bCs/>
                <w:color w:val="FF0000"/>
                <w:sz w:val="18"/>
                <w:szCs w:val="22"/>
                <w:lang w:val="es-CO" w:eastAsia="en-US"/>
              </w:rPr>
            </w:pPr>
          </w:p>
        </w:tc>
        <w:tc>
          <w:tcPr>
            <w:tcW w:w="1560" w:type="dxa"/>
            <w:tcBorders>
              <w:top w:val="single" w:sz="4" w:space="0" w:color="FFFFFF" w:themeColor="background1"/>
              <w:left w:val="nil"/>
              <w:bottom w:val="single" w:sz="4" w:space="0" w:color="595959" w:themeColor="text1" w:themeTint="A6"/>
              <w:right w:val="single" w:sz="4" w:space="0" w:color="FFFFFF"/>
            </w:tcBorders>
            <w:noWrap/>
            <w:vAlign w:val="center"/>
            <w:hideMark/>
          </w:tcPr>
          <w:p w:rsidR="00D11B5F" w:rsidRPr="00A21B5C" w:rsidRDefault="00D11B5F" w:rsidP="00A21B5C">
            <w:pPr>
              <w:contextualSpacing/>
              <w:jc w:val="right"/>
              <w:rPr>
                <w:rFonts w:ascii="Arial" w:eastAsia="Times New Roman" w:hAnsi="Arial" w:cs="Arial"/>
                <w:color w:val="C00000"/>
                <w:sz w:val="18"/>
                <w:szCs w:val="22"/>
                <w:lang w:val="es-CO" w:eastAsia="es-CO"/>
              </w:rPr>
            </w:pPr>
            <w:r w:rsidRPr="00A21B5C">
              <w:rPr>
                <w:rFonts w:ascii="Arial" w:eastAsia="Times New Roman" w:hAnsi="Arial" w:cs="Arial"/>
                <w:bCs/>
                <w:color w:val="C00000"/>
                <w:sz w:val="18"/>
                <w:szCs w:val="22"/>
                <w:lang w:val="es-CO" w:eastAsia="en-US"/>
              </w:rPr>
              <w:t>$1.868.302.828</w:t>
            </w:r>
          </w:p>
        </w:tc>
        <w:tc>
          <w:tcPr>
            <w:tcW w:w="425" w:type="dxa"/>
            <w:vMerge/>
            <w:tcBorders>
              <w:top w:val="nil"/>
              <w:left w:val="single" w:sz="4" w:space="0" w:color="FFFFFF"/>
              <w:bottom w:val="single" w:sz="4" w:space="0" w:color="595959" w:themeColor="text1" w:themeTint="A6"/>
              <w:right w:val="nil"/>
            </w:tcBorders>
            <w:vAlign w:val="center"/>
            <w:hideMark/>
          </w:tcPr>
          <w:p w:rsidR="00D11B5F" w:rsidRPr="00A21B5C" w:rsidRDefault="00D11B5F" w:rsidP="00A21B5C">
            <w:pPr>
              <w:contextualSpacing/>
              <w:rPr>
                <w:rFonts w:ascii="Arial" w:eastAsia="Times New Roman" w:hAnsi="Arial" w:cs="Arial"/>
                <w:bCs/>
                <w:color w:val="FF0000"/>
                <w:sz w:val="22"/>
                <w:szCs w:val="22"/>
                <w:lang w:val="es-CO" w:eastAsia="en-US"/>
              </w:rPr>
            </w:pPr>
          </w:p>
        </w:tc>
        <w:tc>
          <w:tcPr>
            <w:tcW w:w="1559" w:type="dxa"/>
            <w:tcBorders>
              <w:top w:val="single" w:sz="4" w:space="0" w:color="FFFFFF" w:themeColor="background1"/>
              <w:left w:val="single" w:sz="4" w:space="0" w:color="FFFFFF"/>
              <w:bottom w:val="single" w:sz="4" w:space="0" w:color="595959" w:themeColor="text1" w:themeTint="A6"/>
              <w:right w:val="single" w:sz="4" w:space="0" w:color="FFFFFF"/>
            </w:tcBorders>
          </w:tcPr>
          <w:p w:rsidR="00D11B5F" w:rsidRPr="00A21B5C" w:rsidRDefault="00D11B5F" w:rsidP="00A21B5C">
            <w:pPr>
              <w:contextualSpacing/>
              <w:jc w:val="right"/>
              <w:rPr>
                <w:rFonts w:ascii="Arial" w:eastAsia="Times New Roman" w:hAnsi="Arial" w:cs="Arial"/>
                <w:bCs/>
                <w:color w:val="C00000"/>
                <w:sz w:val="22"/>
                <w:szCs w:val="22"/>
                <w:lang w:val="es-CO" w:eastAsia="en-US"/>
              </w:rPr>
            </w:pPr>
            <w:r w:rsidRPr="00A21B5C">
              <w:rPr>
                <w:rFonts w:ascii="Arial" w:eastAsia="Times New Roman" w:hAnsi="Arial" w:cs="Arial"/>
                <w:color w:val="C00000"/>
                <w:sz w:val="18"/>
                <w:szCs w:val="22"/>
                <w:lang w:val="es-CO" w:eastAsia="es-CO"/>
              </w:rPr>
              <w:t>$2.133.373.987</w:t>
            </w:r>
          </w:p>
        </w:tc>
        <w:tc>
          <w:tcPr>
            <w:tcW w:w="425" w:type="dxa"/>
            <w:vMerge/>
            <w:tcBorders>
              <w:left w:val="single" w:sz="4" w:space="0" w:color="FFFFFF"/>
              <w:bottom w:val="single" w:sz="4" w:space="0" w:color="595959" w:themeColor="text1" w:themeTint="A6"/>
              <w:right w:val="nil"/>
            </w:tcBorders>
          </w:tcPr>
          <w:p w:rsidR="00D11B5F" w:rsidRPr="00A21B5C" w:rsidRDefault="00D11B5F" w:rsidP="00A21B5C">
            <w:pPr>
              <w:contextualSpacing/>
              <w:rPr>
                <w:rFonts w:ascii="Arial" w:eastAsia="Times New Roman" w:hAnsi="Arial" w:cs="Arial"/>
                <w:bCs/>
                <w:color w:val="FF0000"/>
                <w:sz w:val="22"/>
                <w:szCs w:val="22"/>
                <w:lang w:val="es-CO" w:eastAsia="en-US"/>
              </w:rPr>
            </w:pPr>
          </w:p>
        </w:tc>
      </w:tr>
      <w:tr w:rsidR="00D11B5F" w:rsidRPr="00A21B5C" w:rsidTr="00613441">
        <w:trPr>
          <w:trHeight w:val="305"/>
          <w:jc w:val="center"/>
        </w:trPr>
        <w:tc>
          <w:tcPr>
            <w:tcW w:w="2835" w:type="dxa"/>
            <w:tcBorders>
              <w:top w:val="single" w:sz="4" w:space="0" w:color="595959" w:themeColor="text1" w:themeTint="A6"/>
              <w:left w:val="nil"/>
              <w:bottom w:val="single" w:sz="4" w:space="0" w:color="FFFFFF" w:themeColor="background1"/>
              <w:right w:val="nil"/>
            </w:tcBorders>
            <w:shd w:val="clear" w:color="auto" w:fill="DBE5F1" w:themeFill="accent1" w:themeFillTint="33"/>
            <w:noWrap/>
            <w:vAlign w:val="bottom"/>
            <w:hideMark/>
          </w:tcPr>
          <w:p w:rsidR="00D11B5F" w:rsidRPr="00A21B5C" w:rsidRDefault="00D11B5F" w:rsidP="00A21B5C">
            <w:pPr>
              <w:contextualSpacing/>
              <w:rPr>
                <w:rFonts w:ascii="Arial" w:eastAsia="Times New Roman" w:hAnsi="Arial" w:cs="Arial"/>
                <w:bCs/>
                <w:color w:val="000000"/>
                <w:sz w:val="22"/>
                <w:szCs w:val="22"/>
                <w:lang w:val="es-CO" w:eastAsia="es-CO"/>
              </w:rPr>
            </w:pPr>
            <w:r w:rsidRPr="00A21B5C">
              <w:rPr>
                <w:rFonts w:ascii="Arial" w:eastAsia="Times New Roman" w:hAnsi="Arial" w:cs="Arial"/>
                <w:bCs/>
                <w:color w:val="000000"/>
                <w:sz w:val="22"/>
                <w:szCs w:val="22"/>
                <w:lang w:val="es-CO" w:eastAsia="es-CO"/>
              </w:rPr>
              <w:t>Superávit fiscal</w:t>
            </w:r>
          </w:p>
        </w:tc>
        <w:tc>
          <w:tcPr>
            <w:tcW w:w="1560" w:type="dxa"/>
            <w:tcBorders>
              <w:top w:val="single" w:sz="4" w:space="0" w:color="595959" w:themeColor="text1" w:themeTint="A6"/>
              <w:left w:val="nil"/>
              <w:bottom w:val="single" w:sz="4" w:space="0" w:color="FFFFFF" w:themeColor="background1"/>
              <w:right w:val="single" w:sz="4" w:space="0" w:color="FFFFFF"/>
            </w:tcBorders>
            <w:shd w:val="clear" w:color="auto" w:fill="DBE5F1" w:themeFill="accent1" w:themeFillTint="33"/>
            <w:noWrap/>
            <w:vAlign w:val="center"/>
            <w:hideMark/>
          </w:tcPr>
          <w:p w:rsidR="00D11B5F" w:rsidRPr="00A21B5C" w:rsidRDefault="00D11B5F" w:rsidP="00A21B5C">
            <w:pPr>
              <w:contextualSpacing/>
              <w:jc w:val="right"/>
              <w:rPr>
                <w:rFonts w:ascii="Arial" w:eastAsia="Times New Roman" w:hAnsi="Arial" w:cs="Arial"/>
                <w:color w:val="000000"/>
                <w:sz w:val="22"/>
                <w:szCs w:val="22"/>
                <w:lang w:val="es-CO" w:eastAsia="es-CO"/>
              </w:rPr>
            </w:pPr>
            <w:r w:rsidRPr="00A21B5C">
              <w:rPr>
                <w:rFonts w:ascii="Arial" w:eastAsia="Times New Roman" w:hAnsi="Arial" w:cs="Arial"/>
                <w:color w:val="000000"/>
                <w:sz w:val="22"/>
                <w:szCs w:val="22"/>
                <w:lang w:val="es-CO" w:eastAsia="es-CO"/>
              </w:rPr>
              <w:t>$2.940.473.004</w:t>
            </w:r>
          </w:p>
        </w:tc>
        <w:tc>
          <w:tcPr>
            <w:tcW w:w="425" w:type="dxa"/>
            <w:tcBorders>
              <w:top w:val="single" w:sz="4" w:space="0" w:color="595959" w:themeColor="text1" w:themeTint="A6"/>
              <w:left w:val="single" w:sz="4" w:space="0" w:color="FFFFFF"/>
              <w:bottom w:val="single" w:sz="4" w:space="0" w:color="FFFFFF" w:themeColor="background1"/>
              <w:right w:val="nil"/>
            </w:tcBorders>
            <w:shd w:val="clear" w:color="auto" w:fill="FFFFFF" w:themeFill="background1"/>
            <w:vAlign w:val="center"/>
          </w:tcPr>
          <w:p w:rsidR="00D11B5F" w:rsidRPr="00A21B5C" w:rsidRDefault="00D11B5F" w:rsidP="00A21B5C">
            <w:pPr>
              <w:contextualSpacing/>
              <w:jc w:val="right"/>
              <w:rPr>
                <w:rFonts w:ascii="Arial" w:eastAsia="Calibri" w:hAnsi="Arial" w:cs="Arial"/>
                <w:sz w:val="22"/>
                <w:szCs w:val="22"/>
                <w:lang w:val="es-CO" w:eastAsia="en-US"/>
              </w:rPr>
            </w:pPr>
          </w:p>
        </w:tc>
        <w:tc>
          <w:tcPr>
            <w:tcW w:w="1559" w:type="dxa"/>
            <w:tcBorders>
              <w:top w:val="single" w:sz="4" w:space="0" w:color="595959" w:themeColor="text1" w:themeTint="A6"/>
              <w:left w:val="nil"/>
              <w:bottom w:val="single" w:sz="4" w:space="0" w:color="FFFFFF" w:themeColor="background1"/>
              <w:right w:val="single" w:sz="4" w:space="0" w:color="FFFFFF"/>
            </w:tcBorders>
            <w:shd w:val="clear" w:color="auto" w:fill="DBE5F1" w:themeFill="accent1" w:themeFillTint="33"/>
            <w:noWrap/>
            <w:vAlign w:val="center"/>
            <w:hideMark/>
          </w:tcPr>
          <w:p w:rsidR="00D11B5F" w:rsidRPr="00A21B5C" w:rsidRDefault="00D11B5F" w:rsidP="00A21B5C">
            <w:pPr>
              <w:contextualSpacing/>
              <w:jc w:val="right"/>
              <w:rPr>
                <w:rFonts w:ascii="Arial" w:eastAsia="Times New Roman" w:hAnsi="Arial" w:cs="Arial"/>
                <w:color w:val="000000"/>
                <w:sz w:val="22"/>
                <w:szCs w:val="22"/>
                <w:lang w:val="es-CO" w:eastAsia="es-CO"/>
              </w:rPr>
            </w:pPr>
            <w:r w:rsidRPr="00A21B5C">
              <w:rPr>
                <w:rFonts w:ascii="Arial" w:eastAsia="Calibri" w:hAnsi="Arial" w:cs="Arial"/>
                <w:sz w:val="22"/>
                <w:szCs w:val="22"/>
                <w:lang w:val="es-CO" w:eastAsia="en-US"/>
              </w:rPr>
              <w:t>$2.402.803.572</w:t>
            </w:r>
          </w:p>
        </w:tc>
        <w:tc>
          <w:tcPr>
            <w:tcW w:w="425" w:type="dxa"/>
            <w:tcBorders>
              <w:top w:val="single" w:sz="4" w:space="0" w:color="595959" w:themeColor="text1" w:themeTint="A6"/>
              <w:left w:val="single" w:sz="4" w:space="0" w:color="FFFFFF"/>
              <w:bottom w:val="single" w:sz="4" w:space="0" w:color="FFFFFF" w:themeColor="background1"/>
              <w:right w:val="nil"/>
            </w:tcBorders>
            <w:shd w:val="clear" w:color="auto" w:fill="FFFFFF" w:themeFill="background1"/>
            <w:vAlign w:val="center"/>
          </w:tcPr>
          <w:p w:rsidR="00D11B5F" w:rsidRPr="00A21B5C" w:rsidRDefault="00D11B5F" w:rsidP="00A21B5C">
            <w:pPr>
              <w:contextualSpacing/>
              <w:jc w:val="right"/>
              <w:rPr>
                <w:rFonts w:ascii="Arial" w:eastAsia="Times New Roman" w:hAnsi="Arial" w:cs="Arial"/>
                <w:color w:val="000000"/>
                <w:sz w:val="22"/>
                <w:szCs w:val="22"/>
                <w:lang w:val="es-CO" w:eastAsia="en-US"/>
              </w:rPr>
            </w:pPr>
          </w:p>
        </w:tc>
        <w:tc>
          <w:tcPr>
            <w:tcW w:w="1560" w:type="dxa"/>
            <w:tcBorders>
              <w:top w:val="single" w:sz="4" w:space="0" w:color="595959" w:themeColor="text1" w:themeTint="A6"/>
              <w:left w:val="nil"/>
              <w:bottom w:val="single" w:sz="4" w:space="0" w:color="FFFFFF" w:themeColor="background1"/>
              <w:right w:val="single" w:sz="4" w:space="0" w:color="FFFFFF"/>
            </w:tcBorders>
            <w:shd w:val="clear" w:color="auto" w:fill="DBE5F1" w:themeFill="accent1" w:themeFillTint="33"/>
            <w:noWrap/>
            <w:vAlign w:val="center"/>
            <w:hideMark/>
          </w:tcPr>
          <w:p w:rsidR="00D11B5F" w:rsidRPr="00A21B5C" w:rsidRDefault="00D11B5F" w:rsidP="00A21B5C">
            <w:pPr>
              <w:contextualSpacing/>
              <w:jc w:val="right"/>
              <w:rPr>
                <w:rFonts w:ascii="Arial" w:eastAsia="Times New Roman" w:hAnsi="Arial" w:cs="Arial"/>
                <w:color w:val="000000"/>
                <w:sz w:val="22"/>
                <w:szCs w:val="22"/>
                <w:lang w:val="es-CO" w:eastAsia="es-CO"/>
              </w:rPr>
            </w:pPr>
            <w:r w:rsidRPr="00A21B5C">
              <w:rPr>
                <w:rFonts w:ascii="Arial" w:eastAsia="Times New Roman" w:hAnsi="Arial" w:cs="Arial"/>
                <w:color w:val="000000"/>
                <w:sz w:val="22"/>
                <w:szCs w:val="22"/>
                <w:lang w:val="es-CO" w:eastAsia="en-US"/>
              </w:rPr>
              <w:t>$2.536.498.367</w:t>
            </w:r>
          </w:p>
        </w:tc>
        <w:tc>
          <w:tcPr>
            <w:tcW w:w="425" w:type="dxa"/>
            <w:tcBorders>
              <w:top w:val="single" w:sz="4" w:space="0" w:color="595959" w:themeColor="text1" w:themeTint="A6"/>
              <w:left w:val="single" w:sz="4" w:space="0" w:color="FFFFFF"/>
              <w:bottom w:val="single" w:sz="4" w:space="0" w:color="FFFFFF" w:themeColor="background1"/>
              <w:right w:val="nil"/>
            </w:tcBorders>
          </w:tcPr>
          <w:p w:rsidR="00D11B5F" w:rsidRPr="00A21B5C" w:rsidRDefault="00D11B5F" w:rsidP="00A21B5C">
            <w:pPr>
              <w:contextualSpacing/>
              <w:jc w:val="center"/>
              <w:rPr>
                <w:rFonts w:ascii="Arial" w:eastAsia="Times New Roman" w:hAnsi="Arial" w:cs="Arial"/>
                <w:color w:val="000000"/>
                <w:sz w:val="22"/>
                <w:szCs w:val="22"/>
                <w:lang w:val="es-CO" w:eastAsia="en-US"/>
              </w:rPr>
            </w:pPr>
          </w:p>
        </w:tc>
        <w:tc>
          <w:tcPr>
            <w:tcW w:w="1559" w:type="dxa"/>
            <w:tcBorders>
              <w:top w:val="single" w:sz="4" w:space="0" w:color="595959" w:themeColor="text1" w:themeTint="A6"/>
              <w:left w:val="single" w:sz="4" w:space="0" w:color="FFFFFF"/>
              <w:bottom w:val="single" w:sz="4" w:space="0" w:color="FFFFFF" w:themeColor="background1"/>
              <w:right w:val="single" w:sz="4" w:space="0" w:color="FFFFFF" w:themeColor="background1"/>
            </w:tcBorders>
            <w:shd w:val="clear" w:color="auto" w:fill="DBE5F1" w:themeFill="accent1" w:themeFillTint="33"/>
          </w:tcPr>
          <w:p w:rsidR="00D11B5F" w:rsidRPr="00A21B5C" w:rsidRDefault="00D11B5F" w:rsidP="00A21B5C">
            <w:pPr>
              <w:contextualSpacing/>
              <w:jc w:val="right"/>
              <w:rPr>
                <w:rFonts w:ascii="Arial" w:eastAsia="Times New Roman" w:hAnsi="Arial" w:cs="Arial"/>
                <w:color w:val="C00000"/>
                <w:sz w:val="22"/>
                <w:szCs w:val="22"/>
                <w:lang w:val="es-CO" w:eastAsia="en-US"/>
              </w:rPr>
            </w:pPr>
            <w:r w:rsidRPr="00A21B5C">
              <w:rPr>
                <w:rFonts w:ascii="Arial" w:eastAsia="Times New Roman" w:hAnsi="Arial" w:cs="Arial"/>
                <w:color w:val="C00000"/>
                <w:sz w:val="22"/>
                <w:szCs w:val="22"/>
                <w:lang w:val="es-CO" w:eastAsia="en-US"/>
              </w:rPr>
              <w:t>$4.100.134.488</w:t>
            </w:r>
          </w:p>
        </w:tc>
        <w:tc>
          <w:tcPr>
            <w:tcW w:w="425" w:type="dxa"/>
            <w:vMerge w:val="restart"/>
            <w:tcBorders>
              <w:top w:val="single" w:sz="4" w:space="0" w:color="595959" w:themeColor="text1" w:themeTint="A6"/>
              <w:left w:val="single" w:sz="4" w:space="0" w:color="FFFFFF" w:themeColor="background1"/>
              <w:right w:val="nil"/>
            </w:tcBorders>
            <w:vAlign w:val="center"/>
          </w:tcPr>
          <w:p w:rsidR="00D11B5F" w:rsidRPr="00A21B5C" w:rsidRDefault="00D11B5F" w:rsidP="00A21B5C">
            <w:pPr>
              <w:contextualSpacing/>
              <w:jc w:val="center"/>
              <w:rPr>
                <w:rFonts w:ascii="Arial" w:eastAsia="Times New Roman" w:hAnsi="Arial" w:cs="Arial"/>
                <w:b/>
                <w:color w:val="C00000"/>
                <w:sz w:val="22"/>
                <w:szCs w:val="22"/>
                <w:lang w:val="es-CO" w:eastAsia="en-US"/>
              </w:rPr>
            </w:pPr>
            <w:r w:rsidRPr="00A21B5C">
              <w:rPr>
                <w:rFonts w:ascii="Arial" w:eastAsia="Times New Roman" w:hAnsi="Arial" w:cs="Arial"/>
                <w:b/>
                <w:color w:val="C00000"/>
                <w:sz w:val="22"/>
                <w:szCs w:val="22"/>
                <w:lang w:val="es-CO" w:eastAsia="en-US"/>
              </w:rPr>
              <w:t>(9)</w:t>
            </w:r>
          </w:p>
        </w:tc>
      </w:tr>
      <w:tr w:rsidR="00D11B5F" w:rsidRPr="00A21B5C" w:rsidTr="00F729CC">
        <w:trPr>
          <w:trHeight w:val="305"/>
          <w:jc w:val="center"/>
        </w:trPr>
        <w:tc>
          <w:tcPr>
            <w:tcW w:w="2835" w:type="dxa"/>
            <w:tcBorders>
              <w:top w:val="single" w:sz="4" w:space="0" w:color="FFFFFF" w:themeColor="background1"/>
              <w:left w:val="nil"/>
              <w:bottom w:val="single" w:sz="4" w:space="0" w:color="595959" w:themeColor="text1" w:themeTint="A6"/>
              <w:right w:val="nil"/>
            </w:tcBorders>
            <w:noWrap/>
            <w:vAlign w:val="bottom"/>
            <w:hideMark/>
          </w:tcPr>
          <w:p w:rsidR="00D11B5F" w:rsidRPr="00A21B5C" w:rsidRDefault="00D11B5F" w:rsidP="00A21B5C">
            <w:pPr>
              <w:contextualSpacing/>
              <w:rPr>
                <w:rFonts w:ascii="Arial" w:eastAsia="Times New Roman" w:hAnsi="Arial" w:cs="Arial"/>
                <w:bCs/>
                <w:color w:val="000000"/>
                <w:sz w:val="22"/>
                <w:szCs w:val="22"/>
                <w:lang w:val="es-CO" w:eastAsia="es-CO"/>
              </w:rPr>
            </w:pPr>
            <w:r w:rsidRPr="00A21B5C">
              <w:rPr>
                <w:rFonts w:ascii="Arial" w:eastAsia="Times New Roman" w:hAnsi="Arial" w:cs="Arial"/>
                <w:bCs/>
                <w:color w:val="595959" w:themeColor="text1" w:themeTint="A6"/>
                <w:sz w:val="22"/>
                <w:szCs w:val="22"/>
                <w:lang w:val="es-CO" w:eastAsia="es-CO"/>
              </w:rPr>
              <w:t xml:space="preserve">  </w:t>
            </w:r>
            <w:r w:rsidRPr="00A21B5C">
              <w:rPr>
                <w:rFonts w:ascii="Arial" w:eastAsia="Times New Roman" w:hAnsi="Arial" w:cs="Arial"/>
                <w:bCs/>
                <w:color w:val="595959" w:themeColor="text1" w:themeTint="A6"/>
                <w:sz w:val="18"/>
                <w:szCs w:val="22"/>
                <w:lang w:val="es-CO" w:eastAsia="es-CO"/>
              </w:rPr>
              <w:t>Resultado vigencia anterior</w:t>
            </w:r>
            <w:r w:rsidRPr="00A21B5C">
              <w:rPr>
                <w:rStyle w:val="Refdenotaalpie"/>
                <w:rFonts w:ascii="Arial" w:eastAsia="Times New Roman" w:hAnsi="Arial" w:cs="Arial"/>
                <w:bCs/>
                <w:color w:val="595959" w:themeColor="text1" w:themeTint="A6"/>
                <w:sz w:val="18"/>
                <w:szCs w:val="22"/>
                <w:lang w:val="es-CO" w:eastAsia="es-CO"/>
              </w:rPr>
              <w:footnoteReference w:id="3"/>
            </w:r>
          </w:p>
        </w:tc>
        <w:tc>
          <w:tcPr>
            <w:tcW w:w="1560" w:type="dxa"/>
            <w:tcBorders>
              <w:top w:val="single" w:sz="4" w:space="0" w:color="FFFFFF" w:themeColor="background1"/>
              <w:left w:val="nil"/>
              <w:bottom w:val="single" w:sz="4" w:space="0" w:color="595959" w:themeColor="text1" w:themeTint="A6"/>
              <w:right w:val="single" w:sz="4" w:space="0" w:color="FFFFFF"/>
            </w:tcBorders>
            <w:noWrap/>
            <w:vAlign w:val="center"/>
            <w:hideMark/>
          </w:tcPr>
          <w:p w:rsidR="00D11B5F" w:rsidRPr="00A21B5C" w:rsidRDefault="00D11B5F" w:rsidP="00A21B5C">
            <w:pPr>
              <w:contextualSpacing/>
              <w:jc w:val="right"/>
              <w:rPr>
                <w:rFonts w:ascii="Arial" w:eastAsia="Times New Roman" w:hAnsi="Arial" w:cs="Arial"/>
                <w:color w:val="000000"/>
                <w:sz w:val="22"/>
                <w:szCs w:val="22"/>
                <w:lang w:val="es-CO" w:eastAsia="es-CO"/>
              </w:rPr>
            </w:pPr>
            <w:r w:rsidRPr="00A21B5C">
              <w:rPr>
                <w:rFonts w:ascii="Arial" w:eastAsia="Calibri" w:hAnsi="Arial" w:cs="Arial"/>
                <w:color w:val="595959" w:themeColor="text1" w:themeTint="A6"/>
                <w:sz w:val="18"/>
                <w:szCs w:val="22"/>
                <w:lang w:val="es-CO" w:eastAsia="en-US"/>
              </w:rPr>
              <w:t>$2.940.473.004</w:t>
            </w:r>
          </w:p>
        </w:tc>
        <w:tc>
          <w:tcPr>
            <w:tcW w:w="425" w:type="dxa"/>
            <w:tcBorders>
              <w:top w:val="single" w:sz="4" w:space="0" w:color="FFFFFF" w:themeColor="background1"/>
              <w:left w:val="single" w:sz="4" w:space="0" w:color="FFFFFF"/>
              <w:bottom w:val="single" w:sz="4" w:space="0" w:color="595959" w:themeColor="text1" w:themeTint="A6"/>
              <w:right w:val="nil"/>
            </w:tcBorders>
            <w:shd w:val="clear" w:color="auto" w:fill="FFFFFF" w:themeFill="background1"/>
            <w:vAlign w:val="center"/>
          </w:tcPr>
          <w:p w:rsidR="00D11B5F" w:rsidRPr="00A21B5C" w:rsidRDefault="00D11B5F" w:rsidP="00A21B5C">
            <w:pPr>
              <w:contextualSpacing/>
              <w:jc w:val="right"/>
              <w:rPr>
                <w:rFonts w:ascii="Arial" w:eastAsia="Times New Roman" w:hAnsi="Arial" w:cs="Arial"/>
                <w:color w:val="595959" w:themeColor="text1" w:themeTint="A6"/>
                <w:sz w:val="18"/>
                <w:szCs w:val="22"/>
                <w:lang w:val="es-CO" w:eastAsia="es-CO"/>
              </w:rPr>
            </w:pPr>
          </w:p>
        </w:tc>
        <w:tc>
          <w:tcPr>
            <w:tcW w:w="1559" w:type="dxa"/>
            <w:tcBorders>
              <w:top w:val="single" w:sz="4" w:space="0" w:color="FFFFFF" w:themeColor="background1"/>
              <w:left w:val="nil"/>
              <w:bottom w:val="single" w:sz="4" w:space="0" w:color="595959" w:themeColor="text1" w:themeTint="A6"/>
              <w:right w:val="single" w:sz="4" w:space="0" w:color="FFFFFF"/>
            </w:tcBorders>
            <w:noWrap/>
            <w:vAlign w:val="center"/>
            <w:hideMark/>
          </w:tcPr>
          <w:p w:rsidR="00D11B5F" w:rsidRPr="00A21B5C" w:rsidRDefault="00D11B5F" w:rsidP="00A21B5C">
            <w:pPr>
              <w:contextualSpacing/>
              <w:jc w:val="right"/>
              <w:rPr>
                <w:rFonts w:ascii="Arial" w:eastAsia="Times New Roman" w:hAnsi="Arial" w:cs="Arial"/>
                <w:color w:val="595959" w:themeColor="text1" w:themeTint="A6"/>
                <w:sz w:val="18"/>
                <w:szCs w:val="22"/>
                <w:lang w:val="es-CO" w:eastAsia="es-CO"/>
              </w:rPr>
            </w:pPr>
            <w:r w:rsidRPr="00A21B5C">
              <w:rPr>
                <w:rFonts w:ascii="Arial" w:eastAsia="Times New Roman" w:hAnsi="Arial" w:cs="Arial"/>
                <w:color w:val="595959" w:themeColor="text1" w:themeTint="A6"/>
                <w:sz w:val="18"/>
                <w:szCs w:val="22"/>
                <w:lang w:val="es-CO" w:eastAsia="es-CO"/>
              </w:rPr>
              <w:t>$2.402.803.573</w:t>
            </w:r>
          </w:p>
        </w:tc>
        <w:tc>
          <w:tcPr>
            <w:tcW w:w="425" w:type="dxa"/>
            <w:tcBorders>
              <w:top w:val="single" w:sz="4" w:space="0" w:color="FFFFFF" w:themeColor="background1"/>
              <w:left w:val="single" w:sz="4" w:space="0" w:color="FFFFFF"/>
              <w:bottom w:val="single" w:sz="4" w:space="0" w:color="595959" w:themeColor="text1" w:themeTint="A6"/>
              <w:right w:val="nil"/>
            </w:tcBorders>
            <w:shd w:val="clear" w:color="auto" w:fill="FFFFFF" w:themeFill="background1"/>
            <w:vAlign w:val="center"/>
          </w:tcPr>
          <w:p w:rsidR="00D11B5F" w:rsidRPr="00A21B5C" w:rsidRDefault="00D11B5F" w:rsidP="00A21B5C">
            <w:pPr>
              <w:contextualSpacing/>
              <w:jc w:val="right"/>
              <w:rPr>
                <w:rFonts w:ascii="Arial" w:eastAsia="Times New Roman" w:hAnsi="Arial" w:cs="Arial"/>
                <w:color w:val="7F7F7F" w:themeColor="text1" w:themeTint="80"/>
                <w:sz w:val="18"/>
                <w:szCs w:val="22"/>
                <w:lang w:val="es-CO" w:eastAsia="es-CO"/>
              </w:rPr>
            </w:pPr>
          </w:p>
        </w:tc>
        <w:tc>
          <w:tcPr>
            <w:tcW w:w="1560" w:type="dxa"/>
            <w:tcBorders>
              <w:top w:val="single" w:sz="4" w:space="0" w:color="FFFFFF" w:themeColor="background1"/>
              <w:left w:val="nil"/>
              <w:bottom w:val="single" w:sz="4" w:space="0" w:color="595959" w:themeColor="text1" w:themeTint="A6"/>
              <w:right w:val="single" w:sz="4" w:space="0" w:color="FFFFFF"/>
            </w:tcBorders>
            <w:noWrap/>
            <w:vAlign w:val="center"/>
            <w:hideMark/>
          </w:tcPr>
          <w:p w:rsidR="00D11B5F" w:rsidRPr="00A21B5C" w:rsidRDefault="00D11B5F" w:rsidP="00A21B5C">
            <w:pPr>
              <w:contextualSpacing/>
              <w:jc w:val="right"/>
              <w:rPr>
                <w:rFonts w:ascii="Arial" w:eastAsia="Times New Roman" w:hAnsi="Arial" w:cs="Arial"/>
                <w:color w:val="000000"/>
                <w:sz w:val="22"/>
                <w:szCs w:val="22"/>
                <w:lang w:val="es-CO" w:eastAsia="es-CO"/>
              </w:rPr>
            </w:pPr>
            <w:r w:rsidRPr="00A21B5C">
              <w:rPr>
                <w:rFonts w:ascii="Arial" w:eastAsia="Times New Roman" w:hAnsi="Arial" w:cs="Arial"/>
                <w:color w:val="7F7F7F" w:themeColor="text1" w:themeTint="80"/>
                <w:sz w:val="18"/>
                <w:szCs w:val="22"/>
                <w:lang w:val="es-CO" w:eastAsia="es-CO"/>
              </w:rPr>
              <w:t>$2.536.498.367</w:t>
            </w:r>
          </w:p>
        </w:tc>
        <w:tc>
          <w:tcPr>
            <w:tcW w:w="425" w:type="dxa"/>
            <w:tcBorders>
              <w:top w:val="single" w:sz="4" w:space="0" w:color="FFFFFF" w:themeColor="background1"/>
              <w:left w:val="single" w:sz="4" w:space="0" w:color="FFFFFF"/>
              <w:bottom w:val="single" w:sz="4" w:space="0" w:color="595959" w:themeColor="text1" w:themeTint="A6"/>
              <w:right w:val="nil"/>
            </w:tcBorders>
          </w:tcPr>
          <w:p w:rsidR="00D11B5F" w:rsidRPr="00A21B5C" w:rsidRDefault="00D11B5F" w:rsidP="00A21B5C">
            <w:pPr>
              <w:contextualSpacing/>
              <w:jc w:val="center"/>
              <w:rPr>
                <w:rFonts w:ascii="Arial" w:eastAsia="Times New Roman" w:hAnsi="Arial" w:cs="Arial"/>
                <w:color w:val="7F7F7F" w:themeColor="text1" w:themeTint="80"/>
                <w:sz w:val="18"/>
                <w:szCs w:val="22"/>
                <w:lang w:val="es-CO" w:eastAsia="es-CO"/>
              </w:rPr>
            </w:pPr>
          </w:p>
        </w:tc>
        <w:tc>
          <w:tcPr>
            <w:tcW w:w="1559" w:type="dxa"/>
            <w:tcBorders>
              <w:top w:val="single" w:sz="4" w:space="0" w:color="FFFFFF" w:themeColor="background1"/>
              <w:left w:val="single" w:sz="4" w:space="0" w:color="FFFFFF"/>
              <w:bottom w:val="single" w:sz="4" w:space="0" w:color="595959" w:themeColor="text1" w:themeTint="A6"/>
              <w:right w:val="single" w:sz="4" w:space="0" w:color="FFFFFF" w:themeColor="background1"/>
            </w:tcBorders>
          </w:tcPr>
          <w:p w:rsidR="00D11B5F" w:rsidRPr="00A21B5C" w:rsidRDefault="00D11B5F" w:rsidP="00A21B5C">
            <w:pPr>
              <w:contextualSpacing/>
              <w:jc w:val="right"/>
              <w:rPr>
                <w:rFonts w:ascii="Arial" w:eastAsia="Times New Roman" w:hAnsi="Arial" w:cs="Arial"/>
                <w:color w:val="C00000"/>
                <w:sz w:val="18"/>
                <w:szCs w:val="22"/>
                <w:lang w:val="es-CO" w:eastAsia="es-CO"/>
              </w:rPr>
            </w:pPr>
            <w:r w:rsidRPr="00A21B5C">
              <w:rPr>
                <w:rFonts w:ascii="Arial" w:eastAsia="Times New Roman" w:hAnsi="Arial" w:cs="Arial"/>
                <w:color w:val="C00000"/>
                <w:sz w:val="18"/>
                <w:szCs w:val="22"/>
                <w:lang w:val="es-CO" w:eastAsia="es-CO"/>
              </w:rPr>
              <w:t>$4.095.383.444</w:t>
            </w:r>
          </w:p>
        </w:tc>
        <w:tc>
          <w:tcPr>
            <w:tcW w:w="425" w:type="dxa"/>
            <w:vMerge/>
            <w:tcBorders>
              <w:left w:val="single" w:sz="4" w:space="0" w:color="FFFFFF" w:themeColor="background1"/>
              <w:bottom w:val="single" w:sz="4" w:space="0" w:color="595959" w:themeColor="text1" w:themeTint="A6"/>
              <w:right w:val="nil"/>
            </w:tcBorders>
          </w:tcPr>
          <w:p w:rsidR="00D11B5F" w:rsidRPr="00A21B5C" w:rsidRDefault="00D11B5F" w:rsidP="00A21B5C">
            <w:pPr>
              <w:contextualSpacing/>
              <w:jc w:val="center"/>
              <w:rPr>
                <w:rFonts w:ascii="Arial" w:eastAsia="Times New Roman" w:hAnsi="Arial" w:cs="Arial"/>
                <w:color w:val="7F7F7F" w:themeColor="text1" w:themeTint="80"/>
                <w:sz w:val="18"/>
                <w:szCs w:val="22"/>
                <w:lang w:val="es-CO" w:eastAsia="es-CO"/>
              </w:rPr>
            </w:pPr>
          </w:p>
        </w:tc>
      </w:tr>
      <w:tr w:rsidR="00C6555E" w:rsidRPr="00A21B5C" w:rsidTr="00DB3F75">
        <w:trPr>
          <w:trHeight w:val="305"/>
          <w:jc w:val="center"/>
        </w:trPr>
        <w:tc>
          <w:tcPr>
            <w:tcW w:w="2835" w:type="dxa"/>
            <w:tcBorders>
              <w:top w:val="single" w:sz="4" w:space="0" w:color="595959" w:themeColor="text1" w:themeTint="A6"/>
              <w:left w:val="nil"/>
              <w:bottom w:val="single" w:sz="4" w:space="0" w:color="FFFFFF"/>
              <w:right w:val="nil"/>
            </w:tcBorders>
            <w:shd w:val="clear" w:color="auto" w:fill="DBE5F1" w:themeFill="accent1" w:themeFillTint="33"/>
            <w:noWrap/>
            <w:vAlign w:val="bottom"/>
            <w:hideMark/>
          </w:tcPr>
          <w:p w:rsidR="00DB3F75" w:rsidRPr="00A21B5C" w:rsidRDefault="00DB3F75" w:rsidP="00A21B5C">
            <w:pPr>
              <w:contextualSpacing/>
              <w:rPr>
                <w:rFonts w:ascii="Arial" w:eastAsia="Times New Roman" w:hAnsi="Arial" w:cs="Arial"/>
                <w:bCs/>
                <w:color w:val="000000"/>
                <w:sz w:val="22"/>
                <w:szCs w:val="22"/>
                <w:lang w:val="es-CO" w:eastAsia="es-CO"/>
              </w:rPr>
            </w:pPr>
            <w:r w:rsidRPr="00A21B5C">
              <w:rPr>
                <w:rFonts w:ascii="Arial" w:eastAsia="Times New Roman" w:hAnsi="Arial" w:cs="Arial"/>
                <w:bCs/>
                <w:color w:val="000000"/>
                <w:sz w:val="22"/>
                <w:szCs w:val="22"/>
                <w:lang w:val="es-CO" w:eastAsia="es-CO"/>
              </w:rPr>
              <w:t>Rendimientos financieros</w:t>
            </w:r>
          </w:p>
        </w:tc>
        <w:tc>
          <w:tcPr>
            <w:tcW w:w="1560" w:type="dxa"/>
            <w:tcBorders>
              <w:top w:val="single" w:sz="4" w:space="0" w:color="595959" w:themeColor="text1" w:themeTint="A6"/>
              <w:left w:val="nil"/>
              <w:bottom w:val="single" w:sz="4" w:space="0" w:color="FFFFFF"/>
              <w:right w:val="single" w:sz="4" w:space="0" w:color="FFFFFF"/>
            </w:tcBorders>
            <w:shd w:val="clear" w:color="auto" w:fill="DBE5F1" w:themeFill="accent1" w:themeFillTint="33"/>
            <w:noWrap/>
            <w:vAlign w:val="center"/>
            <w:hideMark/>
          </w:tcPr>
          <w:p w:rsidR="00DB3F75" w:rsidRPr="00A21B5C" w:rsidRDefault="00DB3F75" w:rsidP="00A21B5C">
            <w:pPr>
              <w:contextualSpacing/>
              <w:jc w:val="right"/>
              <w:rPr>
                <w:rFonts w:ascii="Arial" w:eastAsia="Times New Roman" w:hAnsi="Arial" w:cs="Arial"/>
                <w:color w:val="000000"/>
                <w:sz w:val="22"/>
                <w:szCs w:val="22"/>
                <w:lang w:val="es-CO" w:eastAsia="es-CO"/>
              </w:rPr>
            </w:pPr>
            <w:r w:rsidRPr="00A21B5C">
              <w:rPr>
                <w:rFonts w:ascii="Arial" w:eastAsia="Times New Roman" w:hAnsi="Arial" w:cs="Arial"/>
                <w:color w:val="000000"/>
                <w:sz w:val="22"/>
                <w:szCs w:val="22"/>
                <w:lang w:val="es-CO" w:eastAsia="es-CO"/>
              </w:rPr>
              <w:t>$67.128.547</w:t>
            </w:r>
          </w:p>
        </w:tc>
        <w:tc>
          <w:tcPr>
            <w:tcW w:w="425" w:type="dxa"/>
            <w:tcBorders>
              <w:top w:val="single" w:sz="4" w:space="0" w:color="595959" w:themeColor="text1" w:themeTint="A6"/>
              <w:left w:val="single" w:sz="4" w:space="0" w:color="FFFFFF"/>
              <w:bottom w:val="single" w:sz="4" w:space="0" w:color="FFFFFF"/>
              <w:right w:val="nil"/>
            </w:tcBorders>
            <w:shd w:val="clear" w:color="auto" w:fill="FFFFFF" w:themeFill="background1"/>
            <w:vAlign w:val="center"/>
          </w:tcPr>
          <w:p w:rsidR="00DB3F75" w:rsidRPr="00A21B5C" w:rsidRDefault="00DB3F75" w:rsidP="00A21B5C">
            <w:pPr>
              <w:contextualSpacing/>
              <w:jc w:val="right"/>
              <w:rPr>
                <w:rFonts w:ascii="Arial" w:eastAsia="Times New Roman" w:hAnsi="Arial" w:cs="Arial"/>
                <w:color w:val="000000"/>
                <w:sz w:val="22"/>
                <w:szCs w:val="22"/>
                <w:lang w:val="es-CO" w:eastAsia="es-CO"/>
              </w:rPr>
            </w:pPr>
          </w:p>
        </w:tc>
        <w:tc>
          <w:tcPr>
            <w:tcW w:w="1559" w:type="dxa"/>
            <w:tcBorders>
              <w:top w:val="single" w:sz="4" w:space="0" w:color="595959" w:themeColor="text1" w:themeTint="A6"/>
              <w:left w:val="nil"/>
              <w:bottom w:val="single" w:sz="4" w:space="0" w:color="FFFFFF"/>
              <w:right w:val="single" w:sz="4" w:space="0" w:color="FFFFFF"/>
            </w:tcBorders>
            <w:shd w:val="clear" w:color="auto" w:fill="DBE5F1" w:themeFill="accent1" w:themeFillTint="33"/>
            <w:noWrap/>
            <w:vAlign w:val="center"/>
            <w:hideMark/>
          </w:tcPr>
          <w:p w:rsidR="00DB3F75" w:rsidRPr="00A21B5C" w:rsidRDefault="00DB3F75" w:rsidP="00A21B5C">
            <w:pPr>
              <w:contextualSpacing/>
              <w:jc w:val="right"/>
              <w:rPr>
                <w:rFonts w:ascii="Arial" w:eastAsia="Times New Roman" w:hAnsi="Arial" w:cs="Arial"/>
                <w:color w:val="000000"/>
                <w:sz w:val="22"/>
                <w:szCs w:val="22"/>
                <w:lang w:val="es-CO" w:eastAsia="es-CO"/>
              </w:rPr>
            </w:pPr>
            <w:r w:rsidRPr="00A21B5C">
              <w:rPr>
                <w:rFonts w:ascii="Arial" w:eastAsia="Times New Roman" w:hAnsi="Arial" w:cs="Arial"/>
                <w:color w:val="000000"/>
                <w:sz w:val="22"/>
                <w:szCs w:val="22"/>
                <w:lang w:val="es-CO" w:eastAsia="en-US"/>
              </w:rPr>
              <w:t>$45.733.449</w:t>
            </w:r>
          </w:p>
        </w:tc>
        <w:tc>
          <w:tcPr>
            <w:tcW w:w="425" w:type="dxa"/>
            <w:tcBorders>
              <w:top w:val="single" w:sz="4" w:space="0" w:color="595959" w:themeColor="text1" w:themeTint="A6"/>
              <w:left w:val="single" w:sz="4" w:space="0" w:color="FFFFFF"/>
              <w:bottom w:val="single" w:sz="4" w:space="0" w:color="FFFFFF"/>
              <w:right w:val="nil"/>
            </w:tcBorders>
            <w:shd w:val="clear" w:color="auto" w:fill="FFFFFF" w:themeFill="background1"/>
            <w:vAlign w:val="center"/>
          </w:tcPr>
          <w:p w:rsidR="00DB3F75" w:rsidRPr="00A21B5C" w:rsidRDefault="00DB3F75" w:rsidP="00A21B5C">
            <w:pPr>
              <w:contextualSpacing/>
              <w:jc w:val="right"/>
              <w:rPr>
                <w:rFonts w:ascii="Arial" w:eastAsia="Times New Roman" w:hAnsi="Arial" w:cs="Arial"/>
                <w:color w:val="000000"/>
                <w:sz w:val="22"/>
                <w:szCs w:val="22"/>
                <w:lang w:val="es-CO" w:eastAsia="en-US"/>
              </w:rPr>
            </w:pPr>
          </w:p>
        </w:tc>
        <w:tc>
          <w:tcPr>
            <w:tcW w:w="1560" w:type="dxa"/>
            <w:tcBorders>
              <w:top w:val="single" w:sz="4" w:space="0" w:color="595959" w:themeColor="text1" w:themeTint="A6"/>
              <w:left w:val="nil"/>
              <w:bottom w:val="single" w:sz="4" w:space="0" w:color="FFFFFF"/>
              <w:right w:val="single" w:sz="4" w:space="0" w:color="FFFFFF"/>
            </w:tcBorders>
            <w:shd w:val="clear" w:color="auto" w:fill="DBE5F1" w:themeFill="accent1" w:themeFillTint="33"/>
            <w:noWrap/>
            <w:vAlign w:val="center"/>
            <w:hideMark/>
          </w:tcPr>
          <w:p w:rsidR="00DB3F75" w:rsidRPr="00A21B5C" w:rsidRDefault="00DB3F75" w:rsidP="00A21B5C">
            <w:pPr>
              <w:contextualSpacing/>
              <w:jc w:val="right"/>
              <w:rPr>
                <w:rFonts w:ascii="Arial" w:eastAsia="Times New Roman" w:hAnsi="Arial" w:cs="Arial"/>
                <w:color w:val="000000"/>
                <w:sz w:val="22"/>
                <w:szCs w:val="22"/>
                <w:lang w:val="es-CO" w:eastAsia="es-CO"/>
              </w:rPr>
            </w:pPr>
            <w:r w:rsidRPr="00A21B5C">
              <w:rPr>
                <w:rFonts w:ascii="Arial" w:eastAsia="Times New Roman" w:hAnsi="Arial" w:cs="Arial"/>
                <w:color w:val="000000"/>
                <w:sz w:val="22"/>
                <w:szCs w:val="22"/>
                <w:lang w:val="es-CO" w:eastAsia="en-US"/>
              </w:rPr>
              <w:t>$47.920.793</w:t>
            </w:r>
          </w:p>
        </w:tc>
        <w:tc>
          <w:tcPr>
            <w:tcW w:w="425" w:type="dxa"/>
            <w:tcBorders>
              <w:top w:val="single" w:sz="4" w:space="0" w:color="595959" w:themeColor="text1" w:themeTint="A6"/>
              <w:left w:val="single" w:sz="4" w:space="0" w:color="FFFFFF"/>
              <w:bottom w:val="single" w:sz="4" w:space="0" w:color="FFFFFF"/>
              <w:right w:val="nil"/>
            </w:tcBorders>
            <w:shd w:val="clear" w:color="auto" w:fill="FFFFFF" w:themeFill="background1"/>
          </w:tcPr>
          <w:p w:rsidR="00DB3F75" w:rsidRPr="00A21B5C" w:rsidRDefault="00DB3F75" w:rsidP="00A21B5C">
            <w:pPr>
              <w:contextualSpacing/>
              <w:jc w:val="center"/>
              <w:rPr>
                <w:rFonts w:ascii="Arial" w:eastAsia="Times New Roman" w:hAnsi="Arial" w:cs="Arial"/>
                <w:color w:val="000000"/>
                <w:sz w:val="22"/>
                <w:szCs w:val="22"/>
                <w:lang w:val="es-CO" w:eastAsia="en-US"/>
              </w:rPr>
            </w:pPr>
          </w:p>
        </w:tc>
        <w:tc>
          <w:tcPr>
            <w:tcW w:w="1559" w:type="dxa"/>
            <w:tcBorders>
              <w:top w:val="single" w:sz="4" w:space="0" w:color="595959" w:themeColor="text1" w:themeTint="A6"/>
              <w:left w:val="single" w:sz="4" w:space="0" w:color="FFFFFF"/>
              <w:bottom w:val="single" w:sz="4" w:space="0" w:color="FFFFFF"/>
              <w:right w:val="nil"/>
            </w:tcBorders>
            <w:shd w:val="clear" w:color="auto" w:fill="DBE5F1" w:themeFill="accent1" w:themeFillTint="33"/>
          </w:tcPr>
          <w:p w:rsidR="00DB3F75" w:rsidRPr="00A21B5C" w:rsidRDefault="00A9653B" w:rsidP="00A21B5C">
            <w:pPr>
              <w:contextualSpacing/>
              <w:jc w:val="right"/>
              <w:rPr>
                <w:rFonts w:ascii="Arial" w:eastAsia="Times New Roman" w:hAnsi="Arial" w:cs="Arial"/>
                <w:color w:val="000000"/>
                <w:sz w:val="22"/>
                <w:szCs w:val="22"/>
                <w:lang w:val="es-CO" w:eastAsia="en-US"/>
              </w:rPr>
            </w:pPr>
            <w:r w:rsidRPr="00A21B5C">
              <w:rPr>
                <w:rFonts w:ascii="Arial" w:eastAsia="Times New Roman" w:hAnsi="Arial" w:cs="Arial"/>
                <w:color w:val="000000"/>
                <w:sz w:val="22"/>
                <w:szCs w:val="22"/>
                <w:lang w:val="es-CO" w:eastAsia="en-US"/>
              </w:rPr>
              <w:t>$47.674.382</w:t>
            </w:r>
          </w:p>
        </w:tc>
        <w:tc>
          <w:tcPr>
            <w:tcW w:w="425" w:type="dxa"/>
            <w:tcBorders>
              <w:top w:val="single" w:sz="4" w:space="0" w:color="595959" w:themeColor="text1" w:themeTint="A6"/>
              <w:left w:val="single" w:sz="4" w:space="0" w:color="FFFFFF"/>
              <w:bottom w:val="single" w:sz="4" w:space="0" w:color="FFFFFF"/>
              <w:right w:val="nil"/>
            </w:tcBorders>
            <w:shd w:val="clear" w:color="auto" w:fill="FFFFFF" w:themeFill="background1"/>
          </w:tcPr>
          <w:p w:rsidR="00DB3F75" w:rsidRPr="00A21B5C" w:rsidRDefault="00DB3F75" w:rsidP="00A21B5C">
            <w:pPr>
              <w:contextualSpacing/>
              <w:jc w:val="center"/>
              <w:rPr>
                <w:rFonts w:ascii="Arial" w:eastAsia="Times New Roman" w:hAnsi="Arial" w:cs="Arial"/>
                <w:color w:val="000000"/>
                <w:sz w:val="22"/>
                <w:szCs w:val="22"/>
                <w:lang w:val="es-CO" w:eastAsia="en-US"/>
              </w:rPr>
            </w:pPr>
          </w:p>
        </w:tc>
      </w:tr>
      <w:tr w:rsidR="00DB3F75" w:rsidRPr="00A21B5C" w:rsidTr="00A96D69">
        <w:trPr>
          <w:trHeight w:val="305"/>
          <w:jc w:val="center"/>
        </w:trPr>
        <w:tc>
          <w:tcPr>
            <w:tcW w:w="2835" w:type="dxa"/>
            <w:tcBorders>
              <w:top w:val="single" w:sz="4" w:space="0" w:color="FFFFFF"/>
              <w:left w:val="nil"/>
              <w:bottom w:val="single" w:sz="4" w:space="0" w:color="000000" w:themeColor="text1"/>
              <w:right w:val="nil"/>
            </w:tcBorders>
            <w:noWrap/>
            <w:vAlign w:val="bottom"/>
            <w:hideMark/>
          </w:tcPr>
          <w:p w:rsidR="00DB3F75" w:rsidRPr="00A21B5C" w:rsidRDefault="00DB3F75" w:rsidP="00A21B5C">
            <w:pPr>
              <w:contextualSpacing/>
              <w:rPr>
                <w:rFonts w:ascii="Arial" w:eastAsia="Times New Roman" w:hAnsi="Arial" w:cs="Arial"/>
                <w:bCs/>
                <w:color w:val="595959" w:themeColor="text1" w:themeTint="A6"/>
                <w:sz w:val="20"/>
                <w:szCs w:val="22"/>
                <w:lang w:val="es-CO" w:eastAsia="es-CO"/>
              </w:rPr>
            </w:pPr>
            <w:r w:rsidRPr="00A21B5C">
              <w:rPr>
                <w:rFonts w:ascii="Arial" w:eastAsia="Times New Roman" w:hAnsi="Arial" w:cs="Arial"/>
                <w:b/>
                <w:bCs/>
                <w:color w:val="595959" w:themeColor="text1" w:themeTint="A6"/>
                <w:sz w:val="20"/>
                <w:szCs w:val="22"/>
                <w:lang w:val="es-CO" w:eastAsia="es-CO"/>
              </w:rPr>
              <w:lastRenderedPageBreak/>
              <w:t xml:space="preserve">   </w:t>
            </w:r>
            <w:r w:rsidRPr="00A21B5C">
              <w:rPr>
                <w:rFonts w:ascii="Arial" w:eastAsia="Times New Roman" w:hAnsi="Arial" w:cs="Arial"/>
                <w:bCs/>
                <w:color w:val="595959" w:themeColor="text1" w:themeTint="A6"/>
                <w:sz w:val="18"/>
                <w:szCs w:val="22"/>
                <w:lang w:val="es-CO" w:eastAsia="es-CO"/>
              </w:rPr>
              <w:t>Extractos bancarios vigencia anterior</w:t>
            </w:r>
            <w:r w:rsidRPr="00A21B5C">
              <w:rPr>
                <w:rStyle w:val="Refdenotaalpie"/>
                <w:rFonts w:ascii="Arial" w:eastAsia="Times New Roman" w:hAnsi="Arial" w:cs="Arial"/>
                <w:bCs/>
                <w:color w:val="595959" w:themeColor="text1" w:themeTint="A6"/>
                <w:sz w:val="18"/>
                <w:szCs w:val="22"/>
                <w:lang w:val="es-CO" w:eastAsia="es-CO"/>
              </w:rPr>
              <w:footnoteReference w:id="4"/>
            </w:r>
          </w:p>
        </w:tc>
        <w:tc>
          <w:tcPr>
            <w:tcW w:w="1560" w:type="dxa"/>
            <w:tcBorders>
              <w:top w:val="single" w:sz="4" w:space="0" w:color="FFFFFF"/>
              <w:left w:val="nil"/>
              <w:bottom w:val="single" w:sz="4" w:space="0" w:color="000000" w:themeColor="text1"/>
              <w:right w:val="single" w:sz="4" w:space="0" w:color="FFFFFF"/>
            </w:tcBorders>
            <w:noWrap/>
            <w:vAlign w:val="center"/>
            <w:hideMark/>
          </w:tcPr>
          <w:p w:rsidR="00DB3F75" w:rsidRPr="00A21B5C" w:rsidRDefault="00DB3F75" w:rsidP="00A21B5C">
            <w:pPr>
              <w:contextualSpacing/>
              <w:jc w:val="right"/>
              <w:rPr>
                <w:rFonts w:ascii="Arial" w:eastAsia="Calibri" w:hAnsi="Arial" w:cs="Arial"/>
                <w:color w:val="595959" w:themeColor="text1" w:themeTint="A6"/>
                <w:sz w:val="18"/>
                <w:szCs w:val="22"/>
                <w:lang w:val="es-CO" w:eastAsia="en-US"/>
              </w:rPr>
            </w:pPr>
            <w:r w:rsidRPr="00A21B5C">
              <w:rPr>
                <w:rFonts w:ascii="Arial" w:eastAsia="Calibri" w:hAnsi="Arial" w:cs="Arial"/>
                <w:color w:val="595959" w:themeColor="text1" w:themeTint="A6"/>
                <w:sz w:val="18"/>
                <w:szCs w:val="22"/>
                <w:lang w:val="es-CO" w:eastAsia="en-US"/>
              </w:rPr>
              <w:t>$67.128.547</w:t>
            </w:r>
          </w:p>
        </w:tc>
        <w:tc>
          <w:tcPr>
            <w:tcW w:w="425" w:type="dxa"/>
            <w:tcBorders>
              <w:top w:val="single" w:sz="4" w:space="0" w:color="FFFFFF"/>
              <w:left w:val="single" w:sz="4" w:space="0" w:color="FFFFFF"/>
              <w:bottom w:val="single" w:sz="4" w:space="0" w:color="000000" w:themeColor="text1"/>
              <w:right w:val="nil"/>
            </w:tcBorders>
            <w:shd w:val="clear" w:color="auto" w:fill="FFFFFF" w:themeFill="background1"/>
            <w:vAlign w:val="center"/>
          </w:tcPr>
          <w:p w:rsidR="00DB3F75" w:rsidRPr="00A21B5C" w:rsidRDefault="00DB3F75" w:rsidP="00A21B5C">
            <w:pPr>
              <w:contextualSpacing/>
              <w:jc w:val="right"/>
              <w:rPr>
                <w:rFonts w:ascii="Arial" w:eastAsia="Times New Roman" w:hAnsi="Arial" w:cs="Arial"/>
                <w:color w:val="000000"/>
                <w:sz w:val="20"/>
                <w:szCs w:val="22"/>
                <w:lang w:val="es-CO" w:eastAsia="es-CO"/>
              </w:rPr>
            </w:pPr>
          </w:p>
        </w:tc>
        <w:tc>
          <w:tcPr>
            <w:tcW w:w="1559" w:type="dxa"/>
            <w:tcBorders>
              <w:top w:val="single" w:sz="4" w:space="0" w:color="FFFFFF"/>
              <w:left w:val="nil"/>
              <w:bottom w:val="single" w:sz="4" w:space="0" w:color="000000" w:themeColor="text1"/>
              <w:right w:val="single" w:sz="4" w:space="0" w:color="FFFFFF"/>
            </w:tcBorders>
            <w:noWrap/>
            <w:vAlign w:val="center"/>
            <w:hideMark/>
          </w:tcPr>
          <w:p w:rsidR="00DB3F75" w:rsidRPr="00A21B5C" w:rsidRDefault="00DB3F75" w:rsidP="00A21B5C">
            <w:pPr>
              <w:contextualSpacing/>
              <w:jc w:val="right"/>
              <w:rPr>
                <w:rFonts w:ascii="Arial" w:eastAsia="Times New Roman" w:hAnsi="Arial" w:cs="Arial"/>
                <w:color w:val="000000"/>
                <w:sz w:val="20"/>
                <w:szCs w:val="22"/>
                <w:lang w:val="es-CO" w:eastAsia="es-CO"/>
              </w:rPr>
            </w:pPr>
            <w:r w:rsidRPr="00A21B5C">
              <w:rPr>
                <w:rFonts w:ascii="Arial" w:eastAsia="Times New Roman" w:hAnsi="Arial" w:cs="Arial"/>
                <w:color w:val="595959" w:themeColor="text1" w:themeTint="A6"/>
                <w:sz w:val="18"/>
                <w:szCs w:val="22"/>
                <w:lang w:val="es-CO" w:eastAsia="es-CO"/>
              </w:rPr>
              <w:t>$45.733.449</w:t>
            </w:r>
          </w:p>
        </w:tc>
        <w:tc>
          <w:tcPr>
            <w:tcW w:w="425" w:type="dxa"/>
            <w:tcBorders>
              <w:top w:val="single" w:sz="4" w:space="0" w:color="FFFFFF"/>
              <w:left w:val="single" w:sz="4" w:space="0" w:color="FFFFFF"/>
              <w:bottom w:val="single" w:sz="4" w:space="0" w:color="000000" w:themeColor="text1"/>
              <w:right w:val="nil"/>
            </w:tcBorders>
            <w:vAlign w:val="center"/>
          </w:tcPr>
          <w:p w:rsidR="00DB3F75" w:rsidRPr="00A21B5C" w:rsidRDefault="00DB3F75" w:rsidP="00A21B5C">
            <w:pPr>
              <w:contextualSpacing/>
              <w:jc w:val="right"/>
              <w:rPr>
                <w:rFonts w:ascii="Arial" w:eastAsia="Times New Roman" w:hAnsi="Arial" w:cs="Arial"/>
                <w:color w:val="000000" w:themeColor="text1"/>
                <w:sz w:val="20"/>
                <w:szCs w:val="22"/>
                <w:lang w:val="es-CO" w:eastAsia="es-CO"/>
              </w:rPr>
            </w:pPr>
          </w:p>
        </w:tc>
        <w:tc>
          <w:tcPr>
            <w:tcW w:w="1560" w:type="dxa"/>
            <w:tcBorders>
              <w:top w:val="single" w:sz="4" w:space="0" w:color="FFFFFF"/>
              <w:left w:val="nil"/>
              <w:bottom w:val="single" w:sz="4" w:space="0" w:color="000000" w:themeColor="text1"/>
              <w:right w:val="single" w:sz="4" w:space="0" w:color="FFFFFF"/>
            </w:tcBorders>
            <w:noWrap/>
            <w:vAlign w:val="center"/>
            <w:hideMark/>
          </w:tcPr>
          <w:p w:rsidR="00DB3F75" w:rsidRPr="00A21B5C" w:rsidRDefault="00DB3F75" w:rsidP="00A21B5C">
            <w:pPr>
              <w:contextualSpacing/>
              <w:jc w:val="right"/>
              <w:rPr>
                <w:rFonts w:ascii="Arial" w:eastAsia="Times New Roman" w:hAnsi="Arial" w:cs="Arial"/>
                <w:color w:val="000000"/>
                <w:sz w:val="20"/>
                <w:szCs w:val="22"/>
                <w:lang w:val="es-CO" w:eastAsia="es-CO"/>
              </w:rPr>
            </w:pPr>
            <w:r w:rsidRPr="00A21B5C">
              <w:rPr>
                <w:rFonts w:ascii="Arial" w:eastAsia="Times New Roman" w:hAnsi="Arial" w:cs="Arial"/>
                <w:color w:val="595959" w:themeColor="text1" w:themeTint="A6"/>
                <w:sz w:val="18"/>
                <w:szCs w:val="22"/>
                <w:lang w:val="es-CO" w:eastAsia="en-US"/>
              </w:rPr>
              <w:t>$47.920.793</w:t>
            </w:r>
          </w:p>
        </w:tc>
        <w:tc>
          <w:tcPr>
            <w:tcW w:w="425" w:type="dxa"/>
            <w:tcBorders>
              <w:top w:val="single" w:sz="4" w:space="0" w:color="FFFFFF"/>
              <w:left w:val="single" w:sz="4" w:space="0" w:color="FFFFFF"/>
              <w:bottom w:val="single" w:sz="4" w:space="0" w:color="000000" w:themeColor="text1"/>
              <w:right w:val="nil"/>
            </w:tcBorders>
            <w:shd w:val="clear" w:color="auto" w:fill="FFFFFF" w:themeFill="background1"/>
          </w:tcPr>
          <w:p w:rsidR="00DB3F75" w:rsidRPr="00A21B5C" w:rsidRDefault="00DB3F75" w:rsidP="00A21B5C">
            <w:pPr>
              <w:contextualSpacing/>
              <w:jc w:val="center"/>
              <w:rPr>
                <w:rFonts w:ascii="Arial" w:eastAsia="Times New Roman" w:hAnsi="Arial" w:cs="Arial"/>
                <w:color w:val="000000" w:themeColor="text1"/>
                <w:sz w:val="20"/>
                <w:szCs w:val="22"/>
                <w:lang w:val="es-CO" w:eastAsia="es-CO"/>
              </w:rPr>
            </w:pPr>
          </w:p>
        </w:tc>
        <w:tc>
          <w:tcPr>
            <w:tcW w:w="1559" w:type="dxa"/>
            <w:tcBorders>
              <w:top w:val="single" w:sz="4" w:space="0" w:color="FFFFFF"/>
              <w:left w:val="single" w:sz="4" w:space="0" w:color="FFFFFF"/>
              <w:bottom w:val="single" w:sz="4" w:space="0" w:color="000000" w:themeColor="text1"/>
              <w:right w:val="nil"/>
            </w:tcBorders>
            <w:shd w:val="clear" w:color="auto" w:fill="FFFFFF" w:themeFill="background1"/>
          </w:tcPr>
          <w:p w:rsidR="00DB3F75" w:rsidRPr="00A21B5C" w:rsidRDefault="00A9653B" w:rsidP="00A21B5C">
            <w:pPr>
              <w:contextualSpacing/>
              <w:jc w:val="right"/>
              <w:rPr>
                <w:rFonts w:ascii="Arial" w:eastAsia="Times New Roman" w:hAnsi="Arial" w:cs="Arial"/>
                <w:color w:val="000000" w:themeColor="text1"/>
                <w:sz w:val="20"/>
                <w:szCs w:val="22"/>
                <w:lang w:val="es-CO" w:eastAsia="es-CO"/>
              </w:rPr>
            </w:pPr>
            <w:r w:rsidRPr="00A21B5C">
              <w:rPr>
                <w:rFonts w:ascii="Arial" w:eastAsia="Times New Roman" w:hAnsi="Arial" w:cs="Arial"/>
                <w:color w:val="000000" w:themeColor="text1"/>
                <w:sz w:val="20"/>
                <w:szCs w:val="22"/>
                <w:lang w:val="es-CO" w:eastAsia="es-CO"/>
              </w:rPr>
              <w:t>-</w:t>
            </w:r>
          </w:p>
        </w:tc>
        <w:tc>
          <w:tcPr>
            <w:tcW w:w="425" w:type="dxa"/>
            <w:tcBorders>
              <w:top w:val="single" w:sz="4" w:space="0" w:color="FFFFFF"/>
              <w:left w:val="single" w:sz="4" w:space="0" w:color="FFFFFF"/>
              <w:bottom w:val="single" w:sz="4" w:space="0" w:color="000000" w:themeColor="text1"/>
              <w:right w:val="nil"/>
            </w:tcBorders>
            <w:shd w:val="clear" w:color="auto" w:fill="FFFFFF" w:themeFill="background1"/>
          </w:tcPr>
          <w:p w:rsidR="00DB3F75" w:rsidRPr="00A21B5C" w:rsidRDefault="00DB3F75" w:rsidP="00A21B5C">
            <w:pPr>
              <w:contextualSpacing/>
              <w:jc w:val="center"/>
              <w:rPr>
                <w:rFonts w:ascii="Arial" w:eastAsia="Times New Roman" w:hAnsi="Arial" w:cs="Arial"/>
                <w:color w:val="000000" w:themeColor="text1"/>
                <w:sz w:val="20"/>
                <w:szCs w:val="22"/>
                <w:lang w:val="es-CO" w:eastAsia="es-CO"/>
              </w:rPr>
            </w:pPr>
          </w:p>
        </w:tc>
      </w:tr>
      <w:tr w:rsidR="00C6555E" w:rsidRPr="00A21B5C" w:rsidTr="00DB3F75">
        <w:trPr>
          <w:trHeight w:val="305"/>
          <w:jc w:val="center"/>
        </w:trPr>
        <w:tc>
          <w:tcPr>
            <w:tcW w:w="2835" w:type="dxa"/>
            <w:tcBorders>
              <w:top w:val="single" w:sz="4" w:space="0" w:color="000000" w:themeColor="text1"/>
              <w:left w:val="nil"/>
              <w:bottom w:val="single" w:sz="4" w:space="0" w:color="1F3864"/>
              <w:right w:val="nil"/>
            </w:tcBorders>
            <w:shd w:val="clear" w:color="auto" w:fill="92CDDC" w:themeFill="accent5" w:themeFillTint="99"/>
            <w:noWrap/>
            <w:vAlign w:val="bottom"/>
            <w:hideMark/>
          </w:tcPr>
          <w:p w:rsidR="00DB3F75" w:rsidRPr="00A21B5C" w:rsidRDefault="00DB3F75" w:rsidP="00A21B5C">
            <w:pPr>
              <w:contextualSpacing/>
              <w:rPr>
                <w:rFonts w:ascii="Arial" w:eastAsia="Times New Roman" w:hAnsi="Arial" w:cs="Arial"/>
                <w:b/>
                <w:bCs/>
                <w:color w:val="595959" w:themeColor="text1" w:themeTint="A6"/>
                <w:sz w:val="22"/>
                <w:szCs w:val="22"/>
                <w:lang w:val="es-CO" w:eastAsia="es-CO"/>
              </w:rPr>
            </w:pPr>
            <w:r w:rsidRPr="00A21B5C">
              <w:rPr>
                <w:rFonts w:ascii="Arial" w:eastAsia="Times New Roman" w:hAnsi="Arial" w:cs="Arial"/>
                <w:b/>
                <w:bCs/>
                <w:color w:val="000000" w:themeColor="text1"/>
                <w:sz w:val="22"/>
                <w:szCs w:val="22"/>
                <w:lang w:val="es-CO" w:eastAsia="es-CO"/>
              </w:rPr>
              <w:t>Recursos disponibles (1)</w:t>
            </w:r>
          </w:p>
        </w:tc>
        <w:tc>
          <w:tcPr>
            <w:tcW w:w="1560" w:type="dxa"/>
            <w:tcBorders>
              <w:top w:val="single" w:sz="4" w:space="0" w:color="000000" w:themeColor="text1"/>
              <w:left w:val="nil"/>
              <w:bottom w:val="single" w:sz="4" w:space="0" w:color="1F3864"/>
              <w:right w:val="single" w:sz="4" w:space="0" w:color="FFFFFF" w:themeColor="background1"/>
            </w:tcBorders>
            <w:shd w:val="clear" w:color="auto" w:fill="92CDDC" w:themeFill="accent5" w:themeFillTint="99"/>
            <w:noWrap/>
            <w:vAlign w:val="center"/>
            <w:hideMark/>
          </w:tcPr>
          <w:p w:rsidR="00DB3F75" w:rsidRPr="00A21B5C" w:rsidRDefault="00DB3F75" w:rsidP="00A21B5C">
            <w:pPr>
              <w:contextualSpacing/>
              <w:jc w:val="right"/>
              <w:rPr>
                <w:rFonts w:ascii="Arial" w:eastAsia="Times New Roman" w:hAnsi="Arial" w:cs="Arial"/>
                <w:b/>
                <w:color w:val="000000"/>
                <w:sz w:val="22"/>
                <w:szCs w:val="22"/>
                <w:lang w:val="es-CO" w:eastAsia="es-CO"/>
              </w:rPr>
            </w:pPr>
            <w:r w:rsidRPr="00A21B5C">
              <w:rPr>
                <w:rFonts w:ascii="Arial" w:eastAsia="Times New Roman" w:hAnsi="Arial" w:cs="Arial"/>
                <w:b/>
                <w:color w:val="000000"/>
                <w:sz w:val="22"/>
                <w:szCs w:val="22"/>
                <w:lang w:val="es-CO" w:eastAsia="es-CO"/>
              </w:rPr>
              <w:t>$4.623.217.303</w:t>
            </w:r>
          </w:p>
        </w:tc>
        <w:tc>
          <w:tcPr>
            <w:tcW w:w="425" w:type="dxa"/>
            <w:tcBorders>
              <w:top w:val="single" w:sz="4" w:space="0" w:color="000000" w:themeColor="text1"/>
              <w:left w:val="single" w:sz="4" w:space="0" w:color="FFFFFF" w:themeColor="background1"/>
              <w:bottom w:val="single" w:sz="4" w:space="0" w:color="1F3864"/>
              <w:right w:val="nil"/>
            </w:tcBorders>
            <w:shd w:val="clear" w:color="auto" w:fill="FFFFFF" w:themeFill="background1"/>
            <w:vAlign w:val="center"/>
          </w:tcPr>
          <w:p w:rsidR="00DB3F75" w:rsidRPr="00A21B5C" w:rsidRDefault="00DB3F75" w:rsidP="00A21B5C">
            <w:pPr>
              <w:contextualSpacing/>
              <w:jc w:val="right"/>
              <w:rPr>
                <w:rFonts w:ascii="Arial" w:eastAsia="Times New Roman" w:hAnsi="Arial" w:cs="Arial"/>
                <w:b/>
                <w:color w:val="000000"/>
                <w:sz w:val="22"/>
                <w:szCs w:val="22"/>
                <w:lang w:val="es-CO" w:eastAsia="es-CO"/>
              </w:rPr>
            </w:pPr>
          </w:p>
        </w:tc>
        <w:tc>
          <w:tcPr>
            <w:tcW w:w="1559" w:type="dxa"/>
            <w:tcBorders>
              <w:top w:val="single" w:sz="4" w:space="0" w:color="000000" w:themeColor="text1"/>
              <w:left w:val="nil"/>
              <w:bottom w:val="single" w:sz="4" w:space="0" w:color="1F3864"/>
              <w:right w:val="single" w:sz="4" w:space="0" w:color="FFFFFF" w:themeColor="background1"/>
            </w:tcBorders>
            <w:shd w:val="clear" w:color="auto" w:fill="92CDDC" w:themeFill="accent5" w:themeFillTint="99"/>
            <w:noWrap/>
            <w:vAlign w:val="center"/>
            <w:hideMark/>
          </w:tcPr>
          <w:p w:rsidR="00DB3F75" w:rsidRPr="00A21B5C" w:rsidRDefault="00DB3F75" w:rsidP="00A21B5C">
            <w:pPr>
              <w:contextualSpacing/>
              <w:jc w:val="right"/>
              <w:rPr>
                <w:rFonts w:ascii="Arial" w:eastAsia="Times New Roman" w:hAnsi="Arial" w:cs="Arial"/>
                <w:b/>
                <w:color w:val="000000"/>
                <w:sz w:val="22"/>
                <w:szCs w:val="22"/>
                <w:lang w:val="es-CO" w:eastAsia="es-CO"/>
              </w:rPr>
            </w:pPr>
            <w:r w:rsidRPr="00A21B5C">
              <w:rPr>
                <w:rFonts w:ascii="Arial" w:eastAsia="Times New Roman" w:hAnsi="Arial" w:cs="Arial"/>
                <w:b/>
                <w:bCs/>
                <w:color w:val="000000"/>
                <w:sz w:val="22"/>
                <w:szCs w:val="22"/>
                <w:lang w:val="es-CO" w:eastAsia="en-US"/>
              </w:rPr>
              <w:t>$4.261.111.654</w:t>
            </w:r>
          </w:p>
        </w:tc>
        <w:tc>
          <w:tcPr>
            <w:tcW w:w="425" w:type="dxa"/>
            <w:tcBorders>
              <w:top w:val="single" w:sz="4" w:space="0" w:color="000000" w:themeColor="text1"/>
              <w:left w:val="single" w:sz="4" w:space="0" w:color="FFFFFF" w:themeColor="background1"/>
              <w:bottom w:val="single" w:sz="4" w:space="0" w:color="1F3864"/>
              <w:right w:val="nil"/>
            </w:tcBorders>
            <w:shd w:val="clear" w:color="auto" w:fill="FFFFFF" w:themeFill="background1"/>
            <w:vAlign w:val="center"/>
          </w:tcPr>
          <w:p w:rsidR="00DB3F75" w:rsidRPr="00A21B5C" w:rsidRDefault="00DB3F75" w:rsidP="00A21B5C">
            <w:pPr>
              <w:contextualSpacing/>
              <w:jc w:val="right"/>
              <w:rPr>
                <w:rFonts w:ascii="Arial" w:eastAsia="Times New Roman" w:hAnsi="Arial" w:cs="Arial"/>
                <w:b/>
                <w:color w:val="000000"/>
                <w:sz w:val="22"/>
                <w:szCs w:val="22"/>
                <w:lang w:val="es-CO" w:eastAsia="es-CO"/>
              </w:rPr>
            </w:pPr>
          </w:p>
        </w:tc>
        <w:tc>
          <w:tcPr>
            <w:tcW w:w="1560" w:type="dxa"/>
            <w:tcBorders>
              <w:top w:val="single" w:sz="4" w:space="0" w:color="000000" w:themeColor="text1"/>
              <w:left w:val="nil"/>
              <w:bottom w:val="single" w:sz="4" w:space="0" w:color="1F3864"/>
              <w:right w:val="single" w:sz="4" w:space="0" w:color="FFFFFF" w:themeColor="background1"/>
            </w:tcBorders>
            <w:shd w:val="clear" w:color="auto" w:fill="92CDDC" w:themeFill="accent5" w:themeFillTint="99"/>
            <w:noWrap/>
            <w:vAlign w:val="center"/>
            <w:hideMark/>
          </w:tcPr>
          <w:p w:rsidR="00DB3F75" w:rsidRPr="00A21B5C" w:rsidRDefault="00DB3F75" w:rsidP="00A21B5C">
            <w:pPr>
              <w:contextualSpacing/>
              <w:jc w:val="right"/>
              <w:rPr>
                <w:rFonts w:ascii="Arial" w:eastAsia="Times New Roman" w:hAnsi="Arial" w:cs="Arial"/>
                <w:b/>
                <w:color w:val="000000"/>
                <w:sz w:val="22"/>
                <w:szCs w:val="22"/>
                <w:lang w:val="es-CO" w:eastAsia="es-CO"/>
              </w:rPr>
            </w:pPr>
            <w:r w:rsidRPr="00A21B5C">
              <w:rPr>
                <w:rFonts w:ascii="Arial" w:eastAsia="Times New Roman" w:hAnsi="Arial" w:cs="Arial"/>
                <w:b/>
                <w:bCs/>
                <w:sz w:val="22"/>
                <w:szCs w:val="22"/>
                <w:lang w:val="es-CO" w:eastAsia="en-US"/>
              </w:rPr>
              <w:t>$4.447.970.943</w:t>
            </w:r>
          </w:p>
        </w:tc>
        <w:tc>
          <w:tcPr>
            <w:tcW w:w="425" w:type="dxa"/>
            <w:tcBorders>
              <w:top w:val="single" w:sz="4" w:space="0" w:color="000000" w:themeColor="text1"/>
              <w:left w:val="single" w:sz="4" w:space="0" w:color="FFFFFF" w:themeColor="background1"/>
              <w:bottom w:val="single" w:sz="4" w:space="0" w:color="1F3864"/>
              <w:right w:val="nil"/>
            </w:tcBorders>
            <w:shd w:val="clear" w:color="auto" w:fill="FFFFFF" w:themeFill="background1"/>
          </w:tcPr>
          <w:p w:rsidR="00DB3F75" w:rsidRPr="00A21B5C" w:rsidRDefault="00DB3F75" w:rsidP="00A21B5C">
            <w:pPr>
              <w:contextualSpacing/>
              <w:jc w:val="center"/>
              <w:rPr>
                <w:rFonts w:ascii="Arial" w:eastAsia="Times New Roman" w:hAnsi="Arial" w:cs="Arial"/>
                <w:b/>
                <w:color w:val="000000"/>
                <w:sz w:val="22"/>
                <w:szCs w:val="22"/>
                <w:lang w:val="es-CO" w:eastAsia="es-CO"/>
              </w:rPr>
            </w:pPr>
          </w:p>
        </w:tc>
        <w:tc>
          <w:tcPr>
            <w:tcW w:w="1559" w:type="dxa"/>
            <w:tcBorders>
              <w:top w:val="single" w:sz="4" w:space="0" w:color="000000" w:themeColor="text1"/>
              <w:left w:val="single" w:sz="4" w:space="0" w:color="FFFFFF" w:themeColor="background1"/>
              <w:bottom w:val="single" w:sz="4" w:space="0" w:color="1F3864"/>
              <w:right w:val="nil"/>
            </w:tcBorders>
            <w:shd w:val="clear" w:color="auto" w:fill="92CDDC" w:themeFill="accent5" w:themeFillTint="99"/>
          </w:tcPr>
          <w:p w:rsidR="00DB3F75" w:rsidRPr="00A21B5C" w:rsidRDefault="00A9653B" w:rsidP="00A21B5C">
            <w:pPr>
              <w:contextualSpacing/>
              <w:jc w:val="right"/>
              <w:rPr>
                <w:rFonts w:ascii="Arial" w:eastAsia="Times New Roman" w:hAnsi="Arial" w:cs="Arial"/>
                <w:b/>
                <w:color w:val="000000"/>
                <w:sz w:val="22"/>
                <w:szCs w:val="22"/>
                <w:lang w:val="es-CO" w:eastAsia="es-CO"/>
              </w:rPr>
            </w:pPr>
            <w:r w:rsidRPr="00A21B5C">
              <w:rPr>
                <w:rFonts w:ascii="Arial" w:eastAsia="Times New Roman" w:hAnsi="Arial" w:cs="Arial"/>
                <w:b/>
                <w:color w:val="000000"/>
                <w:sz w:val="22"/>
                <w:szCs w:val="22"/>
                <w:lang w:val="es-CO" w:eastAsia="es-CO"/>
              </w:rPr>
              <w:t>$6.223.753.892</w:t>
            </w:r>
          </w:p>
        </w:tc>
        <w:tc>
          <w:tcPr>
            <w:tcW w:w="425" w:type="dxa"/>
            <w:tcBorders>
              <w:top w:val="single" w:sz="4" w:space="0" w:color="000000" w:themeColor="text1"/>
              <w:left w:val="single" w:sz="4" w:space="0" w:color="FFFFFF" w:themeColor="background1"/>
              <w:bottom w:val="single" w:sz="4" w:space="0" w:color="1F3864"/>
              <w:right w:val="nil"/>
            </w:tcBorders>
            <w:shd w:val="clear" w:color="auto" w:fill="FFFFFF" w:themeFill="background1"/>
          </w:tcPr>
          <w:p w:rsidR="00DB3F75" w:rsidRPr="00A21B5C" w:rsidRDefault="00DB3F75" w:rsidP="00A21B5C">
            <w:pPr>
              <w:contextualSpacing/>
              <w:jc w:val="center"/>
              <w:rPr>
                <w:rFonts w:ascii="Arial" w:eastAsia="Times New Roman" w:hAnsi="Arial" w:cs="Arial"/>
                <w:b/>
                <w:color w:val="000000"/>
                <w:sz w:val="22"/>
                <w:szCs w:val="22"/>
                <w:lang w:val="es-CO" w:eastAsia="es-CO"/>
              </w:rPr>
            </w:pPr>
          </w:p>
        </w:tc>
      </w:tr>
      <w:tr w:rsidR="00DB3F75" w:rsidRPr="00A21B5C" w:rsidTr="00A96D69">
        <w:trPr>
          <w:trHeight w:val="305"/>
          <w:jc w:val="center"/>
        </w:trPr>
        <w:tc>
          <w:tcPr>
            <w:tcW w:w="2835" w:type="dxa"/>
            <w:tcBorders>
              <w:top w:val="single" w:sz="4" w:space="0" w:color="1F3864"/>
              <w:left w:val="single" w:sz="2" w:space="0" w:color="FFFFFF"/>
              <w:bottom w:val="nil"/>
              <w:right w:val="single" w:sz="2" w:space="0" w:color="FFFFFF"/>
            </w:tcBorders>
            <w:noWrap/>
            <w:vAlign w:val="bottom"/>
          </w:tcPr>
          <w:p w:rsidR="00DB3F75" w:rsidRPr="00A21B5C" w:rsidRDefault="00DB3F75" w:rsidP="00A21B5C">
            <w:pPr>
              <w:contextualSpacing/>
              <w:jc w:val="right"/>
              <w:rPr>
                <w:rFonts w:ascii="Arial" w:eastAsia="Times New Roman" w:hAnsi="Arial" w:cs="Arial"/>
                <w:color w:val="000000"/>
                <w:sz w:val="22"/>
                <w:szCs w:val="22"/>
                <w:lang w:val="es-CO" w:eastAsia="es-CO"/>
              </w:rPr>
            </w:pPr>
          </w:p>
        </w:tc>
        <w:tc>
          <w:tcPr>
            <w:tcW w:w="1560" w:type="dxa"/>
            <w:tcBorders>
              <w:top w:val="single" w:sz="4" w:space="0" w:color="1F3864"/>
              <w:left w:val="single" w:sz="2" w:space="0" w:color="FFFFFF"/>
              <w:bottom w:val="nil"/>
              <w:right w:val="single" w:sz="4" w:space="0" w:color="FFFFFF" w:themeColor="background1"/>
            </w:tcBorders>
            <w:noWrap/>
            <w:vAlign w:val="center"/>
          </w:tcPr>
          <w:p w:rsidR="00DB3F75" w:rsidRPr="00A21B5C" w:rsidRDefault="00DB3F75" w:rsidP="00A21B5C">
            <w:pPr>
              <w:contextualSpacing/>
              <w:jc w:val="right"/>
              <w:rPr>
                <w:rFonts w:ascii="Arial" w:eastAsia="Times New Roman" w:hAnsi="Arial" w:cs="Arial"/>
                <w:sz w:val="20"/>
                <w:szCs w:val="20"/>
                <w:lang w:val="es-CO" w:eastAsia="es-CO"/>
              </w:rPr>
            </w:pPr>
          </w:p>
        </w:tc>
        <w:tc>
          <w:tcPr>
            <w:tcW w:w="425" w:type="dxa"/>
            <w:tcBorders>
              <w:top w:val="single" w:sz="4" w:space="0" w:color="1F3864"/>
              <w:left w:val="single" w:sz="4" w:space="0" w:color="FFFFFF" w:themeColor="background1"/>
              <w:bottom w:val="nil"/>
              <w:right w:val="single" w:sz="2" w:space="0" w:color="FFFFFF"/>
            </w:tcBorders>
            <w:vAlign w:val="center"/>
          </w:tcPr>
          <w:p w:rsidR="00DB3F75" w:rsidRPr="00A21B5C" w:rsidRDefault="00DB3F75" w:rsidP="00A21B5C">
            <w:pPr>
              <w:contextualSpacing/>
              <w:jc w:val="right"/>
              <w:rPr>
                <w:rFonts w:ascii="Arial" w:eastAsia="Times New Roman" w:hAnsi="Arial" w:cs="Arial"/>
                <w:sz w:val="20"/>
                <w:szCs w:val="20"/>
                <w:lang w:val="es-CO" w:eastAsia="es-CO"/>
              </w:rPr>
            </w:pPr>
          </w:p>
        </w:tc>
        <w:tc>
          <w:tcPr>
            <w:tcW w:w="1559" w:type="dxa"/>
            <w:tcBorders>
              <w:top w:val="single" w:sz="4" w:space="0" w:color="1F3864"/>
              <w:left w:val="single" w:sz="2" w:space="0" w:color="FFFFFF"/>
              <w:bottom w:val="nil"/>
              <w:right w:val="single" w:sz="4" w:space="0" w:color="FFFFFF" w:themeColor="background1"/>
            </w:tcBorders>
            <w:noWrap/>
            <w:vAlign w:val="center"/>
          </w:tcPr>
          <w:p w:rsidR="00DB3F75" w:rsidRPr="00A21B5C" w:rsidRDefault="00DB3F75" w:rsidP="00A21B5C">
            <w:pPr>
              <w:contextualSpacing/>
              <w:jc w:val="right"/>
              <w:rPr>
                <w:rFonts w:ascii="Arial" w:eastAsia="Times New Roman" w:hAnsi="Arial" w:cs="Arial"/>
                <w:sz w:val="20"/>
                <w:szCs w:val="20"/>
                <w:lang w:val="es-CO" w:eastAsia="es-CO"/>
              </w:rPr>
            </w:pPr>
          </w:p>
        </w:tc>
        <w:tc>
          <w:tcPr>
            <w:tcW w:w="425" w:type="dxa"/>
            <w:tcBorders>
              <w:top w:val="single" w:sz="4" w:space="0" w:color="1F3864"/>
              <w:left w:val="single" w:sz="4" w:space="0" w:color="FFFFFF" w:themeColor="background1"/>
              <w:bottom w:val="nil"/>
              <w:right w:val="single" w:sz="2" w:space="0" w:color="FFFFFF"/>
            </w:tcBorders>
            <w:vAlign w:val="center"/>
          </w:tcPr>
          <w:p w:rsidR="00DB3F75" w:rsidRPr="00A21B5C" w:rsidRDefault="00DB3F75" w:rsidP="00A21B5C">
            <w:pPr>
              <w:contextualSpacing/>
              <w:jc w:val="right"/>
              <w:rPr>
                <w:rFonts w:ascii="Arial" w:eastAsia="Times New Roman" w:hAnsi="Arial" w:cs="Arial"/>
                <w:sz w:val="20"/>
                <w:szCs w:val="20"/>
                <w:lang w:val="es-CO" w:eastAsia="es-CO"/>
              </w:rPr>
            </w:pPr>
          </w:p>
        </w:tc>
        <w:tc>
          <w:tcPr>
            <w:tcW w:w="1560" w:type="dxa"/>
            <w:tcBorders>
              <w:top w:val="single" w:sz="4" w:space="0" w:color="1F3864"/>
              <w:left w:val="single" w:sz="2" w:space="0" w:color="FFFFFF"/>
              <w:bottom w:val="nil"/>
              <w:right w:val="single" w:sz="4" w:space="0" w:color="FFFFFF" w:themeColor="background1"/>
            </w:tcBorders>
            <w:noWrap/>
            <w:vAlign w:val="center"/>
          </w:tcPr>
          <w:p w:rsidR="00DB3F75" w:rsidRPr="00A21B5C" w:rsidRDefault="00DB3F75" w:rsidP="00A21B5C">
            <w:pPr>
              <w:contextualSpacing/>
              <w:jc w:val="right"/>
              <w:rPr>
                <w:rFonts w:ascii="Arial" w:eastAsia="Times New Roman" w:hAnsi="Arial" w:cs="Arial"/>
                <w:sz w:val="20"/>
                <w:szCs w:val="20"/>
                <w:lang w:val="es-CO" w:eastAsia="es-CO"/>
              </w:rPr>
            </w:pPr>
          </w:p>
        </w:tc>
        <w:tc>
          <w:tcPr>
            <w:tcW w:w="425" w:type="dxa"/>
            <w:tcBorders>
              <w:top w:val="single" w:sz="4" w:space="0" w:color="1F3864"/>
              <w:left w:val="single" w:sz="4" w:space="0" w:color="FFFFFF" w:themeColor="background1"/>
              <w:bottom w:val="nil"/>
              <w:right w:val="single" w:sz="2" w:space="0" w:color="FFFFFF" w:themeColor="background1"/>
            </w:tcBorders>
          </w:tcPr>
          <w:p w:rsidR="00DB3F75" w:rsidRPr="00A21B5C" w:rsidRDefault="00DB3F75" w:rsidP="00A21B5C">
            <w:pPr>
              <w:contextualSpacing/>
              <w:jc w:val="center"/>
              <w:rPr>
                <w:rFonts w:ascii="Arial" w:eastAsia="Times New Roman" w:hAnsi="Arial" w:cs="Arial"/>
                <w:sz w:val="20"/>
                <w:szCs w:val="20"/>
                <w:lang w:val="es-CO" w:eastAsia="es-CO"/>
              </w:rPr>
            </w:pPr>
          </w:p>
        </w:tc>
        <w:tc>
          <w:tcPr>
            <w:tcW w:w="1559" w:type="dxa"/>
            <w:tcBorders>
              <w:top w:val="single" w:sz="4" w:space="0" w:color="1F3864"/>
              <w:left w:val="single" w:sz="4" w:space="0" w:color="FFFFFF" w:themeColor="background1"/>
              <w:bottom w:val="nil"/>
              <w:right w:val="single" w:sz="2" w:space="0" w:color="FFFFFF" w:themeColor="background1"/>
            </w:tcBorders>
          </w:tcPr>
          <w:p w:rsidR="00DB3F75" w:rsidRPr="00A21B5C" w:rsidRDefault="00DB3F75" w:rsidP="00A21B5C">
            <w:pPr>
              <w:contextualSpacing/>
              <w:jc w:val="center"/>
              <w:rPr>
                <w:rFonts w:ascii="Arial" w:eastAsia="Times New Roman" w:hAnsi="Arial" w:cs="Arial"/>
                <w:sz w:val="20"/>
                <w:szCs w:val="20"/>
                <w:lang w:val="es-CO" w:eastAsia="es-CO"/>
              </w:rPr>
            </w:pPr>
          </w:p>
        </w:tc>
        <w:tc>
          <w:tcPr>
            <w:tcW w:w="425" w:type="dxa"/>
            <w:tcBorders>
              <w:top w:val="single" w:sz="4" w:space="0" w:color="1F3864"/>
              <w:left w:val="single" w:sz="4" w:space="0" w:color="FFFFFF" w:themeColor="background1"/>
              <w:bottom w:val="nil"/>
              <w:right w:val="single" w:sz="2" w:space="0" w:color="FFFFFF" w:themeColor="background1"/>
            </w:tcBorders>
          </w:tcPr>
          <w:p w:rsidR="00DB3F75" w:rsidRPr="00A21B5C" w:rsidRDefault="00DB3F75" w:rsidP="00A21B5C">
            <w:pPr>
              <w:contextualSpacing/>
              <w:jc w:val="center"/>
              <w:rPr>
                <w:rFonts w:ascii="Arial" w:eastAsia="Times New Roman" w:hAnsi="Arial" w:cs="Arial"/>
                <w:sz w:val="20"/>
                <w:szCs w:val="20"/>
                <w:lang w:val="es-CO" w:eastAsia="es-CO"/>
              </w:rPr>
            </w:pPr>
          </w:p>
        </w:tc>
      </w:tr>
      <w:tr w:rsidR="00C6555E" w:rsidRPr="00A21B5C" w:rsidTr="00B30CD5">
        <w:trPr>
          <w:trHeight w:val="305"/>
          <w:jc w:val="center"/>
        </w:trPr>
        <w:tc>
          <w:tcPr>
            <w:tcW w:w="2835" w:type="dxa"/>
            <w:tcBorders>
              <w:top w:val="single" w:sz="4" w:space="0" w:color="000000" w:themeColor="text1"/>
              <w:left w:val="nil"/>
              <w:bottom w:val="single" w:sz="4" w:space="0" w:color="FFFFFF" w:themeColor="background1"/>
              <w:right w:val="nil"/>
            </w:tcBorders>
            <w:shd w:val="clear" w:color="auto" w:fill="92CDDC" w:themeFill="accent5" w:themeFillTint="99"/>
            <w:noWrap/>
            <w:vAlign w:val="bottom"/>
            <w:hideMark/>
          </w:tcPr>
          <w:p w:rsidR="00DB3F75" w:rsidRPr="00A21B5C" w:rsidRDefault="00DB3F75" w:rsidP="00A21B5C">
            <w:pPr>
              <w:contextualSpacing/>
              <w:rPr>
                <w:rFonts w:ascii="Arial" w:eastAsia="Times New Roman" w:hAnsi="Arial" w:cs="Arial"/>
                <w:b/>
                <w:bCs/>
                <w:color w:val="000000"/>
                <w:sz w:val="22"/>
                <w:szCs w:val="22"/>
                <w:lang w:val="es-CO" w:eastAsia="es-CO"/>
              </w:rPr>
            </w:pPr>
            <w:r w:rsidRPr="00A21B5C">
              <w:rPr>
                <w:rFonts w:ascii="Arial" w:eastAsia="Times New Roman" w:hAnsi="Arial" w:cs="Arial"/>
                <w:b/>
                <w:bCs/>
                <w:color w:val="000000"/>
                <w:sz w:val="22"/>
                <w:szCs w:val="22"/>
                <w:lang w:val="es-CO" w:eastAsia="es-CO"/>
              </w:rPr>
              <w:t>Compromisos (2)</w:t>
            </w:r>
          </w:p>
        </w:tc>
        <w:tc>
          <w:tcPr>
            <w:tcW w:w="1560" w:type="dxa"/>
            <w:tcBorders>
              <w:top w:val="single" w:sz="4" w:space="0" w:color="000000" w:themeColor="text1"/>
              <w:left w:val="nil"/>
              <w:bottom w:val="single" w:sz="4" w:space="0" w:color="FFFFFF" w:themeColor="background1"/>
              <w:right w:val="single" w:sz="4" w:space="0" w:color="FFFFFF" w:themeColor="background1"/>
            </w:tcBorders>
            <w:shd w:val="clear" w:color="auto" w:fill="92CDDC" w:themeFill="accent5" w:themeFillTint="99"/>
            <w:noWrap/>
            <w:vAlign w:val="center"/>
            <w:hideMark/>
          </w:tcPr>
          <w:p w:rsidR="00DB3F75" w:rsidRPr="00A21B5C" w:rsidRDefault="00DB3F75" w:rsidP="00A21B5C">
            <w:pPr>
              <w:contextualSpacing/>
              <w:jc w:val="right"/>
              <w:rPr>
                <w:rFonts w:ascii="Arial" w:eastAsia="Times New Roman" w:hAnsi="Arial" w:cs="Arial"/>
                <w:sz w:val="22"/>
                <w:szCs w:val="22"/>
                <w:lang w:val="es-CO" w:eastAsia="es-CO"/>
              </w:rPr>
            </w:pPr>
            <w:r w:rsidRPr="00A21B5C">
              <w:rPr>
                <w:rFonts w:ascii="Arial" w:eastAsia="Times New Roman" w:hAnsi="Arial" w:cs="Arial"/>
                <w:sz w:val="22"/>
                <w:szCs w:val="22"/>
                <w:lang w:val="es-CO" w:eastAsia="es-CO"/>
              </w:rPr>
              <w:t>$2.220.413.730</w:t>
            </w:r>
          </w:p>
        </w:tc>
        <w:tc>
          <w:tcPr>
            <w:tcW w:w="425" w:type="dxa"/>
            <w:vMerge w:val="restart"/>
            <w:tcBorders>
              <w:top w:val="single" w:sz="4" w:space="0" w:color="000000" w:themeColor="text1"/>
              <w:left w:val="single" w:sz="4" w:space="0" w:color="FFFFFF" w:themeColor="background1"/>
              <w:bottom w:val="single" w:sz="4" w:space="0" w:color="000000" w:themeColor="text1"/>
              <w:right w:val="nil"/>
            </w:tcBorders>
            <w:shd w:val="clear" w:color="auto" w:fill="FFFFFF" w:themeFill="background1"/>
            <w:vAlign w:val="center"/>
            <w:hideMark/>
          </w:tcPr>
          <w:p w:rsidR="00DB3F75" w:rsidRPr="00A21B5C" w:rsidRDefault="00DB3F75" w:rsidP="00A21B5C">
            <w:pPr>
              <w:contextualSpacing/>
              <w:jc w:val="center"/>
              <w:rPr>
                <w:rFonts w:ascii="Arial" w:eastAsia="Times New Roman" w:hAnsi="Arial" w:cs="Arial"/>
                <w:b/>
                <w:sz w:val="22"/>
                <w:szCs w:val="22"/>
                <w:lang w:val="es-CO" w:eastAsia="es-CO"/>
              </w:rPr>
            </w:pPr>
          </w:p>
        </w:tc>
        <w:tc>
          <w:tcPr>
            <w:tcW w:w="1559" w:type="dxa"/>
            <w:tcBorders>
              <w:top w:val="single" w:sz="4" w:space="0" w:color="000000" w:themeColor="text1"/>
              <w:left w:val="nil"/>
              <w:bottom w:val="single" w:sz="4" w:space="0" w:color="FFFFFF" w:themeColor="background1"/>
              <w:right w:val="single" w:sz="4" w:space="0" w:color="FFFFFF" w:themeColor="background1"/>
            </w:tcBorders>
            <w:shd w:val="clear" w:color="auto" w:fill="92CDDC" w:themeFill="accent5" w:themeFillTint="99"/>
            <w:noWrap/>
            <w:vAlign w:val="center"/>
            <w:hideMark/>
          </w:tcPr>
          <w:p w:rsidR="00DB3F75" w:rsidRPr="00A21B5C" w:rsidRDefault="00DB3F75" w:rsidP="00A21B5C">
            <w:pPr>
              <w:contextualSpacing/>
              <w:jc w:val="right"/>
              <w:rPr>
                <w:rFonts w:ascii="Arial" w:eastAsia="Times New Roman" w:hAnsi="Arial" w:cs="Arial"/>
                <w:color w:val="000000"/>
                <w:sz w:val="22"/>
                <w:szCs w:val="22"/>
                <w:lang w:val="es-CO" w:eastAsia="es-CO"/>
              </w:rPr>
            </w:pPr>
            <w:r w:rsidRPr="00A21B5C">
              <w:rPr>
                <w:rFonts w:ascii="Arial" w:eastAsia="Times New Roman" w:hAnsi="Arial" w:cs="Arial"/>
                <w:color w:val="000000"/>
                <w:sz w:val="22"/>
                <w:szCs w:val="22"/>
                <w:lang w:val="es-CO" w:eastAsia="es-CO"/>
              </w:rPr>
              <w:t>$1.724.613.288</w:t>
            </w:r>
          </w:p>
        </w:tc>
        <w:tc>
          <w:tcPr>
            <w:tcW w:w="425" w:type="dxa"/>
            <w:vMerge w:val="restart"/>
            <w:tcBorders>
              <w:top w:val="single" w:sz="4" w:space="0" w:color="000000" w:themeColor="text1"/>
              <w:left w:val="single" w:sz="4" w:space="0" w:color="FFFFFF" w:themeColor="background1"/>
              <w:bottom w:val="single" w:sz="4" w:space="0" w:color="000000" w:themeColor="text1"/>
              <w:right w:val="nil"/>
            </w:tcBorders>
            <w:shd w:val="clear" w:color="auto" w:fill="FFFFFF" w:themeFill="background1"/>
            <w:vAlign w:val="center"/>
          </w:tcPr>
          <w:p w:rsidR="00DB3F75" w:rsidRPr="00A21B5C" w:rsidRDefault="00DB3F75" w:rsidP="00A21B5C">
            <w:pPr>
              <w:contextualSpacing/>
              <w:jc w:val="right"/>
              <w:rPr>
                <w:rFonts w:ascii="Arial" w:eastAsia="Times New Roman" w:hAnsi="Arial" w:cs="Arial"/>
                <w:color w:val="000000"/>
                <w:sz w:val="22"/>
                <w:szCs w:val="22"/>
                <w:lang w:val="es-CO" w:eastAsia="es-CO"/>
              </w:rPr>
            </w:pPr>
          </w:p>
        </w:tc>
        <w:tc>
          <w:tcPr>
            <w:tcW w:w="1560" w:type="dxa"/>
            <w:tcBorders>
              <w:top w:val="single" w:sz="4" w:space="0" w:color="000000" w:themeColor="text1"/>
              <w:left w:val="nil"/>
              <w:bottom w:val="single" w:sz="4" w:space="0" w:color="FFFFFF" w:themeColor="background1"/>
              <w:right w:val="single" w:sz="4" w:space="0" w:color="FFFFFF" w:themeColor="background1"/>
            </w:tcBorders>
            <w:shd w:val="clear" w:color="auto" w:fill="92CDDC" w:themeFill="accent5" w:themeFillTint="99"/>
            <w:noWrap/>
            <w:vAlign w:val="center"/>
            <w:hideMark/>
          </w:tcPr>
          <w:p w:rsidR="00DB3F75" w:rsidRPr="00A21B5C" w:rsidRDefault="00DB3F75" w:rsidP="00A21B5C">
            <w:pPr>
              <w:contextualSpacing/>
              <w:jc w:val="right"/>
              <w:rPr>
                <w:rFonts w:ascii="Arial" w:eastAsia="Times New Roman" w:hAnsi="Arial" w:cs="Arial"/>
                <w:color w:val="000000"/>
                <w:sz w:val="22"/>
                <w:szCs w:val="22"/>
                <w:lang w:val="es-CO" w:eastAsia="es-CO"/>
              </w:rPr>
            </w:pPr>
            <w:r w:rsidRPr="00A21B5C">
              <w:rPr>
                <w:rFonts w:ascii="Arial" w:eastAsia="Times New Roman" w:hAnsi="Arial" w:cs="Arial"/>
                <w:color w:val="000000"/>
                <w:sz w:val="22"/>
                <w:szCs w:val="22"/>
                <w:lang w:val="es-CO" w:eastAsia="en-US"/>
              </w:rPr>
              <w:t>$352.587.500</w:t>
            </w:r>
          </w:p>
        </w:tc>
        <w:tc>
          <w:tcPr>
            <w:tcW w:w="425" w:type="dxa"/>
            <w:vMerge w:val="restart"/>
            <w:tcBorders>
              <w:top w:val="single" w:sz="4" w:space="0" w:color="000000" w:themeColor="text1"/>
              <w:left w:val="single" w:sz="4" w:space="0" w:color="FFFFFF" w:themeColor="background1"/>
              <w:bottom w:val="single" w:sz="4" w:space="0" w:color="000000" w:themeColor="text1"/>
              <w:right w:val="nil"/>
            </w:tcBorders>
            <w:shd w:val="clear" w:color="auto" w:fill="FFFFFF" w:themeFill="background1"/>
          </w:tcPr>
          <w:p w:rsidR="00DB3F75" w:rsidRPr="00A21B5C" w:rsidRDefault="00DB3F75" w:rsidP="00A21B5C">
            <w:pPr>
              <w:contextualSpacing/>
              <w:jc w:val="center"/>
              <w:rPr>
                <w:rFonts w:ascii="Arial" w:eastAsia="Times New Roman" w:hAnsi="Arial" w:cs="Arial"/>
                <w:color w:val="000000"/>
                <w:sz w:val="20"/>
                <w:szCs w:val="22"/>
                <w:lang w:val="es-CO" w:eastAsia="es-CO"/>
              </w:rPr>
            </w:pPr>
          </w:p>
        </w:tc>
        <w:tc>
          <w:tcPr>
            <w:tcW w:w="1559" w:type="dxa"/>
            <w:tcBorders>
              <w:top w:val="single" w:sz="4" w:space="0" w:color="000000" w:themeColor="text1"/>
              <w:left w:val="single" w:sz="4" w:space="0" w:color="FFFFFF" w:themeColor="background1"/>
              <w:bottom w:val="single" w:sz="4" w:space="0" w:color="FFFFFF" w:themeColor="background1"/>
              <w:right w:val="nil"/>
            </w:tcBorders>
            <w:shd w:val="clear" w:color="auto" w:fill="92CDDC" w:themeFill="accent5" w:themeFillTint="99"/>
          </w:tcPr>
          <w:p w:rsidR="00DB3F75" w:rsidRPr="00A21B5C" w:rsidRDefault="00EF7041" w:rsidP="00A21B5C">
            <w:pPr>
              <w:contextualSpacing/>
              <w:jc w:val="right"/>
              <w:rPr>
                <w:rFonts w:ascii="Arial" w:eastAsia="Times New Roman" w:hAnsi="Arial" w:cs="Arial"/>
                <w:color w:val="000000"/>
                <w:sz w:val="22"/>
                <w:szCs w:val="22"/>
                <w:lang w:val="es-CO" w:eastAsia="es-CO"/>
              </w:rPr>
            </w:pPr>
            <w:r w:rsidRPr="00A21B5C">
              <w:rPr>
                <w:rFonts w:ascii="Arial" w:eastAsia="Times New Roman" w:hAnsi="Arial" w:cs="Arial"/>
                <w:color w:val="000000"/>
                <w:sz w:val="22"/>
                <w:szCs w:val="22"/>
                <w:lang w:val="es-CO" w:eastAsia="es-CO"/>
              </w:rPr>
              <w:t>$3.728.288.628</w:t>
            </w:r>
          </w:p>
        </w:tc>
        <w:tc>
          <w:tcPr>
            <w:tcW w:w="425" w:type="dxa"/>
            <w:tcBorders>
              <w:top w:val="single" w:sz="4" w:space="0" w:color="000000" w:themeColor="text1"/>
              <w:left w:val="single" w:sz="4" w:space="0" w:color="FFFFFF" w:themeColor="background1"/>
              <w:bottom w:val="single" w:sz="4" w:space="0" w:color="FFFFFF" w:themeColor="background1"/>
              <w:right w:val="nil"/>
            </w:tcBorders>
            <w:shd w:val="clear" w:color="auto" w:fill="FFFFFF" w:themeFill="background1"/>
          </w:tcPr>
          <w:p w:rsidR="00DB3F75" w:rsidRPr="00A21B5C" w:rsidRDefault="00DB3F75" w:rsidP="00A21B5C">
            <w:pPr>
              <w:contextualSpacing/>
              <w:jc w:val="center"/>
              <w:rPr>
                <w:rFonts w:ascii="Arial" w:eastAsia="Times New Roman" w:hAnsi="Arial" w:cs="Arial"/>
                <w:color w:val="000000"/>
                <w:sz w:val="20"/>
                <w:szCs w:val="22"/>
                <w:lang w:val="es-CO" w:eastAsia="es-CO"/>
              </w:rPr>
            </w:pPr>
          </w:p>
        </w:tc>
      </w:tr>
      <w:tr w:rsidR="00C6555E" w:rsidRPr="00A21B5C" w:rsidTr="00B30CD5">
        <w:trPr>
          <w:trHeight w:val="305"/>
          <w:jc w:val="center"/>
        </w:trPr>
        <w:tc>
          <w:tcPr>
            <w:tcW w:w="2835" w:type="dxa"/>
            <w:tcBorders>
              <w:top w:val="single" w:sz="4" w:space="0" w:color="FFFFFF" w:themeColor="background1"/>
              <w:left w:val="nil"/>
              <w:bottom w:val="single" w:sz="4" w:space="0" w:color="000000" w:themeColor="text1"/>
              <w:right w:val="nil"/>
            </w:tcBorders>
            <w:shd w:val="clear" w:color="auto" w:fill="FFFFFF" w:themeFill="background1"/>
            <w:noWrap/>
            <w:vAlign w:val="center"/>
            <w:hideMark/>
          </w:tcPr>
          <w:p w:rsidR="00DB3F75" w:rsidRPr="00A21B5C" w:rsidRDefault="00DB3F75" w:rsidP="00A21B5C">
            <w:pPr>
              <w:contextualSpacing/>
              <w:rPr>
                <w:rFonts w:ascii="Arial" w:eastAsia="Times New Roman" w:hAnsi="Arial" w:cs="Arial"/>
                <w:bCs/>
                <w:color w:val="000000"/>
                <w:sz w:val="18"/>
                <w:szCs w:val="22"/>
                <w:lang w:val="es-CO" w:eastAsia="es-CO"/>
              </w:rPr>
            </w:pPr>
            <w:r w:rsidRPr="00A21B5C">
              <w:rPr>
                <w:rFonts w:ascii="Arial" w:eastAsia="Times New Roman" w:hAnsi="Arial" w:cs="Arial"/>
                <w:bCs/>
                <w:color w:val="000000"/>
                <w:sz w:val="18"/>
                <w:szCs w:val="22"/>
                <w:lang w:val="es-CO" w:eastAsia="es-CO"/>
              </w:rPr>
              <w:t xml:space="preserve">   </w:t>
            </w:r>
            <w:r w:rsidRPr="00A21B5C">
              <w:rPr>
                <w:rFonts w:ascii="Arial" w:eastAsia="Times New Roman" w:hAnsi="Arial" w:cs="Arial"/>
                <w:bCs/>
                <w:color w:val="595959" w:themeColor="text1" w:themeTint="A6"/>
                <w:sz w:val="18"/>
                <w:szCs w:val="22"/>
                <w:lang w:val="es-CO" w:eastAsia="es-CO"/>
              </w:rPr>
              <w:t>Valor de los contratos de ejecución</w:t>
            </w:r>
            <w:r w:rsidRPr="00A21B5C">
              <w:rPr>
                <w:rStyle w:val="Refdenotaalpie"/>
                <w:rFonts w:ascii="Arial" w:eastAsia="Times New Roman" w:hAnsi="Arial" w:cs="Arial"/>
                <w:bCs/>
                <w:color w:val="595959" w:themeColor="text1" w:themeTint="A6"/>
                <w:sz w:val="18"/>
                <w:szCs w:val="22"/>
                <w:lang w:val="es-CO" w:eastAsia="es-CO"/>
              </w:rPr>
              <w:footnoteReference w:id="5"/>
            </w:r>
          </w:p>
        </w:tc>
        <w:tc>
          <w:tcPr>
            <w:tcW w:w="1560" w:type="dxa"/>
            <w:tcBorders>
              <w:top w:val="single" w:sz="4" w:space="0" w:color="FFFFFF" w:themeColor="background1"/>
              <w:left w:val="nil"/>
              <w:bottom w:val="single" w:sz="4" w:space="0" w:color="000000" w:themeColor="text1"/>
              <w:right w:val="single" w:sz="4" w:space="0" w:color="FFFFFF" w:themeColor="background1"/>
            </w:tcBorders>
            <w:shd w:val="clear" w:color="auto" w:fill="FFFFFF" w:themeFill="background1"/>
            <w:noWrap/>
            <w:vAlign w:val="center"/>
            <w:hideMark/>
          </w:tcPr>
          <w:p w:rsidR="00DB3F75" w:rsidRPr="00A21B5C" w:rsidRDefault="00DB3F75" w:rsidP="00A21B5C">
            <w:pPr>
              <w:contextualSpacing/>
              <w:jc w:val="right"/>
              <w:rPr>
                <w:rFonts w:ascii="Arial" w:eastAsia="Times New Roman" w:hAnsi="Arial" w:cs="Arial"/>
                <w:color w:val="C00000"/>
                <w:sz w:val="18"/>
                <w:szCs w:val="22"/>
                <w:lang w:val="es-CO" w:eastAsia="es-CO"/>
              </w:rPr>
            </w:pPr>
            <w:r w:rsidRPr="00A21B5C">
              <w:rPr>
                <w:rFonts w:ascii="Arial" w:hAnsi="Arial" w:cs="Arial"/>
                <w:sz w:val="18"/>
                <w:szCs w:val="22"/>
                <w:lang w:val="es-CO"/>
              </w:rPr>
              <w:t>$2.220.413.730</w:t>
            </w:r>
          </w:p>
        </w:tc>
        <w:tc>
          <w:tcPr>
            <w:tcW w:w="425" w:type="dxa"/>
            <w:vMerge/>
            <w:tcBorders>
              <w:top w:val="single" w:sz="4" w:space="0" w:color="000000" w:themeColor="text1"/>
              <w:left w:val="single" w:sz="4" w:space="0" w:color="FFFFFF" w:themeColor="background1"/>
              <w:bottom w:val="single" w:sz="4" w:space="0" w:color="000000" w:themeColor="text1"/>
              <w:right w:val="nil"/>
            </w:tcBorders>
            <w:vAlign w:val="center"/>
            <w:hideMark/>
          </w:tcPr>
          <w:p w:rsidR="00DB3F75" w:rsidRPr="00A21B5C" w:rsidRDefault="00DB3F75" w:rsidP="00A21B5C">
            <w:pPr>
              <w:contextualSpacing/>
              <w:rPr>
                <w:rFonts w:ascii="Arial" w:eastAsia="Times New Roman" w:hAnsi="Arial" w:cs="Arial"/>
                <w:b/>
                <w:color w:val="C00000"/>
                <w:sz w:val="22"/>
                <w:szCs w:val="22"/>
                <w:lang w:val="es-CO" w:eastAsia="es-CO"/>
              </w:rPr>
            </w:pPr>
          </w:p>
        </w:tc>
        <w:tc>
          <w:tcPr>
            <w:tcW w:w="1559" w:type="dxa"/>
            <w:tcBorders>
              <w:top w:val="single" w:sz="4" w:space="0" w:color="FFFFFF" w:themeColor="background1"/>
              <w:left w:val="nil"/>
              <w:bottom w:val="single" w:sz="4" w:space="0" w:color="000000" w:themeColor="text1"/>
              <w:right w:val="single" w:sz="4" w:space="0" w:color="FFFFFF" w:themeColor="background1"/>
            </w:tcBorders>
            <w:shd w:val="clear" w:color="auto" w:fill="FFFFFF" w:themeFill="background1"/>
            <w:noWrap/>
            <w:vAlign w:val="center"/>
            <w:hideMark/>
          </w:tcPr>
          <w:p w:rsidR="00DB3F75" w:rsidRPr="00A21B5C" w:rsidRDefault="00DB3F75" w:rsidP="00A21B5C">
            <w:pPr>
              <w:contextualSpacing/>
              <w:jc w:val="right"/>
              <w:rPr>
                <w:rFonts w:ascii="Arial" w:eastAsia="Times New Roman" w:hAnsi="Arial" w:cs="Arial"/>
                <w:color w:val="000000"/>
                <w:sz w:val="20"/>
                <w:szCs w:val="22"/>
                <w:lang w:val="es-CO" w:eastAsia="es-CO"/>
              </w:rPr>
            </w:pPr>
            <w:r w:rsidRPr="00A21B5C">
              <w:rPr>
                <w:rFonts w:ascii="Arial" w:eastAsia="Calibri" w:hAnsi="Arial" w:cs="Arial"/>
                <w:color w:val="595959" w:themeColor="text1" w:themeTint="A6"/>
                <w:sz w:val="18"/>
                <w:szCs w:val="22"/>
                <w:lang w:val="es-CO" w:eastAsia="en-US"/>
              </w:rPr>
              <w:t>$1.724.613.287</w:t>
            </w:r>
          </w:p>
        </w:tc>
        <w:tc>
          <w:tcPr>
            <w:tcW w:w="425" w:type="dxa"/>
            <w:vMerge/>
            <w:tcBorders>
              <w:top w:val="single" w:sz="4" w:space="0" w:color="000000" w:themeColor="text1"/>
              <w:left w:val="single" w:sz="4" w:space="0" w:color="FFFFFF" w:themeColor="background1"/>
              <w:bottom w:val="single" w:sz="4" w:space="0" w:color="000000" w:themeColor="text1"/>
              <w:right w:val="nil"/>
            </w:tcBorders>
            <w:vAlign w:val="center"/>
            <w:hideMark/>
          </w:tcPr>
          <w:p w:rsidR="00DB3F75" w:rsidRPr="00A21B5C" w:rsidRDefault="00DB3F75" w:rsidP="00A21B5C">
            <w:pPr>
              <w:contextualSpacing/>
              <w:rPr>
                <w:rFonts w:ascii="Arial" w:eastAsia="Times New Roman" w:hAnsi="Arial" w:cs="Arial"/>
                <w:color w:val="000000"/>
                <w:sz w:val="22"/>
                <w:szCs w:val="22"/>
                <w:lang w:val="es-CO" w:eastAsia="es-CO"/>
              </w:rPr>
            </w:pPr>
          </w:p>
        </w:tc>
        <w:tc>
          <w:tcPr>
            <w:tcW w:w="1560" w:type="dxa"/>
            <w:tcBorders>
              <w:top w:val="single" w:sz="4" w:space="0" w:color="FFFFFF" w:themeColor="background1"/>
              <w:left w:val="nil"/>
              <w:bottom w:val="single" w:sz="4" w:space="0" w:color="000000" w:themeColor="text1"/>
              <w:right w:val="single" w:sz="4" w:space="0" w:color="FFFFFF" w:themeColor="background1"/>
            </w:tcBorders>
            <w:shd w:val="clear" w:color="auto" w:fill="FFFFFF" w:themeFill="background1"/>
            <w:noWrap/>
            <w:vAlign w:val="center"/>
            <w:hideMark/>
          </w:tcPr>
          <w:p w:rsidR="00DB3F75" w:rsidRPr="00A21B5C" w:rsidRDefault="00DB3F75" w:rsidP="00A21B5C">
            <w:pPr>
              <w:contextualSpacing/>
              <w:jc w:val="right"/>
              <w:rPr>
                <w:rFonts w:ascii="Arial" w:eastAsia="Calibri" w:hAnsi="Arial" w:cs="Arial"/>
                <w:color w:val="595959" w:themeColor="text1" w:themeTint="A6"/>
                <w:sz w:val="18"/>
                <w:szCs w:val="22"/>
                <w:lang w:val="es-CO" w:eastAsia="en-US"/>
              </w:rPr>
            </w:pPr>
            <w:r w:rsidRPr="00A21B5C">
              <w:rPr>
                <w:rFonts w:ascii="Arial" w:eastAsia="Calibri" w:hAnsi="Arial" w:cs="Arial"/>
                <w:color w:val="595959" w:themeColor="text1" w:themeTint="A6"/>
                <w:sz w:val="18"/>
                <w:szCs w:val="22"/>
                <w:lang w:val="es-CO" w:eastAsia="en-US"/>
              </w:rPr>
              <w:t>$352.587.500</w:t>
            </w:r>
          </w:p>
        </w:tc>
        <w:tc>
          <w:tcPr>
            <w:tcW w:w="425" w:type="dxa"/>
            <w:vMerge/>
            <w:tcBorders>
              <w:top w:val="single" w:sz="4" w:space="0" w:color="000000" w:themeColor="text1"/>
              <w:left w:val="single" w:sz="4" w:space="0" w:color="FFFFFF" w:themeColor="background1"/>
              <w:bottom w:val="single" w:sz="4" w:space="0" w:color="000000" w:themeColor="text1"/>
              <w:right w:val="nil"/>
            </w:tcBorders>
            <w:vAlign w:val="center"/>
            <w:hideMark/>
          </w:tcPr>
          <w:p w:rsidR="00DB3F75" w:rsidRPr="00A21B5C" w:rsidRDefault="00DB3F75" w:rsidP="00A21B5C">
            <w:pPr>
              <w:contextualSpacing/>
              <w:rPr>
                <w:rFonts w:ascii="Arial" w:eastAsia="Times New Roman" w:hAnsi="Arial" w:cs="Arial"/>
                <w:color w:val="000000"/>
                <w:sz w:val="20"/>
                <w:szCs w:val="22"/>
                <w:lang w:val="es-CO" w:eastAsia="es-CO"/>
              </w:rPr>
            </w:pPr>
          </w:p>
        </w:tc>
        <w:tc>
          <w:tcPr>
            <w:tcW w:w="1559" w:type="dxa"/>
            <w:tcBorders>
              <w:top w:val="single" w:sz="4" w:space="0" w:color="FFFFFF" w:themeColor="background1"/>
              <w:left w:val="single" w:sz="4" w:space="0" w:color="FFFFFF" w:themeColor="background1"/>
              <w:bottom w:val="single" w:sz="4" w:space="0" w:color="000000" w:themeColor="text1"/>
              <w:right w:val="nil"/>
            </w:tcBorders>
          </w:tcPr>
          <w:p w:rsidR="00DB3F75" w:rsidRPr="00A21B5C" w:rsidRDefault="00EF7041" w:rsidP="00A21B5C">
            <w:pPr>
              <w:contextualSpacing/>
              <w:jc w:val="right"/>
              <w:rPr>
                <w:rFonts w:ascii="Arial" w:eastAsia="Times New Roman" w:hAnsi="Arial" w:cs="Arial"/>
                <w:color w:val="000000"/>
                <w:sz w:val="20"/>
                <w:szCs w:val="22"/>
                <w:lang w:val="es-CO" w:eastAsia="es-CO"/>
              </w:rPr>
            </w:pPr>
            <w:r w:rsidRPr="00A21B5C">
              <w:rPr>
                <w:rFonts w:ascii="Arial" w:eastAsia="Times New Roman" w:hAnsi="Arial" w:cs="Arial"/>
                <w:color w:val="000000"/>
                <w:sz w:val="20"/>
                <w:szCs w:val="22"/>
                <w:lang w:val="es-CO" w:eastAsia="es-CO"/>
              </w:rPr>
              <w:t>-</w:t>
            </w:r>
          </w:p>
        </w:tc>
        <w:tc>
          <w:tcPr>
            <w:tcW w:w="425" w:type="dxa"/>
            <w:tcBorders>
              <w:top w:val="single" w:sz="4" w:space="0" w:color="FFFFFF" w:themeColor="background1"/>
              <w:left w:val="single" w:sz="4" w:space="0" w:color="FFFFFF" w:themeColor="background1"/>
              <w:bottom w:val="single" w:sz="4" w:space="0" w:color="000000" w:themeColor="text1"/>
              <w:right w:val="nil"/>
            </w:tcBorders>
          </w:tcPr>
          <w:p w:rsidR="00DB3F75" w:rsidRPr="00A21B5C" w:rsidRDefault="00DB3F75" w:rsidP="00A21B5C">
            <w:pPr>
              <w:contextualSpacing/>
              <w:rPr>
                <w:rFonts w:ascii="Arial" w:eastAsia="Times New Roman" w:hAnsi="Arial" w:cs="Arial"/>
                <w:color w:val="000000"/>
                <w:sz w:val="20"/>
                <w:szCs w:val="22"/>
                <w:lang w:val="es-CO" w:eastAsia="es-CO"/>
              </w:rPr>
            </w:pPr>
          </w:p>
        </w:tc>
      </w:tr>
      <w:tr w:rsidR="00DB3F75" w:rsidRPr="00A21B5C" w:rsidTr="00A96D69">
        <w:trPr>
          <w:trHeight w:val="305"/>
          <w:jc w:val="center"/>
        </w:trPr>
        <w:tc>
          <w:tcPr>
            <w:tcW w:w="2835" w:type="dxa"/>
            <w:tcBorders>
              <w:top w:val="single" w:sz="4" w:space="0" w:color="000000" w:themeColor="text1"/>
              <w:left w:val="nil"/>
              <w:bottom w:val="single" w:sz="4" w:space="0" w:color="000000" w:themeColor="text1"/>
              <w:right w:val="nil"/>
            </w:tcBorders>
            <w:noWrap/>
            <w:vAlign w:val="center"/>
            <w:hideMark/>
          </w:tcPr>
          <w:p w:rsidR="00DB3F75" w:rsidRPr="00A21B5C" w:rsidRDefault="00DB3F75" w:rsidP="00A21B5C">
            <w:pPr>
              <w:contextualSpacing/>
              <w:rPr>
                <w:rFonts w:ascii="Arial" w:eastAsia="Times New Roman" w:hAnsi="Arial" w:cs="Arial"/>
                <w:bCs/>
                <w:color w:val="000000"/>
                <w:sz w:val="22"/>
                <w:szCs w:val="22"/>
                <w:lang w:val="es-CO" w:eastAsia="es-CO"/>
              </w:rPr>
            </w:pPr>
            <w:r w:rsidRPr="00A21B5C">
              <w:rPr>
                <w:rFonts w:ascii="Arial" w:eastAsia="Times New Roman" w:hAnsi="Arial" w:cs="Arial"/>
                <w:bCs/>
                <w:color w:val="000000"/>
                <w:sz w:val="22"/>
                <w:szCs w:val="22"/>
                <w:lang w:val="es-CO" w:eastAsia="es-CO"/>
              </w:rPr>
              <w:t>Obligaciones (3)</w:t>
            </w:r>
          </w:p>
        </w:tc>
        <w:tc>
          <w:tcPr>
            <w:tcW w:w="1560" w:type="dxa"/>
            <w:tcBorders>
              <w:top w:val="single" w:sz="4" w:space="0" w:color="000000" w:themeColor="text1"/>
              <w:left w:val="nil"/>
              <w:bottom w:val="single" w:sz="4" w:space="0" w:color="000000" w:themeColor="text1"/>
              <w:right w:val="single" w:sz="4" w:space="0" w:color="FFFFFF" w:themeColor="background1"/>
            </w:tcBorders>
            <w:noWrap/>
            <w:vAlign w:val="center"/>
            <w:hideMark/>
          </w:tcPr>
          <w:p w:rsidR="00DB3F75" w:rsidRPr="00A21B5C" w:rsidRDefault="00DB3F75" w:rsidP="00A21B5C">
            <w:pPr>
              <w:contextualSpacing/>
              <w:jc w:val="right"/>
              <w:rPr>
                <w:rFonts w:ascii="Arial" w:eastAsia="Times New Roman" w:hAnsi="Arial" w:cs="Arial"/>
                <w:sz w:val="22"/>
                <w:szCs w:val="22"/>
                <w:lang w:val="es-CO" w:eastAsia="es-CO"/>
              </w:rPr>
            </w:pPr>
            <w:r w:rsidRPr="00A21B5C">
              <w:rPr>
                <w:rFonts w:ascii="Arial" w:eastAsia="Times New Roman" w:hAnsi="Arial" w:cs="Arial"/>
                <w:color w:val="C00000"/>
                <w:sz w:val="22"/>
                <w:szCs w:val="22"/>
                <w:lang w:val="es-CO" w:eastAsia="es-CO"/>
              </w:rPr>
              <w:t>$1.103.852.937</w:t>
            </w:r>
          </w:p>
        </w:tc>
        <w:tc>
          <w:tcPr>
            <w:tcW w:w="425" w:type="dxa"/>
            <w:tcBorders>
              <w:top w:val="single" w:sz="4" w:space="0" w:color="000000" w:themeColor="text1"/>
              <w:left w:val="single" w:sz="4" w:space="0" w:color="FFFFFF" w:themeColor="background1"/>
              <w:bottom w:val="single" w:sz="4" w:space="0" w:color="000000" w:themeColor="text1"/>
              <w:right w:val="nil"/>
            </w:tcBorders>
            <w:shd w:val="clear" w:color="auto" w:fill="FFFFFF" w:themeFill="background1"/>
            <w:vAlign w:val="center"/>
          </w:tcPr>
          <w:p w:rsidR="00DB3F75" w:rsidRPr="00A21B5C" w:rsidRDefault="00DB3F75" w:rsidP="00A21B5C">
            <w:pPr>
              <w:contextualSpacing/>
              <w:jc w:val="center"/>
              <w:rPr>
                <w:rFonts w:ascii="Arial" w:eastAsia="Times New Roman" w:hAnsi="Arial" w:cs="Arial"/>
                <w:color w:val="C00000"/>
                <w:sz w:val="22"/>
                <w:szCs w:val="22"/>
                <w:lang w:val="es-CO" w:eastAsia="es-CO"/>
              </w:rPr>
            </w:pPr>
            <w:r w:rsidRPr="00A21B5C">
              <w:rPr>
                <w:rFonts w:ascii="Arial" w:eastAsia="Times New Roman" w:hAnsi="Arial" w:cs="Arial"/>
                <w:b/>
                <w:color w:val="C00000"/>
                <w:sz w:val="22"/>
                <w:szCs w:val="22"/>
                <w:lang w:val="es-CO" w:eastAsia="es-CO"/>
              </w:rPr>
              <w:t>(1)</w:t>
            </w:r>
          </w:p>
        </w:tc>
        <w:tc>
          <w:tcPr>
            <w:tcW w:w="1559" w:type="dxa"/>
            <w:tcBorders>
              <w:top w:val="single" w:sz="4" w:space="0" w:color="000000" w:themeColor="text1"/>
              <w:left w:val="nil"/>
              <w:bottom w:val="single" w:sz="4" w:space="0" w:color="000000" w:themeColor="text1"/>
              <w:right w:val="single" w:sz="4" w:space="0" w:color="FFFFFF" w:themeColor="background1"/>
            </w:tcBorders>
            <w:noWrap/>
            <w:vAlign w:val="center"/>
            <w:hideMark/>
          </w:tcPr>
          <w:p w:rsidR="00DB3F75" w:rsidRPr="00A21B5C" w:rsidRDefault="00DB3F75" w:rsidP="00A21B5C">
            <w:pPr>
              <w:contextualSpacing/>
              <w:jc w:val="right"/>
              <w:rPr>
                <w:rFonts w:ascii="Arial" w:eastAsia="Times New Roman" w:hAnsi="Arial" w:cs="Arial"/>
                <w:color w:val="000000"/>
                <w:sz w:val="22"/>
                <w:szCs w:val="22"/>
                <w:lang w:val="es-CO" w:eastAsia="es-CO"/>
              </w:rPr>
            </w:pPr>
            <w:r w:rsidRPr="00A21B5C">
              <w:rPr>
                <w:rFonts w:ascii="Arial" w:eastAsia="Times New Roman" w:hAnsi="Arial" w:cs="Arial"/>
                <w:bCs/>
                <w:color w:val="C00000"/>
                <w:sz w:val="22"/>
                <w:szCs w:val="22"/>
                <w:lang w:val="es-CO" w:eastAsia="en-US"/>
              </w:rPr>
              <w:t>$300.000.000</w:t>
            </w:r>
          </w:p>
        </w:tc>
        <w:tc>
          <w:tcPr>
            <w:tcW w:w="425" w:type="dxa"/>
            <w:tcBorders>
              <w:top w:val="single" w:sz="4" w:space="0" w:color="000000" w:themeColor="text1"/>
              <w:left w:val="single" w:sz="4" w:space="0" w:color="FFFFFF" w:themeColor="background1"/>
              <w:bottom w:val="single" w:sz="4" w:space="0" w:color="000000" w:themeColor="text1"/>
              <w:right w:val="nil"/>
            </w:tcBorders>
            <w:shd w:val="clear" w:color="auto" w:fill="FFFFFF" w:themeFill="background1"/>
            <w:vAlign w:val="center"/>
            <w:hideMark/>
          </w:tcPr>
          <w:p w:rsidR="00DB3F75" w:rsidRPr="00A21B5C" w:rsidRDefault="00DB3F75" w:rsidP="00A21B5C">
            <w:pPr>
              <w:contextualSpacing/>
              <w:jc w:val="center"/>
              <w:rPr>
                <w:rFonts w:ascii="Arial" w:eastAsia="Times New Roman" w:hAnsi="Arial" w:cs="Arial"/>
                <w:b/>
                <w:color w:val="C00000"/>
                <w:sz w:val="22"/>
                <w:szCs w:val="22"/>
                <w:lang w:val="es-CO" w:eastAsia="es-CO"/>
              </w:rPr>
            </w:pPr>
            <w:r w:rsidRPr="00A21B5C">
              <w:rPr>
                <w:rFonts w:ascii="Arial" w:eastAsia="Times New Roman" w:hAnsi="Arial" w:cs="Arial"/>
                <w:b/>
                <w:color w:val="C00000"/>
                <w:sz w:val="22"/>
                <w:szCs w:val="22"/>
                <w:lang w:val="es-CO" w:eastAsia="es-CO"/>
              </w:rPr>
              <w:t>(2)</w:t>
            </w:r>
          </w:p>
        </w:tc>
        <w:tc>
          <w:tcPr>
            <w:tcW w:w="1560" w:type="dxa"/>
            <w:tcBorders>
              <w:top w:val="single" w:sz="4" w:space="0" w:color="000000" w:themeColor="text1"/>
              <w:left w:val="nil"/>
              <w:bottom w:val="single" w:sz="4" w:space="0" w:color="000000" w:themeColor="text1"/>
              <w:right w:val="single" w:sz="4" w:space="0" w:color="FFFFFF" w:themeColor="background1"/>
            </w:tcBorders>
            <w:noWrap/>
            <w:vAlign w:val="center"/>
            <w:hideMark/>
          </w:tcPr>
          <w:p w:rsidR="00DB3F75" w:rsidRPr="00A21B5C" w:rsidRDefault="00DB3F75" w:rsidP="00A21B5C">
            <w:pPr>
              <w:contextualSpacing/>
              <w:jc w:val="right"/>
              <w:rPr>
                <w:rFonts w:ascii="Arial" w:eastAsia="Times New Roman" w:hAnsi="Arial" w:cs="Arial"/>
                <w:color w:val="000000"/>
                <w:sz w:val="22"/>
                <w:szCs w:val="22"/>
                <w:lang w:val="es-CO" w:eastAsia="es-CO"/>
              </w:rPr>
            </w:pPr>
            <w:r w:rsidRPr="00A21B5C">
              <w:rPr>
                <w:rFonts w:ascii="Arial" w:eastAsia="Times New Roman" w:hAnsi="Arial" w:cs="Arial"/>
                <w:color w:val="000000"/>
                <w:sz w:val="22"/>
                <w:szCs w:val="22"/>
                <w:lang w:val="es-CO" w:eastAsia="en-US"/>
              </w:rPr>
              <w:t>$352.587.500</w:t>
            </w:r>
          </w:p>
        </w:tc>
        <w:tc>
          <w:tcPr>
            <w:tcW w:w="425" w:type="dxa"/>
            <w:tcBorders>
              <w:top w:val="single" w:sz="4" w:space="0" w:color="000000" w:themeColor="text1"/>
              <w:left w:val="single" w:sz="4" w:space="0" w:color="FFFFFF" w:themeColor="background1"/>
              <w:bottom w:val="single" w:sz="4" w:space="0" w:color="000000" w:themeColor="text1"/>
              <w:right w:val="nil"/>
            </w:tcBorders>
            <w:shd w:val="clear" w:color="auto" w:fill="FFFFFF" w:themeFill="background1"/>
          </w:tcPr>
          <w:p w:rsidR="00DB3F75" w:rsidRPr="00A21B5C" w:rsidRDefault="00DB3F75" w:rsidP="00A21B5C">
            <w:pPr>
              <w:contextualSpacing/>
              <w:jc w:val="center"/>
              <w:rPr>
                <w:rFonts w:ascii="Arial" w:eastAsia="Times New Roman" w:hAnsi="Arial" w:cs="Arial"/>
                <w:color w:val="000000"/>
                <w:sz w:val="22"/>
                <w:szCs w:val="22"/>
                <w:lang w:val="es-CO" w:eastAsia="es-CO"/>
              </w:rPr>
            </w:pPr>
          </w:p>
        </w:tc>
        <w:tc>
          <w:tcPr>
            <w:tcW w:w="1559" w:type="dxa"/>
            <w:tcBorders>
              <w:top w:val="single" w:sz="4" w:space="0" w:color="000000" w:themeColor="text1"/>
              <w:left w:val="single" w:sz="4" w:space="0" w:color="FFFFFF" w:themeColor="background1"/>
              <w:bottom w:val="single" w:sz="4" w:space="0" w:color="000000" w:themeColor="text1"/>
              <w:right w:val="nil"/>
            </w:tcBorders>
            <w:shd w:val="clear" w:color="auto" w:fill="FFFFFF" w:themeFill="background1"/>
          </w:tcPr>
          <w:p w:rsidR="00DB3F75" w:rsidRPr="00A21B5C" w:rsidRDefault="00EF7041" w:rsidP="00A21B5C">
            <w:pPr>
              <w:contextualSpacing/>
              <w:jc w:val="right"/>
              <w:rPr>
                <w:rFonts w:ascii="Arial" w:eastAsia="Times New Roman" w:hAnsi="Arial" w:cs="Arial"/>
                <w:color w:val="000000"/>
                <w:sz w:val="22"/>
                <w:szCs w:val="22"/>
                <w:lang w:val="es-CO" w:eastAsia="es-CO"/>
              </w:rPr>
            </w:pPr>
            <w:r w:rsidRPr="00A21B5C">
              <w:rPr>
                <w:rFonts w:ascii="Arial" w:eastAsia="Times New Roman" w:hAnsi="Arial" w:cs="Arial"/>
                <w:color w:val="000000"/>
                <w:sz w:val="22"/>
                <w:szCs w:val="22"/>
                <w:lang w:val="es-CO" w:eastAsia="es-CO"/>
              </w:rPr>
              <w:t>$3.728.288.628</w:t>
            </w:r>
          </w:p>
        </w:tc>
        <w:tc>
          <w:tcPr>
            <w:tcW w:w="425" w:type="dxa"/>
            <w:tcBorders>
              <w:top w:val="single" w:sz="4" w:space="0" w:color="000000" w:themeColor="text1"/>
              <w:left w:val="single" w:sz="4" w:space="0" w:color="FFFFFF" w:themeColor="background1"/>
              <w:bottom w:val="single" w:sz="4" w:space="0" w:color="000000" w:themeColor="text1"/>
              <w:right w:val="nil"/>
            </w:tcBorders>
            <w:shd w:val="clear" w:color="auto" w:fill="FFFFFF" w:themeFill="background1"/>
          </w:tcPr>
          <w:p w:rsidR="00DB3F75" w:rsidRPr="00A21B5C" w:rsidRDefault="00DB3F75" w:rsidP="00A21B5C">
            <w:pPr>
              <w:contextualSpacing/>
              <w:jc w:val="center"/>
              <w:rPr>
                <w:rFonts w:ascii="Arial" w:eastAsia="Times New Roman" w:hAnsi="Arial" w:cs="Arial"/>
                <w:color w:val="000000"/>
                <w:sz w:val="22"/>
                <w:szCs w:val="22"/>
                <w:lang w:val="es-CO" w:eastAsia="es-CO"/>
              </w:rPr>
            </w:pPr>
          </w:p>
        </w:tc>
      </w:tr>
      <w:tr w:rsidR="00DB3F75" w:rsidRPr="00A21B5C" w:rsidTr="00A96D69">
        <w:trPr>
          <w:trHeight w:val="305"/>
          <w:jc w:val="center"/>
        </w:trPr>
        <w:tc>
          <w:tcPr>
            <w:tcW w:w="2835" w:type="dxa"/>
            <w:tcBorders>
              <w:top w:val="single" w:sz="4" w:space="0" w:color="000000" w:themeColor="text1"/>
              <w:left w:val="nil"/>
              <w:bottom w:val="single" w:sz="4" w:space="0" w:color="000000" w:themeColor="text1"/>
              <w:right w:val="nil"/>
            </w:tcBorders>
            <w:noWrap/>
            <w:vAlign w:val="center"/>
            <w:hideMark/>
          </w:tcPr>
          <w:p w:rsidR="00DB3F75" w:rsidRPr="00A21B5C" w:rsidRDefault="00DB3F75" w:rsidP="00A21B5C">
            <w:pPr>
              <w:contextualSpacing/>
              <w:rPr>
                <w:rFonts w:ascii="Arial" w:eastAsia="Times New Roman" w:hAnsi="Arial" w:cs="Arial"/>
                <w:bCs/>
                <w:color w:val="000000"/>
                <w:sz w:val="22"/>
                <w:szCs w:val="22"/>
                <w:lang w:val="es-CO" w:eastAsia="es-CO"/>
              </w:rPr>
            </w:pPr>
            <w:r w:rsidRPr="00A21B5C">
              <w:rPr>
                <w:rFonts w:ascii="Arial" w:eastAsia="Times New Roman" w:hAnsi="Arial" w:cs="Arial"/>
                <w:bCs/>
                <w:color w:val="000000"/>
                <w:sz w:val="22"/>
                <w:szCs w:val="22"/>
                <w:lang w:val="es-CO" w:eastAsia="es-CO"/>
              </w:rPr>
              <w:t>Pagos (4)</w:t>
            </w:r>
          </w:p>
        </w:tc>
        <w:tc>
          <w:tcPr>
            <w:tcW w:w="1560" w:type="dxa"/>
            <w:tcBorders>
              <w:top w:val="single" w:sz="4" w:space="0" w:color="000000" w:themeColor="text1"/>
              <w:left w:val="nil"/>
              <w:bottom w:val="single" w:sz="4" w:space="0" w:color="000000" w:themeColor="text1"/>
              <w:right w:val="single" w:sz="4" w:space="0" w:color="FFFFFF" w:themeColor="background1"/>
            </w:tcBorders>
            <w:noWrap/>
            <w:vAlign w:val="center"/>
            <w:hideMark/>
          </w:tcPr>
          <w:p w:rsidR="00DB3F75" w:rsidRPr="00A21B5C" w:rsidRDefault="00DB3F75" w:rsidP="00A21B5C">
            <w:pPr>
              <w:contextualSpacing/>
              <w:jc w:val="right"/>
              <w:rPr>
                <w:rFonts w:ascii="Arial" w:eastAsia="Times New Roman" w:hAnsi="Arial" w:cs="Arial"/>
                <w:color w:val="000000"/>
                <w:sz w:val="22"/>
                <w:szCs w:val="22"/>
                <w:lang w:val="es-CO" w:eastAsia="es-CO"/>
              </w:rPr>
            </w:pPr>
            <w:r w:rsidRPr="00A21B5C">
              <w:rPr>
                <w:rFonts w:ascii="Arial" w:eastAsia="Times New Roman" w:hAnsi="Arial" w:cs="Arial"/>
                <w:color w:val="000000"/>
                <w:sz w:val="22"/>
                <w:szCs w:val="22"/>
                <w:lang w:val="es-CO" w:eastAsia="es-CO"/>
              </w:rPr>
              <w:t>$1.116.560.793</w:t>
            </w:r>
          </w:p>
        </w:tc>
        <w:tc>
          <w:tcPr>
            <w:tcW w:w="425" w:type="dxa"/>
            <w:tcBorders>
              <w:top w:val="single" w:sz="4" w:space="0" w:color="000000" w:themeColor="text1"/>
              <w:left w:val="single" w:sz="4" w:space="0" w:color="FFFFFF" w:themeColor="background1"/>
              <w:bottom w:val="single" w:sz="4" w:space="0" w:color="000000" w:themeColor="text1"/>
              <w:right w:val="nil"/>
            </w:tcBorders>
            <w:shd w:val="clear" w:color="auto" w:fill="FFFFFF" w:themeFill="background1"/>
            <w:vAlign w:val="center"/>
          </w:tcPr>
          <w:p w:rsidR="00DB3F75" w:rsidRPr="00A21B5C" w:rsidRDefault="00DB3F75" w:rsidP="00A21B5C">
            <w:pPr>
              <w:contextualSpacing/>
              <w:jc w:val="right"/>
              <w:rPr>
                <w:rFonts w:ascii="Arial" w:eastAsia="Times New Roman" w:hAnsi="Arial" w:cs="Arial"/>
                <w:color w:val="000000"/>
                <w:sz w:val="22"/>
                <w:szCs w:val="22"/>
                <w:lang w:val="es-CO" w:eastAsia="es-CO"/>
              </w:rPr>
            </w:pPr>
          </w:p>
        </w:tc>
        <w:tc>
          <w:tcPr>
            <w:tcW w:w="1559" w:type="dxa"/>
            <w:tcBorders>
              <w:top w:val="single" w:sz="4" w:space="0" w:color="000000" w:themeColor="text1"/>
              <w:left w:val="nil"/>
              <w:bottom w:val="single" w:sz="4" w:space="0" w:color="000000" w:themeColor="text1"/>
              <w:right w:val="single" w:sz="4" w:space="0" w:color="FFFFFF" w:themeColor="background1"/>
            </w:tcBorders>
            <w:noWrap/>
            <w:vAlign w:val="center"/>
            <w:hideMark/>
          </w:tcPr>
          <w:p w:rsidR="00DB3F75" w:rsidRPr="00A21B5C" w:rsidRDefault="00DB3F75" w:rsidP="00A21B5C">
            <w:pPr>
              <w:contextualSpacing/>
              <w:jc w:val="right"/>
              <w:rPr>
                <w:rFonts w:ascii="Arial" w:eastAsia="Times New Roman" w:hAnsi="Arial" w:cs="Arial"/>
                <w:color w:val="000000"/>
                <w:sz w:val="22"/>
                <w:szCs w:val="22"/>
                <w:lang w:val="es-CO" w:eastAsia="es-CO"/>
              </w:rPr>
            </w:pPr>
            <w:r w:rsidRPr="00A21B5C">
              <w:rPr>
                <w:rFonts w:ascii="Arial" w:hAnsi="Arial" w:cs="Arial"/>
                <w:color w:val="000000"/>
                <w:sz w:val="22"/>
                <w:szCs w:val="22"/>
                <w:lang w:val="es-CO"/>
              </w:rPr>
              <w:t>$1.424.613.288</w:t>
            </w:r>
          </w:p>
        </w:tc>
        <w:tc>
          <w:tcPr>
            <w:tcW w:w="425" w:type="dxa"/>
            <w:tcBorders>
              <w:top w:val="single" w:sz="4" w:space="0" w:color="000000" w:themeColor="text1"/>
              <w:left w:val="single" w:sz="4" w:space="0" w:color="FFFFFF" w:themeColor="background1"/>
              <w:bottom w:val="single" w:sz="4" w:space="0" w:color="000000" w:themeColor="text1"/>
              <w:right w:val="nil"/>
            </w:tcBorders>
            <w:shd w:val="clear" w:color="auto" w:fill="FFFFFF" w:themeFill="background1"/>
            <w:vAlign w:val="center"/>
          </w:tcPr>
          <w:p w:rsidR="00DB3F75" w:rsidRPr="00A21B5C" w:rsidRDefault="00DB3F75" w:rsidP="00A21B5C">
            <w:pPr>
              <w:contextualSpacing/>
              <w:jc w:val="center"/>
              <w:rPr>
                <w:rFonts w:ascii="Arial" w:eastAsia="Times New Roman" w:hAnsi="Arial" w:cs="Arial"/>
                <w:color w:val="C00000"/>
                <w:sz w:val="22"/>
                <w:szCs w:val="22"/>
                <w:lang w:val="es-CO" w:eastAsia="es-CO"/>
              </w:rPr>
            </w:pPr>
          </w:p>
        </w:tc>
        <w:tc>
          <w:tcPr>
            <w:tcW w:w="1560" w:type="dxa"/>
            <w:tcBorders>
              <w:top w:val="single" w:sz="4" w:space="0" w:color="000000" w:themeColor="text1"/>
              <w:left w:val="nil"/>
              <w:bottom w:val="single" w:sz="4" w:space="0" w:color="000000" w:themeColor="text1"/>
              <w:right w:val="single" w:sz="4" w:space="0" w:color="FFFFFF" w:themeColor="background1"/>
            </w:tcBorders>
            <w:noWrap/>
            <w:vAlign w:val="center"/>
            <w:hideMark/>
          </w:tcPr>
          <w:p w:rsidR="00DB3F75" w:rsidRPr="00A21B5C" w:rsidRDefault="00DB3F75" w:rsidP="00A21B5C">
            <w:pPr>
              <w:contextualSpacing/>
              <w:jc w:val="right"/>
              <w:rPr>
                <w:rFonts w:ascii="Arial" w:eastAsia="Times New Roman" w:hAnsi="Arial" w:cs="Arial"/>
                <w:color w:val="000000"/>
                <w:sz w:val="22"/>
                <w:szCs w:val="22"/>
                <w:lang w:val="es-CO" w:eastAsia="es-CO"/>
              </w:rPr>
            </w:pPr>
            <w:r w:rsidRPr="00A21B5C">
              <w:rPr>
                <w:rFonts w:ascii="Arial" w:eastAsia="Times New Roman" w:hAnsi="Arial" w:cs="Arial"/>
                <w:color w:val="000000"/>
                <w:sz w:val="22"/>
                <w:szCs w:val="22"/>
                <w:lang w:val="es-CO" w:eastAsia="en-US"/>
              </w:rPr>
              <w:t>$352.587.500</w:t>
            </w:r>
          </w:p>
        </w:tc>
        <w:tc>
          <w:tcPr>
            <w:tcW w:w="425" w:type="dxa"/>
            <w:tcBorders>
              <w:top w:val="single" w:sz="4" w:space="0" w:color="000000" w:themeColor="text1"/>
              <w:left w:val="single" w:sz="4" w:space="0" w:color="FFFFFF" w:themeColor="background1"/>
              <w:bottom w:val="single" w:sz="4" w:space="0" w:color="000000" w:themeColor="text1"/>
              <w:right w:val="nil"/>
            </w:tcBorders>
            <w:shd w:val="clear" w:color="auto" w:fill="FFFFFF" w:themeFill="background1"/>
          </w:tcPr>
          <w:p w:rsidR="00DB3F75" w:rsidRPr="00A21B5C" w:rsidRDefault="00DB3F75" w:rsidP="00A21B5C">
            <w:pPr>
              <w:contextualSpacing/>
              <w:jc w:val="center"/>
              <w:rPr>
                <w:rFonts w:ascii="Arial" w:eastAsia="Times New Roman" w:hAnsi="Arial" w:cs="Arial"/>
                <w:color w:val="000000"/>
                <w:sz w:val="22"/>
                <w:szCs w:val="22"/>
                <w:lang w:val="es-CO" w:eastAsia="es-CO"/>
              </w:rPr>
            </w:pPr>
          </w:p>
        </w:tc>
        <w:tc>
          <w:tcPr>
            <w:tcW w:w="1559" w:type="dxa"/>
            <w:tcBorders>
              <w:top w:val="single" w:sz="4" w:space="0" w:color="000000" w:themeColor="text1"/>
              <w:left w:val="single" w:sz="4" w:space="0" w:color="FFFFFF" w:themeColor="background1"/>
              <w:bottom w:val="single" w:sz="4" w:space="0" w:color="000000" w:themeColor="text1"/>
              <w:right w:val="nil"/>
            </w:tcBorders>
            <w:shd w:val="clear" w:color="auto" w:fill="FFFFFF" w:themeFill="background1"/>
          </w:tcPr>
          <w:p w:rsidR="00DB3F75" w:rsidRPr="00A21B5C" w:rsidRDefault="00EF7041" w:rsidP="00A21B5C">
            <w:pPr>
              <w:contextualSpacing/>
              <w:jc w:val="right"/>
              <w:rPr>
                <w:rFonts w:ascii="Arial" w:eastAsia="Times New Roman" w:hAnsi="Arial" w:cs="Arial"/>
                <w:color w:val="000000"/>
                <w:sz w:val="22"/>
                <w:szCs w:val="22"/>
                <w:lang w:val="es-CO" w:eastAsia="es-CO"/>
              </w:rPr>
            </w:pPr>
            <w:r w:rsidRPr="00A21B5C">
              <w:rPr>
                <w:rFonts w:ascii="Arial" w:eastAsia="Times New Roman" w:hAnsi="Arial" w:cs="Arial"/>
                <w:color w:val="000000"/>
                <w:sz w:val="22"/>
                <w:szCs w:val="22"/>
                <w:lang w:val="es-CO" w:eastAsia="es-CO"/>
              </w:rPr>
              <w:t>$3.363.078.628</w:t>
            </w:r>
          </w:p>
        </w:tc>
        <w:tc>
          <w:tcPr>
            <w:tcW w:w="425" w:type="dxa"/>
            <w:tcBorders>
              <w:top w:val="single" w:sz="4" w:space="0" w:color="000000" w:themeColor="text1"/>
              <w:left w:val="single" w:sz="4" w:space="0" w:color="FFFFFF" w:themeColor="background1"/>
              <w:bottom w:val="single" w:sz="4" w:space="0" w:color="000000" w:themeColor="text1"/>
              <w:right w:val="nil"/>
            </w:tcBorders>
            <w:shd w:val="clear" w:color="auto" w:fill="FFFFFF" w:themeFill="background1"/>
          </w:tcPr>
          <w:p w:rsidR="00DB3F75" w:rsidRPr="00A21B5C" w:rsidRDefault="00DB3F75" w:rsidP="00A21B5C">
            <w:pPr>
              <w:contextualSpacing/>
              <w:jc w:val="center"/>
              <w:rPr>
                <w:rFonts w:ascii="Arial" w:eastAsia="Times New Roman" w:hAnsi="Arial" w:cs="Arial"/>
                <w:color w:val="000000"/>
                <w:sz w:val="22"/>
                <w:szCs w:val="22"/>
                <w:lang w:val="es-CO" w:eastAsia="es-CO"/>
              </w:rPr>
            </w:pPr>
          </w:p>
        </w:tc>
      </w:tr>
      <w:tr w:rsidR="00DB3F75" w:rsidRPr="00A21B5C" w:rsidTr="00A96D69">
        <w:trPr>
          <w:trHeight w:val="305"/>
          <w:jc w:val="center"/>
        </w:trPr>
        <w:tc>
          <w:tcPr>
            <w:tcW w:w="2835" w:type="dxa"/>
            <w:tcBorders>
              <w:top w:val="single" w:sz="4" w:space="0" w:color="000000" w:themeColor="text1"/>
              <w:left w:val="single" w:sz="2" w:space="0" w:color="FFFFFF" w:themeColor="background1"/>
              <w:bottom w:val="single" w:sz="4" w:space="0" w:color="auto"/>
              <w:right w:val="single" w:sz="4" w:space="0" w:color="FFFFFF" w:themeColor="background1"/>
            </w:tcBorders>
            <w:noWrap/>
            <w:vAlign w:val="center"/>
            <w:hideMark/>
          </w:tcPr>
          <w:p w:rsidR="00DB3F75" w:rsidRPr="00A21B5C" w:rsidRDefault="00DB3F75" w:rsidP="00A21B5C">
            <w:pPr>
              <w:contextualSpacing/>
              <w:rPr>
                <w:rFonts w:ascii="Arial" w:eastAsia="Times New Roman" w:hAnsi="Arial" w:cs="Arial"/>
                <w:color w:val="000000"/>
                <w:sz w:val="22"/>
                <w:szCs w:val="22"/>
                <w:lang w:val="es-CO" w:eastAsia="es-CO"/>
              </w:rPr>
            </w:pPr>
            <w:r w:rsidRPr="00A21B5C">
              <w:rPr>
                <w:rFonts w:ascii="Arial" w:eastAsia="Times New Roman" w:hAnsi="Arial" w:cs="Arial"/>
                <w:color w:val="000000"/>
                <w:sz w:val="22"/>
                <w:szCs w:val="22"/>
                <w:lang w:val="es-CO" w:eastAsia="es-CO"/>
              </w:rPr>
              <w:t> </w:t>
            </w:r>
          </w:p>
        </w:tc>
        <w:tc>
          <w:tcPr>
            <w:tcW w:w="1560" w:type="dxa"/>
            <w:tcBorders>
              <w:top w:val="single" w:sz="4" w:space="0" w:color="000000" w:themeColor="text1"/>
              <w:left w:val="single" w:sz="4" w:space="0" w:color="FFFFFF" w:themeColor="background1"/>
              <w:bottom w:val="single" w:sz="4" w:space="0" w:color="auto"/>
              <w:right w:val="single" w:sz="4" w:space="0" w:color="FFFFFF" w:themeColor="background1"/>
            </w:tcBorders>
            <w:noWrap/>
            <w:vAlign w:val="center"/>
            <w:hideMark/>
          </w:tcPr>
          <w:p w:rsidR="00DB3F75" w:rsidRPr="00A21B5C" w:rsidRDefault="00DB3F75" w:rsidP="00A21B5C">
            <w:pPr>
              <w:contextualSpacing/>
              <w:rPr>
                <w:rFonts w:ascii="Arial" w:eastAsia="Times New Roman" w:hAnsi="Arial" w:cs="Arial"/>
                <w:color w:val="000000"/>
                <w:sz w:val="22"/>
                <w:szCs w:val="22"/>
                <w:lang w:val="es-CO" w:eastAsia="es-CO"/>
              </w:rPr>
            </w:pPr>
          </w:p>
        </w:tc>
        <w:tc>
          <w:tcPr>
            <w:tcW w:w="425" w:type="dxa"/>
            <w:tcBorders>
              <w:top w:val="single" w:sz="4" w:space="0" w:color="000000" w:themeColor="text1"/>
              <w:left w:val="single" w:sz="4" w:space="0" w:color="FFFFFF" w:themeColor="background1"/>
              <w:bottom w:val="single" w:sz="4" w:space="0" w:color="auto"/>
              <w:right w:val="single" w:sz="4" w:space="0" w:color="FFFFFF" w:themeColor="background1"/>
            </w:tcBorders>
            <w:shd w:val="clear" w:color="auto" w:fill="FFFFFF" w:themeFill="background1"/>
            <w:vAlign w:val="center"/>
          </w:tcPr>
          <w:p w:rsidR="00DB3F75" w:rsidRPr="00A21B5C" w:rsidRDefault="00DB3F75" w:rsidP="00A21B5C">
            <w:pPr>
              <w:contextualSpacing/>
              <w:jc w:val="right"/>
              <w:rPr>
                <w:rFonts w:ascii="Arial" w:eastAsia="Times New Roman" w:hAnsi="Arial" w:cs="Arial"/>
                <w:color w:val="000000"/>
                <w:sz w:val="22"/>
                <w:szCs w:val="22"/>
                <w:lang w:val="es-CO" w:eastAsia="es-CO"/>
              </w:rPr>
            </w:pPr>
          </w:p>
        </w:tc>
        <w:tc>
          <w:tcPr>
            <w:tcW w:w="1559" w:type="dxa"/>
            <w:tcBorders>
              <w:top w:val="single" w:sz="4" w:space="0" w:color="000000" w:themeColor="text1"/>
              <w:left w:val="single" w:sz="4" w:space="0" w:color="FFFFFF" w:themeColor="background1"/>
              <w:bottom w:val="single" w:sz="4" w:space="0" w:color="auto"/>
              <w:right w:val="single" w:sz="4" w:space="0" w:color="FFFFFF" w:themeColor="background1"/>
            </w:tcBorders>
            <w:noWrap/>
            <w:vAlign w:val="center"/>
            <w:hideMark/>
          </w:tcPr>
          <w:p w:rsidR="00DB3F75" w:rsidRPr="00A21B5C" w:rsidRDefault="00DB3F75" w:rsidP="00A21B5C">
            <w:pPr>
              <w:contextualSpacing/>
              <w:rPr>
                <w:rFonts w:ascii="Arial" w:eastAsia="Times New Roman" w:hAnsi="Arial" w:cs="Arial"/>
                <w:color w:val="000000"/>
                <w:sz w:val="22"/>
                <w:szCs w:val="22"/>
                <w:lang w:val="es-CO" w:eastAsia="es-CO"/>
              </w:rPr>
            </w:pPr>
          </w:p>
        </w:tc>
        <w:tc>
          <w:tcPr>
            <w:tcW w:w="425" w:type="dxa"/>
            <w:tcBorders>
              <w:top w:val="single" w:sz="4" w:space="0" w:color="000000" w:themeColor="text1"/>
              <w:left w:val="single" w:sz="4" w:space="0" w:color="FFFFFF" w:themeColor="background1"/>
              <w:bottom w:val="single" w:sz="4" w:space="0" w:color="auto"/>
              <w:right w:val="single" w:sz="4" w:space="0" w:color="FFFFFF" w:themeColor="background1"/>
            </w:tcBorders>
            <w:shd w:val="clear" w:color="auto" w:fill="FFFFFF" w:themeFill="background1"/>
            <w:vAlign w:val="center"/>
          </w:tcPr>
          <w:p w:rsidR="00DB3F75" w:rsidRPr="00A21B5C" w:rsidRDefault="00DB3F75" w:rsidP="00A21B5C">
            <w:pPr>
              <w:contextualSpacing/>
              <w:jc w:val="center"/>
              <w:rPr>
                <w:rFonts w:ascii="Arial" w:eastAsia="Times New Roman" w:hAnsi="Arial" w:cs="Arial"/>
                <w:color w:val="C00000"/>
                <w:sz w:val="22"/>
                <w:szCs w:val="22"/>
                <w:lang w:val="es-CO" w:eastAsia="es-CO"/>
              </w:rPr>
            </w:pPr>
          </w:p>
        </w:tc>
        <w:tc>
          <w:tcPr>
            <w:tcW w:w="1560" w:type="dxa"/>
            <w:tcBorders>
              <w:top w:val="single" w:sz="4" w:space="0" w:color="000000" w:themeColor="text1"/>
              <w:left w:val="single" w:sz="4" w:space="0" w:color="FFFFFF" w:themeColor="background1"/>
              <w:bottom w:val="single" w:sz="4" w:space="0" w:color="auto"/>
              <w:right w:val="single" w:sz="4" w:space="0" w:color="FFFFFF" w:themeColor="background1"/>
            </w:tcBorders>
            <w:noWrap/>
            <w:vAlign w:val="center"/>
            <w:hideMark/>
          </w:tcPr>
          <w:p w:rsidR="00DB3F75" w:rsidRPr="00A21B5C" w:rsidRDefault="00DB3F75" w:rsidP="00A21B5C">
            <w:pPr>
              <w:contextualSpacing/>
              <w:rPr>
                <w:rFonts w:ascii="Arial" w:eastAsia="Times New Roman" w:hAnsi="Arial" w:cs="Arial"/>
                <w:color w:val="000000"/>
                <w:sz w:val="22"/>
                <w:szCs w:val="22"/>
                <w:lang w:val="es-CO" w:eastAsia="es-CO"/>
              </w:rPr>
            </w:pPr>
          </w:p>
        </w:tc>
        <w:tc>
          <w:tcPr>
            <w:tcW w:w="425" w:type="dxa"/>
            <w:tcBorders>
              <w:top w:val="single" w:sz="4" w:space="0" w:color="000000" w:themeColor="text1"/>
              <w:left w:val="single" w:sz="4" w:space="0" w:color="FFFFFF" w:themeColor="background1"/>
              <w:bottom w:val="single" w:sz="4" w:space="0" w:color="auto"/>
              <w:right w:val="single" w:sz="2" w:space="0" w:color="FFFFFF" w:themeColor="background1"/>
            </w:tcBorders>
            <w:shd w:val="clear" w:color="auto" w:fill="FFFFFF" w:themeFill="background1"/>
          </w:tcPr>
          <w:p w:rsidR="00DB3F75" w:rsidRPr="00A21B5C" w:rsidRDefault="00DB3F75" w:rsidP="00A21B5C">
            <w:pPr>
              <w:contextualSpacing/>
              <w:jc w:val="center"/>
              <w:rPr>
                <w:rFonts w:ascii="Arial" w:eastAsia="Times New Roman" w:hAnsi="Arial" w:cs="Arial"/>
                <w:color w:val="000000"/>
                <w:sz w:val="22"/>
                <w:szCs w:val="22"/>
                <w:lang w:val="es-CO" w:eastAsia="es-CO"/>
              </w:rPr>
            </w:pPr>
          </w:p>
        </w:tc>
        <w:tc>
          <w:tcPr>
            <w:tcW w:w="1559" w:type="dxa"/>
            <w:tcBorders>
              <w:top w:val="single" w:sz="4" w:space="0" w:color="000000" w:themeColor="text1"/>
              <w:left w:val="single" w:sz="4" w:space="0" w:color="FFFFFF" w:themeColor="background1"/>
              <w:bottom w:val="single" w:sz="4" w:space="0" w:color="auto"/>
              <w:right w:val="single" w:sz="2" w:space="0" w:color="FFFFFF" w:themeColor="background1"/>
            </w:tcBorders>
            <w:shd w:val="clear" w:color="auto" w:fill="FFFFFF" w:themeFill="background1"/>
          </w:tcPr>
          <w:p w:rsidR="00DB3F75" w:rsidRPr="00A21B5C" w:rsidRDefault="00DB3F75" w:rsidP="00A21B5C">
            <w:pPr>
              <w:contextualSpacing/>
              <w:jc w:val="center"/>
              <w:rPr>
                <w:rFonts w:ascii="Arial" w:eastAsia="Times New Roman" w:hAnsi="Arial" w:cs="Arial"/>
                <w:color w:val="000000"/>
                <w:sz w:val="22"/>
                <w:szCs w:val="22"/>
                <w:lang w:val="es-CO" w:eastAsia="es-CO"/>
              </w:rPr>
            </w:pPr>
          </w:p>
        </w:tc>
        <w:tc>
          <w:tcPr>
            <w:tcW w:w="425" w:type="dxa"/>
            <w:tcBorders>
              <w:top w:val="single" w:sz="4" w:space="0" w:color="000000" w:themeColor="text1"/>
              <w:left w:val="single" w:sz="4" w:space="0" w:color="FFFFFF" w:themeColor="background1"/>
              <w:bottom w:val="single" w:sz="4" w:space="0" w:color="auto"/>
              <w:right w:val="single" w:sz="2" w:space="0" w:color="FFFFFF" w:themeColor="background1"/>
            </w:tcBorders>
            <w:shd w:val="clear" w:color="auto" w:fill="FFFFFF" w:themeFill="background1"/>
          </w:tcPr>
          <w:p w:rsidR="00DB3F75" w:rsidRPr="00A21B5C" w:rsidRDefault="00DB3F75" w:rsidP="00A21B5C">
            <w:pPr>
              <w:contextualSpacing/>
              <w:jc w:val="center"/>
              <w:rPr>
                <w:rFonts w:ascii="Arial" w:eastAsia="Times New Roman" w:hAnsi="Arial" w:cs="Arial"/>
                <w:color w:val="000000"/>
                <w:sz w:val="22"/>
                <w:szCs w:val="22"/>
                <w:lang w:val="es-CO" w:eastAsia="es-CO"/>
              </w:rPr>
            </w:pPr>
          </w:p>
        </w:tc>
      </w:tr>
      <w:tr w:rsidR="00A96D69" w:rsidRPr="00A21B5C" w:rsidTr="00A96D69">
        <w:trPr>
          <w:trHeight w:val="305"/>
          <w:jc w:val="center"/>
        </w:trPr>
        <w:tc>
          <w:tcPr>
            <w:tcW w:w="2835" w:type="dxa"/>
            <w:tcBorders>
              <w:top w:val="single" w:sz="4" w:space="0" w:color="000000" w:themeColor="text1"/>
              <w:left w:val="dashSmallGap" w:sz="4" w:space="0" w:color="A6A6A6" w:themeColor="background1" w:themeShade="A6"/>
              <w:bottom w:val="single" w:sz="4" w:space="0" w:color="FFFFFF"/>
              <w:right w:val="dashSmallGap" w:sz="4" w:space="0" w:color="A6A6A6" w:themeColor="background1" w:themeShade="A6"/>
            </w:tcBorders>
            <w:shd w:val="clear" w:color="auto" w:fill="92CDDC" w:themeFill="accent5" w:themeFillTint="99"/>
            <w:noWrap/>
            <w:vAlign w:val="center"/>
            <w:hideMark/>
          </w:tcPr>
          <w:p w:rsidR="00DB3F75" w:rsidRPr="00A21B5C" w:rsidRDefault="00DB3F75" w:rsidP="00A21B5C">
            <w:pPr>
              <w:contextualSpacing/>
              <w:rPr>
                <w:rFonts w:ascii="Arial" w:eastAsia="Times New Roman" w:hAnsi="Arial" w:cs="Arial"/>
                <w:color w:val="000000"/>
                <w:sz w:val="22"/>
                <w:szCs w:val="22"/>
                <w:lang w:val="es-CO" w:eastAsia="es-CO"/>
              </w:rPr>
            </w:pPr>
            <w:r w:rsidRPr="00A21B5C">
              <w:rPr>
                <w:rFonts w:ascii="Arial" w:eastAsia="Times New Roman" w:hAnsi="Arial" w:cs="Arial"/>
                <w:color w:val="000000"/>
                <w:sz w:val="22"/>
                <w:szCs w:val="22"/>
                <w:lang w:val="es-CO" w:eastAsia="en-US"/>
              </w:rPr>
              <w:t>Reservas Presupuestales</w:t>
            </w:r>
          </w:p>
        </w:tc>
        <w:tc>
          <w:tcPr>
            <w:tcW w:w="1560" w:type="dxa"/>
            <w:tcBorders>
              <w:top w:val="single" w:sz="4" w:space="0" w:color="000000" w:themeColor="text1"/>
              <w:left w:val="dashSmallGap" w:sz="4" w:space="0" w:color="A6A6A6" w:themeColor="background1" w:themeShade="A6"/>
              <w:bottom w:val="single" w:sz="4" w:space="0" w:color="FFFFFF"/>
              <w:right w:val="single" w:sz="4" w:space="0" w:color="92CDDC" w:themeColor="accent5" w:themeTint="99"/>
            </w:tcBorders>
            <w:shd w:val="clear" w:color="auto" w:fill="92CDDC" w:themeFill="accent5" w:themeFillTint="99"/>
            <w:noWrap/>
            <w:vAlign w:val="center"/>
            <w:hideMark/>
          </w:tcPr>
          <w:p w:rsidR="00DB3F75" w:rsidRPr="00A21B5C" w:rsidRDefault="00DB3F75" w:rsidP="00A21B5C">
            <w:pPr>
              <w:contextualSpacing/>
              <w:jc w:val="right"/>
              <w:rPr>
                <w:rFonts w:ascii="Arial" w:eastAsia="Times New Roman" w:hAnsi="Arial" w:cs="Arial"/>
                <w:color w:val="000000"/>
                <w:sz w:val="22"/>
                <w:szCs w:val="22"/>
                <w:lang w:val="es-CO" w:eastAsia="es-CO"/>
              </w:rPr>
            </w:pPr>
            <w:r w:rsidRPr="00A21B5C">
              <w:rPr>
                <w:rFonts w:ascii="Arial" w:eastAsia="Times New Roman" w:hAnsi="Arial" w:cs="Arial"/>
                <w:sz w:val="20"/>
                <w:szCs w:val="20"/>
                <w:lang w:val="es-CO" w:eastAsia="es-CO"/>
              </w:rPr>
              <w:t>-</w:t>
            </w:r>
          </w:p>
        </w:tc>
        <w:tc>
          <w:tcPr>
            <w:tcW w:w="425" w:type="dxa"/>
            <w:tcBorders>
              <w:top w:val="single" w:sz="4" w:space="0" w:color="000000" w:themeColor="text1"/>
              <w:left w:val="single" w:sz="4" w:space="0" w:color="92CDDC" w:themeColor="accent5" w:themeTint="99"/>
              <w:bottom w:val="single" w:sz="4" w:space="0" w:color="FFFFFF"/>
              <w:right w:val="dashSmallGap" w:sz="4" w:space="0" w:color="A6A6A6" w:themeColor="background1" w:themeShade="A6"/>
            </w:tcBorders>
            <w:shd w:val="clear" w:color="auto" w:fill="FFFFFF" w:themeFill="background1"/>
            <w:vAlign w:val="center"/>
          </w:tcPr>
          <w:p w:rsidR="00DB3F75" w:rsidRPr="00A21B5C" w:rsidRDefault="00DB3F75" w:rsidP="00A21B5C">
            <w:pPr>
              <w:contextualSpacing/>
              <w:jc w:val="right"/>
              <w:rPr>
                <w:rFonts w:ascii="Arial" w:eastAsia="Times New Roman" w:hAnsi="Arial" w:cs="Arial"/>
                <w:color w:val="000000"/>
                <w:sz w:val="22"/>
                <w:szCs w:val="22"/>
                <w:lang w:val="es-CO" w:eastAsia="es-CO"/>
              </w:rPr>
            </w:pPr>
          </w:p>
        </w:tc>
        <w:tc>
          <w:tcPr>
            <w:tcW w:w="1559" w:type="dxa"/>
            <w:tcBorders>
              <w:top w:val="single" w:sz="4" w:space="0" w:color="000000" w:themeColor="text1"/>
              <w:left w:val="dashSmallGap" w:sz="4" w:space="0" w:color="A6A6A6" w:themeColor="background1" w:themeShade="A6"/>
              <w:bottom w:val="single" w:sz="4" w:space="0" w:color="FFFFFF"/>
              <w:right w:val="single" w:sz="4" w:space="0" w:color="92CDDC" w:themeColor="accent5" w:themeTint="99"/>
            </w:tcBorders>
            <w:shd w:val="clear" w:color="auto" w:fill="92CDDC" w:themeFill="accent5" w:themeFillTint="99"/>
            <w:noWrap/>
            <w:vAlign w:val="center"/>
            <w:hideMark/>
          </w:tcPr>
          <w:p w:rsidR="00DB3F75" w:rsidRPr="00A21B5C" w:rsidRDefault="00DB3F75" w:rsidP="00A21B5C">
            <w:pPr>
              <w:contextualSpacing/>
              <w:jc w:val="right"/>
              <w:rPr>
                <w:rFonts w:ascii="Arial" w:eastAsia="Times New Roman" w:hAnsi="Arial" w:cs="Arial"/>
                <w:color w:val="000000"/>
                <w:sz w:val="22"/>
                <w:szCs w:val="22"/>
                <w:lang w:val="es-CO" w:eastAsia="es-CO"/>
              </w:rPr>
            </w:pPr>
            <w:r w:rsidRPr="00A21B5C">
              <w:rPr>
                <w:rFonts w:ascii="Arial" w:eastAsia="Times New Roman" w:hAnsi="Arial" w:cs="Arial"/>
                <w:color w:val="000000"/>
                <w:sz w:val="22"/>
                <w:szCs w:val="22"/>
                <w:lang w:val="es-CO" w:eastAsia="en-US"/>
              </w:rPr>
              <w:t>$1.103.852.937</w:t>
            </w:r>
          </w:p>
        </w:tc>
        <w:tc>
          <w:tcPr>
            <w:tcW w:w="425" w:type="dxa"/>
            <w:tcBorders>
              <w:top w:val="single" w:sz="4" w:space="0" w:color="000000" w:themeColor="text1"/>
              <w:left w:val="single" w:sz="4" w:space="0" w:color="92CDDC" w:themeColor="accent5" w:themeTint="99"/>
              <w:bottom w:val="single" w:sz="4" w:space="0" w:color="FFFFFF"/>
              <w:right w:val="dashSmallGap" w:sz="4" w:space="0" w:color="A6A6A6" w:themeColor="background1" w:themeShade="A6"/>
            </w:tcBorders>
            <w:shd w:val="clear" w:color="auto" w:fill="FFFFFF" w:themeFill="background1"/>
            <w:vAlign w:val="center"/>
            <w:hideMark/>
          </w:tcPr>
          <w:p w:rsidR="00DB3F75" w:rsidRPr="00A21B5C" w:rsidRDefault="00DB3F75" w:rsidP="00A21B5C">
            <w:pPr>
              <w:contextualSpacing/>
              <w:jc w:val="center"/>
              <w:rPr>
                <w:rFonts w:ascii="Arial" w:eastAsia="Times New Roman" w:hAnsi="Arial" w:cs="Arial"/>
                <w:color w:val="C00000"/>
                <w:sz w:val="22"/>
                <w:szCs w:val="22"/>
                <w:lang w:val="es-CO" w:eastAsia="es-CO"/>
              </w:rPr>
            </w:pPr>
            <w:r w:rsidRPr="00A21B5C">
              <w:rPr>
                <w:rFonts w:ascii="Arial" w:eastAsia="Times New Roman" w:hAnsi="Arial" w:cs="Arial"/>
                <w:b/>
                <w:color w:val="C00000"/>
                <w:sz w:val="22"/>
                <w:szCs w:val="20"/>
                <w:lang w:val="es-CO" w:eastAsia="es-CO"/>
              </w:rPr>
              <w:t>(3)</w:t>
            </w:r>
          </w:p>
        </w:tc>
        <w:tc>
          <w:tcPr>
            <w:tcW w:w="1560" w:type="dxa"/>
            <w:tcBorders>
              <w:top w:val="single" w:sz="4" w:space="0" w:color="000000" w:themeColor="text1"/>
              <w:left w:val="dashSmallGap" w:sz="4" w:space="0" w:color="A6A6A6" w:themeColor="background1" w:themeShade="A6"/>
              <w:bottom w:val="single" w:sz="4" w:space="0" w:color="FFFFFF"/>
              <w:right w:val="single" w:sz="4" w:space="0" w:color="FFFFFF" w:themeColor="background1"/>
            </w:tcBorders>
            <w:shd w:val="clear" w:color="auto" w:fill="92CDDC" w:themeFill="accent5" w:themeFillTint="99"/>
            <w:noWrap/>
            <w:vAlign w:val="center"/>
            <w:hideMark/>
          </w:tcPr>
          <w:p w:rsidR="00DB3F75" w:rsidRPr="00A21B5C" w:rsidRDefault="00DB3F75" w:rsidP="00A21B5C">
            <w:pPr>
              <w:contextualSpacing/>
              <w:jc w:val="right"/>
              <w:rPr>
                <w:rFonts w:ascii="Arial" w:eastAsia="Times New Roman" w:hAnsi="Arial" w:cs="Arial"/>
                <w:color w:val="000000"/>
                <w:sz w:val="22"/>
                <w:szCs w:val="22"/>
                <w:lang w:val="es-CO" w:eastAsia="es-CO"/>
              </w:rPr>
            </w:pPr>
            <w:r w:rsidRPr="00A21B5C">
              <w:rPr>
                <w:rFonts w:ascii="Arial" w:eastAsia="Times New Roman" w:hAnsi="Arial" w:cs="Arial"/>
                <w:color w:val="000000"/>
                <w:sz w:val="22"/>
                <w:szCs w:val="22"/>
                <w:lang w:val="es-CO" w:eastAsia="en-US"/>
              </w:rPr>
              <w:t>$16.206.847</w:t>
            </w:r>
          </w:p>
        </w:tc>
        <w:tc>
          <w:tcPr>
            <w:tcW w:w="425" w:type="dxa"/>
            <w:tcBorders>
              <w:top w:val="single" w:sz="4" w:space="0" w:color="000000" w:themeColor="text1"/>
              <w:left w:val="single" w:sz="4" w:space="0" w:color="FFFFFF" w:themeColor="background1"/>
              <w:bottom w:val="single" w:sz="4" w:space="0" w:color="FFFFFF"/>
              <w:right w:val="dashSmallGap" w:sz="4" w:space="0" w:color="A6A6A6" w:themeColor="background1" w:themeShade="A6"/>
            </w:tcBorders>
            <w:shd w:val="clear" w:color="auto" w:fill="FFFFFF" w:themeFill="background1"/>
            <w:hideMark/>
          </w:tcPr>
          <w:p w:rsidR="00DB3F75" w:rsidRPr="00A21B5C" w:rsidRDefault="00DB3F75" w:rsidP="00A21B5C">
            <w:pPr>
              <w:contextualSpacing/>
              <w:jc w:val="center"/>
              <w:rPr>
                <w:rFonts w:ascii="Arial" w:eastAsia="Times New Roman" w:hAnsi="Arial" w:cs="Arial"/>
                <w:b/>
                <w:color w:val="C00000"/>
                <w:sz w:val="22"/>
                <w:szCs w:val="22"/>
                <w:lang w:val="es-CO" w:eastAsia="es-CO"/>
              </w:rPr>
            </w:pPr>
            <w:r w:rsidRPr="00A21B5C">
              <w:rPr>
                <w:rFonts w:ascii="Arial" w:eastAsia="Times New Roman" w:hAnsi="Arial" w:cs="Arial"/>
                <w:b/>
                <w:color w:val="C00000"/>
                <w:sz w:val="22"/>
                <w:szCs w:val="22"/>
                <w:lang w:val="es-CO" w:eastAsia="es-CO"/>
              </w:rPr>
              <w:t>(7)</w:t>
            </w:r>
          </w:p>
        </w:tc>
        <w:tc>
          <w:tcPr>
            <w:tcW w:w="1559" w:type="dxa"/>
            <w:tcBorders>
              <w:top w:val="single" w:sz="4" w:space="0" w:color="000000" w:themeColor="text1"/>
              <w:left w:val="single" w:sz="4" w:space="0" w:color="FFFFFF" w:themeColor="background1"/>
              <w:bottom w:val="single" w:sz="4" w:space="0" w:color="FFFFFF"/>
              <w:right w:val="dashSmallGap" w:sz="4" w:space="0" w:color="A6A6A6" w:themeColor="background1" w:themeShade="A6"/>
            </w:tcBorders>
            <w:shd w:val="clear" w:color="auto" w:fill="92CDDC" w:themeFill="accent5" w:themeFillTint="99"/>
          </w:tcPr>
          <w:p w:rsidR="00DB3F75" w:rsidRPr="00A21B5C" w:rsidRDefault="00EF7041" w:rsidP="00A21B5C">
            <w:pPr>
              <w:contextualSpacing/>
              <w:jc w:val="right"/>
              <w:rPr>
                <w:rFonts w:ascii="Arial" w:eastAsia="Times New Roman" w:hAnsi="Arial" w:cs="Arial"/>
                <w:color w:val="000000" w:themeColor="text1"/>
                <w:sz w:val="22"/>
                <w:szCs w:val="22"/>
                <w:lang w:val="es-CO" w:eastAsia="es-CO"/>
              </w:rPr>
            </w:pPr>
            <w:r w:rsidRPr="00A21B5C">
              <w:rPr>
                <w:rFonts w:ascii="Arial" w:eastAsia="Times New Roman" w:hAnsi="Arial" w:cs="Arial"/>
                <w:color w:val="000000" w:themeColor="text1"/>
                <w:sz w:val="22"/>
                <w:szCs w:val="22"/>
                <w:lang w:val="es-CO" w:eastAsia="es-CO"/>
              </w:rPr>
              <w:t>-</w:t>
            </w:r>
          </w:p>
        </w:tc>
        <w:tc>
          <w:tcPr>
            <w:tcW w:w="425" w:type="dxa"/>
            <w:tcBorders>
              <w:top w:val="single" w:sz="4" w:space="0" w:color="000000" w:themeColor="text1"/>
              <w:left w:val="single" w:sz="4" w:space="0" w:color="FFFFFF" w:themeColor="background1"/>
              <w:bottom w:val="single" w:sz="4" w:space="0" w:color="FFFFFF"/>
              <w:right w:val="dashSmallGap" w:sz="4" w:space="0" w:color="A6A6A6" w:themeColor="background1" w:themeShade="A6"/>
            </w:tcBorders>
            <w:shd w:val="clear" w:color="auto" w:fill="FFFFFF" w:themeFill="background1"/>
          </w:tcPr>
          <w:p w:rsidR="00DB3F75" w:rsidRPr="00A21B5C" w:rsidRDefault="00DB3F75" w:rsidP="00A21B5C">
            <w:pPr>
              <w:contextualSpacing/>
              <w:jc w:val="center"/>
              <w:rPr>
                <w:rFonts w:ascii="Arial" w:eastAsia="Times New Roman" w:hAnsi="Arial" w:cs="Arial"/>
                <w:b/>
                <w:color w:val="C00000"/>
                <w:sz w:val="22"/>
                <w:szCs w:val="22"/>
                <w:lang w:val="es-CO" w:eastAsia="es-CO"/>
              </w:rPr>
            </w:pPr>
          </w:p>
        </w:tc>
      </w:tr>
      <w:tr w:rsidR="00DB3F75" w:rsidRPr="00A21B5C" w:rsidTr="00A96D69">
        <w:trPr>
          <w:trHeight w:val="305"/>
          <w:jc w:val="center"/>
        </w:trPr>
        <w:tc>
          <w:tcPr>
            <w:tcW w:w="2835" w:type="dxa"/>
            <w:tcBorders>
              <w:top w:val="single" w:sz="4" w:space="0" w:color="FFFFFF"/>
              <w:left w:val="dashSmallGap" w:sz="4" w:space="0" w:color="A6A6A6" w:themeColor="background1" w:themeShade="A6"/>
              <w:bottom w:val="single" w:sz="4" w:space="0" w:color="auto"/>
              <w:right w:val="dashSmallGap" w:sz="4" w:space="0" w:color="A6A6A6" w:themeColor="background1" w:themeShade="A6"/>
            </w:tcBorders>
            <w:noWrap/>
            <w:vAlign w:val="center"/>
            <w:hideMark/>
          </w:tcPr>
          <w:p w:rsidR="00DB3F75" w:rsidRPr="00A21B5C" w:rsidRDefault="00DB3F75" w:rsidP="00A21B5C">
            <w:pPr>
              <w:contextualSpacing/>
              <w:rPr>
                <w:rFonts w:ascii="Arial" w:eastAsia="Times New Roman" w:hAnsi="Arial" w:cs="Arial"/>
                <w:color w:val="000000"/>
                <w:sz w:val="22"/>
                <w:szCs w:val="22"/>
                <w:lang w:val="es-CO" w:eastAsia="es-CO"/>
              </w:rPr>
            </w:pPr>
            <w:r w:rsidRPr="00A21B5C">
              <w:rPr>
                <w:rFonts w:ascii="Arial" w:eastAsia="Times New Roman" w:hAnsi="Arial" w:cs="Arial"/>
                <w:color w:val="595959" w:themeColor="text1" w:themeTint="A6"/>
                <w:sz w:val="18"/>
                <w:szCs w:val="22"/>
                <w:lang w:val="es-CO" w:eastAsia="en-US"/>
              </w:rPr>
              <w:t xml:space="preserve">  Reservas constituidas vigencia anterior</w:t>
            </w:r>
          </w:p>
        </w:tc>
        <w:tc>
          <w:tcPr>
            <w:tcW w:w="1560" w:type="dxa"/>
            <w:tcBorders>
              <w:top w:val="single" w:sz="4" w:space="0" w:color="FFFFFF"/>
              <w:left w:val="dashSmallGap" w:sz="4" w:space="0" w:color="A6A6A6" w:themeColor="background1" w:themeShade="A6"/>
              <w:bottom w:val="single" w:sz="4" w:space="0" w:color="auto"/>
              <w:right w:val="single" w:sz="4" w:space="0" w:color="FFFFFF" w:themeColor="background1"/>
            </w:tcBorders>
            <w:noWrap/>
            <w:vAlign w:val="center"/>
            <w:hideMark/>
          </w:tcPr>
          <w:p w:rsidR="00DB3F75" w:rsidRPr="00A21B5C" w:rsidRDefault="00DB3F75" w:rsidP="00A21B5C">
            <w:pPr>
              <w:contextualSpacing/>
              <w:jc w:val="right"/>
              <w:rPr>
                <w:rFonts w:ascii="Arial" w:eastAsia="Times New Roman" w:hAnsi="Arial" w:cs="Arial"/>
                <w:color w:val="000000"/>
                <w:sz w:val="22"/>
                <w:szCs w:val="22"/>
                <w:lang w:val="es-CO" w:eastAsia="es-CO"/>
              </w:rPr>
            </w:pPr>
            <w:r w:rsidRPr="00A21B5C">
              <w:rPr>
                <w:rFonts w:ascii="Arial" w:eastAsia="Times New Roman" w:hAnsi="Arial" w:cs="Arial"/>
                <w:sz w:val="20"/>
                <w:szCs w:val="20"/>
                <w:lang w:val="es-CO" w:eastAsia="es-CO"/>
              </w:rPr>
              <w:t>-</w:t>
            </w:r>
          </w:p>
        </w:tc>
        <w:tc>
          <w:tcPr>
            <w:tcW w:w="425" w:type="dxa"/>
            <w:tcBorders>
              <w:top w:val="single" w:sz="4" w:space="0" w:color="FFFFFF"/>
              <w:left w:val="single" w:sz="4" w:space="0" w:color="FFFFFF" w:themeColor="background1"/>
              <w:bottom w:val="single" w:sz="4" w:space="0" w:color="auto"/>
              <w:right w:val="dashSmallGap" w:sz="4" w:space="0" w:color="A6A6A6" w:themeColor="background1" w:themeShade="A6"/>
            </w:tcBorders>
            <w:shd w:val="clear" w:color="auto" w:fill="FFFFFF" w:themeFill="background1"/>
            <w:vAlign w:val="center"/>
          </w:tcPr>
          <w:p w:rsidR="00DB3F75" w:rsidRPr="00A21B5C" w:rsidRDefault="00DB3F75" w:rsidP="00A21B5C">
            <w:pPr>
              <w:contextualSpacing/>
              <w:jc w:val="right"/>
              <w:rPr>
                <w:rFonts w:ascii="Arial" w:eastAsia="Times New Roman" w:hAnsi="Arial" w:cs="Arial"/>
                <w:color w:val="000000"/>
                <w:sz w:val="22"/>
                <w:szCs w:val="22"/>
                <w:lang w:val="es-CO" w:eastAsia="es-CO"/>
              </w:rPr>
            </w:pPr>
          </w:p>
        </w:tc>
        <w:tc>
          <w:tcPr>
            <w:tcW w:w="1559" w:type="dxa"/>
            <w:tcBorders>
              <w:top w:val="single" w:sz="4" w:space="0" w:color="FFFFFF"/>
              <w:left w:val="dashSmallGap" w:sz="4" w:space="0" w:color="A6A6A6" w:themeColor="background1" w:themeShade="A6"/>
              <w:bottom w:val="single" w:sz="4" w:space="0" w:color="auto"/>
              <w:right w:val="single" w:sz="4" w:space="0" w:color="FFFFFF" w:themeColor="background1"/>
            </w:tcBorders>
            <w:noWrap/>
            <w:vAlign w:val="center"/>
            <w:hideMark/>
          </w:tcPr>
          <w:p w:rsidR="00DB3F75" w:rsidRPr="00A21B5C" w:rsidRDefault="00DB3F75" w:rsidP="00A21B5C">
            <w:pPr>
              <w:contextualSpacing/>
              <w:jc w:val="right"/>
              <w:rPr>
                <w:rFonts w:ascii="Arial" w:eastAsia="Times New Roman" w:hAnsi="Arial" w:cs="Arial"/>
                <w:color w:val="000000"/>
                <w:sz w:val="22"/>
                <w:szCs w:val="22"/>
                <w:lang w:val="es-CO" w:eastAsia="es-CO"/>
              </w:rPr>
            </w:pPr>
            <w:r w:rsidRPr="00A21B5C">
              <w:rPr>
                <w:rFonts w:ascii="Arial" w:eastAsia="Times New Roman" w:hAnsi="Arial" w:cs="Arial"/>
                <w:color w:val="595959" w:themeColor="text1" w:themeTint="A6"/>
                <w:sz w:val="18"/>
                <w:szCs w:val="22"/>
                <w:lang w:val="es-CO" w:eastAsia="es-CO"/>
              </w:rPr>
              <w:t>$1.103.852.937</w:t>
            </w:r>
          </w:p>
        </w:tc>
        <w:tc>
          <w:tcPr>
            <w:tcW w:w="425" w:type="dxa"/>
            <w:tcBorders>
              <w:top w:val="single" w:sz="4" w:space="0" w:color="FFFFFF"/>
              <w:left w:val="single" w:sz="4" w:space="0" w:color="FFFFFF" w:themeColor="background1"/>
              <w:bottom w:val="single" w:sz="4" w:space="0" w:color="auto"/>
              <w:right w:val="dashSmallGap" w:sz="4" w:space="0" w:color="A6A6A6" w:themeColor="background1" w:themeShade="A6"/>
            </w:tcBorders>
            <w:shd w:val="clear" w:color="auto" w:fill="FFFFFF" w:themeFill="background1"/>
            <w:vAlign w:val="center"/>
          </w:tcPr>
          <w:p w:rsidR="00DB3F75" w:rsidRPr="00A21B5C" w:rsidRDefault="00DB3F75" w:rsidP="00A21B5C">
            <w:pPr>
              <w:contextualSpacing/>
              <w:jc w:val="center"/>
              <w:rPr>
                <w:rFonts w:ascii="Arial" w:eastAsia="Times New Roman" w:hAnsi="Arial" w:cs="Arial"/>
                <w:color w:val="C00000"/>
                <w:sz w:val="22"/>
                <w:szCs w:val="22"/>
                <w:lang w:val="es-CO" w:eastAsia="es-CO"/>
              </w:rPr>
            </w:pPr>
          </w:p>
        </w:tc>
        <w:tc>
          <w:tcPr>
            <w:tcW w:w="1560" w:type="dxa"/>
            <w:tcBorders>
              <w:top w:val="single" w:sz="4" w:space="0" w:color="FFFFFF"/>
              <w:left w:val="dashSmallGap" w:sz="4" w:space="0" w:color="A6A6A6" w:themeColor="background1" w:themeShade="A6"/>
              <w:bottom w:val="single" w:sz="4" w:space="0" w:color="auto"/>
              <w:right w:val="single" w:sz="4" w:space="0" w:color="FFFFFF" w:themeColor="background1"/>
            </w:tcBorders>
            <w:noWrap/>
            <w:vAlign w:val="center"/>
          </w:tcPr>
          <w:p w:rsidR="00DB3F75" w:rsidRPr="00A21B5C" w:rsidRDefault="00DB3F75" w:rsidP="00A21B5C">
            <w:pPr>
              <w:contextualSpacing/>
              <w:jc w:val="right"/>
              <w:rPr>
                <w:rFonts w:ascii="Arial" w:eastAsia="Times New Roman" w:hAnsi="Arial" w:cs="Arial"/>
                <w:color w:val="000000"/>
                <w:sz w:val="22"/>
                <w:szCs w:val="22"/>
                <w:lang w:val="es-CO" w:eastAsia="es-CO"/>
              </w:rPr>
            </w:pPr>
          </w:p>
        </w:tc>
        <w:tc>
          <w:tcPr>
            <w:tcW w:w="425" w:type="dxa"/>
            <w:tcBorders>
              <w:top w:val="single" w:sz="4" w:space="0" w:color="FFFFFF"/>
              <w:left w:val="single" w:sz="4" w:space="0" w:color="FFFFFF" w:themeColor="background1"/>
              <w:bottom w:val="single" w:sz="4" w:space="0" w:color="auto"/>
              <w:right w:val="dashSmallGap" w:sz="4" w:space="0" w:color="A6A6A6" w:themeColor="background1" w:themeShade="A6"/>
            </w:tcBorders>
            <w:shd w:val="clear" w:color="auto" w:fill="FFFFFF" w:themeFill="background1"/>
          </w:tcPr>
          <w:p w:rsidR="00DB3F75" w:rsidRPr="00A21B5C" w:rsidRDefault="00DB3F75" w:rsidP="00A21B5C">
            <w:pPr>
              <w:contextualSpacing/>
              <w:jc w:val="center"/>
              <w:rPr>
                <w:rFonts w:ascii="Arial" w:eastAsia="Times New Roman" w:hAnsi="Arial" w:cs="Arial"/>
                <w:color w:val="C00000"/>
                <w:sz w:val="22"/>
                <w:szCs w:val="22"/>
                <w:lang w:val="es-CO" w:eastAsia="es-CO"/>
              </w:rPr>
            </w:pPr>
          </w:p>
        </w:tc>
        <w:tc>
          <w:tcPr>
            <w:tcW w:w="1559" w:type="dxa"/>
            <w:tcBorders>
              <w:top w:val="single" w:sz="4" w:space="0" w:color="FFFFFF"/>
              <w:left w:val="single" w:sz="4" w:space="0" w:color="FFFFFF" w:themeColor="background1"/>
              <w:bottom w:val="single" w:sz="4" w:space="0" w:color="auto"/>
              <w:right w:val="dashSmallGap" w:sz="4" w:space="0" w:color="A6A6A6" w:themeColor="background1" w:themeShade="A6"/>
            </w:tcBorders>
            <w:shd w:val="clear" w:color="auto" w:fill="FFFFFF" w:themeFill="background1"/>
          </w:tcPr>
          <w:p w:rsidR="00DB3F75" w:rsidRPr="00A21B5C" w:rsidRDefault="00EF7041" w:rsidP="00A21B5C">
            <w:pPr>
              <w:contextualSpacing/>
              <w:jc w:val="right"/>
              <w:rPr>
                <w:rFonts w:ascii="Arial" w:eastAsia="Times New Roman" w:hAnsi="Arial" w:cs="Arial"/>
                <w:color w:val="000000" w:themeColor="text1"/>
                <w:sz w:val="22"/>
                <w:szCs w:val="22"/>
                <w:lang w:val="es-CO" w:eastAsia="es-CO"/>
              </w:rPr>
            </w:pPr>
            <w:r w:rsidRPr="00A21B5C">
              <w:rPr>
                <w:rFonts w:ascii="Arial" w:eastAsia="Times New Roman" w:hAnsi="Arial" w:cs="Arial"/>
                <w:color w:val="000000" w:themeColor="text1"/>
                <w:sz w:val="22"/>
                <w:szCs w:val="22"/>
                <w:lang w:val="es-CO" w:eastAsia="es-CO"/>
              </w:rPr>
              <w:t>-</w:t>
            </w:r>
          </w:p>
        </w:tc>
        <w:tc>
          <w:tcPr>
            <w:tcW w:w="425" w:type="dxa"/>
            <w:tcBorders>
              <w:top w:val="single" w:sz="4" w:space="0" w:color="FFFFFF"/>
              <w:left w:val="single" w:sz="4" w:space="0" w:color="FFFFFF" w:themeColor="background1"/>
              <w:bottom w:val="single" w:sz="4" w:space="0" w:color="auto"/>
              <w:right w:val="dashSmallGap" w:sz="4" w:space="0" w:color="A6A6A6" w:themeColor="background1" w:themeShade="A6"/>
            </w:tcBorders>
            <w:shd w:val="clear" w:color="auto" w:fill="FFFFFF" w:themeFill="background1"/>
          </w:tcPr>
          <w:p w:rsidR="00DB3F75" w:rsidRPr="00A21B5C" w:rsidRDefault="00DB3F75" w:rsidP="00A21B5C">
            <w:pPr>
              <w:contextualSpacing/>
              <w:jc w:val="center"/>
              <w:rPr>
                <w:rFonts w:ascii="Arial" w:eastAsia="Times New Roman" w:hAnsi="Arial" w:cs="Arial"/>
                <w:color w:val="C00000"/>
                <w:sz w:val="22"/>
                <w:szCs w:val="22"/>
                <w:lang w:val="es-CO" w:eastAsia="es-CO"/>
              </w:rPr>
            </w:pPr>
          </w:p>
        </w:tc>
      </w:tr>
      <w:tr w:rsidR="00DB3F75" w:rsidRPr="00A21B5C" w:rsidTr="00A96D69">
        <w:trPr>
          <w:trHeight w:val="305"/>
          <w:jc w:val="center"/>
        </w:trPr>
        <w:tc>
          <w:tcPr>
            <w:tcW w:w="2835" w:type="dxa"/>
            <w:tcBorders>
              <w:top w:val="single" w:sz="4" w:space="0" w:color="000000" w:themeColor="text1"/>
              <w:left w:val="dashSmallGap" w:sz="4" w:space="0" w:color="A6A6A6" w:themeColor="background1" w:themeShade="A6"/>
              <w:bottom w:val="single" w:sz="4" w:space="0" w:color="auto"/>
              <w:right w:val="dashSmallGap" w:sz="4" w:space="0" w:color="A6A6A6" w:themeColor="background1" w:themeShade="A6"/>
            </w:tcBorders>
            <w:noWrap/>
            <w:vAlign w:val="center"/>
            <w:hideMark/>
          </w:tcPr>
          <w:p w:rsidR="00DB3F75" w:rsidRPr="00A21B5C" w:rsidRDefault="00DB3F75" w:rsidP="00A21B5C">
            <w:pPr>
              <w:contextualSpacing/>
              <w:rPr>
                <w:rFonts w:ascii="Arial" w:eastAsia="Times New Roman" w:hAnsi="Arial" w:cs="Arial"/>
                <w:color w:val="000000"/>
                <w:sz w:val="22"/>
                <w:szCs w:val="22"/>
                <w:lang w:val="es-CO" w:eastAsia="es-CO"/>
              </w:rPr>
            </w:pPr>
            <w:r w:rsidRPr="00A21B5C">
              <w:rPr>
                <w:rFonts w:ascii="Arial" w:eastAsia="Times New Roman" w:hAnsi="Arial" w:cs="Arial"/>
                <w:color w:val="000000"/>
                <w:sz w:val="22"/>
                <w:szCs w:val="22"/>
                <w:lang w:val="es-CO" w:eastAsia="en-US"/>
              </w:rPr>
              <w:t>Compromisos de la Reserva</w:t>
            </w:r>
          </w:p>
        </w:tc>
        <w:tc>
          <w:tcPr>
            <w:tcW w:w="1560" w:type="dxa"/>
            <w:tcBorders>
              <w:top w:val="single" w:sz="4" w:space="0" w:color="000000" w:themeColor="text1"/>
              <w:left w:val="dashSmallGap" w:sz="4" w:space="0" w:color="A6A6A6" w:themeColor="background1" w:themeShade="A6"/>
              <w:bottom w:val="single" w:sz="4" w:space="0" w:color="auto"/>
              <w:right w:val="single" w:sz="4" w:space="0" w:color="FFFFFF" w:themeColor="background1"/>
            </w:tcBorders>
            <w:noWrap/>
            <w:vAlign w:val="center"/>
            <w:hideMark/>
          </w:tcPr>
          <w:p w:rsidR="00DB3F75" w:rsidRPr="00A21B5C" w:rsidRDefault="00DB3F75" w:rsidP="00A21B5C">
            <w:pPr>
              <w:contextualSpacing/>
              <w:jc w:val="right"/>
              <w:rPr>
                <w:rFonts w:ascii="Arial" w:eastAsia="Times New Roman" w:hAnsi="Arial" w:cs="Arial"/>
                <w:color w:val="000000"/>
                <w:sz w:val="22"/>
                <w:szCs w:val="22"/>
                <w:lang w:val="es-CO" w:eastAsia="es-CO"/>
              </w:rPr>
            </w:pPr>
            <w:r w:rsidRPr="00A21B5C">
              <w:rPr>
                <w:rFonts w:ascii="Arial" w:eastAsia="Times New Roman" w:hAnsi="Arial" w:cs="Arial"/>
                <w:sz w:val="20"/>
                <w:szCs w:val="20"/>
                <w:lang w:val="es-CO" w:eastAsia="es-CO"/>
              </w:rPr>
              <w:t>-</w:t>
            </w:r>
          </w:p>
        </w:tc>
        <w:tc>
          <w:tcPr>
            <w:tcW w:w="425" w:type="dxa"/>
            <w:tcBorders>
              <w:top w:val="single" w:sz="4" w:space="0" w:color="000000" w:themeColor="text1"/>
              <w:left w:val="single" w:sz="4" w:space="0" w:color="FFFFFF" w:themeColor="background1"/>
              <w:bottom w:val="single" w:sz="4" w:space="0" w:color="auto"/>
              <w:right w:val="dashSmallGap" w:sz="4" w:space="0" w:color="A6A6A6" w:themeColor="background1" w:themeShade="A6"/>
            </w:tcBorders>
            <w:shd w:val="clear" w:color="auto" w:fill="FFFFFF" w:themeFill="background1"/>
            <w:vAlign w:val="center"/>
          </w:tcPr>
          <w:p w:rsidR="00DB3F75" w:rsidRPr="00A21B5C" w:rsidRDefault="00DB3F75" w:rsidP="00A21B5C">
            <w:pPr>
              <w:contextualSpacing/>
              <w:jc w:val="right"/>
              <w:rPr>
                <w:rFonts w:ascii="Arial" w:eastAsia="Times New Roman" w:hAnsi="Arial" w:cs="Arial"/>
                <w:color w:val="000000"/>
                <w:sz w:val="22"/>
                <w:szCs w:val="22"/>
                <w:lang w:val="es-CO" w:eastAsia="es-CO"/>
              </w:rPr>
            </w:pPr>
          </w:p>
        </w:tc>
        <w:tc>
          <w:tcPr>
            <w:tcW w:w="1559" w:type="dxa"/>
            <w:tcBorders>
              <w:top w:val="single" w:sz="4" w:space="0" w:color="000000" w:themeColor="text1"/>
              <w:left w:val="dashSmallGap" w:sz="4" w:space="0" w:color="A6A6A6" w:themeColor="background1" w:themeShade="A6"/>
              <w:bottom w:val="single" w:sz="4" w:space="0" w:color="auto"/>
              <w:right w:val="single" w:sz="4" w:space="0" w:color="FFFFFF" w:themeColor="background1"/>
            </w:tcBorders>
            <w:noWrap/>
            <w:vAlign w:val="center"/>
            <w:hideMark/>
          </w:tcPr>
          <w:p w:rsidR="00DB3F75" w:rsidRPr="00A21B5C" w:rsidRDefault="00DB3F75" w:rsidP="00A21B5C">
            <w:pPr>
              <w:contextualSpacing/>
              <w:jc w:val="right"/>
              <w:rPr>
                <w:rFonts w:ascii="Arial" w:eastAsia="Times New Roman" w:hAnsi="Arial" w:cs="Arial"/>
                <w:color w:val="000000"/>
                <w:sz w:val="22"/>
                <w:szCs w:val="22"/>
                <w:lang w:val="es-CO" w:eastAsia="es-CO"/>
              </w:rPr>
            </w:pPr>
            <w:r w:rsidRPr="00A21B5C">
              <w:rPr>
                <w:rFonts w:ascii="Arial" w:eastAsia="Times New Roman" w:hAnsi="Arial" w:cs="Arial"/>
                <w:color w:val="000000"/>
                <w:sz w:val="22"/>
                <w:szCs w:val="22"/>
                <w:lang w:val="es-CO" w:eastAsia="en-US"/>
              </w:rPr>
              <w:t>$1.068.228.230</w:t>
            </w:r>
          </w:p>
        </w:tc>
        <w:tc>
          <w:tcPr>
            <w:tcW w:w="425" w:type="dxa"/>
            <w:vMerge w:val="restart"/>
            <w:tcBorders>
              <w:top w:val="single" w:sz="4" w:space="0" w:color="000000" w:themeColor="text1"/>
              <w:left w:val="single" w:sz="4" w:space="0" w:color="FFFFFF" w:themeColor="background1"/>
              <w:right w:val="dashSmallGap" w:sz="4" w:space="0" w:color="A6A6A6" w:themeColor="background1" w:themeShade="A6"/>
            </w:tcBorders>
            <w:shd w:val="clear" w:color="auto" w:fill="FFFFFF" w:themeFill="background1"/>
            <w:vAlign w:val="center"/>
            <w:hideMark/>
          </w:tcPr>
          <w:p w:rsidR="00DB3F75" w:rsidRPr="00A21B5C" w:rsidRDefault="00DB3F75" w:rsidP="00A21B5C">
            <w:pPr>
              <w:contextualSpacing/>
              <w:jc w:val="center"/>
              <w:rPr>
                <w:rFonts w:ascii="Arial" w:eastAsia="Times New Roman" w:hAnsi="Arial" w:cs="Arial"/>
                <w:b/>
                <w:color w:val="C00000"/>
                <w:sz w:val="22"/>
                <w:szCs w:val="22"/>
                <w:lang w:val="es-CO" w:eastAsia="es-CO"/>
              </w:rPr>
            </w:pPr>
            <w:r w:rsidRPr="00A21B5C">
              <w:rPr>
                <w:rFonts w:ascii="Arial" w:eastAsia="Times New Roman" w:hAnsi="Arial" w:cs="Arial"/>
                <w:b/>
                <w:color w:val="C00000"/>
                <w:sz w:val="22"/>
                <w:szCs w:val="22"/>
                <w:lang w:val="es-CO" w:eastAsia="es-CO"/>
              </w:rPr>
              <w:t>(4)</w:t>
            </w:r>
          </w:p>
        </w:tc>
        <w:tc>
          <w:tcPr>
            <w:tcW w:w="1560" w:type="dxa"/>
            <w:tcBorders>
              <w:top w:val="single" w:sz="4" w:space="0" w:color="000000" w:themeColor="text1"/>
              <w:left w:val="dashSmallGap" w:sz="4" w:space="0" w:color="A6A6A6" w:themeColor="background1" w:themeShade="A6"/>
              <w:bottom w:val="single" w:sz="4" w:space="0" w:color="auto"/>
              <w:right w:val="single" w:sz="4" w:space="0" w:color="FFFFFF" w:themeColor="background1"/>
            </w:tcBorders>
            <w:noWrap/>
            <w:vAlign w:val="center"/>
            <w:hideMark/>
          </w:tcPr>
          <w:p w:rsidR="00DB3F75" w:rsidRPr="00A21B5C" w:rsidRDefault="00DB3F75" w:rsidP="00A21B5C">
            <w:pPr>
              <w:contextualSpacing/>
              <w:jc w:val="right"/>
              <w:rPr>
                <w:rFonts w:ascii="Arial" w:eastAsia="Times New Roman" w:hAnsi="Arial" w:cs="Arial"/>
                <w:color w:val="000000"/>
                <w:sz w:val="22"/>
                <w:szCs w:val="22"/>
                <w:lang w:val="es-CO" w:eastAsia="es-CO"/>
              </w:rPr>
            </w:pPr>
            <w:r w:rsidRPr="00A21B5C">
              <w:rPr>
                <w:rFonts w:ascii="Arial" w:eastAsia="Times New Roman" w:hAnsi="Arial" w:cs="Arial"/>
                <w:color w:val="000000"/>
                <w:sz w:val="22"/>
                <w:szCs w:val="22"/>
                <w:lang w:val="es-CO" w:eastAsia="en-US"/>
              </w:rPr>
              <w:t>$16.206.847</w:t>
            </w:r>
          </w:p>
        </w:tc>
        <w:tc>
          <w:tcPr>
            <w:tcW w:w="425" w:type="dxa"/>
            <w:tcBorders>
              <w:top w:val="single" w:sz="4" w:space="0" w:color="000000" w:themeColor="text1"/>
              <w:left w:val="single" w:sz="4" w:space="0" w:color="FFFFFF" w:themeColor="background1"/>
              <w:bottom w:val="single" w:sz="4" w:space="0" w:color="auto"/>
              <w:right w:val="dashSmallGap" w:sz="4" w:space="0" w:color="A6A6A6" w:themeColor="background1" w:themeShade="A6"/>
            </w:tcBorders>
            <w:shd w:val="clear" w:color="auto" w:fill="FFFFFF" w:themeFill="background1"/>
          </w:tcPr>
          <w:p w:rsidR="00DB3F75" w:rsidRPr="00A21B5C" w:rsidRDefault="00DB3F75" w:rsidP="00A21B5C">
            <w:pPr>
              <w:contextualSpacing/>
              <w:jc w:val="center"/>
              <w:rPr>
                <w:rFonts w:ascii="Arial" w:eastAsia="Times New Roman" w:hAnsi="Arial" w:cs="Arial"/>
                <w:color w:val="000000"/>
                <w:sz w:val="22"/>
                <w:szCs w:val="22"/>
                <w:lang w:val="es-CO" w:eastAsia="es-CO"/>
              </w:rPr>
            </w:pPr>
          </w:p>
        </w:tc>
        <w:tc>
          <w:tcPr>
            <w:tcW w:w="1559" w:type="dxa"/>
            <w:tcBorders>
              <w:top w:val="single" w:sz="4" w:space="0" w:color="000000" w:themeColor="text1"/>
              <w:left w:val="single" w:sz="4" w:space="0" w:color="FFFFFF" w:themeColor="background1"/>
              <w:bottom w:val="single" w:sz="4" w:space="0" w:color="auto"/>
              <w:right w:val="dashSmallGap" w:sz="4" w:space="0" w:color="A6A6A6" w:themeColor="background1" w:themeShade="A6"/>
            </w:tcBorders>
            <w:shd w:val="clear" w:color="auto" w:fill="FFFFFF" w:themeFill="background1"/>
          </w:tcPr>
          <w:p w:rsidR="00DB3F75" w:rsidRPr="00A21B5C" w:rsidRDefault="00EF7041" w:rsidP="00A21B5C">
            <w:pPr>
              <w:contextualSpacing/>
              <w:jc w:val="right"/>
              <w:rPr>
                <w:rFonts w:ascii="Arial" w:eastAsia="Times New Roman" w:hAnsi="Arial" w:cs="Arial"/>
                <w:color w:val="000000" w:themeColor="text1"/>
                <w:sz w:val="22"/>
                <w:szCs w:val="22"/>
                <w:lang w:val="es-CO" w:eastAsia="es-CO"/>
              </w:rPr>
            </w:pPr>
            <w:r w:rsidRPr="00A21B5C">
              <w:rPr>
                <w:rFonts w:ascii="Arial" w:eastAsia="Times New Roman" w:hAnsi="Arial" w:cs="Arial"/>
                <w:color w:val="000000" w:themeColor="text1"/>
                <w:sz w:val="22"/>
                <w:szCs w:val="22"/>
                <w:lang w:val="es-CO" w:eastAsia="es-CO"/>
              </w:rPr>
              <w:t>-</w:t>
            </w:r>
          </w:p>
        </w:tc>
        <w:tc>
          <w:tcPr>
            <w:tcW w:w="425" w:type="dxa"/>
            <w:tcBorders>
              <w:top w:val="single" w:sz="4" w:space="0" w:color="000000" w:themeColor="text1"/>
              <w:left w:val="single" w:sz="4" w:space="0" w:color="FFFFFF" w:themeColor="background1"/>
              <w:bottom w:val="single" w:sz="4" w:space="0" w:color="auto"/>
              <w:right w:val="dashSmallGap" w:sz="4" w:space="0" w:color="A6A6A6" w:themeColor="background1" w:themeShade="A6"/>
            </w:tcBorders>
            <w:shd w:val="clear" w:color="auto" w:fill="FFFFFF" w:themeFill="background1"/>
          </w:tcPr>
          <w:p w:rsidR="00DB3F75" w:rsidRPr="00A21B5C" w:rsidRDefault="00DB3F75" w:rsidP="00A21B5C">
            <w:pPr>
              <w:contextualSpacing/>
              <w:jc w:val="center"/>
              <w:rPr>
                <w:rFonts w:ascii="Arial" w:eastAsia="Times New Roman" w:hAnsi="Arial" w:cs="Arial"/>
                <w:color w:val="000000"/>
                <w:sz w:val="22"/>
                <w:szCs w:val="22"/>
                <w:lang w:val="es-CO" w:eastAsia="es-CO"/>
              </w:rPr>
            </w:pPr>
          </w:p>
        </w:tc>
      </w:tr>
      <w:tr w:rsidR="00A96D69" w:rsidRPr="00A21B5C" w:rsidTr="00A96D69">
        <w:trPr>
          <w:trHeight w:val="305"/>
          <w:jc w:val="center"/>
        </w:trPr>
        <w:tc>
          <w:tcPr>
            <w:tcW w:w="2835" w:type="dxa"/>
            <w:tcBorders>
              <w:top w:val="single" w:sz="4" w:space="0" w:color="000000" w:themeColor="text1"/>
              <w:left w:val="dashSmallGap" w:sz="4" w:space="0" w:color="A6A6A6" w:themeColor="background1" w:themeShade="A6"/>
              <w:bottom w:val="single" w:sz="4" w:space="0" w:color="auto"/>
              <w:right w:val="dashSmallGap" w:sz="4" w:space="0" w:color="A6A6A6" w:themeColor="background1" w:themeShade="A6"/>
            </w:tcBorders>
            <w:noWrap/>
            <w:vAlign w:val="center"/>
            <w:hideMark/>
          </w:tcPr>
          <w:p w:rsidR="00DB3F75" w:rsidRPr="00A21B5C" w:rsidRDefault="00DB3F75" w:rsidP="00A21B5C">
            <w:pPr>
              <w:contextualSpacing/>
              <w:rPr>
                <w:rFonts w:ascii="Arial" w:eastAsia="Times New Roman" w:hAnsi="Arial" w:cs="Arial"/>
                <w:color w:val="000000"/>
                <w:sz w:val="22"/>
                <w:szCs w:val="22"/>
                <w:lang w:val="es-CO" w:eastAsia="es-CO"/>
              </w:rPr>
            </w:pPr>
            <w:r w:rsidRPr="00A21B5C">
              <w:rPr>
                <w:rFonts w:ascii="Arial" w:eastAsia="Times New Roman" w:hAnsi="Arial" w:cs="Arial"/>
                <w:color w:val="000000"/>
                <w:sz w:val="22"/>
                <w:szCs w:val="22"/>
                <w:lang w:val="es-CO" w:eastAsia="en-US"/>
              </w:rPr>
              <w:t>Obligaciones de la Reserva</w:t>
            </w:r>
          </w:p>
        </w:tc>
        <w:tc>
          <w:tcPr>
            <w:tcW w:w="1560" w:type="dxa"/>
            <w:tcBorders>
              <w:top w:val="single" w:sz="4" w:space="0" w:color="000000" w:themeColor="text1"/>
              <w:left w:val="dashSmallGap" w:sz="4" w:space="0" w:color="A6A6A6" w:themeColor="background1" w:themeShade="A6"/>
              <w:bottom w:val="single" w:sz="4" w:space="0" w:color="auto"/>
              <w:right w:val="single" w:sz="4" w:space="0" w:color="FFFFFF" w:themeColor="background1"/>
            </w:tcBorders>
            <w:noWrap/>
            <w:vAlign w:val="center"/>
            <w:hideMark/>
          </w:tcPr>
          <w:p w:rsidR="00DB3F75" w:rsidRPr="00A21B5C" w:rsidRDefault="00DB3F75" w:rsidP="00A21B5C">
            <w:pPr>
              <w:contextualSpacing/>
              <w:jc w:val="right"/>
              <w:rPr>
                <w:rFonts w:ascii="Arial" w:eastAsia="Times New Roman" w:hAnsi="Arial" w:cs="Arial"/>
                <w:color w:val="000000"/>
                <w:sz w:val="22"/>
                <w:szCs w:val="22"/>
                <w:lang w:val="es-CO" w:eastAsia="es-CO"/>
              </w:rPr>
            </w:pPr>
            <w:r w:rsidRPr="00A21B5C">
              <w:rPr>
                <w:rFonts w:ascii="Arial" w:eastAsia="Times New Roman" w:hAnsi="Arial" w:cs="Arial"/>
                <w:sz w:val="20"/>
                <w:szCs w:val="20"/>
                <w:lang w:val="es-CO" w:eastAsia="es-CO"/>
              </w:rPr>
              <w:t>-</w:t>
            </w:r>
          </w:p>
        </w:tc>
        <w:tc>
          <w:tcPr>
            <w:tcW w:w="425" w:type="dxa"/>
            <w:tcBorders>
              <w:top w:val="single" w:sz="4" w:space="0" w:color="000000" w:themeColor="text1"/>
              <w:left w:val="single" w:sz="4" w:space="0" w:color="FFFFFF" w:themeColor="background1"/>
              <w:bottom w:val="single" w:sz="4" w:space="0" w:color="auto"/>
              <w:right w:val="dashSmallGap" w:sz="4" w:space="0" w:color="A6A6A6" w:themeColor="background1" w:themeShade="A6"/>
            </w:tcBorders>
            <w:shd w:val="clear" w:color="auto" w:fill="FFFFFF" w:themeFill="background1"/>
            <w:vAlign w:val="center"/>
          </w:tcPr>
          <w:p w:rsidR="00DB3F75" w:rsidRPr="00A21B5C" w:rsidRDefault="00DB3F75" w:rsidP="00A21B5C">
            <w:pPr>
              <w:contextualSpacing/>
              <w:jc w:val="right"/>
              <w:rPr>
                <w:rFonts w:ascii="Arial" w:eastAsia="Times New Roman" w:hAnsi="Arial" w:cs="Arial"/>
                <w:color w:val="000000"/>
                <w:sz w:val="22"/>
                <w:szCs w:val="22"/>
                <w:lang w:val="es-CO" w:eastAsia="es-CO"/>
              </w:rPr>
            </w:pPr>
          </w:p>
        </w:tc>
        <w:tc>
          <w:tcPr>
            <w:tcW w:w="1559" w:type="dxa"/>
            <w:tcBorders>
              <w:top w:val="single" w:sz="4" w:space="0" w:color="000000" w:themeColor="text1"/>
              <w:left w:val="dashSmallGap" w:sz="4" w:space="0" w:color="A6A6A6" w:themeColor="background1" w:themeShade="A6"/>
              <w:bottom w:val="single" w:sz="4" w:space="0" w:color="auto"/>
              <w:right w:val="single" w:sz="4" w:space="0" w:color="FFFFFF" w:themeColor="background1"/>
            </w:tcBorders>
            <w:noWrap/>
            <w:vAlign w:val="center"/>
            <w:hideMark/>
          </w:tcPr>
          <w:p w:rsidR="00DB3F75" w:rsidRPr="00A21B5C" w:rsidRDefault="00DB3F75" w:rsidP="00A21B5C">
            <w:pPr>
              <w:contextualSpacing/>
              <w:jc w:val="right"/>
              <w:rPr>
                <w:rFonts w:ascii="Arial" w:eastAsia="Times New Roman" w:hAnsi="Arial" w:cs="Arial"/>
                <w:color w:val="000000"/>
                <w:sz w:val="22"/>
                <w:szCs w:val="22"/>
                <w:lang w:val="es-CO" w:eastAsia="es-CO"/>
              </w:rPr>
            </w:pPr>
            <w:r w:rsidRPr="00A21B5C">
              <w:rPr>
                <w:rFonts w:ascii="Arial" w:eastAsia="Times New Roman" w:hAnsi="Arial" w:cs="Arial"/>
                <w:color w:val="000000"/>
                <w:sz w:val="22"/>
                <w:szCs w:val="22"/>
                <w:lang w:val="es-CO" w:eastAsia="en-US"/>
              </w:rPr>
              <w:t>$438.916.858</w:t>
            </w:r>
          </w:p>
        </w:tc>
        <w:tc>
          <w:tcPr>
            <w:tcW w:w="425" w:type="dxa"/>
            <w:vMerge/>
            <w:tcBorders>
              <w:left w:val="single" w:sz="4" w:space="0" w:color="FFFFFF" w:themeColor="background1"/>
              <w:right w:val="dashSmallGap" w:sz="4" w:space="0" w:color="A6A6A6" w:themeColor="background1" w:themeShade="A6"/>
            </w:tcBorders>
            <w:shd w:val="clear" w:color="auto" w:fill="FFFFFF" w:themeFill="background1"/>
            <w:vAlign w:val="center"/>
          </w:tcPr>
          <w:p w:rsidR="00DB3F75" w:rsidRPr="00A21B5C" w:rsidRDefault="00DB3F75" w:rsidP="00A21B5C">
            <w:pPr>
              <w:contextualSpacing/>
              <w:jc w:val="center"/>
              <w:rPr>
                <w:rFonts w:ascii="Arial" w:eastAsia="Times New Roman" w:hAnsi="Arial" w:cs="Arial"/>
                <w:color w:val="C00000"/>
                <w:sz w:val="22"/>
                <w:szCs w:val="22"/>
                <w:lang w:val="es-CO" w:eastAsia="es-CO"/>
              </w:rPr>
            </w:pPr>
          </w:p>
        </w:tc>
        <w:tc>
          <w:tcPr>
            <w:tcW w:w="1560" w:type="dxa"/>
            <w:tcBorders>
              <w:top w:val="single" w:sz="4" w:space="0" w:color="000000" w:themeColor="text1"/>
              <w:left w:val="dashSmallGap" w:sz="4" w:space="0" w:color="A6A6A6" w:themeColor="background1" w:themeShade="A6"/>
              <w:bottom w:val="single" w:sz="4" w:space="0" w:color="auto"/>
              <w:right w:val="single" w:sz="4" w:space="0" w:color="FFFFFF" w:themeColor="background1"/>
            </w:tcBorders>
            <w:noWrap/>
            <w:vAlign w:val="center"/>
            <w:hideMark/>
          </w:tcPr>
          <w:p w:rsidR="00DB3F75" w:rsidRPr="00A21B5C" w:rsidRDefault="00DB3F75" w:rsidP="00A21B5C">
            <w:pPr>
              <w:contextualSpacing/>
              <w:jc w:val="right"/>
              <w:rPr>
                <w:rFonts w:ascii="Arial" w:eastAsia="Times New Roman" w:hAnsi="Arial" w:cs="Arial"/>
                <w:color w:val="000000"/>
                <w:sz w:val="22"/>
                <w:szCs w:val="22"/>
                <w:lang w:val="es-CO" w:eastAsia="es-CO"/>
              </w:rPr>
            </w:pPr>
            <w:r w:rsidRPr="00A21B5C">
              <w:rPr>
                <w:rFonts w:ascii="Arial" w:eastAsia="Times New Roman" w:hAnsi="Arial" w:cs="Arial"/>
                <w:color w:val="000000"/>
                <w:sz w:val="22"/>
                <w:szCs w:val="22"/>
                <w:lang w:val="es-CO" w:eastAsia="en-US"/>
              </w:rPr>
              <w:t>$16.206.847</w:t>
            </w:r>
          </w:p>
        </w:tc>
        <w:tc>
          <w:tcPr>
            <w:tcW w:w="425" w:type="dxa"/>
            <w:tcBorders>
              <w:top w:val="single" w:sz="4" w:space="0" w:color="000000" w:themeColor="text1"/>
              <w:left w:val="single" w:sz="4" w:space="0" w:color="FFFFFF" w:themeColor="background1"/>
              <w:bottom w:val="single" w:sz="4" w:space="0" w:color="auto"/>
              <w:right w:val="dashSmallGap" w:sz="4" w:space="0" w:color="A6A6A6" w:themeColor="background1" w:themeShade="A6"/>
            </w:tcBorders>
            <w:shd w:val="clear" w:color="auto" w:fill="FFFFFF" w:themeFill="background1"/>
          </w:tcPr>
          <w:p w:rsidR="00DB3F75" w:rsidRPr="00A21B5C" w:rsidRDefault="00DB3F75" w:rsidP="00A21B5C">
            <w:pPr>
              <w:contextualSpacing/>
              <w:jc w:val="center"/>
              <w:rPr>
                <w:rFonts w:ascii="Arial" w:eastAsia="Times New Roman" w:hAnsi="Arial" w:cs="Arial"/>
                <w:color w:val="000000"/>
                <w:sz w:val="22"/>
                <w:szCs w:val="22"/>
                <w:lang w:val="es-CO" w:eastAsia="es-CO"/>
              </w:rPr>
            </w:pPr>
          </w:p>
        </w:tc>
        <w:tc>
          <w:tcPr>
            <w:tcW w:w="1559" w:type="dxa"/>
            <w:tcBorders>
              <w:top w:val="single" w:sz="4" w:space="0" w:color="000000" w:themeColor="text1"/>
              <w:left w:val="single" w:sz="4" w:space="0" w:color="FFFFFF" w:themeColor="background1"/>
              <w:bottom w:val="single" w:sz="4" w:space="0" w:color="auto"/>
              <w:right w:val="dashSmallGap" w:sz="4" w:space="0" w:color="A6A6A6" w:themeColor="background1" w:themeShade="A6"/>
            </w:tcBorders>
            <w:shd w:val="clear" w:color="auto" w:fill="FFFFFF" w:themeFill="background1"/>
          </w:tcPr>
          <w:p w:rsidR="00DB3F75" w:rsidRPr="00A21B5C" w:rsidRDefault="00EF7041" w:rsidP="00A21B5C">
            <w:pPr>
              <w:contextualSpacing/>
              <w:jc w:val="right"/>
              <w:rPr>
                <w:rFonts w:ascii="Arial" w:eastAsia="Times New Roman" w:hAnsi="Arial" w:cs="Arial"/>
                <w:color w:val="000000" w:themeColor="text1"/>
                <w:sz w:val="22"/>
                <w:szCs w:val="22"/>
                <w:lang w:val="es-CO" w:eastAsia="es-CO"/>
              </w:rPr>
            </w:pPr>
            <w:r w:rsidRPr="00A21B5C">
              <w:rPr>
                <w:rFonts w:ascii="Arial" w:eastAsia="Times New Roman" w:hAnsi="Arial" w:cs="Arial"/>
                <w:color w:val="000000" w:themeColor="text1"/>
                <w:sz w:val="22"/>
                <w:szCs w:val="22"/>
                <w:lang w:val="es-CO" w:eastAsia="es-CO"/>
              </w:rPr>
              <w:t>-</w:t>
            </w:r>
          </w:p>
        </w:tc>
        <w:tc>
          <w:tcPr>
            <w:tcW w:w="425" w:type="dxa"/>
            <w:tcBorders>
              <w:top w:val="single" w:sz="4" w:space="0" w:color="000000" w:themeColor="text1"/>
              <w:left w:val="single" w:sz="4" w:space="0" w:color="FFFFFF" w:themeColor="background1"/>
              <w:bottom w:val="single" w:sz="4" w:space="0" w:color="auto"/>
              <w:right w:val="dashSmallGap" w:sz="4" w:space="0" w:color="A6A6A6" w:themeColor="background1" w:themeShade="A6"/>
            </w:tcBorders>
            <w:shd w:val="clear" w:color="auto" w:fill="FFFFFF" w:themeFill="background1"/>
          </w:tcPr>
          <w:p w:rsidR="00DB3F75" w:rsidRPr="00A21B5C" w:rsidRDefault="00DB3F75" w:rsidP="00A21B5C">
            <w:pPr>
              <w:contextualSpacing/>
              <w:jc w:val="center"/>
              <w:rPr>
                <w:rFonts w:ascii="Arial" w:eastAsia="Times New Roman" w:hAnsi="Arial" w:cs="Arial"/>
                <w:color w:val="000000"/>
                <w:sz w:val="22"/>
                <w:szCs w:val="22"/>
                <w:lang w:val="es-CO" w:eastAsia="es-CO"/>
              </w:rPr>
            </w:pPr>
          </w:p>
        </w:tc>
      </w:tr>
      <w:tr w:rsidR="00DB3F75" w:rsidRPr="00A21B5C" w:rsidTr="00A96D69">
        <w:trPr>
          <w:trHeight w:val="305"/>
          <w:jc w:val="center"/>
        </w:trPr>
        <w:tc>
          <w:tcPr>
            <w:tcW w:w="2835" w:type="dxa"/>
            <w:tcBorders>
              <w:top w:val="single" w:sz="4" w:space="0" w:color="000000" w:themeColor="text1"/>
              <w:left w:val="dashSmallGap" w:sz="4" w:space="0" w:color="A6A6A6" w:themeColor="background1" w:themeShade="A6"/>
              <w:bottom w:val="single" w:sz="4" w:space="0" w:color="auto"/>
              <w:right w:val="dashSmallGap" w:sz="4" w:space="0" w:color="A6A6A6" w:themeColor="background1" w:themeShade="A6"/>
            </w:tcBorders>
            <w:noWrap/>
            <w:vAlign w:val="center"/>
            <w:hideMark/>
          </w:tcPr>
          <w:p w:rsidR="00DB3F75" w:rsidRPr="00A21B5C" w:rsidRDefault="00DB3F75" w:rsidP="00A21B5C">
            <w:pPr>
              <w:contextualSpacing/>
              <w:rPr>
                <w:rFonts w:ascii="Arial" w:eastAsia="Times New Roman" w:hAnsi="Arial" w:cs="Arial"/>
                <w:color w:val="000000"/>
                <w:sz w:val="22"/>
                <w:szCs w:val="22"/>
                <w:lang w:val="es-CO" w:eastAsia="es-CO"/>
              </w:rPr>
            </w:pPr>
            <w:r w:rsidRPr="00A21B5C">
              <w:rPr>
                <w:rFonts w:ascii="Arial" w:eastAsia="Times New Roman" w:hAnsi="Arial" w:cs="Arial"/>
                <w:color w:val="000000"/>
                <w:sz w:val="22"/>
                <w:szCs w:val="22"/>
                <w:lang w:val="es-CO" w:eastAsia="en-US"/>
              </w:rPr>
              <w:t>Pagos de la Reserva</w:t>
            </w:r>
          </w:p>
        </w:tc>
        <w:tc>
          <w:tcPr>
            <w:tcW w:w="1560" w:type="dxa"/>
            <w:tcBorders>
              <w:top w:val="single" w:sz="4" w:space="0" w:color="000000" w:themeColor="text1"/>
              <w:left w:val="dashSmallGap" w:sz="4" w:space="0" w:color="A6A6A6" w:themeColor="background1" w:themeShade="A6"/>
              <w:bottom w:val="single" w:sz="4" w:space="0" w:color="auto"/>
              <w:right w:val="single" w:sz="4" w:space="0" w:color="FFFFFF" w:themeColor="background1"/>
            </w:tcBorders>
            <w:noWrap/>
            <w:vAlign w:val="center"/>
            <w:hideMark/>
          </w:tcPr>
          <w:p w:rsidR="00DB3F75" w:rsidRPr="00A21B5C" w:rsidRDefault="00DB3F75" w:rsidP="00A21B5C">
            <w:pPr>
              <w:contextualSpacing/>
              <w:jc w:val="right"/>
              <w:rPr>
                <w:rFonts w:ascii="Arial" w:eastAsia="Times New Roman" w:hAnsi="Arial" w:cs="Arial"/>
                <w:color w:val="000000"/>
                <w:sz w:val="22"/>
                <w:szCs w:val="22"/>
                <w:lang w:val="es-CO" w:eastAsia="es-CO"/>
              </w:rPr>
            </w:pPr>
            <w:r w:rsidRPr="00A21B5C">
              <w:rPr>
                <w:rFonts w:ascii="Arial" w:eastAsia="Times New Roman" w:hAnsi="Arial" w:cs="Arial"/>
                <w:sz w:val="20"/>
                <w:szCs w:val="20"/>
                <w:lang w:val="es-CO" w:eastAsia="es-CO"/>
              </w:rPr>
              <w:t>-</w:t>
            </w:r>
          </w:p>
        </w:tc>
        <w:tc>
          <w:tcPr>
            <w:tcW w:w="425" w:type="dxa"/>
            <w:tcBorders>
              <w:top w:val="single" w:sz="4" w:space="0" w:color="000000" w:themeColor="text1"/>
              <w:left w:val="single" w:sz="4" w:space="0" w:color="FFFFFF" w:themeColor="background1"/>
              <w:bottom w:val="single" w:sz="4" w:space="0" w:color="auto"/>
              <w:right w:val="dashSmallGap" w:sz="4" w:space="0" w:color="A6A6A6" w:themeColor="background1" w:themeShade="A6"/>
            </w:tcBorders>
            <w:shd w:val="clear" w:color="auto" w:fill="FFFFFF" w:themeFill="background1"/>
            <w:vAlign w:val="center"/>
          </w:tcPr>
          <w:p w:rsidR="00DB3F75" w:rsidRPr="00A21B5C" w:rsidRDefault="00DB3F75" w:rsidP="00A21B5C">
            <w:pPr>
              <w:contextualSpacing/>
              <w:jc w:val="right"/>
              <w:rPr>
                <w:rFonts w:ascii="Arial" w:eastAsia="Times New Roman" w:hAnsi="Arial" w:cs="Arial"/>
                <w:color w:val="000000"/>
                <w:sz w:val="22"/>
                <w:szCs w:val="22"/>
                <w:lang w:val="es-CO" w:eastAsia="es-CO"/>
              </w:rPr>
            </w:pPr>
          </w:p>
        </w:tc>
        <w:tc>
          <w:tcPr>
            <w:tcW w:w="1559" w:type="dxa"/>
            <w:tcBorders>
              <w:top w:val="single" w:sz="4" w:space="0" w:color="000000" w:themeColor="text1"/>
              <w:left w:val="dashSmallGap" w:sz="4" w:space="0" w:color="A6A6A6" w:themeColor="background1" w:themeShade="A6"/>
              <w:bottom w:val="single" w:sz="4" w:space="0" w:color="auto"/>
              <w:right w:val="single" w:sz="4" w:space="0" w:color="FFFFFF" w:themeColor="background1"/>
            </w:tcBorders>
            <w:noWrap/>
            <w:vAlign w:val="center"/>
            <w:hideMark/>
          </w:tcPr>
          <w:p w:rsidR="00DB3F75" w:rsidRPr="00A21B5C" w:rsidRDefault="00DB3F75" w:rsidP="00A21B5C">
            <w:pPr>
              <w:contextualSpacing/>
              <w:jc w:val="right"/>
              <w:rPr>
                <w:rFonts w:ascii="Arial" w:eastAsia="Times New Roman" w:hAnsi="Arial" w:cs="Arial"/>
                <w:color w:val="000000"/>
                <w:sz w:val="22"/>
                <w:szCs w:val="22"/>
                <w:lang w:val="es-CO" w:eastAsia="es-CO"/>
              </w:rPr>
            </w:pPr>
            <w:r w:rsidRPr="00A21B5C">
              <w:rPr>
                <w:rFonts w:ascii="Arial" w:eastAsia="Times New Roman" w:hAnsi="Arial" w:cs="Arial"/>
                <w:color w:val="000000"/>
                <w:sz w:val="22"/>
                <w:szCs w:val="22"/>
                <w:lang w:val="es-CO" w:eastAsia="en-US"/>
              </w:rPr>
              <w:t>$629.311.371</w:t>
            </w:r>
          </w:p>
        </w:tc>
        <w:tc>
          <w:tcPr>
            <w:tcW w:w="425" w:type="dxa"/>
            <w:vMerge/>
            <w:tcBorders>
              <w:left w:val="single" w:sz="4" w:space="0" w:color="FFFFFF" w:themeColor="background1"/>
              <w:bottom w:val="single" w:sz="4" w:space="0" w:color="auto"/>
              <w:right w:val="dashSmallGap" w:sz="4" w:space="0" w:color="A6A6A6" w:themeColor="background1" w:themeShade="A6"/>
            </w:tcBorders>
            <w:shd w:val="clear" w:color="auto" w:fill="FFFFFF" w:themeFill="background1"/>
            <w:vAlign w:val="center"/>
          </w:tcPr>
          <w:p w:rsidR="00DB3F75" w:rsidRPr="00A21B5C" w:rsidRDefault="00DB3F75" w:rsidP="00A21B5C">
            <w:pPr>
              <w:contextualSpacing/>
              <w:jc w:val="center"/>
              <w:rPr>
                <w:rFonts w:ascii="Arial" w:eastAsia="Times New Roman" w:hAnsi="Arial" w:cs="Arial"/>
                <w:color w:val="000000"/>
                <w:sz w:val="22"/>
                <w:szCs w:val="22"/>
                <w:lang w:val="es-CO" w:eastAsia="es-CO"/>
              </w:rPr>
            </w:pPr>
          </w:p>
        </w:tc>
        <w:tc>
          <w:tcPr>
            <w:tcW w:w="1560" w:type="dxa"/>
            <w:tcBorders>
              <w:top w:val="single" w:sz="4" w:space="0" w:color="000000" w:themeColor="text1"/>
              <w:left w:val="dashSmallGap" w:sz="4" w:space="0" w:color="A6A6A6" w:themeColor="background1" w:themeShade="A6"/>
              <w:bottom w:val="single" w:sz="4" w:space="0" w:color="auto"/>
              <w:right w:val="single" w:sz="4" w:space="0" w:color="FFFFFF" w:themeColor="background1"/>
            </w:tcBorders>
            <w:noWrap/>
            <w:vAlign w:val="center"/>
            <w:hideMark/>
          </w:tcPr>
          <w:p w:rsidR="00DB3F75" w:rsidRPr="00A21B5C" w:rsidRDefault="00DB3F75" w:rsidP="00A21B5C">
            <w:pPr>
              <w:contextualSpacing/>
              <w:jc w:val="right"/>
              <w:rPr>
                <w:rFonts w:ascii="Arial" w:eastAsia="Times New Roman" w:hAnsi="Arial" w:cs="Arial"/>
                <w:color w:val="000000"/>
                <w:sz w:val="22"/>
                <w:szCs w:val="22"/>
                <w:lang w:val="es-CO" w:eastAsia="es-CO"/>
              </w:rPr>
            </w:pPr>
            <w:r w:rsidRPr="00A21B5C">
              <w:rPr>
                <w:rFonts w:ascii="Arial" w:eastAsia="Times New Roman" w:hAnsi="Arial" w:cs="Arial"/>
                <w:color w:val="000000"/>
                <w:sz w:val="22"/>
                <w:szCs w:val="22"/>
                <w:lang w:val="es-CO" w:eastAsia="en-US"/>
              </w:rPr>
              <w:t>$16.206.847</w:t>
            </w:r>
          </w:p>
        </w:tc>
        <w:tc>
          <w:tcPr>
            <w:tcW w:w="425" w:type="dxa"/>
            <w:tcBorders>
              <w:top w:val="single" w:sz="4" w:space="0" w:color="000000" w:themeColor="text1"/>
              <w:left w:val="single" w:sz="4" w:space="0" w:color="FFFFFF" w:themeColor="background1"/>
              <w:bottom w:val="single" w:sz="4" w:space="0" w:color="auto"/>
              <w:right w:val="dashSmallGap" w:sz="4" w:space="0" w:color="A6A6A6" w:themeColor="background1" w:themeShade="A6"/>
            </w:tcBorders>
            <w:shd w:val="clear" w:color="auto" w:fill="FFFFFF" w:themeFill="background1"/>
          </w:tcPr>
          <w:p w:rsidR="00DB3F75" w:rsidRPr="00A21B5C" w:rsidRDefault="00DB3F75" w:rsidP="00A21B5C">
            <w:pPr>
              <w:contextualSpacing/>
              <w:jc w:val="center"/>
              <w:rPr>
                <w:rFonts w:ascii="Arial" w:eastAsia="Times New Roman" w:hAnsi="Arial" w:cs="Arial"/>
                <w:color w:val="000000"/>
                <w:sz w:val="22"/>
                <w:szCs w:val="22"/>
                <w:lang w:val="es-CO" w:eastAsia="es-CO"/>
              </w:rPr>
            </w:pPr>
          </w:p>
        </w:tc>
        <w:tc>
          <w:tcPr>
            <w:tcW w:w="1559" w:type="dxa"/>
            <w:tcBorders>
              <w:top w:val="single" w:sz="4" w:space="0" w:color="000000" w:themeColor="text1"/>
              <w:left w:val="single" w:sz="4" w:space="0" w:color="FFFFFF" w:themeColor="background1"/>
              <w:bottom w:val="single" w:sz="4" w:space="0" w:color="auto"/>
              <w:right w:val="dashSmallGap" w:sz="4" w:space="0" w:color="A6A6A6" w:themeColor="background1" w:themeShade="A6"/>
            </w:tcBorders>
            <w:shd w:val="clear" w:color="auto" w:fill="FFFFFF" w:themeFill="background1"/>
          </w:tcPr>
          <w:p w:rsidR="00DB3F75" w:rsidRPr="00A21B5C" w:rsidRDefault="00EF7041" w:rsidP="00A21B5C">
            <w:pPr>
              <w:contextualSpacing/>
              <w:jc w:val="right"/>
              <w:rPr>
                <w:rFonts w:ascii="Arial" w:eastAsia="Times New Roman" w:hAnsi="Arial" w:cs="Arial"/>
                <w:color w:val="000000" w:themeColor="text1"/>
                <w:sz w:val="22"/>
                <w:szCs w:val="22"/>
                <w:lang w:val="es-CO" w:eastAsia="es-CO"/>
              </w:rPr>
            </w:pPr>
            <w:r w:rsidRPr="00A21B5C">
              <w:rPr>
                <w:rFonts w:ascii="Arial" w:eastAsia="Times New Roman" w:hAnsi="Arial" w:cs="Arial"/>
                <w:color w:val="000000" w:themeColor="text1"/>
                <w:sz w:val="22"/>
                <w:szCs w:val="22"/>
                <w:lang w:val="es-CO" w:eastAsia="es-CO"/>
              </w:rPr>
              <w:t>-</w:t>
            </w:r>
          </w:p>
        </w:tc>
        <w:tc>
          <w:tcPr>
            <w:tcW w:w="425" w:type="dxa"/>
            <w:tcBorders>
              <w:top w:val="single" w:sz="4" w:space="0" w:color="000000" w:themeColor="text1"/>
              <w:left w:val="single" w:sz="4" w:space="0" w:color="FFFFFF" w:themeColor="background1"/>
              <w:bottom w:val="single" w:sz="4" w:space="0" w:color="auto"/>
              <w:right w:val="dashSmallGap" w:sz="4" w:space="0" w:color="A6A6A6" w:themeColor="background1" w:themeShade="A6"/>
            </w:tcBorders>
            <w:shd w:val="clear" w:color="auto" w:fill="FFFFFF" w:themeFill="background1"/>
          </w:tcPr>
          <w:p w:rsidR="00DB3F75" w:rsidRPr="00A21B5C" w:rsidRDefault="00DB3F75" w:rsidP="00A21B5C">
            <w:pPr>
              <w:contextualSpacing/>
              <w:jc w:val="center"/>
              <w:rPr>
                <w:rFonts w:ascii="Arial" w:eastAsia="Times New Roman" w:hAnsi="Arial" w:cs="Arial"/>
                <w:color w:val="000000"/>
                <w:sz w:val="22"/>
                <w:szCs w:val="22"/>
                <w:lang w:val="es-CO" w:eastAsia="es-CO"/>
              </w:rPr>
            </w:pPr>
          </w:p>
        </w:tc>
      </w:tr>
      <w:tr w:rsidR="00DB3F75" w:rsidRPr="00A21B5C" w:rsidTr="00A96D69">
        <w:trPr>
          <w:trHeight w:val="305"/>
          <w:jc w:val="center"/>
        </w:trPr>
        <w:tc>
          <w:tcPr>
            <w:tcW w:w="2835" w:type="dxa"/>
            <w:tcBorders>
              <w:top w:val="single" w:sz="4" w:space="0" w:color="000000" w:themeColor="text1"/>
              <w:left w:val="single" w:sz="2" w:space="0" w:color="FFFFFF" w:themeColor="background1"/>
              <w:bottom w:val="single" w:sz="4" w:space="0" w:color="auto"/>
              <w:right w:val="single" w:sz="4" w:space="0" w:color="FFFFFF" w:themeColor="background1"/>
            </w:tcBorders>
            <w:noWrap/>
            <w:vAlign w:val="center"/>
          </w:tcPr>
          <w:p w:rsidR="00DB3F75" w:rsidRPr="00A21B5C" w:rsidRDefault="00DB3F75" w:rsidP="00A21B5C">
            <w:pPr>
              <w:contextualSpacing/>
              <w:rPr>
                <w:rFonts w:ascii="Arial" w:eastAsia="Times New Roman" w:hAnsi="Arial" w:cs="Arial"/>
                <w:color w:val="000000"/>
                <w:sz w:val="22"/>
                <w:szCs w:val="22"/>
                <w:lang w:val="es-CO" w:eastAsia="es-CO"/>
              </w:rPr>
            </w:pPr>
          </w:p>
        </w:tc>
        <w:tc>
          <w:tcPr>
            <w:tcW w:w="1560" w:type="dxa"/>
            <w:tcBorders>
              <w:top w:val="single" w:sz="4" w:space="0" w:color="000000" w:themeColor="text1"/>
              <w:left w:val="single" w:sz="4" w:space="0" w:color="FFFFFF" w:themeColor="background1"/>
              <w:bottom w:val="single" w:sz="4" w:space="0" w:color="auto"/>
              <w:right w:val="single" w:sz="4" w:space="0" w:color="FFFFFF" w:themeColor="background1"/>
            </w:tcBorders>
            <w:noWrap/>
            <w:vAlign w:val="center"/>
          </w:tcPr>
          <w:p w:rsidR="00DB3F75" w:rsidRPr="00A21B5C" w:rsidRDefault="00DB3F75" w:rsidP="00A21B5C">
            <w:pPr>
              <w:contextualSpacing/>
              <w:jc w:val="right"/>
              <w:rPr>
                <w:rFonts w:ascii="Arial" w:eastAsia="Times New Roman" w:hAnsi="Arial" w:cs="Arial"/>
                <w:color w:val="000000"/>
                <w:sz w:val="22"/>
                <w:szCs w:val="22"/>
                <w:lang w:val="es-CO" w:eastAsia="es-CO"/>
              </w:rPr>
            </w:pPr>
          </w:p>
        </w:tc>
        <w:tc>
          <w:tcPr>
            <w:tcW w:w="425" w:type="dxa"/>
            <w:tcBorders>
              <w:top w:val="single" w:sz="4" w:space="0" w:color="000000" w:themeColor="text1"/>
              <w:left w:val="single" w:sz="4" w:space="0" w:color="FFFFFF" w:themeColor="background1"/>
              <w:bottom w:val="single" w:sz="4" w:space="0" w:color="auto"/>
              <w:right w:val="single" w:sz="4" w:space="0" w:color="FFFFFF" w:themeColor="background1"/>
            </w:tcBorders>
            <w:shd w:val="clear" w:color="auto" w:fill="FFFFFF" w:themeFill="background1"/>
            <w:vAlign w:val="center"/>
          </w:tcPr>
          <w:p w:rsidR="00DB3F75" w:rsidRPr="00A21B5C" w:rsidRDefault="00DB3F75" w:rsidP="00A21B5C">
            <w:pPr>
              <w:contextualSpacing/>
              <w:jc w:val="right"/>
              <w:rPr>
                <w:rFonts w:ascii="Arial" w:eastAsia="Times New Roman" w:hAnsi="Arial" w:cs="Arial"/>
                <w:color w:val="000000"/>
                <w:sz w:val="22"/>
                <w:szCs w:val="22"/>
                <w:lang w:val="es-CO" w:eastAsia="es-CO"/>
              </w:rPr>
            </w:pPr>
          </w:p>
        </w:tc>
        <w:tc>
          <w:tcPr>
            <w:tcW w:w="1559" w:type="dxa"/>
            <w:tcBorders>
              <w:top w:val="single" w:sz="4" w:space="0" w:color="000000" w:themeColor="text1"/>
              <w:left w:val="single" w:sz="4" w:space="0" w:color="FFFFFF" w:themeColor="background1"/>
              <w:bottom w:val="single" w:sz="4" w:space="0" w:color="auto"/>
              <w:right w:val="single" w:sz="4" w:space="0" w:color="FFFFFF" w:themeColor="background1"/>
            </w:tcBorders>
            <w:noWrap/>
            <w:vAlign w:val="center"/>
          </w:tcPr>
          <w:p w:rsidR="00DB3F75" w:rsidRPr="00A21B5C" w:rsidRDefault="00DB3F75" w:rsidP="00A21B5C">
            <w:pPr>
              <w:contextualSpacing/>
              <w:jc w:val="right"/>
              <w:rPr>
                <w:rFonts w:ascii="Arial" w:eastAsia="Times New Roman" w:hAnsi="Arial" w:cs="Arial"/>
                <w:color w:val="000000"/>
                <w:sz w:val="22"/>
                <w:szCs w:val="22"/>
                <w:lang w:val="es-CO" w:eastAsia="es-CO"/>
              </w:rPr>
            </w:pPr>
          </w:p>
        </w:tc>
        <w:tc>
          <w:tcPr>
            <w:tcW w:w="425" w:type="dxa"/>
            <w:tcBorders>
              <w:top w:val="single" w:sz="4" w:space="0" w:color="000000" w:themeColor="text1"/>
              <w:left w:val="single" w:sz="4" w:space="0" w:color="FFFFFF" w:themeColor="background1"/>
              <w:bottom w:val="single" w:sz="4" w:space="0" w:color="auto"/>
              <w:right w:val="single" w:sz="4" w:space="0" w:color="FFFFFF" w:themeColor="background1"/>
            </w:tcBorders>
            <w:shd w:val="clear" w:color="auto" w:fill="FFFFFF" w:themeFill="background1"/>
            <w:vAlign w:val="center"/>
          </w:tcPr>
          <w:p w:rsidR="00DB3F75" w:rsidRPr="00A21B5C" w:rsidRDefault="00DB3F75" w:rsidP="00A21B5C">
            <w:pPr>
              <w:contextualSpacing/>
              <w:jc w:val="center"/>
              <w:rPr>
                <w:rFonts w:ascii="Arial" w:eastAsia="Times New Roman" w:hAnsi="Arial" w:cs="Arial"/>
                <w:color w:val="000000"/>
                <w:sz w:val="22"/>
                <w:szCs w:val="22"/>
                <w:lang w:val="es-CO" w:eastAsia="es-CO"/>
              </w:rPr>
            </w:pPr>
          </w:p>
        </w:tc>
        <w:tc>
          <w:tcPr>
            <w:tcW w:w="1560" w:type="dxa"/>
            <w:tcBorders>
              <w:top w:val="single" w:sz="4" w:space="0" w:color="000000" w:themeColor="text1"/>
              <w:left w:val="single" w:sz="4" w:space="0" w:color="FFFFFF" w:themeColor="background1"/>
              <w:bottom w:val="single" w:sz="4" w:space="0" w:color="auto"/>
              <w:right w:val="single" w:sz="4" w:space="0" w:color="FFFFFF" w:themeColor="background1"/>
            </w:tcBorders>
            <w:noWrap/>
            <w:vAlign w:val="center"/>
          </w:tcPr>
          <w:p w:rsidR="00DB3F75" w:rsidRPr="00A21B5C" w:rsidRDefault="00DB3F75" w:rsidP="00A21B5C">
            <w:pPr>
              <w:contextualSpacing/>
              <w:jc w:val="right"/>
              <w:rPr>
                <w:rFonts w:ascii="Arial" w:eastAsia="Times New Roman" w:hAnsi="Arial" w:cs="Arial"/>
                <w:color w:val="000000"/>
                <w:sz w:val="22"/>
                <w:szCs w:val="22"/>
                <w:lang w:val="es-CO" w:eastAsia="es-CO"/>
              </w:rPr>
            </w:pPr>
          </w:p>
        </w:tc>
        <w:tc>
          <w:tcPr>
            <w:tcW w:w="425" w:type="dxa"/>
            <w:tcBorders>
              <w:top w:val="single" w:sz="4" w:space="0" w:color="000000" w:themeColor="text1"/>
              <w:left w:val="single" w:sz="4" w:space="0" w:color="FFFFFF" w:themeColor="background1"/>
              <w:bottom w:val="single" w:sz="4" w:space="0" w:color="auto"/>
              <w:right w:val="single" w:sz="2" w:space="0" w:color="FFFFFF" w:themeColor="background1"/>
            </w:tcBorders>
            <w:shd w:val="clear" w:color="auto" w:fill="FFFFFF" w:themeFill="background1"/>
          </w:tcPr>
          <w:p w:rsidR="00DB3F75" w:rsidRPr="00A21B5C" w:rsidRDefault="00DB3F75" w:rsidP="00A21B5C">
            <w:pPr>
              <w:contextualSpacing/>
              <w:jc w:val="center"/>
              <w:rPr>
                <w:rFonts w:ascii="Arial" w:eastAsia="Times New Roman" w:hAnsi="Arial" w:cs="Arial"/>
                <w:color w:val="000000"/>
                <w:sz w:val="22"/>
                <w:szCs w:val="22"/>
                <w:lang w:val="es-CO" w:eastAsia="es-CO"/>
              </w:rPr>
            </w:pPr>
          </w:p>
        </w:tc>
        <w:tc>
          <w:tcPr>
            <w:tcW w:w="1559" w:type="dxa"/>
            <w:tcBorders>
              <w:top w:val="single" w:sz="4" w:space="0" w:color="000000" w:themeColor="text1"/>
              <w:left w:val="single" w:sz="4" w:space="0" w:color="FFFFFF" w:themeColor="background1"/>
              <w:bottom w:val="single" w:sz="4" w:space="0" w:color="auto"/>
              <w:right w:val="single" w:sz="2" w:space="0" w:color="FFFFFF" w:themeColor="background1"/>
            </w:tcBorders>
            <w:shd w:val="clear" w:color="auto" w:fill="FFFFFF" w:themeFill="background1"/>
          </w:tcPr>
          <w:p w:rsidR="00DB3F75" w:rsidRPr="00A21B5C" w:rsidRDefault="00DB3F75" w:rsidP="00A21B5C">
            <w:pPr>
              <w:contextualSpacing/>
              <w:jc w:val="center"/>
              <w:rPr>
                <w:rFonts w:ascii="Arial" w:eastAsia="Times New Roman" w:hAnsi="Arial" w:cs="Arial"/>
                <w:color w:val="000000"/>
                <w:sz w:val="22"/>
                <w:szCs w:val="22"/>
                <w:lang w:val="es-CO" w:eastAsia="es-CO"/>
              </w:rPr>
            </w:pPr>
          </w:p>
        </w:tc>
        <w:tc>
          <w:tcPr>
            <w:tcW w:w="425" w:type="dxa"/>
            <w:tcBorders>
              <w:top w:val="single" w:sz="4" w:space="0" w:color="000000" w:themeColor="text1"/>
              <w:left w:val="single" w:sz="4" w:space="0" w:color="FFFFFF" w:themeColor="background1"/>
              <w:bottom w:val="single" w:sz="4" w:space="0" w:color="auto"/>
              <w:right w:val="single" w:sz="2" w:space="0" w:color="FFFFFF" w:themeColor="background1"/>
            </w:tcBorders>
            <w:shd w:val="clear" w:color="auto" w:fill="FFFFFF" w:themeFill="background1"/>
          </w:tcPr>
          <w:p w:rsidR="00DB3F75" w:rsidRPr="00A21B5C" w:rsidRDefault="00DB3F75" w:rsidP="00A21B5C">
            <w:pPr>
              <w:contextualSpacing/>
              <w:jc w:val="center"/>
              <w:rPr>
                <w:rFonts w:ascii="Arial" w:eastAsia="Times New Roman" w:hAnsi="Arial" w:cs="Arial"/>
                <w:color w:val="000000"/>
                <w:sz w:val="22"/>
                <w:szCs w:val="22"/>
                <w:lang w:val="es-CO" w:eastAsia="es-CO"/>
              </w:rPr>
            </w:pPr>
          </w:p>
        </w:tc>
      </w:tr>
      <w:tr w:rsidR="00C6555E" w:rsidRPr="00A21B5C" w:rsidTr="00DB3F75">
        <w:trPr>
          <w:trHeight w:val="305"/>
          <w:jc w:val="center"/>
        </w:trPr>
        <w:tc>
          <w:tcPr>
            <w:tcW w:w="2835" w:type="dxa"/>
            <w:tcBorders>
              <w:top w:val="nil"/>
              <w:left w:val="nil"/>
              <w:bottom w:val="single" w:sz="4" w:space="0" w:color="FFFFFF" w:themeColor="background1"/>
              <w:right w:val="nil"/>
            </w:tcBorders>
            <w:shd w:val="clear" w:color="auto" w:fill="92CDDC" w:themeFill="accent5" w:themeFillTint="99"/>
            <w:noWrap/>
            <w:vAlign w:val="center"/>
            <w:hideMark/>
          </w:tcPr>
          <w:p w:rsidR="00DB3F75" w:rsidRPr="00A21B5C" w:rsidRDefault="00DB3F75" w:rsidP="00A21B5C">
            <w:pPr>
              <w:contextualSpacing/>
              <w:rPr>
                <w:rFonts w:ascii="Arial" w:eastAsia="Times New Roman" w:hAnsi="Arial" w:cs="Arial"/>
                <w:b/>
                <w:bCs/>
                <w:color w:val="000000"/>
                <w:sz w:val="22"/>
                <w:szCs w:val="22"/>
                <w:lang w:val="es-CO" w:eastAsia="es-CO"/>
              </w:rPr>
            </w:pPr>
            <w:r w:rsidRPr="00A21B5C">
              <w:rPr>
                <w:rFonts w:ascii="Arial" w:eastAsia="Times New Roman" w:hAnsi="Arial" w:cs="Arial"/>
                <w:b/>
                <w:color w:val="000000"/>
                <w:sz w:val="22"/>
                <w:szCs w:val="22"/>
                <w:lang w:val="es-CO" w:eastAsia="es-CO"/>
              </w:rPr>
              <w:t>Resultado Presupuestal (1-2)</w:t>
            </w:r>
          </w:p>
        </w:tc>
        <w:tc>
          <w:tcPr>
            <w:tcW w:w="1560" w:type="dxa"/>
            <w:tcBorders>
              <w:top w:val="nil"/>
              <w:left w:val="nil"/>
              <w:bottom w:val="single" w:sz="4" w:space="0" w:color="FFFFFF" w:themeColor="background1"/>
              <w:right w:val="single" w:sz="4" w:space="0" w:color="FFFFFF" w:themeColor="background1"/>
            </w:tcBorders>
            <w:shd w:val="clear" w:color="auto" w:fill="92CDDC" w:themeFill="accent5" w:themeFillTint="99"/>
            <w:noWrap/>
            <w:vAlign w:val="center"/>
            <w:hideMark/>
          </w:tcPr>
          <w:p w:rsidR="00DB3F75" w:rsidRPr="00A21B5C" w:rsidRDefault="00DB3F75" w:rsidP="00A21B5C">
            <w:pPr>
              <w:contextualSpacing/>
              <w:jc w:val="right"/>
              <w:rPr>
                <w:rFonts w:ascii="Arial" w:eastAsia="Times New Roman" w:hAnsi="Arial" w:cs="Arial"/>
                <w:b/>
                <w:color w:val="000000"/>
                <w:sz w:val="22"/>
                <w:szCs w:val="22"/>
                <w:lang w:val="es-CO" w:eastAsia="es-CO"/>
              </w:rPr>
            </w:pPr>
            <w:r w:rsidRPr="00A21B5C">
              <w:rPr>
                <w:rFonts w:ascii="Arial" w:eastAsia="Times New Roman" w:hAnsi="Arial" w:cs="Arial"/>
                <w:b/>
                <w:color w:val="000000"/>
                <w:sz w:val="22"/>
                <w:szCs w:val="22"/>
                <w:lang w:val="es-CO" w:eastAsia="es-CO"/>
              </w:rPr>
              <w:t>$2.402.803.573</w:t>
            </w:r>
          </w:p>
        </w:tc>
        <w:tc>
          <w:tcPr>
            <w:tcW w:w="425" w:type="dxa"/>
            <w:vMerge w:val="restart"/>
            <w:tcBorders>
              <w:top w:val="nil"/>
              <w:left w:val="single" w:sz="4" w:space="0" w:color="FFFFFF" w:themeColor="background1"/>
              <w:bottom w:val="single" w:sz="4" w:space="0" w:color="000000" w:themeColor="text1"/>
              <w:right w:val="nil"/>
            </w:tcBorders>
            <w:shd w:val="clear" w:color="auto" w:fill="FFFFFF" w:themeFill="background1"/>
            <w:vAlign w:val="center"/>
          </w:tcPr>
          <w:p w:rsidR="00DB3F75" w:rsidRPr="00A21B5C" w:rsidRDefault="00DB3F75" w:rsidP="00A21B5C">
            <w:pPr>
              <w:contextualSpacing/>
              <w:jc w:val="right"/>
              <w:rPr>
                <w:rFonts w:ascii="Arial" w:eastAsia="Times New Roman" w:hAnsi="Arial" w:cs="Arial"/>
                <w:b/>
                <w:color w:val="000000"/>
                <w:sz w:val="22"/>
                <w:szCs w:val="22"/>
                <w:lang w:val="es-CO" w:eastAsia="es-CO"/>
              </w:rPr>
            </w:pPr>
          </w:p>
        </w:tc>
        <w:tc>
          <w:tcPr>
            <w:tcW w:w="1559" w:type="dxa"/>
            <w:tcBorders>
              <w:top w:val="nil"/>
              <w:left w:val="nil"/>
              <w:bottom w:val="single" w:sz="4" w:space="0" w:color="FFFFFF" w:themeColor="background1"/>
              <w:right w:val="single" w:sz="4" w:space="0" w:color="FFFFFF" w:themeColor="background1"/>
            </w:tcBorders>
            <w:shd w:val="clear" w:color="auto" w:fill="92CDDC" w:themeFill="accent5" w:themeFillTint="99"/>
            <w:noWrap/>
            <w:vAlign w:val="center"/>
            <w:hideMark/>
          </w:tcPr>
          <w:p w:rsidR="00DB3F75" w:rsidRPr="00A21B5C" w:rsidRDefault="00DB3F75" w:rsidP="00A21B5C">
            <w:pPr>
              <w:contextualSpacing/>
              <w:jc w:val="right"/>
              <w:rPr>
                <w:rFonts w:ascii="Arial" w:eastAsia="Times New Roman" w:hAnsi="Arial" w:cs="Arial"/>
                <w:b/>
                <w:color w:val="000000"/>
                <w:sz w:val="22"/>
                <w:szCs w:val="22"/>
                <w:lang w:val="es-CO" w:eastAsia="es-CO"/>
              </w:rPr>
            </w:pPr>
            <w:r w:rsidRPr="00A21B5C">
              <w:rPr>
                <w:rFonts w:ascii="Arial" w:hAnsi="Arial" w:cs="Arial"/>
                <w:b/>
                <w:color w:val="000000"/>
                <w:sz w:val="22"/>
                <w:szCs w:val="22"/>
                <w:lang w:val="es-CO"/>
              </w:rPr>
              <w:t>$2.536.498.366</w:t>
            </w:r>
          </w:p>
        </w:tc>
        <w:tc>
          <w:tcPr>
            <w:tcW w:w="425" w:type="dxa"/>
            <w:vMerge w:val="restart"/>
            <w:tcBorders>
              <w:top w:val="nil"/>
              <w:left w:val="single" w:sz="4" w:space="0" w:color="FFFFFF" w:themeColor="background1"/>
              <w:bottom w:val="single" w:sz="4" w:space="0" w:color="000000" w:themeColor="text1"/>
              <w:right w:val="nil"/>
            </w:tcBorders>
            <w:shd w:val="clear" w:color="auto" w:fill="FFFFFF" w:themeFill="background1"/>
            <w:vAlign w:val="center"/>
          </w:tcPr>
          <w:p w:rsidR="00DB3F75" w:rsidRPr="00A21B5C" w:rsidRDefault="00DB3F75" w:rsidP="00A21B5C">
            <w:pPr>
              <w:contextualSpacing/>
              <w:jc w:val="center"/>
              <w:rPr>
                <w:rFonts w:ascii="Arial" w:eastAsia="Times New Roman" w:hAnsi="Arial" w:cs="Arial"/>
                <w:b/>
                <w:color w:val="000000"/>
                <w:sz w:val="22"/>
                <w:szCs w:val="22"/>
                <w:lang w:val="es-CO" w:eastAsia="es-CO"/>
              </w:rPr>
            </w:pPr>
          </w:p>
        </w:tc>
        <w:tc>
          <w:tcPr>
            <w:tcW w:w="1560" w:type="dxa"/>
            <w:tcBorders>
              <w:top w:val="nil"/>
              <w:left w:val="nil"/>
              <w:bottom w:val="single" w:sz="4" w:space="0" w:color="FFFFFF" w:themeColor="background1"/>
              <w:right w:val="single" w:sz="4" w:space="0" w:color="FFFFFF" w:themeColor="background1"/>
            </w:tcBorders>
            <w:shd w:val="clear" w:color="auto" w:fill="92CDDC" w:themeFill="accent5" w:themeFillTint="99"/>
            <w:noWrap/>
            <w:vAlign w:val="center"/>
            <w:hideMark/>
          </w:tcPr>
          <w:p w:rsidR="00DB3F75" w:rsidRPr="00A21B5C" w:rsidRDefault="00DB3F75" w:rsidP="00A21B5C">
            <w:pPr>
              <w:contextualSpacing/>
              <w:jc w:val="right"/>
              <w:rPr>
                <w:rFonts w:ascii="Arial" w:eastAsia="Times New Roman" w:hAnsi="Arial" w:cs="Arial"/>
                <w:b/>
                <w:color w:val="000000"/>
                <w:sz w:val="22"/>
                <w:szCs w:val="22"/>
                <w:lang w:val="es-CO" w:eastAsia="es-CO"/>
              </w:rPr>
            </w:pPr>
            <w:r w:rsidRPr="00A21B5C">
              <w:rPr>
                <w:rFonts w:ascii="Arial" w:eastAsia="Times New Roman" w:hAnsi="Arial" w:cs="Arial"/>
                <w:b/>
                <w:color w:val="000000"/>
                <w:sz w:val="22"/>
                <w:szCs w:val="22"/>
                <w:lang w:val="es-CO" w:eastAsia="en-US"/>
              </w:rPr>
              <w:t>$4.095.383.444</w:t>
            </w:r>
          </w:p>
        </w:tc>
        <w:tc>
          <w:tcPr>
            <w:tcW w:w="425" w:type="dxa"/>
            <w:tcBorders>
              <w:top w:val="nil"/>
              <w:left w:val="single" w:sz="4" w:space="0" w:color="FFFFFF" w:themeColor="background1"/>
              <w:bottom w:val="single" w:sz="4" w:space="0" w:color="FFFFFF" w:themeColor="background1"/>
              <w:right w:val="nil"/>
            </w:tcBorders>
            <w:shd w:val="clear" w:color="auto" w:fill="FFFFFF" w:themeFill="background1"/>
            <w:vAlign w:val="center"/>
          </w:tcPr>
          <w:p w:rsidR="00DB3F75" w:rsidRPr="00A21B5C" w:rsidRDefault="00DB3F75" w:rsidP="00A21B5C">
            <w:pPr>
              <w:contextualSpacing/>
              <w:jc w:val="center"/>
              <w:rPr>
                <w:rFonts w:ascii="Arial" w:eastAsia="Times New Roman" w:hAnsi="Arial" w:cs="Arial"/>
                <w:b/>
                <w:color w:val="000000"/>
                <w:sz w:val="22"/>
                <w:szCs w:val="22"/>
                <w:lang w:val="es-CO" w:eastAsia="es-CO"/>
              </w:rPr>
            </w:pPr>
          </w:p>
        </w:tc>
        <w:tc>
          <w:tcPr>
            <w:tcW w:w="1559" w:type="dxa"/>
            <w:tcBorders>
              <w:top w:val="nil"/>
              <w:left w:val="single" w:sz="4" w:space="0" w:color="FFFFFF" w:themeColor="background1"/>
              <w:bottom w:val="single" w:sz="4" w:space="0" w:color="FFFFFF" w:themeColor="background1"/>
              <w:right w:val="nil"/>
            </w:tcBorders>
            <w:shd w:val="clear" w:color="auto" w:fill="92CDDC" w:themeFill="accent5" w:themeFillTint="99"/>
          </w:tcPr>
          <w:p w:rsidR="00DB3F75" w:rsidRPr="00A21B5C" w:rsidRDefault="00EF7041" w:rsidP="00A21B5C">
            <w:pPr>
              <w:contextualSpacing/>
              <w:jc w:val="center"/>
              <w:rPr>
                <w:rFonts w:ascii="Arial" w:eastAsia="Times New Roman" w:hAnsi="Arial" w:cs="Arial"/>
                <w:b/>
                <w:color w:val="000000"/>
                <w:sz w:val="22"/>
                <w:szCs w:val="22"/>
                <w:lang w:val="es-CO" w:eastAsia="es-CO"/>
              </w:rPr>
            </w:pPr>
            <w:r w:rsidRPr="00A21B5C">
              <w:rPr>
                <w:rFonts w:ascii="Arial" w:eastAsia="Times New Roman" w:hAnsi="Arial" w:cs="Arial"/>
                <w:b/>
                <w:color w:val="000000"/>
                <w:sz w:val="22"/>
                <w:szCs w:val="22"/>
                <w:lang w:val="es-CO" w:eastAsia="es-CO"/>
              </w:rPr>
              <w:t>$2.495.465.264</w:t>
            </w:r>
          </w:p>
        </w:tc>
        <w:tc>
          <w:tcPr>
            <w:tcW w:w="425" w:type="dxa"/>
            <w:tcBorders>
              <w:top w:val="nil"/>
              <w:left w:val="single" w:sz="4" w:space="0" w:color="FFFFFF" w:themeColor="background1"/>
              <w:bottom w:val="single" w:sz="4" w:space="0" w:color="FFFFFF" w:themeColor="background1"/>
              <w:right w:val="nil"/>
            </w:tcBorders>
            <w:shd w:val="clear" w:color="auto" w:fill="FFFFFF" w:themeFill="background1"/>
          </w:tcPr>
          <w:p w:rsidR="00DB3F75" w:rsidRPr="00A21B5C" w:rsidRDefault="00DB3F75" w:rsidP="00A21B5C">
            <w:pPr>
              <w:contextualSpacing/>
              <w:jc w:val="center"/>
              <w:rPr>
                <w:rFonts w:ascii="Arial" w:eastAsia="Times New Roman" w:hAnsi="Arial" w:cs="Arial"/>
                <w:b/>
                <w:color w:val="000000"/>
                <w:sz w:val="22"/>
                <w:szCs w:val="22"/>
                <w:lang w:val="es-CO" w:eastAsia="es-CO"/>
              </w:rPr>
            </w:pPr>
          </w:p>
        </w:tc>
      </w:tr>
      <w:tr w:rsidR="00A96D69" w:rsidRPr="00A21B5C" w:rsidTr="00A96D69">
        <w:trPr>
          <w:trHeight w:val="305"/>
          <w:jc w:val="center"/>
        </w:trPr>
        <w:tc>
          <w:tcPr>
            <w:tcW w:w="2835" w:type="dxa"/>
            <w:tcBorders>
              <w:top w:val="single" w:sz="4" w:space="0" w:color="FFFFFF" w:themeColor="background1"/>
              <w:left w:val="nil"/>
              <w:bottom w:val="single" w:sz="4" w:space="0" w:color="000000" w:themeColor="text1"/>
              <w:right w:val="nil"/>
            </w:tcBorders>
            <w:shd w:val="clear" w:color="auto" w:fill="FFFFFF" w:themeFill="background1"/>
            <w:noWrap/>
            <w:vAlign w:val="center"/>
            <w:hideMark/>
          </w:tcPr>
          <w:p w:rsidR="00DB3F75" w:rsidRPr="00A21B5C" w:rsidRDefault="00DB3F75" w:rsidP="00A21B5C">
            <w:pPr>
              <w:contextualSpacing/>
              <w:rPr>
                <w:rFonts w:ascii="Arial" w:eastAsia="Times New Roman" w:hAnsi="Arial" w:cs="Arial"/>
                <w:color w:val="595959" w:themeColor="text1" w:themeTint="A6"/>
                <w:sz w:val="22"/>
                <w:szCs w:val="22"/>
                <w:lang w:val="es-CO" w:eastAsia="es-CO"/>
              </w:rPr>
            </w:pPr>
            <w:r w:rsidRPr="00A21B5C">
              <w:rPr>
                <w:rFonts w:ascii="Arial" w:eastAsia="Times New Roman" w:hAnsi="Arial" w:cs="Arial"/>
                <w:color w:val="595959" w:themeColor="text1" w:themeTint="A6"/>
                <w:sz w:val="22"/>
                <w:szCs w:val="22"/>
                <w:lang w:val="es-CO" w:eastAsia="es-CO"/>
              </w:rPr>
              <w:t xml:space="preserve">   </w:t>
            </w:r>
            <w:r w:rsidRPr="00A21B5C">
              <w:rPr>
                <w:rFonts w:ascii="Arial" w:eastAsia="Times New Roman" w:hAnsi="Arial" w:cs="Arial"/>
                <w:bCs/>
                <w:color w:val="595959" w:themeColor="text1" w:themeTint="A6"/>
                <w:sz w:val="18"/>
                <w:szCs w:val="22"/>
                <w:lang w:val="es-CO" w:eastAsia="es-CO"/>
              </w:rPr>
              <w:t>Cierre presupuestal de la vigencia</w:t>
            </w:r>
            <w:r w:rsidRPr="00A21B5C">
              <w:rPr>
                <w:rStyle w:val="Refdenotaalpie"/>
                <w:rFonts w:ascii="Arial" w:eastAsia="Times New Roman" w:hAnsi="Arial" w:cs="Arial"/>
                <w:bCs/>
                <w:color w:val="595959" w:themeColor="text1" w:themeTint="A6"/>
                <w:sz w:val="18"/>
                <w:szCs w:val="22"/>
                <w:lang w:val="es-CO" w:eastAsia="es-CO"/>
              </w:rPr>
              <w:footnoteReference w:id="6"/>
            </w:r>
          </w:p>
        </w:tc>
        <w:tc>
          <w:tcPr>
            <w:tcW w:w="1560" w:type="dxa"/>
            <w:tcBorders>
              <w:top w:val="single" w:sz="4" w:space="0" w:color="FFFFFF" w:themeColor="background1"/>
              <w:left w:val="nil"/>
              <w:bottom w:val="single" w:sz="4" w:space="0" w:color="000000" w:themeColor="text1"/>
              <w:right w:val="single" w:sz="4" w:space="0" w:color="FFFFFF" w:themeColor="background1"/>
            </w:tcBorders>
            <w:shd w:val="clear" w:color="auto" w:fill="FFFFFF" w:themeFill="background1"/>
            <w:noWrap/>
            <w:vAlign w:val="center"/>
            <w:hideMark/>
          </w:tcPr>
          <w:p w:rsidR="00DB3F75" w:rsidRPr="00A21B5C" w:rsidRDefault="00DB3F75" w:rsidP="00A21B5C">
            <w:pPr>
              <w:contextualSpacing/>
              <w:jc w:val="right"/>
              <w:rPr>
                <w:rFonts w:ascii="Arial" w:eastAsia="Times New Roman" w:hAnsi="Arial" w:cs="Arial"/>
                <w:color w:val="595959" w:themeColor="text1" w:themeTint="A6"/>
                <w:sz w:val="22"/>
                <w:szCs w:val="22"/>
                <w:lang w:val="es-CO" w:eastAsia="es-CO"/>
              </w:rPr>
            </w:pPr>
            <w:r w:rsidRPr="00A21B5C">
              <w:rPr>
                <w:rFonts w:ascii="Arial" w:eastAsia="Calibri" w:hAnsi="Arial" w:cs="Arial"/>
                <w:color w:val="595959" w:themeColor="text1" w:themeTint="A6"/>
                <w:sz w:val="18"/>
                <w:szCs w:val="22"/>
                <w:lang w:val="es-CO" w:eastAsia="en-US"/>
              </w:rPr>
              <w:t>-</w:t>
            </w:r>
          </w:p>
        </w:tc>
        <w:tc>
          <w:tcPr>
            <w:tcW w:w="425" w:type="dxa"/>
            <w:vMerge/>
            <w:tcBorders>
              <w:top w:val="nil"/>
              <w:left w:val="single" w:sz="4" w:space="0" w:color="FFFFFF" w:themeColor="background1"/>
              <w:bottom w:val="single" w:sz="4" w:space="0" w:color="000000" w:themeColor="text1"/>
              <w:right w:val="nil"/>
            </w:tcBorders>
            <w:vAlign w:val="center"/>
            <w:hideMark/>
          </w:tcPr>
          <w:p w:rsidR="00DB3F75" w:rsidRPr="00A21B5C" w:rsidRDefault="00DB3F75" w:rsidP="00A21B5C">
            <w:pPr>
              <w:contextualSpacing/>
              <w:rPr>
                <w:rFonts w:ascii="Arial" w:eastAsia="Times New Roman" w:hAnsi="Arial" w:cs="Arial"/>
                <w:b/>
                <w:color w:val="000000"/>
                <w:sz w:val="22"/>
                <w:szCs w:val="22"/>
                <w:lang w:val="es-CO" w:eastAsia="es-CO"/>
              </w:rPr>
            </w:pPr>
          </w:p>
        </w:tc>
        <w:tc>
          <w:tcPr>
            <w:tcW w:w="1559" w:type="dxa"/>
            <w:tcBorders>
              <w:top w:val="single" w:sz="4" w:space="0" w:color="FFFFFF" w:themeColor="background1"/>
              <w:left w:val="nil"/>
              <w:bottom w:val="single" w:sz="4" w:space="0" w:color="000000" w:themeColor="text1"/>
              <w:right w:val="single" w:sz="4" w:space="0" w:color="FFFFFF" w:themeColor="background1"/>
            </w:tcBorders>
            <w:shd w:val="clear" w:color="auto" w:fill="FFFFFF" w:themeFill="background1"/>
            <w:noWrap/>
            <w:vAlign w:val="center"/>
            <w:hideMark/>
          </w:tcPr>
          <w:p w:rsidR="00DB3F75" w:rsidRPr="00A21B5C" w:rsidRDefault="00DB3F75" w:rsidP="00A21B5C">
            <w:pPr>
              <w:contextualSpacing/>
              <w:jc w:val="right"/>
              <w:rPr>
                <w:rFonts w:ascii="Arial" w:eastAsia="Times New Roman" w:hAnsi="Arial" w:cs="Arial"/>
                <w:b/>
                <w:color w:val="595959" w:themeColor="text1" w:themeTint="A6"/>
                <w:sz w:val="22"/>
                <w:szCs w:val="22"/>
                <w:lang w:val="es-CO" w:eastAsia="es-CO"/>
              </w:rPr>
            </w:pPr>
            <w:r w:rsidRPr="00A21B5C">
              <w:rPr>
                <w:rFonts w:ascii="Arial" w:eastAsia="Calibri" w:hAnsi="Arial" w:cs="Arial"/>
                <w:color w:val="595959" w:themeColor="text1" w:themeTint="A6"/>
                <w:sz w:val="18"/>
                <w:szCs w:val="22"/>
                <w:lang w:val="es-CO" w:eastAsia="en-US"/>
              </w:rPr>
              <w:t>$2.536.498.366</w:t>
            </w:r>
          </w:p>
        </w:tc>
        <w:tc>
          <w:tcPr>
            <w:tcW w:w="425" w:type="dxa"/>
            <w:vMerge/>
            <w:tcBorders>
              <w:top w:val="nil"/>
              <w:left w:val="single" w:sz="4" w:space="0" w:color="FFFFFF" w:themeColor="background1"/>
              <w:bottom w:val="single" w:sz="4" w:space="0" w:color="000000" w:themeColor="text1"/>
              <w:right w:val="nil"/>
            </w:tcBorders>
            <w:vAlign w:val="center"/>
            <w:hideMark/>
          </w:tcPr>
          <w:p w:rsidR="00DB3F75" w:rsidRPr="00A21B5C" w:rsidRDefault="00DB3F75" w:rsidP="00A21B5C">
            <w:pPr>
              <w:contextualSpacing/>
              <w:rPr>
                <w:rFonts w:ascii="Arial" w:eastAsia="Times New Roman" w:hAnsi="Arial" w:cs="Arial"/>
                <w:b/>
                <w:color w:val="000000"/>
                <w:sz w:val="22"/>
                <w:szCs w:val="22"/>
                <w:lang w:val="es-CO" w:eastAsia="es-CO"/>
              </w:rPr>
            </w:pPr>
          </w:p>
        </w:tc>
        <w:tc>
          <w:tcPr>
            <w:tcW w:w="1560" w:type="dxa"/>
            <w:tcBorders>
              <w:top w:val="single" w:sz="4" w:space="0" w:color="FFFFFF" w:themeColor="background1"/>
              <w:left w:val="nil"/>
              <w:bottom w:val="single" w:sz="4" w:space="0" w:color="000000" w:themeColor="text1"/>
              <w:right w:val="single" w:sz="4" w:space="0" w:color="FFFFFF" w:themeColor="background1"/>
            </w:tcBorders>
            <w:shd w:val="clear" w:color="auto" w:fill="FFFFFF" w:themeFill="background1"/>
            <w:noWrap/>
            <w:vAlign w:val="center"/>
            <w:hideMark/>
          </w:tcPr>
          <w:p w:rsidR="00DB3F75" w:rsidRPr="00A21B5C" w:rsidRDefault="00DB3F75" w:rsidP="00A21B5C">
            <w:pPr>
              <w:contextualSpacing/>
              <w:jc w:val="right"/>
              <w:rPr>
                <w:rFonts w:ascii="Arial" w:eastAsia="Times New Roman" w:hAnsi="Arial" w:cs="Arial"/>
                <w:b/>
                <w:color w:val="000000"/>
                <w:sz w:val="22"/>
                <w:szCs w:val="22"/>
                <w:lang w:val="es-CO" w:eastAsia="es-CO"/>
              </w:rPr>
            </w:pPr>
            <w:r w:rsidRPr="00A21B5C">
              <w:rPr>
                <w:rFonts w:ascii="Arial" w:eastAsia="Times New Roman" w:hAnsi="Arial" w:cs="Arial"/>
                <w:color w:val="595959" w:themeColor="text1" w:themeTint="A6"/>
                <w:sz w:val="18"/>
                <w:szCs w:val="22"/>
                <w:lang w:val="es-CO" w:eastAsia="en-US"/>
              </w:rPr>
              <w:t>$4.095.383.444</w:t>
            </w:r>
          </w:p>
        </w:tc>
        <w:tc>
          <w:tcPr>
            <w:tcW w:w="425" w:type="dxa"/>
            <w:tcBorders>
              <w:top w:val="single" w:sz="4" w:space="0" w:color="FFFFFF" w:themeColor="background1"/>
              <w:left w:val="single" w:sz="4" w:space="0" w:color="FFFFFF" w:themeColor="background1"/>
              <w:bottom w:val="single" w:sz="4" w:space="0" w:color="000000" w:themeColor="text1"/>
              <w:right w:val="nil"/>
            </w:tcBorders>
            <w:shd w:val="clear" w:color="auto" w:fill="FFFFFF" w:themeFill="background1"/>
            <w:vAlign w:val="center"/>
          </w:tcPr>
          <w:p w:rsidR="00DB3F75" w:rsidRPr="00A21B5C" w:rsidRDefault="00DB3F75" w:rsidP="00A21B5C">
            <w:pPr>
              <w:contextualSpacing/>
              <w:jc w:val="center"/>
              <w:rPr>
                <w:rFonts w:ascii="Arial" w:eastAsia="Times New Roman" w:hAnsi="Arial" w:cs="Arial"/>
                <w:b/>
                <w:color w:val="000000"/>
                <w:sz w:val="22"/>
                <w:szCs w:val="22"/>
                <w:lang w:val="es-CO" w:eastAsia="es-CO"/>
              </w:rPr>
            </w:pPr>
          </w:p>
        </w:tc>
        <w:tc>
          <w:tcPr>
            <w:tcW w:w="1559" w:type="dxa"/>
            <w:tcBorders>
              <w:top w:val="single" w:sz="4" w:space="0" w:color="FFFFFF" w:themeColor="background1"/>
              <w:left w:val="single" w:sz="4" w:space="0" w:color="FFFFFF" w:themeColor="background1"/>
              <w:bottom w:val="single" w:sz="4" w:space="0" w:color="000000" w:themeColor="text1"/>
              <w:right w:val="nil"/>
            </w:tcBorders>
            <w:shd w:val="clear" w:color="auto" w:fill="FFFFFF" w:themeFill="background1"/>
          </w:tcPr>
          <w:p w:rsidR="00DB3F75" w:rsidRPr="00A21B5C" w:rsidRDefault="00EF7041" w:rsidP="00A21B5C">
            <w:pPr>
              <w:contextualSpacing/>
              <w:jc w:val="right"/>
              <w:rPr>
                <w:rFonts w:ascii="Arial" w:eastAsia="Times New Roman" w:hAnsi="Arial" w:cs="Arial"/>
                <w:color w:val="000000"/>
                <w:sz w:val="22"/>
                <w:szCs w:val="22"/>
                <w:lang w:val="es-CO" w:eastAsia="es-CO"/>
              </w:rPr>
            </w:pPr>
            <w:r w:rsidRPr="00A21B5C">
              <w:rPr>
                <w:rFonts w:ascii="Arial" w:eastAsia="Times New Roman" w:hAnsi="Arial" w:cs="Arial"/>
                <w:color w:val="000000"/>
                <w:sz w:val="22"/>
                <w:szCs w:val="22"/>
                <w:lang w:val="es-CO" w:eastAsia="es-CO"/>
              </w:rPr>
              <w:t>-</w:t>
            </w:r>
          </w:p>
        </w:tc>
        <w:tc>
          <w:tcPr>
            <w:tcW w:w="425" w:type="dxa"/>
            <w:tcBorders>
              <w:top w:val="single" w:sz="4" w:space="0" w:color="FFFFFF" w:themeColor="background1"/>
              <w:left w:val="single" w:sz="4" w:space="0" w:color="FFFFFF" w:themeColor="background1"/>
              <w:bottom w:val="single" w:sz="4" w:space="0" w:color="000000" w:themeColor="text1"/>
              <w:right w:val="nil"/>
            </w:tcBorders>
            <w:shd w:val="clear" w:color="auto" w:fill="FFFFFF" w:themeFill="background1"/>
          </w:tcPr>
          <w:p w:rsidR="00DB3F75" w:rsidRPr="00A21B5C" w:rsidRDefault="00DB3F75" w:rsidP="00A21B5C">
            <w:pPr>
              <w:contextualSpacing/>
              <w:jc w:val="center"/>
              <w:rPr>
                <w:rFonts w:ascii="Arial" w:eastAsia="Times New Roman" w:hAnsi="Arial" w:cs="Arial"/>
                <w:b/>
                <w:color w:val="000000"/>
                <w:sz w:val="22"/>
                <w:szCs w:val="22"/>
                <w:lang w:val="es-CO" w:eastAsia="es-CO"/>
              </w:rPr>
            </w:pPr>
          </w:p>
        </w:tc>
      </w:tr>
      <w:tr w:rsidR="00C6555E" w:rsidRPr="00A21B5C" w:rsidTr="00DB3F75">
        <w:trPr>
          <w:trHeight w:val="305"/>
          <w:jc w:val="center"/>
        </w:trPr>
        <w:tc>
          <w:tcPr>
            <w:tcW w:w="2835" w:type="dxa"/>
            <w:tcBorders>
              <w:top w:val="single" w:sz="4" w:space="0" w:color="000000" w:themeColor="text1"/>
              <w:left w:val="nil"/>
              <w:bottom w:val="single" w:sz="4" w:space="0" w:color="FFFFFF" w:themeColor="background1"/>
              <w:right w:val="nil"/>
            </w:tcBorders>
            <w:shd w:val="clear" w:color="auto" w:fill="DBE5F1" w:themeFill="accent1" w:themeFillTint="33"/>
            <w:noWrap/>
            <w:vAlign w:val="center"/>
            <w:hideMark/>
          </w:tcPr>
          <w:p w:rsidR="00DB3F75" w:rsidRPr="00A21B5C" w:rsidRDefault="00DB3F75" w:rsidP="00A21B5C">
            <w:pPr>
              <w:contextualSpacing/>
              <w:rPr>
                <w:rFonts w:ascii="Arial" w:eastAsia="Times New Roman" w:hAnsi="Arial" w:cs="Arial"/>
                <w:b/>
                <w:bCs/>
                <w:color w:val="000000"/>
                <w:sz w:val="22"/>
                <w:szCs w:val="22"/>
                <w:lang w:val="es-CO" w:eastAsia="es-CO"/>
              </w:rPr>
            </w:pPr>
            <w:r w:rsidRPr="00A21B5C">
              <w:rPr>
                <w:rFonts w:ascii="Arial" w:eastAsia="Times New Roman" w:hAnsi="Arial" w:cs="Arial"/>
                <w:color w:val="000000"/>
                <w:sz w:val="22"/>
                <w:szCs w:val="22"/>
                <w:lang w:val="es-CO" w:eastAsia="es-CO"/>
              </w:rPr>
              <w:t>Reservas Presupuestales</w:t>
            </w:r>
          </w:p>
        </w:tc>
        <w:tc>
          <w:tcPr>
            <w:tcW w:w="1560" w:type="dxa"/>
            <w:tcBorders>
              <w:top w:val="single" w:sz="4" w:space="0" w:color="000000" w:themeColor="text1"/>
              <w:left w:val="nil"/>
              <w:bottom w:val="single" w:sz="4" w:space="0" w:color="FFFFFF" w:themeColor="background1"/>
              <w:right w:val="single" w:sz="4" w:space="0" w:color="FFFFFF" w:themeColor="background1"/>
            </w:tcBorders>
            <w:shd w:val="clear" w:color="auto" w:fill="DBE5F1" w:themeFill="accent1" w:themeFillTint="33"/>
            <w:noWrap/>
            <w:vAlign w:val="center"/>
            <w:hideMark/>
          </w:tcPr>
          <w:p w:rsidR="00DB3F75" w:rsidRPr="00A21B5C" w:rsidRDefault="00DB3F75" w:rsidP="00A21B5C">
            <w:pPr>
              <w:contextualSpacing/>
              <w:jc w:val="right"/>
              <w:rPr>
                <w:rFonts w:ascii="Arial" w:eastAsia="Times New Roman" w:hAnsi="Arial" w:cs="Arial"/>
                <w:color w:val="000000"/>
                <w:sz w:val="22"/>
                <w:szCs w:val="22"/>
                <w:lang w:val="es-CO" w:eastAsia="es-CO"/>
              </w:rPr>
            </w:pPr>
            <w:r w:rsidRPr="00A21B5C">
              <w:rPr>
                <w:rFonts w:ascii="Arial" w:eastAsia="Times New Roman" w:hAnsi="Arial" w:cs="Arial"/>
                <w:sz w:val="22"/>
                <w:szCs w:val="22"/>
                <w:lang w:val="es-CO" w:eastAsia="es-CO"/>
              </w:rPr>
              <w:t>-</w:t>
            </w:r>
          </w:p>
        </w:tc>
        <w:tc>
          <w:tcPr>
            <w:tcW w:w="425" w:type="dxa"/>
            <w:vMerge w:val="restart"/>
            <w:tcBorders>
              <w:top w:val="single" w:sz="4" w:space="0" w:color="000000" w:themeColor="text1"/>
              <w:left w:val="single" w:sz="4" w:space="0" w:color="FFFFFF" w:themeColor="background1"/>
              <w:bottom w:val="single" w:sz="4" w:space="0" w:color="000000" w:themeColor="text1"/>
              <w:right w:val="nil"/>
            </w:tcBorders>
            <w:shd w:val="clear" w:color="auto" w:fill="FFFFFF" w:themeFill="background1"/>
            <w:vAlign w:val="center"/>
          </w:tcPr>
          <w:p w:rsidR="00DB3F75" w:rsidRPr="00A21B5C" w:rsidRDefault="00DB3F75" w:rsidP="00A21B5C">
            <w:pPr>
              <w:contextualSpacing/>
              <w:jc w:val="right"/>
              <w:rPr>
                <w:rFonts w:ascii="Arial" w:eastAsia="Times New Roman" w:hAnsi="Arial" w:cs="Arial"/>
                <w:b/>
                <w:color w:val="000000"/>
                <w:sz w:val="22"/>
                <w:szCs w:val="22"/>
                <w:lang w:val="es-CO" w:eastAsia="es-CO"/>
              </w:rPr>
            </w:pPr>
          </w:p>
        </w:tc>
        <w:tc>
          <w:tcPr>
            <w:tcW w:w="1559" w:type="dxa"/>
            <w:tcBorders>
              <w:top w:val="single" w:sz="4" w:space="0" w:color="000000" w:themeColor="text1"/>
              <w:left w:val="nil"/>
              <w:bottom w:val="single" w:sz="4" w:space="0" w:color="FFFFFF" w:themeColor="background1"/>
              <w:right w:val="single" w:sz="4" w:space="0" w:color="FFFFFF" w:themeColor="background1"/>
            </w:tcBorders>
            <w:shd w:val="clear" w:color="auto" w:fill="DBE5F1" w:themeFill="accent1" w:themeFillTint="33"/>
            <w:noWrap/>
            <w:vAlign w:val="center"/>
            <w:hideMark/>
          </w:tcPr>
          <w:p w:rsidR="00DB3F75" w:rsidRPr="00A21B5C" w:rsidRDefault="00DB3F75" w:rsidP="00A21B5C">
            <w:pPr>
              <w:contextualSpacing/>
              <w:jc w:val="right"/>
              <w:rPr>
                <w:rFonts w:ascii="Arial" w:eastAsia="Times New Roman" w:hAnsi="Arial" w:cs="Arial"/>
                <w:sz w:val="22"/>
                <w:szCs w:val="22"/>
                <w:lang w:val="es-CO" w:eastAsia="es-CO"/>
              </w:rPr>
            </w:pPr>
            <w:r w:rsidRPr="00A21B5C">
              <w:rPr>
                <w:rFonts w:ascii="Arial" w:eastAsia="Times New Roman" w:hAnsi="Arial" w:cs="Arial"/>
                <w:sz w:val="22"/>
                <w:szCs w:val="22"/>
                <w:lang w:val="es-CO" w:eastAsia="es-CO"/>
              </w:rPr>
              <w:t>-</w:t>
            </w:r>
          </w:p>
        </w:tc>
        <w:tc>
          <w:tcPr>
            <w:tcW w:w="425" w:type="dxa"/>
            <w:tcBorders>
              <w:top w:val="single" w:sz="4" w:space="0" w:color="000000" w:themeColor="text1"/>
              <w:left w:val="single" w:sz="4" w:space="0" w:color="FFFFFF" w:themeColor="background1"/>
              <w:bottom w:val="single" w:sz="4" w:space="0" w:color="FFFFFF" w:themeColor="background1"/>
              <w:right w:val="nil"/>
            </w:tcBorders>
            <w:shd w:val="clear" w:color="auto" w:fill="FFFFFF" w:themeFill="background1"/>
            <w:vAlign w:val="center"/>
            <w:hideMark/>
          </w:tcPr>
          <w:p w:rsidR="00DB3F75" w:rsidRPr="00A21B5C" w:rsidRDefault="00DB3F75" w:rsidP="00A21B5C">
            <w:pPr>
              <w:contextualSpacing/>
              <w:jc w:val="center"/>
              <w:rPr>
                <w:rFonts w:ascii="Arial" w:eastAsia="Times New Roman" w:hAnsi="Arial" w:cs="Arial"/>
                <w:sz w:val="22"/>
                <w:szCs w:val="22"/>
                <w:lang w:val="es-CO" w:eastAsia="es-CO"/>
              </w:rPr>
            </w:pPr>
          </w:p>
        </w:tc>
        <w:tc>
          <w:tcPr>
            <w:tcW w:w="1560" w:type="dxa"/>
            <w:tcBorders>
              <w:top w:val="single" w:sz="4" w:space="0" w:color="000000" w:themeColor="text1"/>
              <w:left w:val="nil"/>
              <w:bottom w:val="single" w:sz="4" w:space="0" w:color="FFFFFF" w:themeColor="background1"/>
              <w:right w:val="single" w:sz="4" w:space="0" w:color="FFFFFF" w:themeColor="background1"/>
            </w:tcBorders>
            <w:shd w:val="clear" w:color="auto" w:fill="DBE5F1" w:themeFill="accent1" w:themeFillTint="33"/>
            <w:noWrap/>
            <w:vAlign w:val="center"/>
            <w:hideMark/>
          </w:tcPr>
          <w:p w:rsidR="00DB3F75" w:rsidRPr="00A21B5C" w:rsidRDefault="00DB3F75" w:rsidP="00A21B5C">
            <w:pPr>
              <w:contextualSpacing/>
              <w:jc w:val="right"/>
              <w:rPr>
                <w:rFonts w:ascii="Arial" w:eastAsia="Times New Roman" w:hAnsi="Arial" w:cs="Arial"/>
                <w:color w:val="000000"/>
                <w:sz w:val="22"/>
                <w:szCs w:val="22"/>
                <w:lang w:val="es-CO" w:eastAsia="es-CO"/>
              </w:rPr>
            </w:pPr>
            <w:r w:rsidRPr="00A21B5C">
              <w:rPr>
                <w:rFonts w:ascii="Arial" w:eastAsia="Times New Roman" w:hAnsi="Arial" w:cs="Arial"/>
                <w:sz w:val="22"/>
                <w:szCs w:val="22"/>
                <w:lang w:val="es-CO" w:eastAsia="en-US"/>
              </w:rPr>
              <w:t>$0</w:t>
            </w:r>
          </w:p>
        </w:tc>
        <w:tc>
          <w:tcPr>
            <w:tcW w:w="425" w:type="dxa"/>
            <w:tcBorders>
              <w:top w:val="single" w:sz="4" w:space="0" w:color="000000" w:themeColor="text1"/>
              <w:left w:val="single" w:sz="4" w:space="0" w:color="FFFFFF" w:themeColor="background1"/>
              <w:bottom w:val="nil"/>
              <w:right w:val="nil"/>
            </w:tcBorders>
            <w:shd w:val="clear" w:color="auto" w:fill="FFFFFF" w:themeFill="background1"/>
            <w:vAlign w:val="center"/>
          </w:tcPr>
          <w:p w:rsidR="00DB3F75" w:rsidRPr="00A21B5C" w:rsidRDefault="00DB3F75" w:rsidP="00A21B5C">
            <w:pPr>
              <w:contextualSpacing/>
              <w:jc w:val="center"/>
              <w:rPr>
                <w:rFonts w:ascii="Arial" w:eastAsia="Times New Roman" w:hAnsi="Arial" w:cs="Arial"/>
                <w:b/>
                <w:color w:val="000000"/>
                <w:sz w:val="22"/>
                <w:szCs w:val="22"/>
                <w:lang w:val="es-CO" w:eastAsia="es-CO"/>
              </w:rPr>
            </w:pPr>
          </w:p>
        </w:tc>
        <w:tc>
          <w:tcPr>
            <w:tcW w:w="1559" w:type="dxa"/>
            <w:tcBorders>
              <w:top w:val="single" w:sz="4" w:space="0" w:color="000000" w:themeColor="text1"/>
              <w:left w:val="single" w:sz="4" w:space="0" w:color="FFFFFF" w:themeColor="background1"/>
              <w:bottom w:val="nil"/>
              <w:right w:val="nil"/>
            </w:tcBorders>
            <w:shd w:val="clear" w:color="auto" w:fill="DBE5F1" w:themeFill="accent1" w:themeFillTint="33"/>
          </w:tcPr>
          <w:p w:rsidR="00DB3F75" w:rsidRPr="00A21B5C" w:rsidRDefault="00EF7041" w:rsidP="00A21B5C">
            <w:pPr>
              <w:contextualSpacing/>
              <w:jc w:val="right"/>
              <w:rPr>
                <w:rFonts w:ascii="Arial" w:eastAsia="Times New Roman" w:hAnsi="Arial" w:cs="Arial"/>
                <w:color w:val="000000"/>
                <w:sz w:val="22"/>
                <w:szCs w:val="22"/>
                <w:lang w:val="es-CO" w:eastAsia="es-CO"/>
              </w:rPr>
            </w:pPr>
            <w:r w:rsidRPr="00A21B5C">
              <w:rPr>
                <w:rFonts w:ascii="Arial" w:eastAsia="Times New Roman" w:hAnsi="Arial" w:cs="Arial"/>
                <w:color w:val="000000"/>
                <w:sz w:val="22"/>
                <w:szCs w:val="22"/>
                <w:lang w:val="es-CO" w:eastAsia="es-CO"/>
              </w:rPr>
              <w:t>$0</w:t>
            </w:r>
          </w:p>
        </w:tc>
        <w:tc>
          <w:tcPr>
            <w:tcW w:w="425" w:type="dxa"/>
            <w:tcBorders>
              <w:top w:val="single" w:sz="4" w:space="0" w:color="000000" w:themeColor="text1"/>
              <w:left w:val="single" w:sz="4" w:space="0" w:color="FFFFFF" w:themeColor="background1"/>
              <w:bottom w:val="nil"/>
              <w:right w:val="nil"/>
            </w:tcBorders>
            <w:shd w:val="clear" w:color="auto" w:fill="FFFFFF" w:themeFill="background1"/>
          </w:tcPr>
          <w:p w:rsidR="00DB3F75" w:rsidRPr="00A21B5C" w:rsidRDefault="00DB3F75" w:rsidP="00A21B5C">
            <w:pPr>
              <w:contextualSpacing/>
              <w:jc w:val="center"/>
              <w:rPr>
                <w:rFonts w:ascii="Arial" w:eastAsia="Times New Roman" w:hAnsi="Arial" w:cs="Arial"/>
                <w:b/>
                <w:color w:val="000000"/>
                <w:sz w:val="22"/>
                <w:szCs w:val="22"/>
                <w:lang w:val="es-CO" w:eastAsia="es-CO"/>
              </w:rPr>
            </w:pPr>
          </w:p>
        </w:tc>
      </w:tr>
      <w:tr w:rsidR="00C6555E" w:rsidRPr="00A21B5C" w:rsidTr="00DB3F75">
        <w:trPr>
          <w:trHeight w:val="305"/>
          <w:jc w:val="center"/>
        </w:trPr>
        <w:tc>
          <w:tcPr>
            <w:tcW w:w="2835" w:type="dxa"/>
            <w:tcBorders>
              <w:top w:val="single" w:sz="4" w:space="0" w:color="FFFFFF" w:themeColor="background1"/>
              <w:left w:val="nil"/>
              <w:bottom w:val="single" w:sz="4" w:space="0" w:color="000000" w:themeColor="text1"/>
              <w:right w:val="nil"/>
            </w:tcBorders>
            <w:shd w:val="clear" w:color="auto" w:fill="FFFFFF" w:themeFill="background1"/>
            <w:noWrap/>
            <w:vAlign w:val="center"/>
            <w:hideMark/>
          </w:tcPr>
          <w:p w:rsidR="00DB3F75" w:rsidRPr="00A21B5C" w:rsidRDefault="00DB3F75" w:rsidP="00A21B5C">
            <w:pPr>
              <w:contextualSpacing/>
              <w:rPr>
                <w:rFonts w:ascii="Arial" w:eastAsia="Times New Roman" w:hAnsi="Arial" w:cs="Arial"/>
                <w:color w:val="595959" w:themeColor="text1" w:themeTint="A6"/>
                <w:sz w:val="22"/>
                <w:szCs w:val="22"/>
                <w:lang w:val="es-CO" w:eastAsia="es-CO"/>
              </w:rPr>
            </w:pPr>
            <w:r w:rsidRPr="00A21B5C">
              <w:rPr>
                <w:rFonts w:ascii="Arial" w:eastAsia="Times New Roman" w:hAnsi="Arial" w:cs="Arial"/>
                <w:color w:val="595959" w:themeColor="text1" w:themeTint="A6"/>
                <w:sz w:val="22"/>
                <w:szCs w:val="22"/>
                <w:lang w:val="es-CO" w:eastAsia="es-CO"/>
              </w:rPr>
              <w:t xml:space="preserve">   </w:t>
            </w:r>
            <w:r w:rsidRPr="00A21B5C">
              <w:rPr>
                <w:rFonts w:ascii="Arial" w:eastAsia="Times New Roman" w:hAnsi="Arial" w:cs="Arial"/>
                <w:bCs/>
                <w:color w:val="595959" w:themeColor="text1" w:themeTint="A6"/>
                <w:sz w:val="18"/>
                <w:szCs w:val="22"/>
                <w:lang w:val="es-CO" w:eastAsia="es-CO"/>
              </w:rPr>
              <w:t>Actos administrativos de constitución</w:t>
            </w:r>
            <w:r w:rsidRPr="00A21B5C">
              <w:rPr>
                <w:rStyle w:val="Refdenotaalpie"/>
                <w:rFonts w:ascii="Arial" w:eastAsia="Times New Roman" w:hAnsi="Arial" w:cs="Arial"/>
                <w:bCs/>
                <w:color w:val="595959" w:themeColor="text1" w:themeTint="A6"/>
                <w:sz w:val="18"/>
                <w:szCs w:val="22"/>
                <w:lang w:val="es-CO" w:eastAsia="es-CO"/>
              </w:rPr>
              <w:footnoteReference w:id="7"/>
            </w:r>
          </w:p>
        </w:tc>
        <w:tc>
          <w:tcPr>
            <w:tcW w:w="1560" w:type="dxa"/>
            <w:tcBorders>
              <w:top w:val="single" w:sz="4" w:space="0" w:color="FFFFFF" w:themeColor="background1"/>
              <w:left w:val="nil"/>
              <w:bottom w:val="single" w:sz="4" w:space="0" w:color="000000" w:themeColor="text1"/>
              <w:right w:val="single" w:sz="4" w:space="0" w:color="FFFFFF" w:themeColor="background1"/>
            </w:tcBorders>
            <w:shd w:val="clear" w:color="auto" w:fill="FFFFFF" w:themeFill="background1"/>
            <w:noWrap/>
            <w:vAlign w:val="center"/>
            <w:hideMark/>
          </w:tcPr>
          <w:p w:rsidR="00DB3F75" w:rsidRPr="00A21B5C" w:rsidRDefault="00DB3F75" w:rsidP="00A21B5C">
            <w:pPr>
              <w:contextualSpacing/>
              <w:jc w:val="right"/>
              <w:rPr>
                <w:rFonts w:ascii="Arial" w:eastAsia="Times New Roman" w:hAnsi="Arial" w:cs="Arial"/>
                <w:color w:val="595959" w:themeColor="text1" w:themeTint="A6"/>
                <w:sz w:val="22"/>
                <w:szCs w:val="22"/>
                <w:lang w:val="es-CO" w:eastAsia="es-CO"/>
              </w:rPr>
            </w:pPr>
            <w:r w:rsidRPr="00A21B5C">
              <w:rPr>
                <w:rFonts w:ascii="Arial" w:eastAsia="Calibri" w:hAnsi="Arial" w:cs="Arial"/>
                <w:color w:val="595959" w:themeColor="text1" w:themeTint="A6"/>
                <w:sz w:val="18"/>
                <w:szCs w:val="22"/>
                <w:lang w:val="es-CO" w:eastAsia="en-US"/>
              </w:rPr>
              <w:t>$1.103.852.937</w:t>
            </w:r>
          </w:p>
        </w:tc>
        <w:tc>
          <w:tcPr>
            <w:tcW w:w="425" w:type="dxa"/>
            <w:vMerge/>
            <w:tcBorders>
              <w:top w:val="single" w:sz="4" w:space="0" w:color="000000" w:themeColor="text1"/>
              <w:left w:val="single" w:sz="4" w:space="0" w:color="FFFFFF" w:themeColor="background1"/>
              <w:bottom w:val="single" w:sz="4" w:space="0" w:color="000000" w:themeColor="text1"/>
              <w:right w:val="nil"/>
            </w:tcBorders>
            <w:vAlign w:val="center"/>
            <w:hideMark/>
          </w:tcPr>
          <w:p w:rsidR="00DB3F75" w:rsidRPr="00A21B5C" w:rsidRDefault="00DB3F75" w:rsidP="00A21B5C">
            <w:pPr>
              <w:contextualSpacing/>
              <w:rPr>
                <w:rFonts w:ascii="Arial" w:eastAsia="Times New Roman" w:hAnsi="Arial" w:cs="Arial"/>
                <w:b/>
                <w:color w:val="000000"/>
                <w:sz w:val="22"/>
                <w:szCs w:val="22"/>
                <w:lang w:val="es-CO" w:eastAsia="es-CO"/>
              </w:rPr>
            </w:pPr>
          </w:p>
        </w:tc>
        <w:tc>
          <w:tcPr>
            <w:tcW w:w="1559" w:type="dxa"/>
            <w:tcBorders>
              <w:top w:val="single" w:sz="4" w:space="0" w:color="FFFFFF" w:themeColor="background1"/>
              <w:left w:val="nil"/>
              <w:bottom w:val="single" w:sz="4" w:space="0" w:color="000000" w:themeColor="text1"/>
              <w:right w:val="single" w:sz="4" w:space="0" w:color="FFFFFF" w:themeColor="background1"/>
            </w:tcBorders>
            <w:shd w:val="clear" w:color="auto" w:fill="FFFFFF" w:themeFill="background1"/>
            <w:noWrap/>
            <w:vAlign w:val="center"/>
            <w:hideMark/>
          </w:tcPr>
          <w:p w:rsidR="00DB3F75" w:rsidRPr="00A21B5C" w:rsidRDefault="00DB3F75" w:rsidP="00A21B5C">
            <w:pPr>
              <w:contextualSpacing/>
              <w:jc w:val="right"/>
              <w:rPr>
                <w:rFonts w:ascii="Arial" w:eastAsia="Times New Roman" w:hAnsi="Arial" w:cs="Arial"/>
                <w:b/>
                <w:sz w:val="22"/>
                <w:szCs w:val="22"/>
                <w:lang w:val="es-CO" w:eastAsia="es-CO"/>
              </w:rPr>
            </w:pPr>
            <w:r w:rsidRPr="00A21B5C">
              <w:rPr>
                <w:rFonts w:ascii="Arial" w:hAnsi="Arial" w:cs="Arial"/>
                <w:sz w:val="18"/>
                <w:szCs w:val="22"/>
                <w:lang w:val="es-CO"/>
              </w:rPr>
              <w:t>$100.000.000</w:t>
            </w:r>
          </w:p>
        </w:tc>
        <w:tc>
          <w:tcPr>
            <w:tcW w:w="425" w:type="dxa"/>
            <w:tcBorders>
              <w:top w:val="single" w:sz="4" w:space="0" w:color="FFFFFF" w:themeColor="background1"/>
              <w:left w:val="single" w:sz="4" w:space="0" w:color="FFFFFF" w:themeColor="background1"/>
              <w:bottom w:val="single" w:sz="4" w:space="0" w:color="000000" w:themeColor="text1"/>
              <w:right w:val="nil"/>
            </w:tcBorders>
            <w:shd w:val="clear" w:color="auto" w:fill="FFFFFF" w:themeFill="background1"/>
            <w:vAlign w:val="center"/>
          </w:tcPr>
          <w:p w:rsidR="00DB3F75" w:rsidRPr="00A21B5C" w:rsidRDefault="00DB3F75" w:rsidP="00A21B5C">
            <w:pPr>
              <w:contextualSpacing/>
              <w:jc w:val="center"/>
              <w:rPr>
                <w:rFonts w:ascii="Arial" w:eastAsia="Times New Roman" w:hAnsi="Arial" w:cs="Arial"/>
                <w:b/>
                <w:color w:val="000000"/>
                <w:sz w:val="22"/>
                <w:szCs w:val="22"/>
                <w:lang w:val="es-CO" w:eastAsia="es-CO"/>
              </w:rPr>
            </w:pPr>
          </w:p>
        </w:tc>
        <w:tc>
          <w:tcPr>
            <w:tcW w:w="1560" w:type="dxa"/>
            <w:tcBorders>
              <w:top w:val="single" w:sz="4" w:space="0" w:color="FFFFFF" w:themeColor="background1"/>
              <w:left w:val="nil"/>
              <w:bottom w:val="single" w:sz="4" w:space="0" w:color="000000" w:themeColor="text1"/>
              <w:right w:val="single" w:sz="4" w:space="0" w:color="FFFFFF" w:themeColor="background1"/>
            </w:tcBorders>
            <w:shd w:val="clear" w:color="auto" w:fill="FFFFFF" w:themeFill="background1"/>
            <w:noWrap/>
            <w:vAlign w:val="center"/>
            <w:hideMark/>
          </w:tcPr>
          <w:p w:rsidR="00DB3F75" w:rsidRPr="00A21B5C" w:rsidRDefault="00DB3F75" w:rsidP="00A21B5C">
            <w:pPr>
              <w:contextualSpacing/>
              <w:jc w:val="right"/>
              <w:rPr>
                <w:rFonts w:ascii="Arial" w:eastAsia="Times New Roman" w:hAnsi="Arial" w:cs="Arial"/>
                <w:b/>
                <w:color w:val="000000"/>
                <w:sz w:val="22"/>
                <w:szCs w:val="22"/>
                <w:lang w:val="es-CO" w:eastAsia="es-CO"/>
              </w:rPr>
            </w:pPr>
            <w:r w:rsidRPr="00A21B5C">
              <w:rPr>
                <w:rFonts w:ascii="Arial" w:eastAsia="Times New Roman" w:hAnsi="Arial" w:cs="Arial"/>
                <w:color w:val="595959" w:themeColor="text1" w:themeTint="A6"/>
                <w:sz w:val="18"/>
                <w:szCs w:val="22"/>
                <w:lang w:val="es-CO" w:eastAsia="es-CO"/>
              </w:rPr>
              <w:t>$0</w:t>
            </w:r>
          </w:p>
        </w:tc>
        <w:tc>
          <w:tcPr>
            <w:tcW w:w="425" w:type="dxa"/>
            <w:tcBorders>
              <w:top w:val="nil"/>
              <w:left w:val="single" w:sz="4" w:space="0" w:color="FFFFFF" w:themeColor="background1"/>
              <w:bottom w:val="single" w:sz="4" w:space="0" w:color="000000"/>
              <w:right w:val="nil"/>
            </w:tcBorders>
            <w:shd w:val="clear" w:color="auto" w:fill="FFFFFF" w:themeFill="background1"/>
            <w:vAlign w:val="center"/>
          </w:tcPr>
          <w:p w:rsidR="00DB3F75" w:rsidRPr="00A21B5C" w:rsidRDefault="00DB3F75" w:rsidP="00A21B5C">
            <w:pPr>
              <w:contextualSpacing/>
              <w:jc w:val="center"/>
              <w:rPr>
                <w:rFonts w:ascii="Arial" w:eastAsia="Times New Roman" w:hAnsi="Arial" w:cs="Arial"/>
                <w:b/>
                <w:color w:val="000000"/>
                <w:sz w:val="22"/>
                <w:szCs w:val="22"/>
                <w:lang w:val="es-CO" w:eastAsia="es-CO"/>
              </w:rPr>
            </w:pPr>
          </w:p>
        </w:tc>
        <w:tc>
          <w:tcPr>
            <w:tcW w:w="1559" w:type="dxa"/>
            <w:tcBorders>
              <w:top w:val="nil"/>
              <w:left w:val="single" w:sz="4" w:space="0" w:color="FFFFFF" w:themeColor="background1"/>
              <w:bottom w:val="single" w:sz="4" w:space="0" w:color="000000"/>
              <w:right w:val="nil"/>
            </w:tcBorders>
            <w:shd w:val="clear" w:color="auto" w:fill="FFFFFF" w:themeFill="background1"/>
          </w:tcPr>
          <w:p w:rsidR="00DB3F75" w:rsidRPr="00A21B5C" w:rsidRDefault="00EF7041" w:rsidP="00A21B5C">
            <w:pPr>
              <w:contextualSpacing/>
              <w:jc w:val="right"/>
              <w:rPr>
                <w:rFonts w:ascii="Arial" w:eastAsia="Times New Roman" w:hAnsi="Arial" w:cs="Arial"/>
                <w:b/>
                <w:color w:val="000000"/>
                <w:sz w:val="22"/>
                <w:szCs w:val="22"/>
                <w:lang w:val="es-CO" w:eastAsia="es-CO"/>
              </w:rPr>
            </w:pPr>
            <w:r w:rsidRPr="00A21B5C">
              <w:rPr>
                <w:rFonts w:ascii="Arial" w:eastAsia="Times New Roman" w:hAnsi="Arial" w:cs="Arial"/>
                <w:color w:val="000000"/>
                <w:sz w:val="22"/>
                <w:szCs w:val="22"/>
                <w:lang w:val="es-CO" w:eastAsia="es-CO"/>
              </w:rPr>
              <w:t>-</w:t>
            </w:r>
          </w:p>
        </w:tc>
        <w:tc>
          <w:tcPr>
            <w:tcW w:w="425" w:type="dxa"/>
            <w:tcBorders>
              <w:top w:val="nil"/>
              <w:left w:val="single" w:sz="4" w:space="0" w:color="FFFFFF" w:themeColor="background1"/>
              <w:bottom w:val="single" w:sz="4" w:space="0" w:color="000000"/>
              <w:right w:val="nil"/>
            </w:tcBorders>
            <w:shd w:val="clear" w:color="auto" w:fill="FFFFFF" w:themeFill="background1"/>
          </w:tcPr>
          <w:p w:rsidR="00DB3F75" w:rsidRPr="00A21B5C" w:rsidRDefault="00DB3F75" w:rsidP="00A21B5C">
            <w:pPr>
              <w:contextualSpacing/>
              <w:jc w:val="center"/>
              <w:rPr>
                <w:rFonts w:ascii="Arial" w:eastAsia="Times New Roman" w:hAnsi="Arial" w:cs="Arial"/>
                <w:b/>
                <w:color w:val="000000"/>
                <w:sz w:val="22"/>
                <w:szCs w:val="22"/>
                <w:lang w:val="es-CO" w:eastAsia="es-CO"/>
              </w:rPr>
            </w:pPr>
          </w:p>
        </w:tc>
      </w:tr>
      <w:tr w:rsidR="00C6555E" w:rsidRPr="00A21B5C" w:rsidTr="00DB3F75">
        <w:trPr>
          <w:trHeight w:val="305"/>
          <w:jc w:val="center"/>
        </w:trPr>
        <w:tc>
          <w:tcPr>
            <w:tcW w:w="2835" w:type="dxa"/>
            <w:tcBorders>
              <w:top w:val="single" w:sz="4" w:space="0" w:color="000000" w:themeColor="text1"/>
              <w:left w:val="nil"/>
              <w:bottom w:val="single" w:sz="4" w:space="0" w:color="FFFFFF" w:themeColor="background1"/>
              <w:right w:val="nil"/>
            </w:tcBorders>
            <w:shd w:val="clear" w:color="auto" w:fill="DBE5F1" w:themeFill="accent1" w:themeFillTint="33"/>
            <w:noWrap/>
            <w:vAlign w:val="center"/>
            <w:hideMark/>
          </w:tcPr>
          <w:p w:rsidR="00DB3F75" w:rsidRPr="00A21B5C" w:rsidRDefault="00DB3F75" w:rsidP="00A21B5C">
            <w:pPr>
              <w:contextualSpacing/>
              <w:rPr>
                <w:rFonts w:ascii="Arial" w:eastAsia="Times New Roman" w:hAnsi="Arial" w:cs="Arial"/>
                <w:b/>
                <w:bCs/>
                <w:color w:val="000000"/>
                <w:sz w:val="22"/>
                <w:szCs w:val="22"/>
                <w:lang w:val="es-CO" w:eastAsia="es-CO"/>
              </w:rPr>
            </w:pPr>
            <w:r w:rsidRPr="00A21B5C">
              <w:rPr>
                <w:rFonts w:ascii="Arial" w:eastAsia="Times New Roman" w:hAnsi="Arial" w:cs="Arial"/>
                <w:color w:val="000000"/>
                <w:sz w:val="22"/>
                <w:szCs w:val="22"/>
                <w:lang w:val="es-CO" w:eastAsia="es-CO"/>
              </w:rPr>
              <w:t>Cuentas por Pagar</w:t>
            </w:r>
          </w:p>
        </w:tc>
        <w:tc>
          <w:tcPr>
            <w:tcW w:w="1560" w:type="dxa"/>
            <w:tcBorders>
              <w:top w:val="single" w:sz="4" w:space="0" w:color="000000" w:themeColor="text1"/>
              <w:left w:val="nil"/>
              <w:bottom w:val="single" w:sz="4" w:space="0" w:color="FFFFFF" w:themeColor="background1"/>
              <w:right w:val="single" w:sz="4" w:space="0" w:color="FFFFFF" w:themeColor="background1"/>
            </w:tcBorders>
            <w:shd w:val="clear" w:color="auto" w:fill="DBE5F1" w:themeFill="accent1" w:themeFillTint="33"/>
            <w:noWrap/>
            <w:vAlign w:val="center"/>
            <w:hideMark/>
          </w:tcPr>
          <w:p w:rsidR="00DB3F75" w:rsidRPr="00A21B5C" w:rsidRDefault="00DB3F75" w:rsidP="00A21B5C">
            <w:pPr>
              <w:contextualSpacing/>
              <w:jc w:val="right"/>
              <w:rPr>
                <w:rFonts w:ascii="Arial" w:eastAsia="Times New Roman" w:hAnsi="Arial" w:cs="Arial"/>
                <w:b/>
                <w:color w:val="000000"/>
                <w:sz w:val="22"/>
                <w:szCs w:val="22"/>
                <w:lang w:val="es-CO" w:eastAsia="es-CO"/>
              </w:rPr>
            </w:pPr>
            <w:r w:rsidRPr="00A21B5C">
              <w:rPr>
                <w:rFonts w:ascii="Arial" w:eastAsia="Times New Roman" w:hAnsi="Arial" w:cs="Arial"/>
                <w:color w:val="000000"/>
                <w:sz w:val="22"/>
                <w:szCs w:val="22"/>
                <w:lang w:val="es-CO" w:eastAsia="es-CO"/>
              </w:rPr>
              <w:t>-</w:t>
            </w:r>
          </w:p>
        </w:tc>
        <w:tc>
          <w:tcPr>
            <w:tcW w:w="425" w:type="dxa"/>
            <w:vMerge w:val="restart"/>
            <w:tcBorders>
              <w:top w:val="single" w:sz="4" w:space="0" w:color="000000" w:themeColor="text1"/>
              <w:left w:val="single" w:sz="4" w:space="0" w:color="FFFFFF" w:themeColor="background1"/>
              <w:bottom w:val="single" w:sz="4" w:space="0" w:color="000000" w:themeColor="text1"/>
              <w:right w:val="nil"/>
            </w:tcBorders>
            <w:shd w:val="clear" w:color="auto" w:fill="FFFFFF" w:themeFill="background1"/>
            <w:vAlign w:val="center"/>
          </w:tcPr>
          <w:p w:rsidR="00DB3F75" w:rsidRPr="00A21B5C" w:rsidRDefault="00DB3F75" w:rsidP="00A21B5C">
            <w:pPr>
              <w:contextualSpacing/>
              <w:jc w:val="right"/>
              <w:rPr>
                <w:rFonts w:ascii="Arial" w:eastAsia="Times New Roman" w:hAnsi="Arial" w:cs="Arial"/>
                <w:b/>
                <w:color w:val="000000"/>
                <w:sz w:val="22"/>
                <w:szCs w:val="22"/>
                <w:lang w:val="es-CO" w:eastAsia="es-CO"/>
              </w:rPr>
            </w:pPr>
          </w:p>
        </w:tc>
        <w:tc>
          <w:tcPr>
            <w:tcW w:w="1559" w:type="dxa"/>
            <w:tcBorders>
              <w:top w:val="single" w:sz="4" w:space="0" w:color="000000" w:themeColor="text1"/>
              <w:left w:val="nil"/>
              <w:bottom w:val="single" w:sz="4" w:space="0" w:color="FFFFFF" w:themeColor="background1"/>
              <w:right w:val="single" w:sz="4" w:space="0" w:color="FFFFFF" w:themeColor="background1"/>
            </w:tcBorders>
            <w:shd w:val="clear" w:color="auto" w:fill="DBE5F1" w:themeFill="accent1" w:themeFillTint="33"/>
            <w:noWrap/>
            <w:vAlign w:val="center"/>
            <w:hideMark/>
          </w:tcPr>
          <w:p w:rsidR="00DB3F75" w:rsidRPr="00A21B5C" w:rsidRDefault="00DB3F75" w:rsidP="00A21B5C">
            <w:pPr>
              <w:contextualSpacing/>
              <w:jc w:val="right"/>
              <w:rPr>
                <w:rFonts w:ascii="Arial" w:eastAsia="Times New Roman" w:hAnsi="Arial" w:cs="Arial"/>
                <w:color w:val="FF0000"/>
                <w:sz w:val="22"/>
                <w:szCs w:val="22"/>
                <w:lang w:val="es-CO" w:eastAsia="es-CO"/>
              </w:rPr>
            </w:pPr>
            <w:r w:rsidRPr="00A21B5C">
              <w:rPr>
                <w:rFonts w:ascii="Arial" w:hAnsi="Arial" w:cs="Arial"/>
                <w:sz w:val="22"/>
                <w:szCs w:val="22"/>
                <w:lang w:val="es-CO"/>
              </w:rPr>
              <w:t>-</w:t>
            </w:r>
          </w:p>
        </w:tc>
        <w:tc>
          <w:tcPr>
            <w:tcW w:w="425" w:type="dxa"/>
            <w:vMerge w:val="restart"/>
            <w:tcBorders>
              <w:top w:val="single" w:sz="4" w:space="0" w:color="000000" w:themeColor="text1"/>
              <w:left w:val="single" w:sz="4" w:space="0" w:color="FFFFFF" w:themeColor="background1"/>
              <w:bottom w:val="single" w:sz="4" w:space="0" w:color="000000" w:themeColor="text1"/>
              <w:right w:val="nil"/>
            </w:tcBorders>
            <w:shd w:val="clear" w:color="auto" w:fill="FFFFFF" w:themeFill="background1"/>
            <w:vAlign w:val="center"/>
            <w:hideMark/>
          </w:tcPr>
          <w:p w:rsidR="00DB3F75" w:rsidRPr="00A21B5C" w:rsidRDefault="00DB3F75" w:rsidP="00A21B5C">
            <w:pPr>
              <w:contextualSpacing/>
              <w:jc w:val="right"/>
              <w:rPr>
                <w:rFonts w:ascii="Arial" w:eastAsia="Times New Roman" w:hAnsi="Arial" w:cs="Arial"/>
                <w:b/>
                <w:color w:val="000000"/>
                <w:sz w:val="22"/>
                <w:szCs w:val="22"/>
                <w:lang w:val="es-CO" w:eastAsia="es-CO"/>
              </w:rPr>
            </w:pPr>
            <w:r w:rsidRPr="00A21B5C">
              <w:rPr>
                <w:rFonts w:ascii="Arial" w:eastAsia="Times New Roman" w:hAnsi="Arial" w:cs="Arial"/>
                <w:b/>
                <w:color w:val="C00000"/>
                <w:sz w:val="22"/>
                <w:szCs w:val="22"/>
                <w:lang w:val="es-CO" w:eastAsia="es-CO"/>
              </w:rPr>
              <w:t>(5)</w:t>
            </w:r>
          </w:p>
        </w:tc>
        <w:tc>
          <w:tcPr>
            <w:tcW w:w="1560" w:type="dxa"/>
            <w:tcBorders>
              <w:top w:val="single" w:sz="4" w:space="0" w:color="000000" w:themeColor="text1"/>
              <w:left w:val="nil"/>
              <w:bottom w:val="single" w:sz="4" w:space="0" w:color="FFFFFF" w:themeColor="background1"/>
              <w:right w:val="single" w:sz="4" w:space="0" w:color="FFFFFF" w:themeColor="background1"/>
            </w:tcBorders>
            <w:shd w:val="clear" w:color="auto" w:fill="DBE5F1" w:themeFill="accent1" w:themeFillTint="33"/>
            <w:noWrap/>
            <w:vAlign w:val="center"/>
            <w:hideMark/>
          </w:tcPr>
          <w:p w:rsidR="00DB3F75" w:rsidRPr="00A21B5C" w:rsidRDefault="00DB3F75" w:rsidP="00A21B5C">
            <w:pPr>
              <w:contextualSpacing/>
              <w:jc w:val="right"/>
              <w:rPr>
                <w:rFonts w:ascii="Arial" w:eastAsia="Times New Roman" w:hAnsi="Arial" w:cs="Arial"/>
                <w:b/>
                <w:color w:val="000000"/>
                <w:sz w:val="22"/>
                <w:szCs w:val="22"/>
                <w:lang w:val="es-CO" w:eastAsia="es-CO"/>
              </w:rPr>
            </w:pPr>
            <w:r w:rsidRPr="00A21B5C">
              <w:rPr>
                <w:rFonts w:ascii="Arial" w:eastAsia="Times New Roman" w:hAnsi="Arial" w:cs="Arial"/>
                <w:color w:val="000000"/>
                <w:sz w:val="22"/>
                <w:szCs w:val="22"/>
                <w:lang w:val="es-CO" w:eastAsia="en-US"/>
              </w:rPr>
              <w:t>$0</w:t>
            </w:r>
          </w:p>
        </w:tc>
        <w:tc>
          <w:tcPr>
            <w:tcW w:w="425" w:type="dxa"/>
            <w:tcBorders>
              <w:top w:val="single" w:sz="4" w:space="0" w:color="000000"/>
              <w:left w:val="single" w:sz="4" w:space="0" w:color="FFFFFF" w:themeColor="background1"/>
              <w:bottom w:val="single" w:sz="4" w:space="0" w:color="FFFFFF" w:themeColor="background1"/>
              <w:right w:val="nil"/>
            </w:tcBorders>
            <w:shd w:val="clear" w:color="auto" w:fill="FFFFFF" w:themeFill="background1"/>
            <w:vAlign w:val="center"/>
          </w:tcPr>
          <w:p w:rsidR="00DB3F75" w:rsidRPr="00A21B5C" w:rsidRDefault="00DB3F75" w:rsidP="00A21B5C">
            <w:pPr>
              <w:contextualSpacing/>
              <w:jc w:val="center"/>
              <w:rPr>
                <w:rFonts w:ascii="Arial" w:eastAsia="Times New Roman" w:hAnsi="Arial" w:cs="Arial"/>
                <w:b/>
                <w:color w:val="000000"/>
                <w:sz w:val="22"/>
                <w:szCs w:val="22"/>
                <w:lang w:val="es-CO" w:eastAsia="es-CO"/>
              </w:rPr>
            </w:pPr>
          </w:p>
        </w:tc>
        <w:tc>
          <w:tcPr>
            <w:tcW w:w="1559" w:type="dxa"/>
            <w:tcBorders>
              <w:top w:val="single" w:sz="4" w:space="0" w:color="000000"/>
              <w:left w:val="single" w:sz="4" w:space="0" w:color="FFFFFF" w:themeColor="background1"/>
              <w:bottom w:val="single" w:sz="4" w:space="0" w:color="FFFFFF" w:themeColor="background1"/>
              <w:right w:val="nil"/>
            </w:tcBorders>
            <w:shd w:val="clear" w:color="auto" w:fill="DBE5F1" w:themeFill="accent1" w:themeFillTint="33"/>
          </w:tcPr>
          <w:p w:rsidR="00DB3F75" w:rsidRPr="00A21B5C" w:rsidRDefault="00D11B5F" w:rsidP="00A21B5C">
            <w:pPr>
              <w:contextualSpacing/>
              <w:jc w:val="right"/>
              <w:rPr>
                <w:rFonts w:ascii="Arial" w:eastAsia="Times New Roman" w:hAnsi="Arial" w:cs="Arial"/>
                <w:color w:val="000000"/>
                <w:sz w:val="22"/>
                <w:szCs w:val="22"/>
                <w:lang w:val="es-CO" w:eastAsia="es-CO"/>
              </w:rPr>
            </w:pPr>
            <w:r w:rsidRPr="00A21B5C">
              <w:rPr>
                <w:rFonts w:ascii="Arial" w:eastAsia="Times New Roman" w:hAnsi="Arial" w:cs="Arial"/>
                <w:color w:val="000000"/>
                <w:sz w:val="22"/>
                <w:szCs w:val="22"/>
                <w:lang w:val="es-CO" w:eastAsia="es-CO"/>
              </w:rPr>
              <w:t>$365.210.000</w:t>
            </w:r>
          </w:p>
        </w:tc>
        <w:tc>
          <w:tcPr>
            <w:tcW w:w="425" w:type="dxa"/>
            <w:tcBorders>
              <w:top w:val="single" w:sz="4" w:space="0" w:color="000000"/>
              <w:left w:val="single" w:sz="4" w:space="0" w:color="FFFFFF" w:themeColor="background1"/>
              <w:bottom w:val="single" w:sz="4" w:space="0" w:color="FFFFFF" w:themeColor="background1"/>
              <w:right w:val="nil"/>
            </w:tcBorders>
            <w:shd w:val="clear" w:color="auto" w:fill="FFFFFF" w:themeFill="background1"/>
          </w:tcPr>
          <w:p w:rsidR="00DB3F75" w:rsidRPr="00A21B5C" w:rsidRDefault="00DB3F75" w:rsidP="00A21B5C">
            <w:pPr>
              <w:contextualSpacing/>
              <w:jc w:val="center"/>
              <w:rPr>
                <w:rFonts w:ascii="Arial" w:eastAsia="Times New Roman" w:hAnsi="Arial" w:cs="Arial"/>
                <w:b/>
                <w:color w:val="000000"/>
                <w:sz w:val="22"/>
                <w:szCs w:val="22"/>
                <w:lang w:val="es-CO" w:eastAsia="es-CO"/>
              </w:rPr>
            </w:pPr>
          </w:p>
        </w:tc>
      </w:tr>
      <w:tr w:rsidR="00C6555E" w:rsidRPr="00A21B5C" w:rsidTr="00DB3F75">
        <w:trPr>
          <w:trHeight w:val="305"/>
          <w:jc w:val="center"/>
        </w:trPr>
        <w:tc>
          <w:tcPr>
            <w:tcW w:w="2835" w:type="dxa"/>
            <w:tcBorders>
              <w:top w:val="single" w:sz="4" w:space="0" w:color="FFFFFF" w:themeColor="background1"/>
              <w:left w:val="nil"/>
              <w:bottom w:val="single" w:sz="4" w:space="0" w:color="000000" w:themeColor="text1"/>
              <w:right w:val="nil"/>
            </w:tcBorders>
            <w:shd w:val="clear" w:color="auto" w:fill="FFFFFF" w:themeFill="background1"/>
            <w:noWrap/>
            <w:vAlign w:val="center"/>
            <w:hideMark/>
          </w:tcPr>
          <w:p w:rsidR="00DB3F75" w:rsidRPr="00A21B5C" w:rsidRDefault="00DB3F75" w:rsidP="00A21B5C">
            <w:pPr>
              <w:contextualSpacing/>
              <w:rPr>
                <w:rFonts w:ascii="Arial" w:eastAsia="Times New Roman" w:hAnsi="Arial" w:cs="Arial"/>
                <w:color w:val="595959" w:themeColor="text1" w:themeTint="A6"/>
                <w:sz w:val="22"/>
                <w:szCs w:val="22"/>
                <w:lang w:val="es-CO" w:eastAsia="es-CO"/>
              </w:rPr>
            </w:pPr>
            <w:r w:rsidRPr="00A21B5C">
              <w:rPr>
                <w:rFonts w:ascii="Arial" w:eastAsia="Times New Roman" w:hAnsi="Arial" w:cs="Arial"/>
                <w:bCs/>
                <w:color w:val="595959" w:themeColor="text1" w:themeTint="A6"/>
                <w:sz w:val="18"/>
                <w:szCs w:val="22"/>
                <w:lang w:val="es-CO" w:eastAsia="es-CO"/>
              </w:rPr>
              <w:t xml:space="preserve">   Actos administrativos de constitución</w:t>
            </w:r>
            <w:r w:rsidRPr="00A21B5C">
              <w:rPr>
                <w:rStyle w:val="Refdenotaalpie"/>
                <w:rFonts w:ascii="Arial" w:eastAsia="Times New Roman" w:hAnsi="Arial" w:cs="Arial"/>
                <w:bCs/>
                <w:color w:val="595959" w:themeColor="text1" w:themeTint="A6"/>
                <w:sz w:val="18"/>
                <w:szCs w:val="22"/>
                <w:lang w:val="es-CO" w:eastAsia="es-CO"/>
              </w:rPr>
              <w:footnoteReference w:id="8"/>
            </w:r>
          </w:p>
        </w:tc>
        <w:tc>
          <w:tcPr>
            <w:tcW w:w="1560" w:type="dxa"/>
            <w:tcBorders>
              <w:top w:val="single" w:sz="4" w:space="0" w:color="FFFFFF" w:themeColor="background1"/>
              <w:left w:val="nil"/>
              <w:bottom w:val="single" w:sz="4" w:space="0" w:color="000000" w:themeColor="text1"/>
              <w:right w:val="single" w:sz="4" w:space="0" w:color="FFFFFF" w:themeColor="background1"/>
            </w:tcBorders>
            <w:shd w:val="clear" w:color="auto" w:fill="FFFFFF" w:themeFill="background1"/>
            <w:noWrap/>
            <w:vAlign w:val="center"/>
            <w:hideMark/>
          </w:tcPr>
          <w:p w:rsidR="00DB3F75" w:rsidRPr="00A21B5C" w:rsidRDefault="00DB3F75" w:rsidP="00A21B5C">
            <w:pPr>
              <w:contextualSpacing/>
              <w:jc w:val="right"/>
              <w:rPr>
                <w:rFonts w:ascii="Arial" w:eastAsia="Times New Roman" w:hAnsi="Arial" w:cs="Arial"/>
                <w:color w:val="595959" w:themeColor="text1" w:themeTint="A6"/>
                <w:sz w:val="22"/>
                <w:szCs w:val="22"/>
                <w:lang w:val="es-CO" w:eastAsia="es-CO"/>
              </w:rPr>
            </w:pPr>
            <w:r w:rsidRPr="00A21B5C">
              <w:rPr>
                <w:rFonts w:ascii="Arial" w:eastAsia="Times New Roman" w:hAnsi="Arial" w:cs="Arial"/>
                <w:color w:val="595959" w:themeColor="text1" w:themeTint="A6"/>
                <w:sz w:val="18"/>
                <w:szCs w:val="22"/>
                <w:lang w:val="es-CO" w:eastAsia="es-CO"/>
              </w:rPr>
              <w:t>$0</w:t>
            </w:r>
          </w:p>
        </w:tc>
        <w:tc>
          <w:tcPr>
            <w:tcW w:w="425" w:type="dxa"/>
            <w:vMerge/>
            <w:tcBorders>
              <w:top w:val="single" w:sz="4" w:space="0" w:color="000000" w:themeColor="text1"/>
              <w:left w:val="single" w:sz="4" w:space="0" w:color="FFFFFF" w:themeColor="background1"/>
              <w:bottom w:val="single" w:sz="4" w:space="0" w:color="000000" w:themeColor="text1"/>
              <w:right w:val="nil"/>
            </w:tcBorders>
            <w:vAlign w:val="center"/>
            <w:hideMark/>
          </w:tcPr>
          <w:p w:rsidR="00DB3F75" w:rsidRPr="00A21B5C" w:rsidRDefault="00DB3F75" w:rsidP="00A21B5C">
            <w:pPr>
              <w:contextualSpacing/>
              <w:rPr>
                <w:rFonts w:ascii="Arial" w:eastAsia="Times New Roman" w:hAnsi="Arial" w:cs="Arial"/>
                <w:b/>
                <w:color w:val="000000"/>
                <w:sz w:val="22"/>
                <w:szCs w:val="22"/>
                <w:lang w:val="es-CO" w:eastAsia="es-CO"/>
              </w:rPr>
            </w:pPr>
          </w:p>
        </w:tc>
        <w:tc>
          <w:tcPr>
            <w:tcW w:w="1559" w:type="dxa"/>
            <w:tcBorders>
              <w:top w:val="single" w:sz="4" w:space="0" w:color="FFFFFF" w:themeColor="background1"/>
              <w:left w:val="nil"/>
              <w:bottom w:val="single" w:sz="4" w:space="0" w:color="000000" w:themeColor="text1"/>
              <w:right w:val="single" w:sz="4" w:space="0" w:color="FFFFFF" w:themeColor="background1"/>
            </w:tcBorders>
            <w:shd w:val="clear" w:color="auto" w:fill="FFFFFF" w:themeFill="background1"/>
            <w:noWrap/>
            <w:vAlign w:val="center"/>
            <w:hideMark/>
          </w:tcPr>
          <w:p w:rsidR="00DB3F75" w:rsidRPr="00A21B5C" w:rsidRDefault="00DB3F75" w:rsidP="00A21B5C">
            <w:pPr>
              <w:contextualSpacing/>
              <w:jc w:val="right"/>
              <w:rPr>
                <w:rFonts w:ascii="Arial" w:eastAsia="Times New Roman" w:hAnsi="Arial" w:cs="Arial"/>
                <w:b/>
                <w:color w:val="FF0000"/>
                <w:sz w:val="22"/>
                <w:szCs w:val="22"/>
                <w:lang w:val="es-CO" w:eastAsia="es-CO"/>
              </w:rPr>
            </w:pPr>
            <w:r w:rsidRPr="00A21B5C">
              <w:rPr>
                <w:rFonts w:ascii="Arial" w:hAnsi="Arial" w:cs="Arial"/>
                <w:color w:val="C00000"/>
                <w:sz w:val="18"/>
                <w:szCs w:val="22"/>
                <w:lang w:val="es-CO"/>
              </w:rPr>
              <w:t>$638.916.858</w:t>
            </w:r>
          </w:p>
        </w:tc>
        <w:tc>
          <w:tcPr>
            <w:tcW w:w="425" w:type="dxa"/>
            <w:vMerge/>
            <w:tcBorders>
              <w:top w:val="single" w:sz="4" w:space="0" w:color="000000" w:themeColor="text1"/>
              <w:left w:val="single" w:sz="4" w:space="0" w:color="FFFFFF" w:themeColor="background1"/>
              <w:bottom w:val="single" w:sz="4" w:space="0" w:color="000000" w:themeColor="text1"/>
              <w:right w:val="nil"/>
            </w:tcBorders>
            <w:vAlign w:val="center"/>
            <w:hideMark/>
          </w:tcPr>
          <w:p w:rsidR="00DB3F75" w:rsidRPr="00A21B5C" w:rsidRDefault="00DB3F75" w:rsidP="00A21B5C">
            <w:pPr>
              <w:contextualSpacing/>
              <w:rPr>
                <w:rFonts w:ascii="Arial" w:eastAsia="Times New Roman" w:hAnsi="Arial" w:cs="Arial"/>
                <w:b/>
                <w:color w:val="000000"/>
                <w:sz w:val="22"/>
                <w:szCs w:val="22"/>
                <w:lang w:val="es-CO" w:eastAsia="es-CO"/>
              </w:rPr>
            </w:pPr>
          </w:p>
        </w:tc>
        <w:tc>
          <w:tcPr>
            <w:tcW w:w="1560" w:type="dxa"/>
            <w:tcBorders>
              <w:top w:val="single" w:sz="4" w:space="0" w:color="FFFFFF" w:themeColor="background1"/>
              <w:left w:val="nil"/>
              <w:bottom w:val="single" w:sz="4" w:space="0" w:color="000000" w:themeColor="text1"/>
              <w:right w:val="single" w:sz="4" w:space="0" w:color="FFFFFF" w:themeColor="background1"/>
            </w:tcBorders>
            <w:shd w:val="clear" w:color="auto" w:fill="FFFFFF" w:themeFill="background1"/>
            <w:noWrap/>
            <w:vAlign w:val="center"/>
            <w:hideMark/>
          </w:tcPr>
          <w:p w:rsidR="00DB3F75" w:rsidRPr="00A21B5C" w:rsidRDefault="00DB3F75" w:rsidP="00A21B5C">
            <w:pPr>
              <w:contextualSpacing/>
              <w:jc w:val="right"/>
              <w:rPr>
                <w:rFonts w:ascii="Arial" w:eastAsia="Times New Roman" w:hAnsi="Arial" w:cs="Arial"/>
                <w:b/>
                <w:color w:val="000000"/>
                <w:sz w:val="22"/>
                <w:szCs w:val="22"/>
                <w:lang w:val="es-CO" w:eastAsia="es-CO"/>
              </w:rPr>
            </w:pPr>
            <w:r w:rsidRPr="00A21B5C">
              <w:rPr>
                <w:rFonts w:ascii="Arial" w:eastAsia="Times New Roman" w:hAnsi="Arial" w:cs="Arial"/>
                <w:color w:val="595959" w:themeColor="text1" w:themeTint="A6"/>
                <w:sz w:val="18"/>
                <w:szCs w:val="22"/>
                <w:lang w:val="es-CO" w:eastAsia="es-CO"/>
              </w:rPr>
              <w:t>$0</w:t>
            </w:r>
          </w:p>
        </w:tc>
        <w:tc>
          <w:tcPr>
            <w:tcW w:w="425" w:type="dxa"/>
            <w:tcBorders>
              <w:top w:val="single" w:sz="4" w:space="0" w:color="FFFFFF" w:themeColor="background1"/>
              <w:left w:val="single" w:sz="4" w:space="0" w:color="FFFFFF" w:themeColor="background1"/>
              <w:bottom w:val="single" w:sz="4" w:space="0" w:color="000000" w:themeColor="text1"/>
              <w:right w:val="nil"/>
            </w:tcBorders>
            <w:shd w:val="clear" w:color="auto" w:fill="FFFFFF" w:themeFill="background1"/>
            <w:vAlign w:val="center"/>
          </w:tcPr>
          <w:p w:rsidR="00DB3F75" w:rsidRPr="00A21B5C" w:rsidRDefault="00DB3F75" w:rsidP="00A21B5C">
            <w:pPr>
              <w:contextualSpacing/>
              <w:jc w:val="center"/>
              <w:rPr>
                <w:rFonts w:ascii="Arial" w:eastAsia="Times New Roman" w:hAnsi="Arial" w:cs="Arial"/>
                <w:b/>
                <w:color w:val="000000"/>
                <w:sz w:val="22"/>
                <w:szCs w:val="22"/>
                <w:lang w:val="es-CO" w:eastAsia="es-CO"/>
              </w:rPr>
            </w:pPr>
          </w:p>
        </w:tc>
        <w:tc>
          <w:tcPr>
            <w:tcW w:w="1559" w:type="dxa"/>
            <w:tcBorders>
              <w:top w:val="single" w:sz="4" w:space="0" w:color="FFFFFF" w:themeColor="background1"/>
              <w:left w:val="single" w:sz="4" w:space="0" w:color="FFFFFF" w:themeColor="background1"/>
              <w:bottom w:val="single" w:sz="4" w:space="0" w:color="000000" w:themeColor="text1"/>
              <w:right w:val="nil"/>
            </w:tcBorders>
            <w:shd w:val="clear" w:color="auto" w:fill="FFFFFF" w:themeFill="background1"/>
          </w:tcPr>
          <w:p w:rsidR="00DB3F75" w:rsidRPr="00A21B5C" w:rsidRDefault="00EF7041" w:rsidP="00A21B5C">
            <w:pPr>
              <w:contextualSpacing/>
              <w:jc w:val="right"/>
              <w:rPr>
                <w:rFonts w:ascii="Arial" w:eastAsia="Times New Roman" w:hAnsi="Arial" w:cs="Arial"/>
                <w:b/>
                <w:color w:val="000000"/>
                <w:sz w:val="22"/>
                <w:szCs w:val="22"/>
                <w:lang w:val="es-CO" w:eastAsia="es-CO"/>
              </w:rPr>
            </w:pPr>
            <w:r w:rsidRPr="00A21B5C">
              <w:rPr>
                <w:rFonts w:ascii="Arial" w:eastAsia="Times New Roman" w:hAnsi="Arial" w:cs="Arial"/>
                <w:color w:val="000000"/>
                <w:sz w:val="22"/>
                <w:szCs w:val="22"/>
                <w:lang w:val="es-CO" w:eastAsia="es-CO"/>
              </w:rPr>
              <w:t>-</w:t>
            </w:r>
          </w:p>
        </w:tc>
        <w:tc>
          <w:tcPr>
            <w:tcW w:w="425" w:type="dxa"/>
            <w:tcBorders>
              <w:top w:val="single" w:sz="4" w:space="0" w:color="FFFFFF" w:themeColor="background1"/>
              <w:left w:val="single" w:sz="4" w:space="0" w:color="FFFFFF" w:themeColor="background1"/>
              <w:bottom w:val="single" w:sz="4" w:space="0" w:color="000000" w:themeColor="text1"/>
              <w:right w:val="nil"/>
            </w:tcBorders>
            <w:shd w:val="clear" w:color="auto" w:fill="FFFFFF" w:themeFill="background1"/>
          </w:tcPr>
          <w:p w:rsidR="00DB3F75" w:rsidRPr="00A21B5C" w:rsidRDefault="00DB3F75" w:rsidP="00A21B5C">
            <w:pPr>
              <w:contextualSpacing/>
              <w:jc w:val="center"/>
              <w:rPr>
                <w:rFonts w:ascii="Arial" w:eastAsia="Times New Roman" w:hAnsi="Arial" w:cs="Arial"/>
                <w:b/>
                <w:color w:val="000000"/>
                <w:sz w:val="22"/>
                <w:szCs w:val="22"/>
                <w:lang w:val="es-CO" w:eastAsia="es-CO"/>
              </w:rPr>
            </w:pPr>
          </w:p>
        </w:tc>
      </w:tr>
    </w:tbl>
    <w:p w:rsidR="008A7EAC" w:rsidRPr="00A21B5C" w:rsidRDefault="008A7EAC" w:rsidP="00A21B5C">
      <w:pPr>
        <w:contextualSpacing/>
        <w:rPr>
          <w:rFonts w:ascii="Arial" w:eastAsia="Calibri" w:hAnsi="Arial" w:cs="Arial"/>
          <w:sz w:val="22"/>
          <w:szCs w:val="22"/>
          <w:lang w:val="es-CO" w:eastAsia="en-US"/>
        </w:rPr>
      </w:pPr>
    </w:p>
    <w:p w:rsidR="008C2E4A" w:rsidRPr="00A21B5C" w:rsidRDefault="008C2E4A" w:rsidP="00A21B5C">
      <w:pPr>
        <w:contextualSpacing/>
        <w:rPr>
          <w:rFonts w:ascii="Arial" w:eastAsia="Calibri" w:hAnsi="Arial" w:cs="Arial"/>
          <w:b/>
          <w:sz w:val="22"/>
          <w:szCs w:val="22"/>
          <w:lang w:val="es-CO" w:eastAsia="en-US"/>
        </w:rPr>
      </w:pPr>
      <w:r w:rsidRPr="00A21B5C">
        <w:rPr>
          <w:rFonts w:ascii="Arial" w:eastAsia="Calibri" w:hAnsi="Arial" w:cs="Arial"/>
          <w:b/>
          <w:sz w:val="22"/>
          <w:szCs w:val="22"/>
          <w:lang w:val="es-CO" w:eastAsia="en-US"/>
        </w:rPr>
        <w:t>Vigencia 2016:</w:t>
      </w:r>
    </w:p>
    <w:p w:rsidR="001D3120" w:rsidRPr="00A21B5C" w:rsidRDefault="001D3120" w:rsidP="00A21B5C">
      <w:pPr>
        <w:contextualSpacing/>
        <w:rPr>
          <w:rFonts w:ascii="Arial" w:eastAsia="Calibri" w:hAnsi="Arial" w:cs="Arial"/>
          <w:b/>
          <w:sz w:val="22"/>
          <w:szCs w:val="22"/>
          <w:lang w:val="es-CO" w:eastAsia="en-US"/>
        </w:rPr>
      </w:pPr>
    </w:p>
    <w:p w:rsidR="00572D72" w:rsidRPr="00A21B5C" w:rsidRDefault="00E5390F">
      <w:pPr>
        <w:pStyle w:val="Prrafodelista"/>
        <w:numPr>
          <w:ilvl w:val="0"/>
          <w:numId w:val="2"/>
        </w:numPr>
        <w:jc w:val="both"/>
        <w:rPr>
          <w:rFonts w:ascii="Arial" w:eastAsia="Times New Roman" w:hAnsi="Arial" w:cs="Arial"/>
          <w:i/>
          <w:iCs/>
          <w:color w:val="FF0000"/>
          <w:sz w:val="22"/>
          <w:szCs w:val="22"/>
          <w:lang w:val="es-CO" w:eastAsia="en-US"/>
        </w:rPr>
      </w:pPr>
      <w:r w:rsidRPr="00A21B5C">
        <w:rPr>
          <w:rFonts w:ascii="Arial" w:eastAsia="Times New Roman" w:hAnsi="Arial" w:cs="Arial"/>
          <w:color w:val="000000"/>
          <w:sz w:val="22"/>
          <w:szCs w:val="22"/>
          <w:lang w:val="es-CO" w:eastAsia="en-US"/>
        </w:rPr>
        <w:t xml:space="preserve">Llama la atención que </w:t>
      </w:r>
      <w:r w:rsidR="00EE35E8" w:rsidRPr="00A21B5C">
        <w:rPr>
          <w:rFonts w:ascii="Arial" w:eastAsia="Times New Roman" w:hAnsi="Arial" w:cs="Arial"/>
          <w:color w:val="000000"/>
          <w:sz w:val="22"/>
          <w:szCs w:val="22"/>
          <w:lang w:val="es-CO" w:eastAsia="en-US"/>
        </w:rPr>
        <w:t xml:space="preserve">el valor registrado por la </w:t>
      </w:r>
      <w:r w:rsidR="005B4BEB" w:rsidRPr="00A21B5C">
        <w:rPr>
          <w:rFonts w:ascii="Arial" w:eastAsia="Times New Roman" w:hAnsi="Arial" w:cs="Arial"/>
          <w:color w:val="000000"/>
          <w:sz w:val="22"/>
          <w:szCs w:val="22"/>
          <w:lang w:val="es-CO" w:eastAsia="en-US"/>
        </w:rPr>
        <w:t>E</w:t>
      </w:r>
      <w:r w:rsidR="00EE35E8" w:rsidRPr="00A21B5C">
        <w:rPr>
          <w:rFonts w:ascii="Arial" w:eastAsia="Times New Roman" w:hAnsi="Arial" w:cs="Arial"/>
          <w:color w:val="000000"/>
          <w:sz w:val="22"/>
          <w:szCs w:val="22"/>
          <w:lang w:val="es-CO" w:eastAsia="en-US"/>
        </w:rPr>
        <w:t xml:space="preserve">ntidad </w:t>
      </w:r>
      <w:r w:rsidR="005649C4" w:rsidRPr="00A21B5C">
        <w:rPr>
          <w:rFonts w:ascii="Arial" w:eastAsia="Times New Roman" w:hAnsi="Arial" w:cs="Arial"/>
          <w:color w:val="000000"/>
          <w:sz w:val="22"/>
          <w:szCs w:val="22"/>
          <w:lang w:val="es-CO" w:eastAsia="en-US"/>
        </w:rPr>
        <w:t xml:space="preserve">en la </w:t>
      </w:r>
      <w:r w:rsidR="005649C4" w:rsidRPr="00A21B5C">
        <w:rPr>
          <w:rFonts w:ascii="Arial" w:hAnsi="Arial" w:cs="Arial"/>
          <w:sz w:val="22"/>
          <w:szCs w:val="22"/>
          <w:lang w:val="es-CO"/>
        </w:rPr>
        <w:t>“</w:t>
      </w:r>
      <w:r w:rsidR="005649C4" w:rsidRPr="00A21B5C">
        <w:rPr>
          <w:rFonts w:ascii="Arial" w:eastAsia="Calibri" w:hAnsi="Arial" w:cs="Arial"/>
          <w:i/>
          <w:sz w:val="22"/>
          <w:szCs w:val="22"/>
          <w:lang w:val="es-CO" w:eastAsia="en-US"/>
        </w:rPr>
        <w:t>Ejecución Presupuestal de Gastos 201</w:t>
      </w:r>
      <w:r w:rsidR="00A064B6" w:rsidRPr="00A21B5C">
        <w:rPr>
          <w:rFonts w:ascii="Arial" w:eastAsia="Calibri" w:hAnsi="Arial" w:cs="Arial"/>
          <w:i/>
          <w:sz w:val="22"/>
          <w:szCs w:val="22"/>
          <w:lang w:val="es-CO" w:eastAsia="en-US"/>
        </w:rPr>
        <w:t>6</w:t>
      </w:r>
      <w:r w:rsidR="005649C4" w:rsidRPr="00A21B5C">
        <w:rPr>
          <w:rFonts w:ascii="Arial" w:eastAsia="Calibri" w:hAnsi="Arial" w:cs="Arial"/>
          <w:i/>
          <w:sz w:val="22"/>
          <w:szCs w:val="22"/>
          <w:lang w:val="es-CO" w:eastAsia="en-US"/>
        </w:rPr>
        <w:t>”</w:t>
      </w:r>
      <w:r w:rsidR="005649C4" w:rsidRPr="00A21B5C">
        <w:rPr>
          <w:rFonts w:ascii="Arial" w:eastAsia="Calibri" w:hAnsi="Arial" w:cs="Arial"/>
          <w:sz w:val="22"/>
          <w:szCs w:val="22"/>
          <w:lang w:val="es-CO" w:eastAsia="en-US"/>
        </w:rPr>
        <w:t xml:space="preserve"> </w:t>
      </w:r>
      <w:r w:rsidR="005649C4" w:rsidRPr="00A21B5C">
        <w:rPr>
          <w:rFonts w:ascii="Arial" w:eastAsia="Times New Roman" w:hAnsi="Arial" w:cs="Arial"/>
          <w:color w:val="000000"/>
          <w:sz w:val="22"/>
          <w:szCs w:val="22"/>
          <w:lang w:val="es-CO" w:eastAsia="en-US"/>
        </w:rPr>
        <w:t xml:space="preserve">por concepto de </w:t>
      </w:r>
      <w:r w:rsidR="00EE35E8" w:rsidRPr="00A21B5C">
        <w:rPr>
          <w:rFonts w:ascii="Arial" w:eastAsia="Times New Roman" w:hAnsi="Arial" w:cs="Arial"/>
          <w:color w:val="000000"/>
          <w:sz w:val="22"/>
          <w:szCs w:val="22"/>
          <w:lang w:val="es-CO" w:eastAsia="en-US"/>
        </w:rPr>
        <w:t xml:space="preserve">obligaciones es menor que </w:t>
      </w:r>
      <w:r w:rsidR="005649C4" w:rsidRPr="00A21B5C">
        <w:rPr>
          <w:rFonts w:ascii="Arial" w:eastAsia="Times New Roman" w:hAnsi="Arial" w:cs="Arial"/>
          <w:color w:val="000000"/>
          <w:sz w:val="22"/>
          <w:szCs w:val="22"/>
          <w:lang w:val="es-CO" w:eastAsia="en-US"/>
        </w:rPr>
        <w:t xml:space="preserve">el valor </w:t>
      </w:r>
      <w:r w:rsidR="005649C4" w:rsidRPr="00A21B5C">
        <w:rPr>
          <w:rFonts w:ascii="Arial" w:eastAsia="Times New Roman" w:hAnsi="Arial" w:cs="Arial"/>
          <w:color w:val="000000"/>
          <w:sz w:val="22"/>
          <w:szCs w:val="22"/>
          <w:lang w:val="es-CO" w:eastAsia="en-US"/>
        </w:rPr>
        <w:lastRenderedPageBreak/>
        <w:t>registrado por concepto de pagos</w:t>
      </w:r>
      <w:r w:rsidR="00FA7782" w:rsidRPr="00A21B5C">
        <w:rPr>
          <w:rFonts w:ascii="Arial" w:eastAsia="Times New Roman" w:hAnsi="Arial" w:cs="Arial"/>
          <w:color w:val="000000"/>
          <w:sz w:val="22"/>
          <w:szCs w:val="22"/>
          <w:lang w:val="es-CO" w:eastAsia="en-US"/>
        </w:rPr>
        <w:t>;</w:t>
      </w:r>
      <w:r w:rsidR="00AF0A50" w:rsidRPr="00A21B5C">
        <w:rPr>
          <w:rFonts w:ascii="Arial" w:eastAsia="Times New Roman" w:hAnsi="Arial" w:cs="Arial"/>
          <w:color w:val="000000"/>
          <w:sz w:val="22"/>
          <w:szCs w:val="22"/>
          <w:lang w:val="es-CO" w:eastAsia="en-US"/>
        </w:rPr>
        <w:t xml:space="preserve"> analizando las diferentes partidas de la ejecución presupuestal es posible concluir que el</w:t>
      </w:r>
      <w:r w:rsidR="00746926" w:rsidRPr="00A21B5C">
        <w:rPr>
          <w:rFonts w:ascii="Arial" w:eastAsia="Times New Roman" w:hAnsi="Arial" w:cs="Arial"/>
          <w:color w:val="000000"/>
          <w:sz w:val="22"/>
          <w:szCs w:val="22"/>
          <w:lang w:val="es-CO" w:eastAsia="en-US"/>
        </w:rPr>
        <w:t xml:space="preserve"> rubro de </w:t>
      </w:r>
      <w:r w:rsidR="00746926" w:rsidRPr="00A21B5C">
        <w:rPr>
          <w:rFonts w:ascii="Arial" w:eastAsia="Times New Roman" w:hAnsi="Arial" w:cs="Arial"/>
          <w:bCs/>
          <w:color w:val="000000"/>
          <w:sz w:val="22"/>
          <w:szCs w:val="22"/>
          <w:lang w:val="es-CO" w:eastAsia="en-US"/>
        </w:rPr>
        <w:t>obligaciones</w:t>
      </w:r>
      <w:r w:rsidR="00746926" w:rsidRPr="00A21B5C">
        <w:rPr>
          <w:rFonts w:ascii="Arial" w:eastAsia="Times New Roman" w:hAnsi="Arial" w:cs="Arial"/>
          <w:color w:val="000000"/>
          <w:sz w:val="22"/>
          <w:szCs w:val="22"/>
          <w:lang w:val="es-CO" w:eastAsia="en-US"/>
        </w:rPr>
        <w:t xml:space="preserve"> que maneja la </w:t>
      </w:r>
      <w:r w:rsidR="004B3503" w:rsidRPr="00A21B5C">
        <w:rPr>
          <w:rFonts w:ascii="Arial" w:eastAsia="Times New Roman" w:hAnsi="Arial" w:cs="Arial"/>
          <w:color w:val="000000"/>
          <w:sz w:val="22"/>
          <w:szCs w:val="22"/>
          <w:lang w:val="es-CO" w:eastAsia="en-US"/>
        </w:rPr>
        <w:t>E</w:t>
      </w:r>
      <w:r w:rsidR="00746926" w:rsidRPr="00A21B5C">
        <w:rPr>
          <w:rFonts w:ascii="Arial" w:eastAsia="Times New Roman" w:hAnsi="Arial" w:cs="Arial"/>
          <w:color w:val="000000"/>
          <w:sz w:val="22"/>
          <w:szCs w:val="22"/>
          <w:lang w:val="es-CO" w:eastAsia="en-US"/>
        </w:rPr>
        <w:t>ntidad</w:t>
      </w:r>
      <w:r w:rsidR="004B3503" w:rsidRPr="00A21B5C">
        <w:rPr>
          <w:rFonts w:ascii="Arial" w:eastAsia="Times New Roman" w:hAnsi="Arial" w:cs="Arial"/>
          <w:color w:val="000000"/>
          <w:sz w:val="22"/>
          <w:szCs w:val="22"/>
          <w:lang w:val="es-CO" w:eastAsia="en-US"/>
        </w:rPr>
        <w:t xml:space="preserve"> Territorial</w:t>
      </w:r>
      <w:r w:rsidR="006155A4" w:rsidRPr="00A21B5C">
        <w:rPr>
          <w:rFonts w:ascii="Arial" w:eastAsia="Times New Roman" w:hAnsi="Arial" w:cs="Arial"/>
          <w:color w:val="000000"/>
          <w:sz w:val="22"/>
          <w:szCs w:val="22"/>
          <w:lang w:val="es-CO" w:eastAsia="en-US"/>
        </w:rPr>
        <w:t xml:space="preserve"> </w:t>
      </w:r>
      <w:r w:rsidR="00757210" w:rsidRPr="00A21B5C">
        <w:rPr>
          <w:rFonts w:ascii="Arial" w:eastAsia="Times New Roman" w:hAnsi="Arial" w:cs="Arial"/>
          <w:color w:val="000000"/>
          <w:sz w:val="22"/>
          <w:szCs w:val="22"/>
          <w:lang w:val="es-CO" w:eastAsia="en-US"/>
        </w:rPr>
        <w:t xml:space="preserve">está determinado por la </w:t>
      </w:r>
      <w:r w:rsidR="00322578" w:rsidRPr="00A21B5C">
        <w:rPr>
          <w:rFonts w:ascii="Arial" w:eastAsia="Times New Roman" w:hAnsi="Arial" w:cs="Arial"/>
          <w:color w:val="000000"/>
          <w:sz w:val="22"/>
          <w:szCs w:val="22"/>
          <w:lang w:val="es-CO" w:eastAsia="en-US"/>
        </w:rPr>
        <w:t xml:space="preserve">diferencia entre </w:t>
      </w:r>
      <w:r w:rsidR="00A11DAB" w:rsidRPr="00A21B5C">
        <w:rPr>
          <w:rFonts w:ascii="Arial" w:eastAsia="Times New Roman" w:hAnsi="Arial" w:cs="Arial"/>
          <w:color w:val="000000"/>
          <w:sz w:val="22"/>
          <w:szCs w:val="22"/>
          <w:lang w:val="es-CO" w:eastAsia="en-US"/>
        </w:rPr>
        <w:t>los</w:t>
      </w:r>
      <w:r w:rsidR="00322578" w:rsidRPr="00A21B5C">
        <w:rPr>
          <w:rFonts w:ascii="Arial" w:eastAsia="Times New Roman" w:hAnsi="Arial" w:cs="Arial"/>
          <w:color w:val="000000"/>
          <w:sz w:val="22"/>
          <w:szCs w:val="22"/>
          <w:lang w:val="es-CO" w:eastAsia="en-US"/>
        </w:rPr>
        <w:t xml:space="preserve"> compromisos y </w:t>
      </w:r>
      <w:r w:rsidR="00A11DAB" w:rsidRPr="00A21B5C">
        <w:rPr>
          <w:rFonts w:ascii="Arial" w:eastAsia="Times New Roman" w:hAnsi="Arial" w:cs="Arial"/>
          <w:color w:val="000000"/>
          <w:sz w:val="22"/>
          <w:szCs w:val="22"/>
          <w:lang w:val="es-CO" w:eastAsia="en-US"/>
        </w:rPr>
        <w:t xml:space="preserve">los </w:t>
      </w:r>
      <w:r w:rsidR="00322578" w:rsidRPr="00A21B5C">
        <w:rPr>
          <w:rFonts w:ascii="Arial" w:eastAsia="Times New Roman" w:hAnsi="Arial" w:cs="Arial"/>
          <w:color w:val="000000"/>
          <w:sz w:val="22"/>
          <w:szCs w:val="22"/>
          <w:lang w:val="es-CO" w:eastAsia="en-US"/>
        </w:rPr>
        <w:t>pagos</w:t>
      </w:r>
      <w:r w:rsidR="00B4402F" w:rsidRPr="00A21B5C">
        <w:rPr>
          <w:rFonts w:ascii="Arial" w:eastAsia="Times New Roman" w:hAnsi="Arial" w:cs="Arial"/>
          <w:color w:val="000000"/>
          <w:sz w:val="22"/>
          <w:szCs w:val="22"/>
          <w:lang w:val="es-CO" w:eastAsia="en-US"/>
        </w:rPr>
        <w:t>.</w:t>
      </w:r>
      <w:r w:rsidR="00AE4678" w:rsidRPr="00A21B5C">
        <w:rPr>
          <w:rFonts w:ascii="Arial" w:eastAsia="Times New Roman" w:hAnsi="Arial" w:cs="Arial"/>
          <w:color w:val="000000"/>
          <w:sz w:val="22"/>
          <w:szCs w:val="22"/>
          <w:lang w:val="es-CO" w:eastAsia="en-US"/>
        </w:rPr>
        <w:t xml:space="preserve"> Este manejo de las obligaciones refleja que la Entidad Territorial no realizó un manejo claro y separado de los momentos presupuestales para la afectación de los recursos</w:t>
      </w:r>
      <w:r w:rsidR="001E7C61" w:rsidRPr="00A21B5C">
        <w:rPr>
          <w:rFonts w:ascii="Arial" w:eastAsia="Times New Roman" w:hAnsi="Arial" w:cs="Arial"/>
          <w:color w:val="000000"/>
          <w:sz w:val="22"/>
          <w:szCs w:val="22"/>
          <w:lang w:val="es-CO" w:eastAsia="en-US"/>
        </w:rPr>
        <w:t>.</w:t>
      </w:r>
    </w:p>
    <w:p w:rsidR="00572D72" w:rsidRPr="00A21B5C" w:rsidRDefault="00572D72">
      <w:pPr>
        <w:pStyle w:val="Prrafodelista"/>
        <w:jc w:val="both"/>
        <w:rPr>
          <w:rFonts w:ascii="Arial" w:eastAsia="Times New Roman" w:hAnsi="Arial" w:cs="Arial"/>
          <w:color w:val="000000"/>
          <w:sz w:val="22"/>
          <w:szCs w:val="22"/>
          <w:lang w:val="es-CO" w:eastAsia="en-US"/>
        </w:rPr>
      </w:pPr>
    </w:p>
    <w:p w:rsidR="00AF0673" w:rsidRPr="00A21B5C" w:rsidRDefault="00125C5F">
      <w:pPr>
        <w:pStyle w:val="Prrafodelista"/>
        <w:jc w:val="both"/>
        <w:rPr>
          <w:rFonts w:ascii="Arial" w:eastAsia="Times New Roman" w:hAnsi="Arial" w:cs="Arial"/>
          <w:color w:val="000000"/>
          <w:sz w:val="22"/>
          <w:szCs w:val="22"/>
          <w:lang w:val="es-CO" w:eastAsia="en-US"/>
        </w:rPr>
      </w:pPr>
      <w:r w:rsidRPr="00A21B5C">
        <w:rPr>
          <w:rFonts w:ascii="Arial" w:eastAsia="Times New Roman" w:hAnsi="Arial" w:cs="Arial"/>
          <w:color w:val="000000"/>
          <w:sz w:val="22"/>
          <w:szCs w:val="22"/>
          <w:lang w:val="es-CO" w:eastAsia="en-US"/>
        </w:rPr>
        <w:t xml:space="preserve">Ahora bien, </w:t>
      </w:r>
      <w:r w:rsidR="00DD6053" w:rsidRPr="00A21B5C">
        <w:rPr>
          <w:rFonts w:ascii="Arial" w:eastAsia="Times New Roman" w:hAnsi="Arial" w:cs="Arial"/>
          <w:color w:val="000000"/>
          <w:sz w:val="22"/>
          <w:szCs w:val="22"/>
          <w:lang w:val="es-CO" w:eastAsia="en-US"/>
        </w:rPr>
        <w:t>cabe mencionar que</w:t>
      </w:r>
      <w:r w:rsidR="005A2107" w:rsidRPr="00A21B5C">
        <w:rPr>
          <w:rFonts w:ascii="Arial" w:eastAsia="Times New Roman" w:hAnsi="Arial" w:cs="Arial"/>
          <w:color w:val="000000"/>
          <w:sz w:val="22"/>
          <w:szCs w:val="22"/>
          <w:lang w:val="es-CO" w:eastAsia="en-US"/>
        </w:rPr>
        <w:t xml:space="preserve"> </w:t>
      </w:r>
      <w:r w:rsidR="006F32A2" w:rsidRPr="00A21B5C">
        <w:rPr>
          <w:rFonts w:ascii="Arial" w:eastAsia="Times New Roman" w:hAnsi="Arial" w:cs="Arial"/>
          <w:color w:val="000000"/>
          <w:sz w:val="22"/>
          <w:szCs w:val="22"/>
          <w:lang w:val="es-CO" w:eastAsia="en-US"/>
        </w:rPr>
        <w:t xml:space="preserve">para esta vigencia </w:t>
      </w:r>
      <w:r w:rsidR="005A2107" w:rsidRPr="00A21B5C">
        <w:rPr>
          <w:rFonts w:ascii="Arial" w:eastAsia="Times New Roman" w:hAnsi="Arial" w:cs="Arial"/>
          <w:color w:val="000000"/>
          <w:sz w:val="22"/>
          <w:szCs w:val="22"/>
          <w:lang w:val="es-CO" w:eastAsia="en-US"/>
        </w:rPr>
        <w:t xml:space="preserve">el </w:t>
      </w:r>
      <w:r w:rsidR="00DD00F3" w:rsidRPr="00A21B5C">
        <w:rPr>
          <w:rFonts w:ascii="Arial" w:eastAsia="Times New Roman" w:hAnsi="Arial" w:cs="Arial"/>
          <w:color w:val="000000"/>
          <w:sz w:val="22"/>
          <w:szCs w:val="22"/>
          <w:lang w:val="es-CO" w:eastAsia="en-US"/>
        </w:rPr>
        <w:t xml:space="preserve">valor que figura </w:t>
      </w:r>
      <w:r w:rsidR="007A56D4" w:rsidRPr="00A21B5C">
        <w:rPr>
          <w:rFonts w:ascii="Arial" w:eastAsia="Times New Roman" w:hAnsi="Arial" w:cs="Arial"/>
          <w:color w:val="000000"/>
          <w:sz w:val="22"/>
          <w:szCs w:val="22"/>
          <w:lang w:val="es-CO" w:eastAsia="en-US"/>
        </w:rPr>
        <w:t xml:space="preserve">como obligaciones </w:t>
      </w:r>
      <w:r w:rsidR="00DD6053" w:rsidRPr="00A21B5C">
        <w:rPr>
          <w:rFonts w:ascii="Arial" w:eastAsia="Times New Roman" w:hAnsi="Arial" w:cs="Arial"/>
          <w:color w:val="000000"/>
          <w:sz w:val="22"/>
          <w:szCs w:val="22"/>
          <w:lang w:val="es-CO" w:eastAsia="en-US"/>
        </w:rPr>
        <w:t>coincide con</w:t>
      </w:r>
      <w:r w:rsidR="007A56D4" w:rsidRPr="00A21B5C">
        <w:rPr>
          <w:rFonts w:ascii="Arial" w:eastAsia="Times New Roman" w:hAnsi="Arial" w:cs="Arial"/>
          <w:color w:val="000000"/>
          <w:sz w:val="22"/>
          <w:szCs w:val="22"/>
          <w:lang w:val="es-CO" w:eastAsia="en-US"/>
        </w:rPr>
        <w:t xml:space="preserve"> el valor de</w:t>
      </w:r>
      <w:r w:rsidR="00D12FF6" w:rsidRPr="00A21B5C">
        <w:rPr>
          <w:rFonts w:ascii="Arial" w:eastAsia="Times New Roman" w:hAnsi="Arial" w:cs="Arial"/>
          <w:color w:val="000000"/>
          <w:sz w:val="22"/>
          <w:szCs w:val="22"/>
          <w:lang w:val="es-CO" w:eastAsia="en-US"/>
        </w:rPr>
        <w:t xml:space="preserve"> </w:t>
      </w:r>
      <w:r w:rsidR="007A56D4" w:rsidRPr="00A21B5C">
        <w:rPr>
          <w:rFonts w:ascii="Arial" w:eastAsia="Times New Roman" w:hAnsi="Arial" w:cs="Arial"/>
          <w:color w:val="000000"/>
          <w:sz w:val="22"/>
          <w:szCs w:val="22"/>
          <w:lang w:val="es-CO" w:eastAsia="en-US"/>
        </w:rPr>
        <w:t>l</w:t>
      </w:r>
      <w:r w:rsidR="00D12FF6" w:rsidRPr="00A21B5C">
        <w:rPr>
          <w:rFonts w:ascii="Arial" w:eastAsia="Times New Roman" w:hAnsi="Arial" w:cs="Arial"/>
          <w:color w:val="000000"/>
          <w:sz w:val="22"/>
          <w:szCs w:val="22"/>
          <w:lang w:val="es-CO" w:eastAsia="en-US"/>
        </w:rPr>
        <w:t xml:space="preserve">as </w:t>
      </w:r>
      <w:r w:rsidR="00D239CE" w:rsidRPr="00A21B5C">
        <w:rPr>
          <w:rFonts w:ascii="Arial" w:eastAsia="Times New Roman" w:hAnsi="Arial" w:cs="Arial"/>
          <w:color w:val="000000"/>
          <w:sz w:val="22"/>
          <w:szCs w:val="22"/>
          <w:lang w:val="es-CO" w:eastAsia="en-US"/>
        </w:rPr>
        <w:t>r</w:t>
      </w:r>
      <w:r w:rsidR="00D12FF6" w:rsidRPr="00A21B5C">
        <w:rPr>
          <w:rFonts w:ascii="Arial" w:eastAsia="Times New Roman" w:hAnsi="Arial" w:cs="Arial"/>
          <w:color w:val="000000"/>
          <w:sz w:val="22"/>
          <w:szCs w:val="22"/>
          <w:lang w:val="es-CO" w:eastAsia="en-US"/>
        </w:rPr>
        <w:t xml:space="preserve">eservas </w:t>
      </w:r>
      <w:r w:rsidR="00D239CE" w:rsidRPr="00A21B5C">
        <w:rPr>
          <w:rFonts w:ascii="Arial" w:eastAsia="Times New Roman" w:hAnsi="Arial" w:cs="Arial"/>
          <w:color w:val="000000"/>
          <w:sz w:val="22"/>
          <w:szCs w:val="22"/>
          <w:lang w:val="es-CO" w:eastAsia="en-US"/>
        </w:rPr>
        <w:t>p</w:t>
      </w:r>
      <w:r w:rsidR="00D12FF6" w:rsidRPr="00A21B5C">
        <w:rPr>
          <w:rFonts w:ascii="Arial" w:eastAsia="Times New Roman" w:hAnsi="Arial" w:cs="Arial"/>
          <w:color w:val="000000"/>
          <w:sz w:val="22"/>
          <w:szCs w:val="22"/>
          <w:lang w:val="es-CO" w:eastAsia="en-US"/>
        </w:rPr>
        <w:t>resupuestales</w:t>
      </w:r>
      <w:r w:rsidR="005850C4" w:rsidRPr="00A21B5C">
        <w:rPr>
          <w:rFonts w:ascii="Arial" w:eastAsia="Times New Roman" w:hAnsi="Arial" w:cs="Arial"/>
          <w:color w:val="000000"/>
          <w:sz w:val="22"/>
          <w:szCs w:val="22"/>
          <w:lang w:val="es-CO" w:eastAsia="en-US"/>
        </w:rPr>
        <w:t xml:space="preserve">, </w:t>
      </w:r>
      <w:r w:rsidR="00D12FF6" w:rsidRPr="00A21B5C">
        <w:rPr>
          <w:rFonts w:ascii="Arial" w:eastAsia="Times New Roman" w:hAnsi="Arial" w:cs="Arial"/>
          <w:color w:val="000000"/>
          <w:sz w:val="22"/>
          <w:szCs w:val="22"/>
          <w:lang w:val="es-CO" w:eastAsia="en-US"/>
        </w:rPr>
        <w:t>de acuerdo con el</w:t>
      </w:r>
      <w:r w:rsidR="007A56D4" w:rsidRPr="00A21B5C">
        <w:rPr>
          <w:rFonts w:ascii="Arial" w:eastAsia="Times New Roman" w:hAnsi="Arial" w:cs="Arial"/>
          <w:color w:val="000000"/>
          <w:sz w:val="22"/>
          <w:szCs w:val="22"/>
          <w:lang w:val="es-CO" w:eastAsia="en-US"/>
        </w:rPr>
        <w:t xml:space="preserve"> Acto Administrativo de Constitución </w:t>
      </w:r>
      <w:r w:rsidR="00D12FF6" w:rsidRPr="00A21B5C">
        <w:rPr>
          <w:rFonts w:ascii="Arial" w:eastAsia="Times New Roman" w:hAnsi="Arial" w:cs="Arial"/>
          <w:color w:val="000000"/>
          <w:sz w:val="22"/>
          <w:szCs w:val="22"/>
          <w:lang w:val="es-CO" w:eastAsia="en-US"/>
        </w:rPr>
        <w:t xml:space="preserve">de </w:t>
      </w:r>
      <w:r w:rsidR="005B4BEB" w:rsidRPr="00A21B5C">
        <w:rPr>
          <w:rFonts w:ascii="Arial" w:eastAsia="Times New Roman" w:hAnsi="Arial" w:cs="Arial"/>
          <w:color w:val="000000"/>
          <w:sz w:val="22"/>
          <w:szCs w:val="22"/>
          <w:lang w:val="es-CO" w:eastAsia="en-US"/>
        </w:rPr>
        <w:t>Reservas y Cuentas por Pagar</w:t>
      </w:r>
      <w:r w:rsidR="00D12FF6" w:rsidRPr="00A21B5C">
        <w:rPr>
          <w:rFonts w:ascii="Arial" w:eastAsia="Times New Roman" w:hAnsi="Arial" w:cs="Arial"/>
          <w:color w:val="000000"/>
          <w:sz w:val="22"/>
          <w:szCs w:val="22"/>
          <w:lang w:val="es-CO" w:eastAsia="en-US"/>
        </w:rPr>
        <w:t xml:space="preserve">, lo que podría </w:t>
      </w:r>
      <w:r w:rsidR="00837725" w:rsidRPr="00A21B5C">
        <w:rPr>
          <w:rFonts w:ascii="Arial" w:eastAsia="Times New Roman" w:hAnsi="Arial" w:cs="Arial"/>
          <w:color w:val="000000"/>
          <w:sz w:val="22"/>
          <w:szCs w:val="22"/>
          <w:lang w:val="es-CO" w:eastAsia="en-US"/>
        </w:rPr>
        <w:t>indicar que el Municipio toma la diferencia entre compromisos y pago</w:t>
      </w:r>
      <w:r w:rsidR="00741EA4" w:rsidRPr="00A21B5C">
        <w:rPr>
          <w:rFonts w:ascii="Arial" w:eastAsia="Times New Roman" w:hAnsi="Arial" w:cs="Arial"/>
          <w:color w:val="000000"/>
          <w:sz w:val="22"/>
          <w:szCs w:val="22"/>
          <w:lang w:val="es-CO" w:eastAsia="en-US"/>
        </w:rPr>
        <w:t>s</w:t>
      </w:r>
      <w:r w:rsidR="00D239CE" w:rsidRPr="00A21B5C">
        <w:rPr>
          <w:rFonts w:ascii="Arial" w:eastAsia="Times New Roman" w:hAnsi="Arial" w:cs="Arial"/>
          <w:color w:val="000000"/>
          <w:sz w:val="22"/>
          <w:szCs w:val="22"/>
          <w:lang w:val="es-CO" w:eastAsia="en-US"/>
        </w:rPr>
        <w:t xml:space="preserve">, como reservas. </w:t>
      </w:r>
      <w:r w:rsidR="00DF4E78" w:rsidRPr="00A21B5C">
        <w:rPr>
          <w:rFonts w:ascii="Arial" w:eastAsia="Times New Roman" w:hAnsi="Arial" w:cs="Arial"/>
          <w:color w:val="000000"/>
          <w:sz w:val="22"/>
          <w:szCs w:val="22"/>
          <w:lang w:val="es-CO" w:eastAsia="en-US"/>
        </w:rPr>
        <w:t>No obstante</w:t>
      </w:r>
      <w:r w:rsidR="005655B2" w:rsidRPr="00A21B5C">
        <w:rPr>
          <w:rFonts w:ascii="Arial" w:eastAsia="Times New Roman" w:hAnsi="Arial" w:cs="Arial"/>
          <w:color w:val="000000"/>
          <w:sz w:val="22"/>
          <w:szCs w:val="22"/>
          <w:lang w:val="es-CO" w:eastAsia="en-US"/>
        </w:rPr>
        <w:t xml:space="preserve">, </w:t>
      </w:r>
      <w:r w:rsidR="00C35F86" w:rsidRPr="00A21B5C">
        <w:rPr>
          <w:rFonts w:ascii="Arial" w:eastAsia="Times New Roman" w:hAnsi="Arial" w:cs="Arial"/>
          <w:color w:val="000000"/>
          <w:sz w:val="22"/>
          <w:szCs w:val="22"/>
          <w:lang w:val="es-CO" w:eastAsia="en-US"/>
        </w:rPr>
        <w:t>de acuerdo con su definición</w:t>
      </w:r>
      <w:r w:rsidR="00C35F86" w:rsidRPr="00A21B5C">
        <w:rPr>
          <w:rStyle w:val="Refdenotaalpie"/>
          <w:rFonts w:ascii="Arial" w:eastAsia="Times New Roman" w:hAnsi="Arial" w:cs="Arial"/>
          <w:color w:val="000000"/>
          <w:sz w:val="22"/>
          <w:szCs w:val="22"/>
          <w:lang w:val="es-CO" w:eastAsia="en-US"/>
        </w:rPr>
        <w:footnoteReference w:id="9"/>
      </w:r>
      <w:r w:rsidR="00C35F86" w:rsidRPr="00A21B5C">
        <w:rPr>
          <w:rFonts w:ascii="Arial" w:eastAsia="Times New Roman" w:hAnsi="Arial" w:cs="Arial"/>
          <w:color w:val="000000"/>
          <w:sz w:val="22"/>
          <w:szCs w:val="22"/>
          <w:lang w:val="es-CO" w:eastAsia="en-US"/>
        </w:rPr>
        <w:t>,</w:t>
      </w:r>
      <w:r w:rsidR="00B90B7D" w:rsidRPr="00A21B5C">
        <w:rPr>
          <w:rFonts w:ascii="Arial" w:eastAsia="Times New Roman" w:hAnsi="Arial" w:cs="Arial"/>
          <w:color w:val="000000"/>
          <w:sz w:val="22"/>
          <w:szCs w:val="22"/>
          <w:lang w:val="es-CO" w:eastAsia="en-US"/>
        </w:rPr>
        <w:t xml:space="preserve"> </w:t>
      </w:r>
      <w:r w:rsidR="00C156FC" w:rsidRPr="00A21B5C">
        <w:rPr>
          <w:rFonts w:ascii="Arial" w:eastAsia="Times New Roman" w:hAnsi="Arial" w:cs="Arial"/>
          <w:color w:val="000000"/>
          <w:sz w:val="22"/>
          <w:szCs w:val="22"/>
          <w:lang w:val="es-CO" w:eastAsia="en-US"/>
        </w:rPr>
        <w:t xml:space="preserve">para </w:t>
      </w:r>
      <w:r w:rsidR="009768CC" w:rsidRPr="00A21B5C">
        <w:rPr>
          <w:rFonts w:ascii="Arial" w:eastAsia="Times New Roman" w:hAnsi="Arial" w:cs="Arial"/>
          <w:color w:val="000000"/>
          <w:sz w:val="22"/>
          <w:szCs w:val="22"/>
          <w:lang w:val="es-CO" w:eastAsia="en-US"/>
        </w:rPr>
        <w:t>la constitución</w:t>
      </w:r>
      <w:r w:rsidR="004B0D2F" w:rsidRPr="00A21B5C">
        <w:rPr>
          <w:rFonts w:ascii="Arial" w:eastAsia="Times New Roman" w:hAnsi="Arial" w:cs="Arial"/>
          <w:color w:val="000000"/>
          <w:sz w:val="22"/>
          <w:szCs w:val="22"/>
          <w:lang w:val="es-CO" w:eastAsia="en-US"/>
        </w:rPr>
        <w:t xml:space="preserve"> </w:t>
      </w:r>
      <w:r w:rsidR="009768CC" w:rsidRPr="00A21B5C">
        <w:rPr>
          <w:rFonts w:ascii="Arial" w:eastAsia="Times New Roman" w:hAnsi="Arial" w:cs="Arial"/>
          <w:color w:val="000000"/>
          <w:sz w:val="22"/>
          <w:szCs w:val="22"/>
          <w:lang w:val="es-CO" w:eastAsia="en-US"/>
        </w:rPr>
        <w:t>tanto de</w:t>
      </w:r>
      <w:r w:rsidR="00B90B7D" w:rsidRPr="00A21B5C">
        <w:rPr>
          <w:rFonts w:ascii="Arial" w:eastAsia="Times New Roman" w:hAnsi="Arial" w:cs="Arial"/>
          <w:color w:val="000000"/>
          <w:sz w:val="22"/>
          <w:szCs w:val="22"/>
          <w:lang w:val="es-CO" w:eastAsia="en-US"/>
        </w:rPr>
        <w:t xml:space="preserve"> las reservas presupuestales como</w:t>
      </w:r>
      <w:r w:rsidR="009768CC" w:rsidRPr="00A21B5C">
        <w:rPr>
          <w:rFonts w:ascii="Arial" w:eastAsia="Times New Roman" w:hAnsi="Arial" w:cs="Arial"/>
          <w:color w:val="000000"/>
          <w:sz w:val="22"/>
          <w:szCs w:val="22"/>
          <w:lang w:val="es-CO" w:eastAsia="en-US"/>
        </w:rPr>
        <w:t xml:space="preserve"> de</w:t>
      </w:r>
      <w:r w:rsidR="00B90B7D" w:rsidRPr="00A21B5C">
        <w:rPr>
          <w:rFonts w:ascii="Arial" w:eastAsia="Times New Roman" w:hAnsi="Arial" w:cs="Arial"/>
          <w:color w:val="000000"/>
          <w:sz w:val="22"/>
          <w:szCs w:val="22"/>
          <w:lang w:val="es-CO" w:eastAsia="en-US"/>
        </w:rPr>
        <w:t xml:space="preserve"> las cuentas por </w:t>
      </w:r>
      <w:r w:rsidR="00C156FC" w:rsidRPr="00A21B5C">
        <w:rPr>
          <w:rFonts w:ascii="Arial" w:eastAsia="Times New Roman" w:hAnsi="Arial" w:cs="Arial"/>
          <w:color w:val="000000"/>
          <w:sz w:val="22"/>
          <w:szCs w:val="22"/>
          <w:lang w:val="es-CO" w:eastAsia="en-US"/>
        </w:rPr>
        <w:t>pagar</w:t>
      </w:r>
      <w:r w:rsidR="009768CC" w:rsidRPr="00A21B5C">
        <w:rPr>
          <w:rFonts w:ascii="Arial" w:eastAsia="Times New Roman" w:hAnsi="Arial" w:cs="Arial"/>
          <w:color w:val="000000"/>
          <w:sz w:val="22"/>
          <w:szCs w:val="22"/>
          <w:lang w:val="es-CO" w:eastAsia="en-US"/>
        </w:rPr>
        <w:t xml:space="preserve"> es necesario </w:t>
      </w:r>
      <w:r w:rsidR="00D76AC1" w:rsidRPr="00A21B5C">
        <w:rPr>
          <w:rFonts w:ascii="Arial" w:eastAsia="Times New Roman" w:hAnsi="Arial" w:cs="Arial"/>
          <w:color w:val="000000"/>
          <w:sz w:val="22"/>
          <w:szCs w:val="22"/>
          <w:lang w:val="es-CO" w:eastAsia="en-US"/>
        </w:rPr>
        <w:t xml:space="preserve">determinar </w:t>
      </w:r>
      <w:r w:rsidR="00D27152" w:rsidRPr="00A21B5C">
        <w:rPr>
          <w:rFonts w:ascii="Arial" w:eastAsia="Times New Roman" w:hAnsi="Arial" w:cs="Arial"/>
          <w:color w:val="000000"/>
          <w:sz w:val="22"/>
          <w:szCs w:val="22"/>
          <w:lang w:val="es-CO" w:eastAsia="en-US"/>
        </w:rPr>
        <w:t>las obligaciones</w:t>
      </w:r>
      <w:r w:rsidR="00C8087B" w:rsidRPr="00A21B5C">
        <w:rPr>
          <w:rFonts w:ascii="Arial" w:eastAsia="Times New Roman" w:hAnsi="Arial" w:cs="Arial"/>
          <w:b/>
          <w:bCs/>
          <w:color w:val="000000"/>
          <w:sz w:val="22"/>
          <w:szCs w:val="22"/>
          <w:lang w:val="es-CO" w:eastAsia="en-US"/>
        </w:rPr>
        <w:t>,</w:t>
      </w:r>
      <w:r w:rsidR="00FD5538" w:rsidRPr="00A21B5C">
        <w:rPr>
          <w:rFonts w:ascii="Arial" w:eastAsia="Times New Roman" w:hAnsi="Arial" w:cs="Arial"/>
          <w:color w:val="000000"/>
          <w:sz w:val="22"/>
          <w:szCs w:val="22"/>
          <w:lang w:val="es-CO" w:eastAsia="en-US"/>
        </w:rPr>
        <w:t xml:space="preserve"> entendidas como </w:t>
      </w:r>
      <w:r w:rsidR="00C8087B" w:rsidRPr="00A21B5C">
        <w:rPr>
          <w:rFonts w:ascii="Arial" w:eastAsia="Times New Roman" w:hAnsi="Arial" w:cs="Arial"/>
          <w:color w:val="000000"/>
          <w:sz w:val="22"/>
          <w:szCs w:val="22"/>
          <w:lang w:val="es-CO" w:eastAsia="en-US"/>
        </w:rPr>
        <w:t>e</w:t>
      </w:r>
      <w:r w:rsidR="00FD5538" w:rsidRPr="00A21B5C">
        <w:rPr>
          <w:rFonts w:ascii="Arial" w:eastAsia="Times New Roman" w:hAnsi="Arial" w:cs="Arial"/>
          <w:color w:val="000000"/>
          <w:sz w:val="22"/>
          <w:szCs w:val="22"/>
          <w:lang w:val="es-CO" w:eastAsia="en-US"/>
        </w:rPr>
        <w:t>l monto adeudado como consecuencia del perfeccionamiento y cumplimiento – total o parcial – de los compromisos adquiridos, equivalente al valor de los bienes recibidos, servicios prestados y demás exigibilidades pendientes de pago</w:t>
      </w:r>
      <w:r w:rsidR="00FD5538" w:rsidRPr="00A21B5C">
        <w:rPr>
          <w:rStyle w:val="Refdenotaalpie"/>
          <w:rFonts w:ascii="Arial" w:eastAsia="Times New Roman" w:hAnsi="Arial" w:cs="Arial"/>
          <w:color w:val="000000"/>
          <w:sz w:val="22"/>
          <w:szCs w:val="22"/>
          <w:lang w:val="es-CO" w:eastAsia="en-US"/>
        </w:rPr>
        <w:footnoteReference w:id="10"/>
      </w:r>
      <w:r w:rsidR="00EF76FA" w:rsidRPr="00A21B5C">
        <w:rPr>
          <w:rFonts w:ascii="Arial" w:eastAsia="Times New Roman" w:hAnsi="Arial" w:cs="Arial"/>
          <w:color w:val="000000"/>
          <w:sz w:val="22"/>
          <w:szCs w:val="22"/>
          <w:lang w:val="es-CO" w:eastAsia="en-US"/>
        </w:rPr>
        <w:t>. Así</w:t>
      </w:r>
      <w:r w:rsidR="00776D20" w:rsidRPr="00A21B5C">
        <w:rPr>
          <w:rFonts w:ascii="Arial" w:eastAsia="Times New Roman" w:hAnsi="Arial" w:cs="Arial"/>
          <w:color w:val="000000"/>
          <w:sz w:val="22"/>
          <w:szCs w:val="22"/>
          <w:lang w:val="es-CO" w:eastAsia="en-US"/>
        </w:rPr>
        <w:t xml:space="preserve"> las cosas</w:t>
      </w:r>
      <w:r w:rsidR="00EF76FA" w:rsidRPr="00A21B5C">
        <w:rPr>
          <w:rFonts w:ascii="Arial" w:eastAsia="Times New Roman" w:hAnsi="Arial" w:cs="Arial"/>
          <w:color w:val="000000"/>
          <w:sz w:val="22"/>
          <w:szCs w:val="22"/>
          <w:lang w:val="es-CO" w:eastAsia="en-US"/>
        </w:rPr>
        <w:t>,</w:t>
      </w:r>
      <w:r w:rsidR="005D1561" w:rsidRPr="00A21B5C">
        <w:rPr>
          <w:rFonts w:ascii="Arial" w:eastAsia="Times New Roman" w:hAnsi="Arial" w:cs="Arial"/>
          <w:color w:val="000000"/>
          <w:sz w:val="22"/>
          <w:szCs w:val="22"/>
          <w:lang w:val="es-CO" w:eastAsia="en-US"/>
        </w:rPr>
        <w:t xml:space="preserve"> a partir de la información de la ejecución presupuestal de gastos</w:t>
      </w:r>
      <w:r w:rsidR="00EF76FA" w:rsidRPr="00A21B5C">
        <w:rPr>
          <w:rFonts w:ascii="Arial" w:eastAsia="Times New Roman" w:hAnsi="Arial" w:cs="Arial"/>
          <w:color w:val="000000"/>
          <w:sz w:val="22"/>
          <w:szCs w:val="22"/>
          <w:lang w:val="es-CO" w:eastAsia="en-US"/>
        </w:rPr>
        <w:t xml:space="preserve"> </w:t>
      </w:r>
      <w:r w:rsidR="00AB7C77" w:rsidRPr="00A21B5C">
        <w:rPr>
          <w:rFonts w:ascii="Arial" w:eastAsia="Times New Roman" w:hAnsi="Arial" w:cs="Arial"/>
          <w:color w:val="000000"/>
          <w:sz w:val="22"/>
          <w:szCs w:val="22"/>
          <w:lang w:val="es-CO" w:eastAsia="en-US"/>
        </w:rPr>
        <w:t xml:space="preserve">no es posible determinar </w:t>
      </w:r>
      <w:r w:rsidR="00D46937" w:rsidRPr="00A21B5C">
        <w:rPr>
          <w:rFonts w:ascii="Arial" w:eastAsia="Times New Roman" w:hAnsi="Arial" w:cs="Arial"/>
          <w:color w:val="000000"/>
          <w:sz w:val="22"/>
          <w:szCs w:val="22"/>
          <w:lang w:val="es-CO" w:eastAsia="en-US"/>
        </w:rPr>
        <w:t xml:space="preserve">con certeza </w:t>
      </w:r>
      <w:r w:rsidR="00AF0673" w:rsidRPr="00A21B5C">
        <w:rPr>
          <w:rFonts w:ascii="Arial" w:eastAsia="Times New Roman" w:hAnsi="Arial" w:cs="Arial"/>
          <w:color w:val="000000"/>
          <w:sz w:val="22"/>
          <w:szCs w:val="22"/>
          <w:lang w:val="es-CO" w:eastAsia="en-US"/>
        </w:rPr>
        <w:t>los montos correspondientes a</w:t>
      </w:r>
      <w:r w:rsidR="00F238CE" w:rsidRPr="00A21B5C">
        <w:rPr>
          <w:rFonts w:ascii="Arial" w:eastAsia="Times New Roman" w:hAnsi="Arial" w:cs="Arial"/>
          <w:color w:val="000000"/>
          <w:sz w:val="22"/>
          <w:szCs w:val="22"/>
          <w:lang w:val="es-CO" w:eastAsia="en-US"/>
        </w:rPr>
        <w:t xml:space="preserve"> las</w:t>
      </w:r>
      <w:r w:rsidR="00AF0673" w:rsidRPr="00A21B5C">
        <w:rPr>
          <w:rFonts w:ascii="Arial" w:eastAsia="Times New Roman" w:hAnsi="Arial" w:cs="Arial"/>
          <w:color w:val="000000"/>
          <w:sz w:val="22"/>
          <w:szCs w:val="22"/>
          <w:lang w:val="es-CO" w:eastAsia="en-US"/>
        </w:rPr>
        <w:t xml:space="preserve"> reservas presupuestales y</w:t>
      </w:r>
      <w:r w:rsidR="00D46937" w:rsidRPr="00A21B5C">
        <w:rPr>
          <w:rFonts w:ascii="Arial" w:eastAsia="Times New Roman" w:hAnsi="Arial" w:cs="Arial"/>
          <w:color w:val="000000"/>
          <w:sz w:val="22"/>
          <w:szCs w:val="22"/>
          <w:lang w:val="es-CO" w:eastAsia="en-US"/>
        </w:rPr>
        <w:t xml:space="preserve"> las</w:t>
      </w:r>
      <w:r w:rsidR="00AF0673" w:rsidRPr="00A21B5C">
        <w:rPr>
          <w:rFonts w:ascii="Arial" w:eastAsia="Times New Roman" w:hAnsi="Arial" w:cs="Arial"/>
          <w:color w:val="000000"/>
          <w:sz w:val="22"/>
          <w:szCs w:val="22"/>
          <w:lang w:val="es-CO" w:eastAsia="en-US"/>
        </w:rPr>
        <w:t xml:space="preserve"> cuentas por pagar</w:t>
      </w:r>
      <w:r w:rsidR="006507DB" w:rsidRPr="00A21B5C">
        <w:rPr>
          <w:rFonts w:ascii="Arial" w:eastAsia="Times New Roman" w:hAnsi="Arial" w:cs="Arial"/>
          <w:color w:val="000000"/>
          <w:sz w:val="22"/>
          <w:szCs w:val="22"/>
          <w:lang w:val="es-CO" w:eastAsia="en-US"/>
        </w:rPr>
        <w:t xml:space="preserve"> para esta vigencia.</w:t>
      </w:r>
    </w:p>
    <w:p w:rsidR="003A6B50" w:rsidRPr="00A21B5C" w:rsidRDefault="003A6B50">
      <w:pPr>
        <w:pStyle w:val="Prrafodelista"/>
        <w:jc w:val="both"/>
        <w:rPr>
          <w:rFonts w:ascii="Arial" w:eastAsia="Times New Roman" w:hAnsi="Arial" w:cs="Arial"/>
          <w:color w:val="000000"/>
          <w:sz w:val="22"/>
          <w:szCs w:val="22"/>
          <w:lang w:val="es-CO" w:eastAsia="en-US"/>
        </w:rPr>
      </w:pPr>
    </w:p>
    <w:p w:rsidR="003A6B50" w:rsidRPr="00A21B5C" w:rsidRDefault="003A6B50">
      <w:pPr>
        <w:pStyle w:val="Prrafodelista"/>
        <w:ind w:left="0"/>
        <w:rPr>
          <w:rFonts w:ascii="Arial" w:hAnsi="Arial" w:cs="Arial"/>
          <w:b/>
          <w:sz w:val="22"/>
          <w:szCs w:val="22"/>
          <w:lang w:val="es-CO"/>
        </w:rPr>
      </w:pPr>
      <w:r w:rsidRPr="00A21B5C">
        <w:rPr>
          <w:rFonts w:ascii="Arial" w:hAnsi="Arial" w:cs="Arial"/>
          <w:b/>
          <w:sz w:val="22"/>
          <w:szCs w:val="22"/>
          <w:lang w:val="es-CO"/>
        </w:rPr>
        <w:t>Vigencia 2017:</w:t>
      </w:r>
    </w:p>
    <w:p w:rsidR="003A6B50" w:rsidRPr="00A21B5C" w:rsidRDefault="003A6B50">
      <w:pPr>
        <w:pStyle w:val="Prrafodelista"/>
        <w:jc w:val="both"/>
        <w:rPr>
          <w:rFonts w:ascii="Arial" w:eastAsia="Times New Roman" w:hAnsi="Arial" w:cs="Arial"/>
          <w:color w:val="000000"/>
          <w:sz w:val="22"/>
          <w:szCs w:val="22"/>
          <w:lang w:val="es-CO" w:eastAsia="en-US"/>
        </w:rPr>
      </w:pPr>
    </w:p>
    <w:p w:rsidR="003A6B50" w:rsidRPr="00A21B5C" w:rsidRDefault="003A6B50">
      <w:pPr>
        <w:pStyle w:val="Prrafodelista"/>
        <w:numPr>
          <w:ilvl w:val="0"/>
          <w:numId w:val="2"/>
        </w:numPr>
        <w:jc w:val="both"/>
        <w:rPr>
          <w:rFonts w:ascii="Arial" w:eastAsia="Times New Roman" w:hAnsi="Arial" w:cs="Arial"/>
          <w:i/>
          <w:iCs/>
          <w:color w:val="FF0000"/>
          <w:lang w:val="es-CO" w:eastAsia="en-US"/>
        </w:rPr>
      </w:pPr>
      <w:r w:rsidRPr="00A21B5C">
        <w:rPr>
          <w:rFonts w:ascii="Arial" w:hAnsi="Arial" w:cs="Arial"/>
          <w:sz w:val="22"/>
          <w:szCs w:val="22"/>
          <w:lang w:val="es-CO"/>
        </w:rPr>
        <w:t xml:space="preserve">De acuerdo con la </w:t>
      </w:r>
      <w:r w:rsidRPr="00A21B5C">
        <w:rPr>
          <w:rFonts w:ascii="Arial" w:eastAsia="Calibri" w:hAnsi="Arial" w:cs="Arial"/>
          <w:sz w:val="22"/>
          <w:szCs w:val="22"/>
          <w:lang w:val="es-CO" w:eastAsia="en-US"/>
        </w:rPr>
        <w:t xml:space="preserve">Ejecución Presupuestal de Gastos 2017 </w:t>
      </w:r>
      <w:r w:rsidRPr="00A21B5C">
        <w:rPr>
          <w:rFonts w:ascii="Arial" w:hAnsi="Arial" w:cs="Arial"/>
          <w:sz w:val="22"/>
          <w:szCs w:val="22"/>
          <w:lang w:val="es-CO"/>
        </w:rPr>
        <w:t>obtenida desde la Entidad Territorial, durante</w:t>
      </w:r>
      <w:r w:rsidR="009D3118" w:rsidRPr="00A21B5C">
        <w:rPr>
          <w:rFonts w:ascii="Arial" w:hAnsi="Arial" w:cs="Arial"/>
          <w:sz w:val="22"/>
          <w:szCs w:val="22"/>
          <w:lang w:val="es-CO"/>
        </w:rPr>
        <w:t xml:space="preserve"> </w:t>
      </w:r>
      <w:r w:rsidR="00A46C68" w:rsidRPr="00A21B5C">
        <w:rPr>
          <w:rFonts w:ascii="Arial" w:hAnsi="Arial" w:cs="Arial"/>
          <w:sz w:val="22"/>
          <w:szCs w:val="22"/>
          <w:lang w:val="es-CO"/>
        </w:rPr>
        <w:t>esta v</w:t>
      </w:r>
      <w:r w:rsidRPr="00A21B5C">
        <w:rPr>
          <w:rFonts w:ascii="Arial" w:hAnsi="Arial" w:cs="Arial"/>
          <w:sz w:val="22"/>
          <w:szCs w:val="22"/>
          <w:lang w:val="es-CO"/>
        </w:rPr>
        <w:t xml:space="preserve">igencia se </w:t>
      </w:r>
      <w:r w:rsidRPr="00A21B5C">
        <w:rPr>
          <w:rFonts w:ascii="Arial" w:hAnsi="Arial" w:cs="Arial"/>
          <w:bCs/>
          <w:iCs/>
          <w:sz w:val="22"/>
          <w:szCs w:val="22"/>
          <w:lang w:val="es-CO"/>
        </w:rPr>
        <w:t>obligaron</w:t>
      </w:r>
      <w:r w:rsidRPr="00A21B5C">
        <w:rPr>
          <w:rFonts w:ascii="Arial" w:hAnsi="Arial" w:cs="Arial"/>
          <w:b/>
          <w:sz w:val="22"/>
          <w:szCs w:val="22"/>
          <w:lang w:val="es-CO"/>
        </w:rPr>
        <w:t xml:space="preserve"> </w:t>
      </w:r>
      <w:r w:rsidRPr="00A21B5C">
        <w:rPr>
          <w:rFonts w:ascii="Arial" w:hAnsi="Arial" w:cs="Arial"/>
          <w:sz w:val="22"/>
          <w:szCs w:val="22"/>
          <w:lang w:val="es-CO"/>
        </w:rPr>
        <w:t>recursos por $300.000.000</w:t>
      </w:r>
      <w:r w:rsidR="00183819" w:rsidRPr="00A21B5C">
        <w:rPr>
          <w:rFonts w:ascii="Arial" w:hAnsi="Arial" w:cs="Arial"/>
          <w:sz w:val="22"/>
          <w:szCs w:val="22"/>
          <w:lang w:val="es-CO"/>
        </w:rPr>
        <w:t>. S</w:t>
      </w:r>
      <w:r w:rsidRPr="00A21B5C">
        <w:rPr>
          <w:rFonts w:ascii="Arial" w:hAnsi="Arial" w:cs="Arial"/>
          <w:sz w:val="22"/>
          <w:szCs w:val="22"/>
          <w:lang w:val="es-CO"/>
        </w:rPr>
        <w:t xml:space="preserve">in embargo, como </w:t>
      </w:r>
      <w:r w:rsidR="00534B72" w:rsidRPr="00A21B5C">
        <w:rPr>
          <w:rFonts w:ascii="Arial" w:hAnsi="Arial" w:cs="Arial"/>
          <w:sz w:val="22"/>
          <w:szCs w:val="22"/>
          <w:lang w:val="es-CO"/>
        </w:rPr>
        <w:t>puede evidenciar</w:t>
      </w:r>
      <w:r w:rsidR="00124FA5" w:rsidRPr="00A21B5C">
        <w:rPr>
          <w:rFonts w:ascii="Arial" w:hAnsi="Arial" w:cs="Arial"/>
          <w:sz w:val="22"/>
          <w:szCs w:val="22"/>
          <w:lang w:val="es-CO"/>
        </w:rPr>
        <w:t>se</w:t>
      </w:r>
      <w:r w:rsidR="00F958D6" w:rsidRPr="00A21B5C">
        <w:rPr>
          <w:rFonts w:ascii="Arial" w:hAnsi="Arial" w:cs="Arial"/>
          <w:sz w:val="22"/>
          <w:szCs w:val="22"/>
          <w:lang w:val="es-CO"/>
        </w:rPr>
        <w:t xml:space="preserve"> y tal como </w:t>
      </w:r>
      <w:r w:rsidRPr="00A21B5C">
        <w:rPr>
          <w:rFonts w:ascii="Arial" w:hAnsi="Arial" w:cs="Arial"/>
          <w:sz w:val="22"/>
          <w:szCs w:val="22"/>
          <w:lang w:val="es-CO"/>
        </w:rPr>
        <w:t xml:space="preserve">se referenció en </w:t>
      </w:r>
      <w:r w:rsidR="00A24D50" w:rsidRPr="00A21B5C">
        <w:rPr>
          <w:rFonts w:ascii="Arial" w:hAnsi="Arial" w:cs="Arial"/>
          <w:sz w:val="22"/>
          <w:szCs w:val="22"/>
          <w:lang w:val="es-CO"/>
        </w:rPr>
        <w:t>el numeral</w:t>
      </w:r>
      <w:r w:rsidRPr="00A21B5C">
        <w:rPr>
          <w:rFonts w:ascii="Arial" w:hAnsi="Arial" w:cs="Arial"/>
          <w:sz w:val="22"/>
          <w:szCs w:val="22"/>
          <w:lang w:val="es-CO"/>
        </w:rPr>
        <w:t xml:space="preserve"> (</w:t>
      </w:r>
      <w:r w:rsidR="00183819" w:rsidRPr="00A21B5C">
        <w:rPr>
          <w:rFonts w:ascii="Arial" w:hAnsi="Arial" w:cs="Arial"/>
          <w:sz w:val="22"/>
          <w:szCs w:val="22"/>
          <w:lang w:val="es-CO"/>
        </w:rPr>
        <w:t>1</w:t>
      </w:r>
      <w:r w:rsidRPr="00A21B5C">
        <w:rPr>
          <w:rFonts w:ascii="Arial" w:hAnsi="Arial" w:cs="Arial"/>
          <w:sz w:val="22"/>
          <w:szCs w:val="22"/>
          <w:lang w:val="es-CO"/>
        </w:rPr>
        <w:t>)</w:t>
      </w:r>
      <w:r w:rsidR="003413E4" w:rsidRPr="00A21B5C">
        <w:rPr>
          <w:rFonts w:ascii="Arial" w:hAnsi="Arial" w:cs="Arial"/>
          <w:sz w:val="22"/>
          <w:szCs w:val="22"/>
          <w:lang w:val="es-CO"/>
        </w:rPr>
        <w:t>,</w:t>
      </w:r>
      <w:r w:rsidRPr="00A21B5C">
        <w:rPr>
          <w:rFonts w:ascii="Arial" w:hAnsi="Arial" w:cs="Arial"/>
          <w:sz w:val="22"/>
          <w:szCs w:val="22"/>
          <w:lang w:val="es-CO"/>
        </w:rPr>
        <w:t xml:space="preserve"> este valor corresponde a la diferencia entre los compromisos y los pagos</w:t>
      </w:r>
      <w:r w:rsidR="00483DBB" w:rsidRPr="00A21B5C">
        <w:rPr>
          <w:rFonts w:ascii="Arial" w:hAnsi="Arial" w:cs="Arial"/>
          <w:sz w:val="22"/>
          <w:szCs w:val="22"/>
          <w:lang w:val="es-CO"/>
        </w:rPr>
        <w:t>. S</w:t>
      </w:r>
      <w:r w:rsidRPr="00A21B5C">
        <w:rPr>
          <w:rFonts w:ascii="Arial" w:hAnsi="Arial" w:cs="Arial"/>
          <w:sz w:val="22"/>
          <w:szCs w:val="22"/>
          <w:lang w:val="es-CO"/>
        </w:rPr>
        <w:t xml:space="preserve">in embargo, a partir de la inspección realizada por </w:t>
      </w:r>
      <w:r w:rsidR="005B4BEB" w:rsidRPr="00A21B5C">
        <w:rPr>
          <w:rFonts w:ascii="Arial" w:hAnsi="Arial" w:cs="Arial"/>
          <w:sz w:val="22"/>
          <w:szCs w:val="22"/>
          <w:lang w:val="es-CO"/>
        </w:rPr>
        <w:t>esta Dirección</w:t>
      </w:r>
      <w:r w:rsidRPr="00A21B5C">
        <w:rPr>
          <w:rFonts w:ascii="Arial" w:hAnsi="Arial" w:cs="Arial"/>
          <w:sz w:val="22"/>
          <w:szCs w:val="22"/>
          <w:lang w:val="es-CO"/>
        </w:rPr>
        <w:t>, se pudo determinar que los $300.000.000 correspondieron a: $200.000.000 de obligaciones pendientes de pago</w:t>
      </w:r>
      <w:r w:rsidRPr="00A21B5C">
        <w:rPr>
          <w:rStyle w:val="Refdenotaalpie"/>
          <w:rFonts w:ascii="Arial" w:hAnsi="Arial" w:cs="Arial"/>
          <w:sz w:val="22"/>
          <w:szCs w:val="22"/>
          <w:lang w:val="es-CO"/>
        </w:rPr>
        <w:footnoteReference w:id="11"/>
      </w:r>
      <w:r w:rsidRPr="00A21B5C">
        <w:rPr>
          <w:rFonts w:ascii="Arial" w:hAnsi="Arial" w:cs="Arial"/>
          <w:sz w:val="22"/>
          <w:szCs w:val="22"/>
          <w:lang w:val="es-CO"/>
        </w:rPr>
        <w:t xml:space="preserve"> (cuentas por pagar) y a $100.000.000 de compromisos por obligar</w:t>
      </w:r>
      <w:r w:rsidRPr="00A21B5C">
        <w:rPr>
          <w:rStyle w:val="Refdenotaalpie"/>
          <w:rFonts w:ascii="Arial" w:hAnsi="Arial" w:cs="Arial"/>
          <w:sz w:val="22"/>
          <w:szCs w:val="22"/>
          <w:lang w:val="es-CO"/>
        </w:rPr>
        <w:footnoteReference w:id="12"/>
      </w:r>
      <w:r w:rsidRPr="00A21B5C">
        <w:rPr>
          <w:rFonts w:ascii="Arial" w:hAnsi="Arial" w:cs="Arial"/>
          <w:sz w:val="22"/>
          <w:szCs w:val="22"/>
          <w:lang w:val="es-CO"/>
        </w:rPr>
        <w:t xml:space="preserve"> (reservas).</w:t>
      </w:r>
    </w:p>
    <w:p w:rsidR="008C2E4A" w:rsidRPr="00A21B5C" w:rsidRDefault="008C2E4A" w:rsidP="00A21B5C">
      <w:pPr>
        <w:contextualSpacing/>
        <w:rPr>
          <w:rFonts w:ascii="Arial" w:hAnsi="Arial" w:cs="Arial"/>
          <w:highlight w:val="lightGray"/>
          <w:lang w:val="es-CO"/>
        </w:rPr>
      </w:pPr>
    </w:p>
    <w:p w:rsidR="008C2E4A" w:rsidRPr="00A21B5C" w:rsidRDefault="008C2E4A" w:rsidP="00A21B5C">
      <w:pPr>
        <w:pStyle w:val="Prrafodelista"/>
        <w:numPr>
          <w:ilvl w:val="0"/>
          <w:numId w:val="2"/>
        </w:numPr>
        <w:spacing w:after="160"/>
        <w:jc w:val="both"/>
        <w:rPr>
          <w:rFonts w:ascii="Arial" w:hAnsi="Arial" w:cs="Arial"/>
          <w:b/>
          <w:color w:val="FF0000"/>
          <w:sz w:val="22"/>
          <w:szCs w:val="22"/>
          <w:lang w:val="es-CO"/>
        </w:rPr>
      </w:pPr>
      <w:r w:rsidRPr="00A21B5C">
        <w:rPr>
          <w:rFonts w:ascii="Arial" w:hAnsi="Arial" w:cs="Arial"/>
          <w:sz w:val="22"/>
          <w:szCs w:val="22"/>
          <w:lang w:val="es-CO"/>
        </w:rPr>
        <w:t>Se observó que dentro de la</w:t>
      </w:r>
      <w:r w:rsidR="00897EC4" w:rsidRPr="00A21B5C">
        <w:rPr>
          <w:rFonts w:ascii="Arial" w:hAnsi="Arial" w:cs="Arial"/>
          <w:sz w:val="22"/>
          <w:szCs w:val="22"/>
          <w:lang w:val="es-CO"/>
        </w:rPr>
        <w:t>s</w:t>
      </w:r>
      <w:r w:rsidRPr="00A21B5C">
        <w:rPr>
          <w:rFonts w:ascii="Arial" w:hAnsi="Arial" w:cs="Arial"/>
          <w:sz w:val="22"/>
          <w:szCs w:val="22"/>
          <w:lang w:val="es-CO"/>
        </w:rPr>
        <w:t xml:space="preserve"> </w:t>
      </w:r>
      <w:r w:rsidR="00897EC4" w:rsidRPr="00A21B5C">
        <w:rPr>
          <w:rFonts w:ascii="Arial" w:hAnsi="Arial" w:cs="Arial"/>
          <w:sz w:val="22"/>
          <w:szCs w:val="22"/>
          <w:lang w:val="es-CO"/>
        </w:rPr>
        <w:t>Ejecuciones</w:t>
      </w:r>
      <w:r w:rsidRPr="00A21B5C">
        <w:rPr>
          <w:rFonts w:ascii="Arial" w:hAnsi="Arial" w:cs="Arial"/>
          <w:sz w:val="22"/>
          <w:szCs w:val="22"/>
          <w:lang w:val="es-CO"/>
        </w:rPr>
        <w:t xml:space="preserve"> Presupuestal</w:t>
      </w:r>
      <w:r w:rsidR="00897EC4" w:rsidRPr="00A21B5C">
        <w:rPr>
          <w:rFonts w:ascii="Arial" w:hAnsi="Arial" w:cs="Arial"/>
          <w:sz w:val="22"/>
          <w:szCs w:val="22"/>
          <w:lang w:val="es-CO"/>
        </w:rPr>
        <w:t>es</w:t>
      </w:r>
      <w:r w:rsidRPr="00A21B5C">
        <w:rPr>
          <w:rFonts w:ascii="Arial" w:hAnsi="Arial" w:cs="Arial"/>
          <w:sz w:val="22"/>
          <w:szCs w:val="22"/>
          <w:lang w:val="es-CO"/>
        </w:rPr>
        <w:t xml:space="preserve"> de </w:t>
      </w:r>
      <w:r w:rsidR="003E09A2" w:rsidRPr="00A21B5C">
        <w:rPr>
          <w:rFonts w:ascii="Arial" w:hAnsi="Arial" w:cs="Arial"/>
          <w:sz w:val="22"/>
          <w:szCs w:val="22"/>
          <w:lang w:val="es-CO"/>
        </w:rPr>
        <w:t xml:space="preserve">Ingresos y </w:t>
      </w:r>
      <w:r w:rsidRPr="00A21B5C">
        <w:rPr>
          <w:rFonts w:ascii="Arial" w:hAnsi="Arial" w:cs="Arial"/>
          <w:sz w:val="22"/>
          <w:szCs w:val="22"/>
          <w:lang w:val="es-CO"/>
        </w:rPr>
        <w:t xml:space="preserve">Gastos </w:t>
      </w:r>
      <w:r w:rsidR="00383C7F" w:rsidRPr="00A21B5C">
        <w:rPr>
          <w:rFonts w:ascii="Arial" w:hAnsi="Arial" w:cs="Arial"/>
          <w:sz w:val="22"/>
          <w:szCs w:val="22"/>
          <w:lang w:val="es-CO"/>
        </w:rPr>
        <w:t>aparece</w:t>
      </w:r>
      <w:r w:rsidRPr="00A21B5C">
        <w:rPr>
          <w:rFonts w:ascii="Arial" w:hAnsi="Arial" w:cs="Arial"/>
          <w:sz w:val="22"/>
          <w:szCs w:val="22"/>
          <w:lang w:val="es-CO"/>
        </w:rPr>
        <w:t xml:space="preserve"> un rubro para el manejo de las </w:t>
      </w:r>
      <w:r w:rsidRPr="00A21B5C">
        <w:rPr>
          <w:rFonts w:ascii="Arial" w:hAnsi="Arial" w:cs="Arial"/>
          <w:bCs/>
          <w:iCs/>
          <w:sz w:val="22"/>
          <w:szCs w:val="22"/>
          <w:lang w:val="es-CO"/>
        </w:rPr>
        <w:t>Reservas Presupuestales constituidas sobre la vigencia anterior 2016</w:t>
      </w:r>
      <w:r w:rsidRPr="00A21B5C">
        <w:rPr>
          <w:rFonts w:ascii="Arial" w:hAnsi="Arial" w:cs="Arial"/>
          <w:sz w:val="22"/>
          <w:szCs w:val="22"/>
          <w:lang w:val="es-CO"/>
        </w:rPr>
        <w:t xml:space="preserve">, lo cual, si bien no es </w:t>
      </w:r>
      <w:r w:rsidR="007B5A1B" w:rsidRPr="00A21B5C">
        <w:rPr>
          <w:rFonts w:ascii="Arial" w:hAnsi="Arial" w:cs="Arial"/>
          <w:sz w:val="22"/>
          <w:szCs w:val="22"/>
          <w:lang w:val="es-CO"/>
        </w:rPr>
        <w:t xml:space="preserve">necesariamente cuestionable </w:t>
      </w:r>
      <w:r w:rsidRPr="00A21B5C">
        <w:rPr>
          <w:rFonts w:ascii="Arial" w:hAnsi="Arial" w:cs="Arial"/>
          <w:sz w:val="22"/>
          <w:szCs w:val="22"/>
          <w:lang w:val="es-CO"/>
        </w:rPr>
        <w:t>desde el punto de vista de la presentación de la</w:t>
      </w:r>
      <w:r w:rsidR="00897EC4" w:rsidRPr="00A21B5C">
        <w:rPr>
          <w:rFonts w:ascii="Arial" w:hAnsi="Arial" w:cs="Arial"/>
          <w:sz w:val="22"/>
          <w:szCs w:val="22"/>
          <w:lang w:val="es-CO"/>
        </w:rPr>
        <w:t>s</w:t>
      </w:r>
      <w:r w:rsidRPr="00A21B5C">
        <w:rPr>
          <w:rFonts w:ascii="Arial" w:hAnsi="Arial" w:cs="Arial"/>
          <w:sz w:val="22"/>
          <w:szCs w:val="22"/>
          <w:lang w:val="es-CO"/>
        </w:rPr>
        <w:t xml:space="preserve"> ejecuci</w:t>
      </w:r>
      <w:r w:rsidR="00897EC4" w:rsidRPr="00A21B5C">
        <w:rPr>
          <w:rFonts w:ascii="Arial" w:hAnsi="Arial" w:cs="Arial"/>
          <w:sz w:val="22"/>
          <w:szCs w:val="22"/>
          <w:lang w:val="es-CO"/>
        </w:rPr>
        <w:t>o</w:t>
      </w:r>
      <w:r w:rsidRPr="00A21B5C">
        <w:rPr>
          <w:rFonts w:ascii="Arial" w:hAnsi="Arial" w:cs="Arial"/>
          <w:sz w:val="22"/>
          <w:szCs w:val="22"/>
          <w:lang w:val="es-CO"/>
        </w:rPr>
        <w:t>n</w:t>
      </w:r>
      <w:r w:rsidR="00897EC4" w:rsidRPr="00A21B5C">
        <w:rPr>
          <w:rFonts w:ascii="Arial" w:hAnsi="Arial" w:cs="Arial"/>
          <w:sz w:val="22"/>
          <w:szCs w:val="22"/>
          <w:lang w:val="es-CO"/>
        </w:rPr>
        <w:t>es</w:t>
      </w:r>
      <w:r w:rsidRPr="00A21B5C">
        <w:rPr>
          <w:rFonts w:ascii="Arial" w:hAnsi="Arial" w:cs="Arial"/>
          <w:sz w:val="22"/>
          <w:szCs w:val="22"/>
          <w:lang w:val="es-CO"/>
        </w:rPr>
        <w:t xml:space="preserve"> presupuestal</w:t>
      </w:r>
      <w:r w:rsidR="00897EC4" w:rsidRPr="00A21B5C">
        <w:rPr>
          <w:rFonts w:ascii="Arial" w:hAnsi="Arial" w:cs="Arial"/>
          <w:sz w:val="22"/>
          <w:szCs w:val="22"/>
          <w:lang w:val="es-CO"/>
        </w:rPr>
        <w:t>es</w:t>
      </w:r>
      <w:r w:rsidRPr="00A21B5C">
        <w:rPr>
          <w:rFonts w:ascii="Arial" w:hAnsi="Arial" w:cs="Arial"/>
          <w:sz w:val="22"/>
          <w:szCs w:val="22"/>
          <w:lang w:val="es-CO"/>
        </w:rPr>
        <w:t xml:space="preserve"> de los </w:t>
      </w:r>
      <w:r w:rsidRPr="00A21B5C">
        <w:rPr>
          <w:rFonts w:ascii="Arial" w:hAnsi="Arial" w:cs="Arial"/>
          <w:sz w:val="22"/>
          <w:szCs w:val="22"/>
          <w:lang w:val="es-CO"/>
        </w:rPr>
        <w:lastRenderedPageBreak/>
        <w:t>recursos, s</w:t>
      </w:r>
      <w:r w:rsidR="007B5A1B" w:rsidRPr="00A21B5C">
        <w:rPr>
          <w:rFonts w:ascii="Arial" w:hAnsi="Arial" w:cs="Arial"/>
          <w:sz w:val="22"/>
          <w:szCs w:val="22"/>
          <w:lang w:val="es-CO"/>
        </w:rPr>
        <w:t>í</w:t>
      </w:r>
      <w:r w:rsidRPr="00A21B5C">
        <w:rPr>
          <w:rFonts w:ascii="Arial" w:hAnsi="Arial" w:cs="Arial"/>
          <w:sz w:val="22"/>
          <w:szCs w:val="22"/>
          <w:lang w:val="es-CO"/>
        </w:rPr>
        <w:t xml:space="preserve"> lo es cuando no </w:t>
      </w:r>
      <w:r w:rsidR="00281F9B" w:rsidRPr="00A21B5C">
        <w:rPr>
          <w:rFonts w:ascii="Arial" w:hAnsi="Arial" w:cs="Arial"/>
          <w:sz w:val="22"/>
          <w:szCs w:val="22"/>
          <w:lang w:val="es-CO"/>
        </w:rPr>
        <w:t xml:space="preserve">es claro </w:t>
      </w:r>
      <w:r w:rsidRPr="00A21B5C">
        <w:rPr>
          <w:rFonts w:ascii="Arial" w:hAnsi="Arial" w:cs="Arial"/>
          <w:sz w:val="22"/>
          <w:szCs w:val="22"/>
          <w:lang w:val="es-CO"/>
        </w:rPr>
        <w:t>el manejo presupuestal</w:t>
      </w:r>
      <w:r w:rsidR="00E8206C" w:rsidRPr="00A21B5C">
        <w:rPr>
          <w:rFonts w:ascii="Arial" w:hAnsi="Arial" w:cs="Arial"/>
          <w:sz w:val="22"/>
          <w:szCs w:val="22"/>
          <w:lang w:val="es-CO"/>
        </w:rPr>
        <w:t xml:space="preserve"> de estas</w:t>
      </w:r>
      <w:r w:rsidRPr="00A21B5C">
        <w:rPr>
          <w:rFonts w:ascii="Arial" w:hAnsi="Arial" w:cs="Arial"/>
          <w:sz w:val="22"/>
          <w:szCs w:val="22"/>
          <w:lang w:val="es-CO"/>
        </w:rPr>
        <w:t xml:space="preserve">, dado que las </w:t>
      </w:r>
      <w:r w:rsidR="00A24D50" w:rsidRPr="00A21B5C">
        <w:rPr>
          <w:rFonts w:ascii="Arial" w:hAnsi="Arial" w:cs="Arial"/>
          <w:sz w:val="22"/>
          <w:szCs w:val="22"/>
          <w:lang w:val="es-CO"/>
        </w:rPr>
        <w:t>r</w:t>
      </w:r>
      <w:r w:rsidRPr="00A21B5C">
        <w:rPr>
          <w:rFonts w:ascii="Arial" w:hAnsi="Arial" w:cs="Arial"/>
          <w:sz w:val="22"/>
          <w:szCs w:val="22"/>
          <w:lang w:val="es-CO"/>
        </w:rPr>
        <w:t xml:space="preserve">eservas </w:t>
      </w:r>
      <w:r w:rsidR="00A24D50" w:rsidRPr="00A21B5C">
        <w:rPr>
          <w:rFonts w:ascii="Arial" w:hAnsi="Arial" w:cs="Arial"/>
          <w:sz w:val="22"/>
          <w:szCs w:val="22"/>
          <w:lang w:val="es-CO"/>
        </w:rPr>
        <w:t>p</w:t>
      </w:r>
      <w:r w:rsidRPr="00A21B5C">
        <w:rPr>
          <w:rFonts w:ascii="Arial" w:hAnsi="Arial" w:cs="Arial"/>
          <w:sz w:val="22"/>
          <w:szCs w:val="22"/>
          <w:lang w:val="es-CO"/>
        </w:rPr>
        <w:t>resupuestales son recursos ya comprometidos pendientes de obligar</w:t>
      </w:r>
      <w:r w:rsidRPr="00A21B5C">
        <w:rPr>
          <w:rStyle w:val="Refdenotaalpie"/>
          <w:rFonts w:ascii="Arial" w:hAnsi="Arial" w:cs="Arial"/>
          <w:sz w:val="22"/>
          <w:szCs w:val="22"/>
          <w:lang w:val="es-CO"/>
        </w:rPr>
        <w:footnoteReference w:id="13"/>
      </w:r>
      <w:r w:rsidRPr="00A21B5C">
        <w:rPr>
          <w:rFonts w:ascii="Arial" w:hAnsi="Arial" w:cs="Arial"/>
          <w:sz w:val="22"/>
          <w:szCs w:val="22"/>
          <w:lang w:val="es-CO"/>
        </w:rPr>
        <w:t>, por lo que no harían parte de los recursos disponibles para ejecutar dentro de la vigencia en curso</w:t>
      </w:r>
      <w:r w:rsidR="00B44E91" w:rsidRPr="00A21B5C">
        <w:rPr>
          <w:rFonts w:ascii="Arial" w:hAnsi="Arial" w:cs="Arial"/>
          <w:sz w:val="22"/>
          <w:szCs w:val="22"/>
          <w:lang w:val="es-CO"/>
        </w:rPr>
        <w:t>, y por tanto no deberían</w:t>
      </w:r>
      <w:r w:rsidR="00CC4AA4" w:rsidRPr="00A21B5C">
        <w:rPr>
          <w:rFonts w:ascii="Arial" w:hAnsi="Arial" w:cs="Arial"/>
          <w:sz w:val="22"/>
          <w:szCs w:val="22"/>
          <w:lang w:val="es-CO"/>
        </w:rPr>
        <w:t xml:space="preserve"> causarse como incorporaciones al presupuesto definitivo ni </w:t>
      </w:r>
      <w:r w:rsidR="00595EAA" w:rsidRPr="00A21B5C">
        <w:rPr>
          <w:rFonts w:ascii="Arial" w:hAnsi="Arial" w:cs="Arial"/>
          <w:sz w:val="22"/>
          <w:szCs w:val="22"/>
          <w:lang w:val="es-CO"/>
        </w:rPr>
        <w:t>como apropiaciones del mismo.</w:t>
      </w:r>
    </w:p>
    <w:p w:rsidR="008C2E4A" w:rsidRPr="00A21B5C" w:rsidRDefault="008C2E4A">
      <w:pPr>
        <w:pStyle w:val="Prrafodelista"/>
        <w:rPr>
          <w:rFonts w:ascii="Arial" w:hAnsi="Arial" w:cs="Arial"/>
          <w:b/>
          <w:color w:val="FF0000"/>
          <w:sz w:val="22"/>
          <w:szCs w:val="22"/>
          <w:highlight w:val="lightGray"/>
          <w:lang w:val="es-CO"/>
        </w:rPr>
      </w:pPr>
    </w:p>
    <w:p w:rsidR="008C2E4A" w:rsidRPr="00A21B5C" w:rsidRDefault="0078145F" w:rsidP="00A21B5C">
      <w:pPr>
        <w:pStyle w:val="Prrafodelista"/>
        <w:numPr>
          <w:ilvl w:val="0"/>
          <w:numId w:val="2"/>
        </w:numPr>
        <w:spacing w:after="160"/>
        <w:jc w:val="both"/>
        <w:rPr>
          <w:rFonts w:ascii="Arial" w:hAnsi="Arial" w:cs="Arial"/>
          <w:b/>
          <w:color w:val="FF0000"/>
          <w:sz w:val="22"/>
          <w:szCs w:val="22"/>
          <w:lang w:val="es-CO"/>
        </w:rPr>
      </w:pPr>
      <w:r w:rsidRPr="00A21B5C">
        <w:rPr>
          <w:rFonts w:ascii="Arial" w:hAnsi="Arial" w:cs="Arial"/>
          <w:color w:val="000000" w:themeColor="text1"/>
          <w:sz w:val="22"/>
          <w:szCs w:val="22"/>
          <w:lang w:val="es-CO"/>
        </w:rPr>
        <w:t>S</w:t>
      </w:r>
      <w:r w:rsidR="008C2E4A" w:rsidRPr="00A21B5C">
        <w:rPr>
          <w:rFonts w:ascii="Arial" w:hAnsi="Arial" w:cs="Arial"/>
          <w:color w:val="000000" w:themeColor="text1"/>
          <w:sz w:val="22"/>
          <w:szCs w:val="22"/>
          <w:lang w:val="es-CO"/>
        </w:rPr>
        <w:t xml:space="preserve">i bien </w:t>
      </w:r>
      <w:r w:rsidR="008C2E4A" w:rsidRPr="00A21B5C">
        <w:rPr>
          <w:rFonts w:ascii="Arial" w:eastAsia="Calibri" w:hAnsi="Arial" w:cs="Arial"/>
          <w:color w:val="000000" w:themeColor="text1"/>
          <w:sz w:val="22"/>
          <w:szCs w:val="22"/>
          <w:lang w:val="es-CO" w:eastAsia="en-US"/>
        </w:rPr>
        <w:t xml:space="preserve">el </w:t>
      </w:r>
      <w:r w:rsidR="008C2E4A" w:rsidRPr="00A21B5C">
        <w:rPr>
          <w:rFonts w:ascii="Arial" w:eastAsia="Calibri" w:hAnsi="Arial" w:cs="Arial"/>
          <w:sz w:val="22"/>
          <w:szCs w:val="22"/>
          <w:lang w:val="es-CO" w:eastAsia="en-US"/>
        </w:rPr>
        <w:t xml:space="preserve">valor </w:t>
      </w:r>
      <w:r w:rsidR="0001061A" w:rsidRPr="00A21B5C">
        <w:rPr>
          <w:rFonts w:ascii="Arial" w:eastAsia="Calibri" w:hAnsi="Arial" w:cs="Arial"/>
          <w:sz w:val="22"/>
          <w:szCs w:val="22"/>
          <w:lang w:val="es-CO" w:eastAsia="en-US"/>
        </w:rPr>
        <w:t xml:space="preserve">que figura </w:t>
      </w:r>
      <w:r w:rsidR="00180124" w:rsidRPr="00A21B5C">
        <w:rPr>
          <w:rFonts w:ascii="Arial" w:eastAsia="Calibri" w:hAnsi="Arial" w:cs="Arial"/>
          <w:sz w:val="22"/>
          <w:szCs w:val="22"/>
          <w:lang w:val="es-CO" w:eastAsia="en-US"/>
        </w:rPr>
        <w:t xml:space="preserve">en la ejecución de ingresos de la vigencia 2017 </w:t>
      </w:r>
      <w:r w:rsidR="0001061A" w:rsidRPr="00A21B5C">
        <w:rPr>
          <w:rFonts w:ascii="Arial" w:eastAsia="Calibri" w:hAnsi="Arial" w:cs="Arial"/>
          <w:sz w:val="22"/>
          <w:szCs w:val="22"/>
          <w:lang w:val="es-CO" w:eastAsia="en-US"/>
        </w:rPr>
        <w:t xml:space="preserve">como </w:t>
      </w:r>
      <w:r w:rsidR="00A24D50" w:rsidRPr="00A21B5C">
        <w:rPr>
          <w:rFonts w:ascii="Arial" w:eastAsia="Calibri" w:hAnsi="Arial" w:cs="Arial"/>
          <w:sz w:val="22"/>
          <w:szCs w:val="22"/>
          <w:lang w:val="es-CO" w:eastAsia="en-US"/>
        </w:rPr>
        <w:t>r</w:t>
      </w:r>
      <w:r w:rsidR="008C2E4A" w:rsidRPr="00A21B5C">
        <w:rPr>
          <w:rFonts w:ascii="Arial" w:eastAsia="Calibri" w:hAnsi="Arial" w:cs="Arial"/>
          <w:sz w:val="22"/>
          <w:szCs w:val="22"/>
          <w:lang w:val="es-CO" w:eastAsia="en-US"/>
        </w:rPr>
        <w:t xml:space="preserve">eserva </w:t>
      </w:r>
      <w:r w:rsidR="00A24D50" w:rsidRPr="00A21B5C">
        <w:rPr>
          <w:rFonts w:ascii="Arial" w:eastAsia="Calibri" w:hAnsi="Arial" w:cs="Arial"/>
          <w:sz w:val="22"/>
          <w:szCs w:val="22"/>
          <w:lang w:val="es-CO" w:eastAsia="en-US"/>
        </w:rPr>
        <w:t>p</w:t>
      </w:r>
      <w:r w:rsidR="008C2E4A" w:rsidRPr="00A21B5C">
        <w:rPr>
          <w:rFonts w:ascii="Arial" w:eastAsia="Calibri" w:hAnsi="Arial" w:cs="Arial"/>
          <w:sz w:val="22"/>
          <w:szCs w:val="22"/>
          <w:lang w:val="es-CO" w:eastAsia="en-US"/>
        </w:rPr>
        <w:t xml:space="preserve">resupuestal de la vigencia 2016 </w:t>
      </w:r>
      <w:r w:rsidR="008C2E4A" w:rsidRPr="00A21B5C">
        <w:rPr>
          <w:rFonts w:ascii="Arial" w:eastAsia="Times New Roman" w:hAnsi="Arial" w:cs="Arial"/>
          <w:color w:val="000000"/>
          <w:sz w:val="22"/>
          <w:szCs w:val="22"/>
          <w:lang w:val="es-CO" w:eastAsia="en-US"/>
        </w:rPr>
        <w:t xml:space="preserve">coincide con las </w:t>
      </w:r>
      <w:r w:rsidR="00A24D50" w:rsidRPr="00A21B5C">
        <w:rPr>
          <w:rFonts w:ascii="Arial" w:eastAsia="Times New Roman" w:hAnsi="Arial" w:cs="Arial"/>
          <w:color w:val="000000"/>
          <w:sz w:val="22"/>
          <w:szCs w:val="22"/>
          <w:lang w:val="es-CO" w:eastAsia="en-US"/>
        </w:rPr>
        <w:t>r</w:t>
      </w:r>
      <w:r w:rsidR="008C2E4A" w:rsidRPr="00A21B5C">
        <w:rPr>
          <w:rFonts w:ascii="Arial" w:eastAsia="Times New Roman" w:hAnsi="Arial" w:cs="Arial"/>
          <w:color w:val="000000"/>
          <w:sz w:val="22"/>
          <w:szCs w:val="22"/>
          <w:lang w:val="es-CO" w:eastAsia="en-US"/>
        </w:rPr>
        <w:t>eservas constituidas</w:t>
      </w:r>
      <w:r w:rsidR="008C2E4A" w:rsidRPr="00A21B5C">
        <w:rPr>
          <w:rStyle w:val="Refdenotaalpie"/>
          <w:rFonts w:ascii="Arial" w:eastAsia="Times New Roman" w:hAnsi="Arial" w:cs="Arial"/>
          <w:color w:val="000000"/>
          <w:sz w:val="22"/>
          <w:szCs w:val="22"/>
          <w:lang w:val="es-CO" w:eastAsia="en-US"/>
        </w:rPr>
        <w:footnoteReference w:id="14"/>
      </w:r>
      <w:r w:rsidR="008C2E4A" w:rsidRPr="00A21B5C">
        <w:rPr>
          <w:rFonts w:ascii="Arial" w:eastAsia="Times New Roman" w:hAnsi="Arial" w:cs="Arial"/>
          <w:color w:val="000000"/>
          <w:sz w:val="22"/>
          <w:szCs w:val="22"/>
          <w:lang w:val="es-CO" w:eastAsia="en-US"/>
        </w:rPr>
        <w:t xml:space="preserve"> </w:t>
      </w:r>
      <w:r w:rsidR="00A71C87" w:rsidRPr="00A21B5C">
        <w:rPr>
          <w:rFonts w:ascii="Arial" w:eastAsia="Times New Roman" w:hAnsi="Arial" w:cs="Arial"/>
          <w:color w:val="000000"/>
          <w:sz w:val="22"/>
          <w:szCs w:val="22"/>
          <w:lang w:val="es-CO" w:eastAsia="en-US"/>
        </w:rPr>
        <w:t xml:space="preserve">en dicha vigencia </w:t>
      </w:r>
      <w:r w:rsidR="008C2E4A" w:rsidRPr="00A21B5C">
        <w:rPr>
          <w:rFonts w:ascii="Arial" w:eastAsia="Times New Roman" w:hAnsi="Arial" w:cs="Arial"/>
          <w:color w:val="000000"/>
          <w:sz w:val="22"/>
          <w:szCs w:val="22"/>
          <w:lang w:val="es-CO" w:eastAsia="en-US"/>
        </w:rPr>
        <w:t xml:space="preserve">por $1.103.852.937, </w:t>
      </w:r>
      <w:r w:rsidR="00876B19" w:rsidRPr="00A21B5C">
        <w:rPr>
          <w:rFonts w:ascii="Arial" w:eastAsia="Times New Roman" w:hAnsi="Arial" w:cs="Arial"/>
          <w:color w:val="000000"/>
          <w:sz w:val="22"/>
          <w:szCs w:val="22"/>
          <w:lang w:val="es-CO" w:eastAsia="en-US"/>
        </w:rPr>
        <w:t xml:space="preserve">en la ejecución de gastos de 2017 </w:t>
      </w:r>
      <w:r w:rsidR="008C2E4A" w:rsidRPr="00A21B5C">
        <w:rPr>
          <w:rFonts w:ascii="Arial" w:eastAsia="Times New Roman" w:hAnsi="Arial" w:cs="Arial"/>
          <w:color w:val="000000"/>
          <w:sz w:val="22"/>
          <w:szCs w:val="22"/>
          <w:lang w:val="es-CO" w:eastAsia="en-US"/>
        </w:rPr>
        <w:t xml:space="preserve">se </w:t>
      </w:r>
      <w:r w:rsidR="007B5A1B" w:rsidRPr="00A21B5C">
        <w:rPr>
          <w:rFonts w:ascii="Arial" w:eastAsia="Times New Roman" w:hAnsi="Arial" w:cs="Arial"/>
          <w:color w:val="000000"/>
          <w:sz w:val="22"/>
          <w:szCs w:val="22"/>
          <w:lang w:val="es-CO" w:eastAsia="en-US"/>
        </w:rPr>
        <w:t>evidenci</w:t>
      </w:r>
      <w:r w:rsidR="00876B19" w:rsidRPr="00A21B5C">
        <w:rPr>
          <w:rFonts w:ascii="Arial" w:eastAsia="Times New Roman" w:hAnsi="Arial" w:cs="Arial"/>
          <w:color w:val="000000"/>
          <w:sz w:val="22"/>
          <w:szCs w:val="22"/>
          <w:lang w:val="es-CO" w:eastAsia="en-US"/>
        </w:rPr>
        <w:t>a</w:t>
      </w:r>
      <w:r w:rsidR="007B5A1B" w:rsidRPr="00A21B5C">
        <w:rPr>
          <w:rFonts w:ascii="Arial" w:eastAsia="Times New Roman" w:hAnsi="Arial" w:cs="Arial"/>
          <w:color w:val="000000"/>
          <w:sz w:val="22"/>
          <w:szCs w:val="22"/>
          <w:lang w:val="es-CO" w:eastAsia="en-US"/>
        </w:rPr>
        <w:t xml:space="preserve"> </w:t>
      </w:r>
      <w:r w:rsidR="00876B19" w:rsidRPr="00A21B5C">
        <w:rPr>
          <w:rFonts w:ascii="Arial" w:eastAsia="Times New Roman" w:hAnsi="Arial" w:cs="Arial"/>
          <w:color w:val="000000"/>
          <w:sz w:val="22"/>
          <w:szCs w:val="22"/>
          <w:lang w:val="es-CO" w:eastAsia="en-US"/>
        </w:rPr>
        <w:t xml:space="preserve">un rubro </w:t>
      </w:r>
      <w:r w:rsidR="00FC6B2E" w:rsidRPr="00A21B5C">
        <w:rPr>
          <w:rFonts w:ascii="Arial" w:eastAsia="Times New Roman" w:hAnsi="Arial" w:cs="Arial"/>
          <w:color w:val="000000"/>
          <w:sz w:val="22"/>
          <w:szCs w:val="22"/>
          <w:lang w:val="es-CO" w:eastAsia="en-US"/>
        </w:rPr>
        <w:t>que corresponde a los</w:t>
      </w:r>
      <w:r w:rsidR="00876B19" w:rsidRPr="00A21B5C">
        <w:rPr>
          <w:rFonts w:ascii="Arial" w:eastAsia="Times New Roman" w:hAnsi="Arial" w:cs="Arial"/>
          <w:color w:val="000000"/>
          <w:sz w:val="22"/>
          <w:szCs w:val="22"/>
          <w:lang w:val="es-CO" w:eastAsia="en-US"/>
        </w:rPr>
        <w:t xml:space="preserve"> </w:t>
      </w:r>
      <w:r w:rsidR="008C2E4A" w:rsidRPr="00A21B5C">
        <w:rPr>
          <w:rFonts w:ascii="Arial" w:eastAsia="Times New Roman" w:hAnsi="Arial" w:cs="Arial"/>
          <w:color w:val="000000"/>
          <w:sz w:val="22"/>
          <w:szCs w:val="22"/>
          <w:lang w:val="es-CO" w:eastAsia="en-US"/>
        </w:rPr>
        <w:t>compromiso</w:t>
      </w:r>
      <w:r w:rsidR="00FC6B2E" w:rsidRPr="00A21B5C">
        <w:rPr>
          <w:rFonts w:ascii="Arial" w:eastAsia="Times New Roman" w:hAnsi="Arial" w:cs="Arial"/>
          <w:color w:val="000000"/>
          <w:sz w:val="22"/>
          <w:szCs w:val="22"/>
          <w:lang w:val="es-CO" w:eastAsia="en-US"/>
        </w:rPr>
        <w:t>s</w:t>
      </w:r>
      <w:r w:rsidR="008C2E4A" w:rsidRPr="00A21B5C">
        <w:rPr>
          <w:rFonts w:ascii="Arial" w:eastAsia="Times New Roman" w:hAnsi="Arial" w:cs="Arial"/>
          <w:color w:val="000000"/>
          <w:sz w:val="22"/>
          <w:szCs w:val="22"/>
          <w:lang w:val="es-CO" w:eastAsia="en-US"/>
        </w:rPr>
        <w:t xml:space="preserve"> de la reserva, </w:t>
      </w:r>
      <w:r w:rsidR="00FC6B2E" w:rsidRPr="00A21B5C">
        <w:rPr>
          <w:rFonts w:ascii="Arial" w:eastAsia="Times New Roman" w:hAnsi="Arial" w:cs="Arial"/>
          <w:color w:val="000000"/>
          <w:sz w:val="22"/>
          <w:szCs w:val="22"/>
          <w:lang w:val="es-CO" w:eastAsia="en-US"/>
        </w:rPr>
        <w:t xml:space="preserve">y </w:t>
      </w:r>
      <w:r w:rsidR="00876B19" w:rsidRPr="00A21B5C">
        <w:rPr>
          <w:rFonts w:ascii="Arial" w:eastAsia="Times New Roman" w:hAnsi="Arial" w:cs="Arial"/>
          <w:color w:val="000000"/>
          <w:sz w:val="22"/>
          <w:szCs w:val="22"/>
          <w:lang w:val="es-CO" w:eastAsia="en-US"/>
        </w:rPr>
        <w:t xml:space="preserve">que </w:t>
      </w:r>
      <w:r w:rsidR="008C2E4A" w:rsidRPr="00A21B5C">
        <w:rPr>
          <w:rFonts w:ascii="Arial" w:eastAsia="Times New Roman" w:hAnsi="Arial" w:cs="Arial"/>
          <w:color w:val="000000"/>
          <w:sz w:val="22"/>
          <w:szCs w:val="22"/>
          <w:lang w:val="es-CO" w:eastAsia="en-US"/>
        </w:rPr>
        <w:t>asc</w:t>
      </w:r>
      <w:r w:rsidR="00876B19" w:rsidRPr="00A21B5C">
        <w:rPr>
          <w:rFonts w:ascii="Arial" w:eastAsia="Times New Roman" w:hAnsi="Arial" w:cs="Arial"/>
          <w:color w:val="000000"/>
          <w:sz w:val="22"/>
          <w:szCs w:val="22"/>
          <w:lang w:val="es-CO" w:eastAsia="en-US"/>
        </w:rPr>
        <w:t xml:space="preserve">iende </w:t>
      </w:r>
      <w:r w:rsidR="008C2E4A" w:rsidRPr="00A21B5C">
        <w:rPr>
          <w:rFonts w:ascii="Arial" w:eastAsia="Times New Roman" w:hAnsi="Arial" w:cs="Arial"/>
          <w:color w:val="000000"/>
          <w:sz w:val="22"/>
          <w:szCs w:val="22"/>
          <w:lang w:val="es-CO" w:eastAsia="en-US"/>
        </w:rPr>
        <w:t xml:space="preserve">a $1.068.228.230. Lo anterior, </w:t>
      </w:r>
      <w:r w:rsidR="00933FF6" w:rsidRPr="00A21B5C">
        <w:rPr>
          <w:rFonts w:ascii="Arial" w:eastAsia="Times New Roman" w:hAnsi="Arial" w:cs="Arial"/>
          <w:color w:val="000000"/>
          <w:sz w:val="22"/>
          <w:szCs w:val="22"/>
          <w:lang w:val="es-CO" w:eastAsia="en-US"/>
        </w:rPr>
        <w:t xml:space="preserve">resulta </w:t>
      </w:r>
      <w:r w:rsidR="008C2E4A" w:rsidRPr="00A21B5C">
        <w:rPr>
          <w:rFonts w:ascii="Arial" w:eastAsia="Times New Roman" w:hAnsi="Arial" w:cs="Arial"/>
          <w:color w:val="000000"/>
          <w:sz w:val="22"/>
          <w:szCs w:val="22"/>
          <w:lang w:val="es-CO" w:eastAsia="en-US"/>
        </w:rPr>
        <w:t>inconsistente presupuestalmente dado que estos son recursos ya comprometidos en su totalidad.</w:t>
      </w:r>
    </w:p>
    <w:p w:rsidR="00100E0D" w:rsidRPr="00A21B5C" w:rsidRDefault="008C2E4A" w:rsidP="00A21B5C">
      <w:pPr>
        <w:ind w:left="708"/>
        <w:contextualSpacing/>
        <w:jc w:val="both"/>
        <w:rPr>
          <w:rFonts w:ascii="Arial" w:hAnsi="Arial" w:cs="Arial"/>
          <w:sz w:val="22"/>
          <w:szCs w:val="22"/>
          <w:lang w:val="es-CO"/>
        </w:rPr>
      </w:pPr>
      <w:r w:rsidRPr="00A21B5C">
        <w:rPr>
          <w:rFonts w:ascii="Arial" w:eastAsia="Times New Roman" w:hAnsi="Arial" w:cs="Arial"/>
          <w:color w:val="000000"/>
          <w:sz w:val="22"/>
          <w:szCs w:val="22"/>
          <w:lang w:val="es-CO" w:eastAsia="en-US"/>
        </w:rPr>
        <w:t>De manera particular, se determinó que el valor de</w:t>
      </w:r>
      <w:r w:rsidR="006D6F88" w:rsidRPr="00A21B5C">
        <w:rPr>
          <w:rFonts w:ascii="Arial" w:eastAsia="Times New Roman" w:hAnsi="Arial" w:cs="Arial"/>
          <w:color w:val="000000"/>
          <w:sz w:val="22"/>
          <w:szCs w:val="22"/>
          <w:lang w:val="es-CO" w:eastAsia="en-US"/>
        </w:rPr>
        <w:t xml:space="preserve"> </w:t>
      </w:r>
      <w:r w:rsidRPr="00A21B5C">
        <w:rPr>
          <w:rFonts w:ascii="Arial" w:eastAsia="Times New Roman" w:hAnsi="Arial" w:cs="Arial"/>
          <w:color w:val="000000"/>
          <w:sz w:val="22"/>
          <w:szCs w:val="22"/>
          <w:lang w:val="es-CO" w:eastAsia="en-US"/>
        </w:rPr>
        <w:t>l</w:t>
      </w:r>
      <w:r w:rsidR="006D6F88" w:rsidRPr="00A21B5C">
        <w:rPr>
          <w:rFonts w:ascii="Arial" w:eastAsia="Times New Roman" w:hAnsi="Arial" w:cs="Arial"/>
          <w:color w:val="000000"/>
          <w:sz w:val="22"/>
          <w:szCs w:val="22"/>
          <w:lang w:val="es-CO" w:eastAsia="en-US"/>
        </w:rPr>
        <w:t>os</w:t>
      </w:r>
      <w:r w:rsidRPr="00A21B5C">
        <w:rPr>
          <w:rFonts w:ascii="Arial" w:eastAsia="Times New Roman" w:hAnsi="Arial" w:cs="Arial"/>
          <w:color w:val="000000"/>
          <w:sz w:val="22"/>
          <w:szCs w:val="22"/>
          <w:lang w:val="es-CO" w:eastAsia="en-US"/>
        </w:rPr>
        <w:t xml:space="preserve"> compromiso</w:t>
      </w:r>
      <w:r w:rsidR="006D6F88" w:rsidRPr="00A21B5C">
        <w:rPr>
          <w:rFonts w:ascii="Arial" w:eastAsia="Times New Roman" w:hAnsi="Arial" w:cs="Arial"/>
          <w:color w:val="000000"/>
          <w:sz w:val="22"/>
          <w:szCs w:val="22"/>
          <w:lang w:val="es-CO" w:eastAsia="en-US"/>
        </w:rPr>
        <w:t>s</w:t>
      </w:r>
      <w:r w:rsidRPr="00A21B5C">
        <w:rPr>
          <w:rFonts w:ascii="Arial" w:eastAsia="Times New Roman" w:hAnsi="Arial" w:cs="Arial"/>
          <w:color w:val="000000"/>
          <w:sz w:val="22"/>
          <w:szCs w:val="22"/>
          <w:lang w:val="es-CO" w:eastAsia="en-US"/>
        </w:rPr>
        <w:t xml:space="preserve"> de la </w:t>
      </w:r>
      <w:r w:rsidR="00A24D50" w:rsidRPr="00A21B5C">
        <w:rPr>
          <w:rFonts w:ascii="Arial" w:eastAsia="Times New Roman" w:hAnsi="Arial" w:cs="Arial"/>
          <w:color w:val="000000"/>
          <w:sz w:val="22"/>
          <w:szCs w:val="22"/>
          <w:lang w:val="es-CO" w:eastAsia="en-US"/>
        </w:rPr>
        <w:t>r</w:t>
      </w:r>
      <w:r w:rsidRPr="00A21B5C">
        <w:rPr>
          <w:rFonts w:ascii="Arial" w:eastAsia="Times New Roman" w:hAnsi="Arial" w:cs="Arial"/>
          <w:color w:val="000000"/>
          <w:sz w:val="22"/>
          <w:szCs w:val="22"/>
          <w:lang w:val="es-CO" w:eastAsia="en-US"/>
        </w:rPr>
        <w:t xml:space="preserve">eserva </w:t>
      </w:r>
      <w:r w:rsidR="00A24D50" w:rsidRPr="00A21B5C">
        <w:rPr>
          <w:rFonts w:ascii="Arial" w:eastAsia="Times New Roman" w:hAnsi="Arial" w:cs="Arial"/>
          <w:color w:val="000000"/>
          <w:sz w:val="22"/>
          <w:szCs w:val="22"/>
          <w:lang w:val="es-CO" w:eastAsia="en-US"/>
        </w:rPr>
        <w:t>p</w:t>
      </w:r>
      <w:r w:rsidRPr="00A21B5C">
        <w:rPr>
          <w:rFonts w:ascii="Arial" w:eastAsia="Times New Roman" w:hAnsi="Arial" w:cs="Arial"/>
          <w:color w:val="000000"/>
          <w:sz w:val="22"/>
          <w:szCs w:val="22"/>
          <w:lang w:val="es-CO" w:eastAsia="en-US"/>
        </w:rPr>
        <w:t xml:space="preserve">resupuestal de la vigencia 2016, </w:t>
      </w:r>
      <w:r w:rsidRPr="00A21B5C">
        <w:rPr>
          <w:rFonts w:ascii="Arial" w:hAnsi="Arial" w:cs="Arial"/>
          <w:sz w:val="22"/>
          <w:szCs w:val="22"/>
          <w:lang w:val="es-CO"/>
        </w:rPr>
        <w:t>correspondió a lo obligado y autorizado para pago ($1.068</w:t>
      </w:r>
      <w:r w:rsidRPr="00A21B5C">
        <w:rPr>
          <w:rFonts w:ascii="Arial" w:hAnsi="Arial" w:cs="Arial"/>
          <w:sz w:val="22"/>
          <w:szCs w:val="20"/>
          <w:lang w:val="es-CO"/>
        </w:rPr>
        <w:t>.3228.230 de $1.103.852.937 de reservas</w:t>
      </w:r>
      <w:r w:rsidRPr="00A21B5C">
        <w:rPr>
          <w:rFonts w:ascii="Arial" w:hAnsi="Arial" w:cs="Arial"/>
          <w:sz w:val="22"/>
          <w:szCs w:val="22"/>
          <w:lang w:val="es-CO"/>
        </w:rPr>
        <w:t>). Así mismo, se determinó que aun cuando fueron obligados y autorizados tales pagos, estos no fueron pagados en su totalidad durante la vigencia (solo $629.311.371 de $1.068.228.230 obligados), quedando así un remanente de reservas no obligadas por $35.624.707</w:t>
      </w:r>
      <w:r w:rsidRPr="00A21B5C">
        <w:rPr>
          <w:rStyle w:val="Refdenotaalpie"/>
          <w:rFonts w:ascii="Arial" w:hAnsi="Arial" w:cs="Arial"/>
          <w:sz w:val="22"/>
          <w:szCs w:val="22"/>
          <w:lang w:val="es-CO"/>
        </w:rPr>
        <w:footnoteReference w:id="15"/>
      </w:r>
      <w:r w:rsidRPr="00A21B5C">
        <w:rPr>
          <w:rFonts w:ascii="Arial" w:hAnsi="Arial" w:cs="Arial"/>
          <w:sz w:val="22"/>
          <w:szCs w:val="22"/>
          <w:lang w:val="es-CO"/>
        </w:rPr>
        <w:t xml:space="preserve"> y un remanente de reservas por pagar por valor de $438.916.858.</w:t>
      </w:r>
    </w:p>
    <w:p w:rsidR="00100E0D" w:rsidRPr="00A21B5C" w:rsidRDefault="00100E0D" w:rsidP="00A21B5C">
      <w:pPr>
        <w:ind w:left="708"/>
        <w:contextualSpacing/>
        <w:jc w:val="both"/>
        <w:rPr>
          <w:rFonts w:ascii="Arial" w:eastAsia="Times New Roman" w:hAnsi="Arial" w:cs="Arial"/>
          <w:color w:val="000000"/>
          <w:sz w:val="22"/>
          <w:szCs w:val="22"/>
          <w:highlight w:val="lightGray"/>
          <w:lang w:val="es-CO" w:eastAsia="en-US"/>
        </w:rPr>
      </w:pPr>
    </w:p>
    <w:p w:rsidR="00FA0A86" w:rsidRPr="00A21B5C" w:rsidRDefault="008C2E4A">
      <w:pPr>
        <w:pStyle w:val="Prrafodelista"/>
        <w:numPr>
          <w:ilvl w:val="0"/>
          <w:numId w:val="2"/>
        </w:numPr>
        <w:jc w:val="both"/>
        <w:rPr>
          <w:rFonts w:ascii="Arial" w:hAnsi="Arial" w:cs="Arial"/>
          <w:b/>
          <w:lang w:val="es-CO"/>
        </w:rPr>
      </w:pPr>
      <w:r w:rsidRPr="00A21B5C">
        <w:rPr>
          <w:rFonts w:ascii="Arial" w:hAnsi="Arial" w:cs="Arial"/>
          <w:sz w:val="22"/>
          <w:szCs w:val="22"/>
          <w:lang w:val="es-CO"/>
        </w:rPr>
        <w:t xml:space="preserve">Se inspeccionó el Acto Administrativo de </w:t>
      </w:r>
      <w:r w:rsidR="00A24D50" w:rsidRPr="00A21B5C">
        <w:rPr>
          <w:rFonts w:ascii="Arial" w:hAnsi="Arial" w:cs="Arial"/>
          <w:sz w:val="22"/>
          <w:szCs w:val="22"/>
          <w:lang w:val="es-CO"/>
        </w:rPr>
        <w:t>C</w:t>
      </w:r>
      <w:r w:rsidRPr="00A21B5C">
        <w:rPr>
          <w:rFonts w:ascii="Arial" w:hAnsi="Arial" w:cs="Arial"/>
          <w:sz w:val="22"/>
          <w:szCs w:val="22"/>
          <w:lang w:val="es-CO"/>
        </w:rPr>
        <w:t xml:space="preserve">onstitución de </w:t>
      </w:r>
      <w:r w:rsidR="00A24D50" w:rsidRPr="00A21B5C">
        <w:rPr>
          <w:rFonts w:ascii="Arial" w:hAnsi="Arial" w:cs="Arial"/>
          <w:sz w:val="22"/>
          <w:szCs w:val="22"/>
          <w:lang w:val="es-CO"/>
        </w:rPr>
        <w:t>Reservas y C</w:t>
      </w:r>
      <w:r w:rsidRPr="00A21B5C">
        <w:rPr>
          <w:rFonts w:ascii="Arial" w:hAnsi="Arial" w:cs="Arial"/>
          <w:sz w:val="22"/>
          <w:szCs w:val="22"/>
          <w:lang w:val="es-CO"/>
        </w:rPr>
        <w:t xml:space="preserve">uentas por </w:t>
      </w:r>
      <w:r w:rsidR="00A24D50" w:rsidRPr="00A21B5C">
        <w:rPr>
          <w:rFonts w:ascii="Arial" w:hAnsi="Arial" w:cs="Arial"/>
          <w:sz w:val="22"/>
          <w:szCs w:val="22"/>
          <w:lang w:val="es-CO"/>
        </w:rPr>
        <w:t>P</w:t>
      </w:r>
      <w:r w:rsidRPr="00A21B5C">
        <w:rPr>
          <w:rFonts w:ascii="Arial" w:hAnsi="Arial" w:cs="Arial"/>
          <w:sz w:val="22"/>
          <w:szCs w:val="22"/>
          <w:lang w:val="es-CO"/>
        </w:rPr>
        <w:t>agar de la vigencia 2017</w:t>
      </w:r>
      <w:r w:rsidR="00F7012C" w:rsidRPr="00A21B5C">
        <w:rPr>
          <w:rFonts w:ascii="Arial" w:hAnsi="Arial" w:cs="Arial"/>
          <w:sz w:val="22"/>
          <w:szCs w:val="22"/>
          <w:lang w:val="es-CO"/>
        </w:rPr>
        <w:t xml:space="preserve"> </w:t>
      </w:r>
      <w:r w:rsidRPr="00A21B5C">
        <w:rPr>
          <w:rFonts w:ascii="Arial" w:hAnsi="Arial" w:cs="Arial"/>
          <w:sz w:val="22"/>
          <w:szCs w:val="22"/>
          <w:lang w:val="es-CO"/>
        </w:rPr>
        <w:t xml:space="preserve">expedido por el Municipio, evidenciándose que las cuentas por pagar ascendieron en </w:t>
      </w:r>
      <w:r w:rsidR="00F627E9" w:rsidRPr="00A21B5C">
        <w:rPr>
          <w:rFonts w:ascii="Arial" w:hAnsi="Arial" w:cs="Arial"/>
          <w:sz w:val="22"/>
          <w:szCs w:val="22"/>
          <w:lang w:val="es-CO"/>
        </w:rPr>
        <w:t>s</w:t>
      </w:r>
      <w:r w:rsidRPr="00A21B5C">
        <w:rPr>
          <w:rFonts w:ascii="Arial" w:hAnsi="Arial" w:cs="Arial"/>
          <w:sz w:val="22"/>
          <w:szCs w:val="22"/>
          <w:lang w:val="es-CO"/>
        </w:rPr>
        <w:t>u totalidad a $638.916.858</w:t>
      </w:r>
      <w:r w:rsidR="005F3F06" w:rsidRPr="00A21B5C">
        <w:rPr>
          <w:rFonts w:ascii="Arial" w:hAnsi="Arial" w:cs="Arial"/>
          <w:sz w:val="22"/>
          <w:szCs w:val="22"/>
          <w:lang w:val="es-CO"/>
        </w:rPr>
        <w:t>, e</w:t>
      </w:r>
      <w:r w:rsidR="000966A1" w:rsidRPr="00A21B5C">
        <w:rPr>
          <w:rFonts w:ascii="Arial" w:hAnsi="Arial" w:cs="Arial"/>
          <w:sz w:val="22"/>
          <w:szCs w:val="22"/>
          <w:lang w:val="es-CO"/>
        </w:rPr>
        <w:t xml:space="preserve">ste valor difiere de </w:t>
      </w:r>
      <w:r w:rsidRPr="00A21B5C">
        <w:rPr>
          <w:rFonts w:ascii="Arial" w:hAnsi="Arial" w:cs="Arial"/>
          <w:sz w:val="22"/>
          <w:szCs w:val="22"/>
          <w:lang w:val="es-CO"/>
        </w:rPr>
        <w:t>las cuentas por pagar</w:t>
      </w:r>
      <w:r w:rsidR="00B05CB0" w:rsidRPr="00A21B5C">
        <w:rPr>
          <w:rFonts w:ascii="Arial" w:hAnsi="Arial" w:cs="Arial"/>
          <w:sz w:val="22"/>
          <w:szCs w:val="22"/>
          <w:lang w:val="es-CO"/>
        </w:rPr>
        <w:t xml:space="preserve"> por $200.000.000</w:t>
      </w:r>
      <w:r w:rsidRPr="00A21B5C">
        <w:rPr>
          <w:rFonts w:ascii="Arial" w:hAnsi="Arial" w:cs="Arial"/>
          <w:sz w:val="22"/>
          <w:szCs w:val="22"/>
          <w:lang w:val="es-CO"/>
        </w:rPr>
        <w:t xml:space="preserve"> determinadas </w:t>
      </w:r>
      <w:r w:rsidR="007E15E4" w:rsidRPr="00A21B5C">
        <w:rPr>
          <w:rFonts w:ascii="Arial" w:hAnsi="Arial" w:cs="Arial"/>
          <w:sz w:val="22"/>
          <w:szCs w:val="22"/>
          <w:lang w:val="es-CO"/>
        </w:rPr>
        <w:t xml:space="preserve">a partir de la revisión de los contratos </w:t>
      </w:r>
      <w:r w:rsidR="005F3F06" w:rsidRPr="00A21B5C">
        <w:rPr>
          <w:rFonts w:ascii="Arial" w:hAnsi="Arial" w:cs="Arial"/>
          <w:sz w:val="22"/>
          <w:szCs w:val="22"/>
          <w:lang w:val="es-CO"/>
        </w:rPr>
        <w:t xml:space="preserve">en </w:t>
      </w:r>
      <w:r w:rsidR="00A24D50" w:rsidRPr="00A21B5C">
        <w:rPr>
          <w:rFonts w:ascii="Arial" w:hAnsi="Arial" w:cs="Arial"/>
          <w:sz w:val="22"/>
          <w:szCs w:val="22"/>
          <w:lang w:val="es-CO"/>
        </w:rPr>
        <w:t xml:space="preserve">el numeral </w:t>
      </w:r>
      <w:r w:rsidR="005F3F06" w:rsidRPr="00A21B5C">
        <w:rPr>
          <w:rFonts w:ascii="Arial" w:hAnsi="Arial" w:cs="Arial"/>
          <w:sz w:val="22"/>
          <w:szCs w:val="22"/>
          <w:lang w:val="es-CO"/>
        </w:rPr>
        <w:t>(3</w:t>
      </w:r>
      <w:r w:rsidR="00B05CB0" w:rsidRPr="00A21B5C">
        <w:rPr>
          <w:rFonts w:ascii="Arial" w:hAnsi="Arial" w:cs="Arial"/>
          <w:sz w:val="22"/>
          <w:szCs w:val="22"/>
          <w:lang w:val="es-CO"/>
        </w:rPr>
        <w:t>)</w:t>
      </w:r>
      <w:r w:rsidR="005F3F06" w:rsidRPr="00A21B5C">
        <w:rPr>
          <w:rFonts w:ascii="Arial" w:hAnsi="Arial" w:cs="Arial"/>
          <w:sz w:val="22"/>
          <w:szCs w:val="22"/>
          <w:lang w:val="es-CO"/>
        </w:rPr>
        <w:t xml:space="preserve">. La diferencia </w:t>
      </w:r>
      <w:r w:rsidRPr="00A21B5C">
        <w:rPr>
          <w:rFonts w:ascii="Arial" w:hAnsi="Arial" w:cs="Arial"/>
          <w:sz w:val="22"/>
          <w:szCs w:val="22"/>
          <w:lang w:val="es-CO"/>
        </w:rPr>
        <w:t>se debió a que la Entidad Territorial no solo constituyó cuentas</w:t>
      </w:r>
      <w:r w:rsidR="00F627E9" w:rsidRPr="00A21B5C">
        <w:rPr>
          <w:rFonts w:ascii="Arial" w:hAnsi="Arial" w:cs="Arial"/>
          <w:sz w:val="22"/>
          <w:szCs w:val="22"/>
          <w:lang w:val="es-CO"/>
        </w:rPr>
        <w:t xml:space="preserve"> por pagar</w:t>
      </w:r>
      <w:r w:rsidRPr="00A21B5C">
        <w:rPr>
          <w:rFonts w:ascii="Arial" w:hAnsi="Arial" w:cs="Arial"/>
          <w:sz w:val="22"/>
          <w:szCs w:val="22"/>
          <w:lang w:val="es-CO"/>
        </w:rPr>
        <w:t xml:space="preserve"> por las obligaciones pendientes de pago por $200.000.000; sino también por las reservas </w:t>
      </w:r>
      <w:r w:rsidR="000539EF" w:rsidRPr="00A21B5C">
        <w:rPr>
          <w:rFonts w:ascii="Arial" w:hAnsi="Arial" w:cs="Arial"/>
          <w:sz w:val="22"/>
          <w:szCs w:val="22"/>
          <w:lang w:val="es-CO"/>
        </w:rPr>
        <w:t xml:space="preserve">de la vigencia </w:t>
      </w:r>
      <w:r w:rsidR="00A55783" w:rsidRPr="00A21B5C">
        <w:rPr>
          <w:rFonts w:ascii="Arial" w:hAnsi="Arial" w:cs="Arial"/>
          <w:sz w:val="22"/>
          <w:szCs w:val="22"/>
          <w:lang w:val="es-CO"/>
        </w:rPr>
        <w:t>2016</w:t>
      </w:r>
      <w:r w:rsidR="00A55783" w:rsidRPr="00A21B5C">
        <w:rPr>
          <w:rFonts w:ascii="Arial" w:hAnsi="Arial" w:cs="Arial"/>
          <w:sz w:val="18"/>
          <w:szCs w:val="18"/>
          <w:vertAlign w:val="superscript"/>
        </w:rPr>
        <w:footnoteReference w:id="16"/>
      </w:r>
      <w:r w:rsidR="00A55783" w:rsidRPr="00A21B5C">
        <w:rPr>
          <w:rFonts w:ascii="Arial" w:hAnsi="Arial" w:cs="Arial"/>
          <w:sz w:val="22"/>
          <w:szCs w:val="22"/>
          <w:vertAlign w:val="superscript"/>
          <w:lang w:val="es-CO"/>
        </w:rPr>
        <w:t xml:space="preserve"> </w:t>
      </w:r>
      <w:r w:rsidRPr="00A21B5C">
        <w:rPr>
          <w:rFonts w:ascii="Arial" w:hAnsi="Arial" w:cs="Arial"/>
          <w:sz w:val="22"/>
          <w:szCs w:val="22"/>
          <w:lang w:val="es-CO"/>
        </w:rPr>
        <w:t xml:space="preserve">obligadas y no pagadas </w:t>
      </w:r>
      <w:r w:rsidR="00AB721D" w:rsidRPr="00A21B5C">
        <w:rPr>
          <w:rFonts w:ascii="Arial" w:hAnsi="Arial" w:cs="Arial"/>
          <w:sz w:val="22"/>
          <w:szCs w:val="22"/>
          <w:lang w:val="es-CO"/>
        </w:rPr>
        <w:t xml:space="preserve">al cierre de </w:t>
      </w:r>
      <w:r w:rsidRPr="00A21B5C">
        <w:rPr>
          <w:rFonts w:ascii="Arial" w:hAnsi="Arial" w:cs="Arial"/>
          <w:sz w:val="22"/>
          <w:szCs w:val="22"/>
          <w:lang w:val="es-CO"/>
        </w:rPr>
        <w:t xml:space="preserve">la vigencia </w:t>
      </w:r>
      <w:r w:rsidR="000539EF" w:rsidRPr="00A21B5C">
        <w:rPr>
          <w:rFonts w:ascii="Arial" w:hAnsi="Arial" w:cs="Arial"/>
          <w:sz w:val="22"/>
          <w:szCs w:val="22"/>
          <w:lang w:val="es-CO"/>
        </w:rPr>
        <w:t xml:space="preserve">2017 </w:t>
      </w:r>
      <w:r w:rsidRPr="00A21B5C">
        <w:rPr>
          <w:rFonts w:ascii="Arial" w:hAnsi="Arial" w:cs="Arial"/>
          <w:sz w:val="22"/>
          <w:szCs w:val="22"/>
          <w:lang w:val="es-CO"/>
        </w:rPr>
        <w:t>por $438.916.858</w:t>
      </w:r>
      <w:r w:rsidR="005421F1" w:rsidRPr="00A21B5C">
        <w:rPr>
          <w:rFonts w:ascii="Arial" w:hAnsi="Arial" w:cs="Arial"/>
          <w:sz w:val="22"/>
          <w:szCs w:val="22"/>
          <w:lang w:val="es-CO"/>
        </w:rPr>
        <w:t>.</w:t>
      </w:r>
      <w:r w:rsidRPr="00A21B5C">
        <w:rPr>
          <w:rFonts w:ascii="Arial" w:hAnsi="Arial" w:cs="Arial"/>
          <w:sz w:val="22"/>
          <w:szCs w:val="22"/>
          <w:lang w:val="es-CO"/>
        </w:rPr>
        <w:t xml:space="preserve"> </w:t>
      </w:r>
      <w:r w:rsidR="00901678" w:rsidRPr="00A21B5C">
        <w:rPr>
          <w:rFonts w:ascii="Arial" w:hAnsi="Arial" w:cs="Arial"/>
          <w:sz w:val="22"/>
          <w:szCs w:val="22"/>
          <w:lang w:val="es-CO"/>
        </w:rPr>
        <w:t>Al respecto, se advierte que estos $438.916.858</w:t>
      </w:r>
      <w:r w:rsidR="00596B78" w:rsidRPr="00A21B5C">
        <w:rPr>
          <w:rFonts w:ascii="Arial" w:hAnsi="Arial" w:cs="Arial"/>
          <w:sz w:val="22"/>
          <w:szCs w:val="22"/>
          <w:lang w:val="es-CO"/>
        </w:rPr>
        <w:t xml:space="preserve"> </w:t>
      </w:r>
      <w:r w:rsidR="00E11E36" w:rsidRPr="00A21B5C">
        <w:rPr>
          <w:rFonts w:ascii="Arial" w:hAnsi="Arial" w:cs="Arial"/>
          <w:sz w:val="22"/>
          <w:szCs w:val="22"/>
          <w:lang w:val="es-CO"/>
        </w:rPr>
        <w:t>de</w:t>
      </w:r>
      <w:r w:rsidR="008C073D" w:rsidRPr="00A21B5C">
        <w:rPr>
          <w:rFonts w:ascii="Arial" w:hAnsi="Arial" w:cs="Arial"/>
          <w:sz w:val="22"/>
          <w:szCs w:val="22"/>
          <w:lang w:val="es-CO"/>
        </w:rPr>
        <w:t>bieron</w:t>
      </w:r>
      <w:r w:rsidR="00E11E36" w:rsidRPr="00A21B5C">
        <w:rPr>
          <w:rFonts w:ascii="Arial" w:hAnsi="Arial" w:cs="Arial"/>
          <w:sz w:val="22"/>
          <w:szCs w:val="22"/>
          <w:lang w:val="es-CO"/>
        </w:rPr>
        <w:t xml:space="preserve"> </w:t>
      </w:r>
      <w:r w:rsidR="0069683D" w:rsidRPr="00A21B5C">
        <w:rPr>
          <w:rFonts w:ascii="Arial" w:hAnsi="Arial" w:cs="Arial"/>
          <w:sz w:val="22"/>
          <w:szCs w:val="22"/>
          <w:lang w:val="es-CO"/>
        </w:rPr>
        <w:t xml:space="preserve">haberse </w:t>
      </w:r>
      <w:r w:rsidR="00E11E36" w:rsidRPr="00A21B5C">
        <w:rPr>
          <w:rFonts w:ascii="Arial" w:hAnsi="Arial" w:cs="Arial"/>
          <w:sz w:val="22"/>
          <w:szCs w:val="22"/>
          <w:lang w:val="es-CO"/>
        </w:rPr>
        <w:t>constitui</w:t>
      </w:r>
      <w:r w:rsidR="0069683D" w:rsidRPr="00A21B5C">
        <w:rPr>
          <w:rFonts w:ascii="Arial" w:hAnsi="Arial" w:cs="Arial"/>
          <w:sz w:val="22"/>
          <w:szCs w:val="22"/>
          <w:lang w:val="es-CO"/>
        </w:rPr>
        <w:t>do</w:t>
      </w:r>
      <w:r w:rsidR="00E11E36" w:rsidRPr="00A21B5C">
        <w:rPr>
          <w:rFonts w:ascii="Arial" w:hAnsi="Arial" w:cs="Arial"/>
          <w:sz w:val="22"/>
          <w:szCs w:val="22"/>
          <w:lang w:val="es-CO"/>
        </w:rPr>
        <w:t xml:space="preserve"> como </w:t>
      </w:r>
      <w:r w:rsidR="00A24D50" w:rsidRPr="00A21B5C">
        <w:rPr>
          <w:rFonts w:ascii="Arial" w:hAnsi="Arial" w:cs="Arial"/>
          <w:sz w:val="22"/>
          <w:szCs w:val="22"/>
          <w:lang w:val="es-CO"/>
        </w:rPr>
        <w:t>p</w:t>
      </w:r>
      <w:r w:rsidR="00FA0A86" w:rsidRPr="00A21B5C">
        <w:rPr>
          <w:rFonts w:ascii="Arial" w:hAnsi="Arial" w:cs="Arial"/>
          <w:sz w:val="22"/>
          <w:szCs w:val="22"/>
          <w:lang w:val="es-CO"/>
        </w:rPr>
        <w:t xml:space="preserve">asivos exigibles - </w:t>
      </w:r>
      <w:r w:rsidR="00A24D50" w:rsidRPr="00A21B5C">
        <w:rPr>
          <w:rFonts w:ascii="Arial" w:hAnsi="Arial" w:cs="Arial"/>
          <w:sz w:val="22"/>
          <w:szCs w:val="22"/>
          <w:lang w:val="es-CO"/>
        </w:rPr>
        <w:t>v</w:t>
      </w:r>
      <w:r w:rsidR="00FA0A86" w:rsidRPr="00A21B5C">
        <w:rPr>
          <w:rFonts w:ascii="Arial" w:hAnsi="Arial" w:cs="Arial"/>
          <w:sz w:val="22"/>
          <w:szCs w:val="22"/>
          <w:lang w:val="es-CO"/>
        </w:rPr>
        <w:t>igencias expiradas</w:t>
      </w:r>
      <w:r w:rsidR="0069683D" w:rsidRPr="00A21B5C">
        <w:rPr>
          <w:rFonts w:ascii="Arial" w:hAnsi="Arial" w:cs="Arial"/>
          <w:sz w:val="22"/>
          <w:szCs w:val="22"/>
          <w:lang w:val="es-CO"/>
        </w:rPr>
        <w:t xml:space="preserve"> y no como cuentas por pagar.</w:t>
      </w:r>
    </w:p>
    <w:p w:rsidR="0078145F" w:rsidRPr="00A21B5C" w:rsidRDefault="0078145F" w:rsidP="00A21B5C">
      <w:pPr>
        <w:pStyle w:val="Textonotapie"/>
        <w:contextualSpacing/>
        <w:jc w:val="both"/>
        <w:rPr>
          <w:rFonts w:ascii="Arial" w:hAnsi="Arial" w:cs="Arial"/>
          <w:b/>
          <w:sz w:val="22"/>
          <w:szCs w:val="22"/>
          <w:lang w:val="es-CO"/>
        </w:rPr>
      </w:pPr>
    </w:p>
    <w:p w:rsidR="008C2E4A" w:rsidRPr="00A21B5C" w:rsidRDefault="008C2E4A" w:rsidP="00A21B5C">
      <w:pPr>
        <w:pStyle w:val="Textonotapie"/>
        <w:contextualSpacing/>
        <w:jc w:val="both"/>
        <w:rPr>
          <w:rFonts w:ascii="Arial" w:hAnsi="Arial" w:cs="Arial"/>
          <w:b/>
          <w:sz w:val="22"/>
          <w:szCs w:val="22"/>
          <w:lang w:val="es-CO"/>
        </w:rPr>
      </w:pPr>
      <w:r w:rsidRPr="00A21B5C">
        <w:rPr>
          <w:rFonts w:ascii="Arial" w:hAnsi="Arial" w:cs="Arial"/>
          <w:b/>
          <w:sz w:val="22"/>
          <w:szCs w:val="22"/>
          <w:lang w:val="es-CO"/>
        </w:rPr>
        <w:t>Vigencia 2018:</w:t>
      </w:r>
    </w:p>
    <w:p w:rsidR="001D3120" w:rsidRPr="00A21B5C" w:rsidRDefault="001D3120" w:rsidP="00A21B5C">
      <w:pPr>
        <w:contextualSpacing/>
        <w:jc w:val="both"/>
        <w:rPr>
          <w:rFonts w:ascii="Arial" w:hAnsi="Arial" w:cs="Arial"/>
          <w:b/>
          <w:sz w:val="22"/>
          <w:szCs w:val="22"/>
          <w:highlight w:val="lightGray"/>
          <w:lang w:val="es-CO"/>
        </w:rPr>
      </w:pPr>
    </w:p>
    <w:p w:rsidR="008C2E4A" w:rsidRPr="00A21B5C" w:rsidRDefault="008C2E4A">
      <w:pPr>
        <w:pStyle w:val="Prrafodelista"/>
        <w:numPr>
          <w:ilvl w:val="0"/>
          <w:numId w:val="2"/>
        </w:numPr>
        <w:jc w:val="both"/>
        <w:rPr>
          <w:rFonts w:ascii="Arial" w:eastAsia="Calibri" w:hAnsi="Arial" w:cs="Arial"/>
          <w:sz w:val="22"/>
          <w:szCs w:val="22"/>
          <w:lang w:val="es-CO" w:eastAsia="en-US"/>
        </w:rPr>
      </w:pPr>
      <w:r w:rsidRPr="00A21B5C">
        <w:rPr>
          <w:rFonts w:ascii="Arial" w:eastAsia="Calibri" w:hAnsi="Arial" w:cs="Arial"/>
          <w:sz w:val="22"/>
          <w:szCs w:val="22"/>
          <w:lang w:val="es-CO" w:eastAsia="en-US"/>
        </w:rPr>
        <w:t>S</w:t>
      </w:r>
      <w:r w:rsidRPr="00A21B5C">
        <w:rPr>
          <w:rFonts w:ascii="Arial" w:hAnsi="Arial" w:cs="Arial"/>
          <w:sz w:val="22"/>
          <w:szCs w:val="22"/>
          <w:lang w:val="es-CO"/>
        </w:rPr>
        <w:t xml:space="preserve">e evidenció que el Municipio no incorporó </w:t>
      </w:r>
      <w:r w:rsidR="00C252D1" w:rsidRPr="00A21B5C">
        <w:rPr>
          <w:rFonts w:ascii="Arial" w:hAnsi="Arial" w:cs="Arial"/>
          <w:sz w:val="22"/>
          <w:szCs w:val="22"/>
          <w:lang w:val="es-CO"/>
        </w:rPr>
        <w:t xml:space="preserve">en el presupuesto definitivo </w:t>
      </w:r>
      <w:r w:rsidRPr="00A21B5C">
        <w:rPr>
          <w:rFonts w:ascii="Arial" w:hAnsi="Arial" w:cs="Arial"/>
          <w:sz w:val="22"/>
          <w:szCs w:val="22"/>
          <w:lang w:val="es-CO"/>
        </w:rPr>
        <w:t>la totalidad de recursos asignados efectivamente por el Departamento Nacional de Planeación</w:t>
      </w:r>
      <w:r w:rsidR="00C252D1" w:rsidRPr="00A21B5C">
        <w:rPr>
          <w:rFonts w:ascii="Arial" w:hAnsi="Arial" w:cs="Arial"/>
          <w:sz w:val="22"/>
          <w:szCs w:val="22"/>
          <w:lang w:val="es-CO"/>
        </w:rPr>
        <w:t>.</w:t>
      </w:r>
      <w:r w:rsidRPr="00A21B5C">
        <w:rPr>
          <w:rFonts w:ascii="Arial" w:hAnsi="Arial" w:cs="Arial"/>
          <w:sz w:val="22"/>
          <w:szCs w:val="22"/>
          <w:lang w:val="es-CO"/>
        </w:rPr>
        <w:t xml:space="preserve"> </w:t>
      </w:r>
      <w:r w:rsidRPr="00A21B5C">
        <w:rPr>
          <w:rFonts w:ascii="Arial" w:eastAsia="Calibri" w:hAnsi="Arial" w:cs="Arial"/>
          <w:sz w:val="22"/>
          <w:szCs w:val="22"/>
          <w:lang w:val="es-CO" w:eastAsia="en-US"/>
        </w:rPr>
        <w:t xml:space="preserve">No obstante, se </w:t>
      </w:r>
      <w:r w:rsidR="0046177F" w:rsidRPr="00A21B5C">
        <w:rPr>
          <w:rFonts w:ascii="Arial" w:eastAsia="Calibri" w:hAnsi="Arial" w:cs="Arial"/>
          <w:sz w:val="22"/>
          <w:szCs w:val="22"/>
          <w:lang w:val="es-CO" w:eastAsia="en-US"/>
        </w:rPr>
        <w:t xml:space="preserve">evidenció </w:t>
      </w:r>
      <w:r w:rsidRPr="00A21B5C">
        <w:rPr>
          <w:rFonts w:ascii="Arial" w:eastAsia="Calibri" w:hAnsi="Arial" w:cs="Arial"/>
          <w:sz w:val="22"/>
          <w:szCs w:val="22"/>
          <w:lang w:val="es-CO" w:eastAsia="en-US"/>
        </w:rPr>
        <w:t xml:space="preserve">que la Entidad Territorial </w:t>
      </w:r>
      <w:r w:rsidR="00E068AE" w:rsidRPr="00A21B5C">
        <w:rPr>
          <w:rFonts w:ascii="Arial" w:eastAsia="Calibri" w:hAnsi="Arial" w:cs="Arial"/>
          <w:sz w:val="22"/>
          <w:szCs w:val="22"/>
          <w:lang w:val="es-CO" w:eastAsia="en-US"/>
        </w:rPr>
        <w:t xml:space="preserve">registró </w:t>
      </w:r>
      <w:r w:rsidR="00F40AA3" w:rsidRPr="00A21B5C">
        <w:rPr>
          <w:rFonts w:ascii="Arial" w:eastAsia="Calibri" w:hAnsi="Arial" w:cs="Arial"/>
          <w:sz w:val="22"/>
          <w:szCs w:val="22"/>
          <w:lang w:val="es-CO" w:eastAsia="en-US"/>
        </w:rPr>
        <w:t xml:space="preserve">en el recaudo </w:t>
      </w:r>
      <w:r w:rsidRPr="00A21B5C">
        <w:rPr>
          <w:rFonts w:ascii="Arial" w:eastAsia="Calibri" w:hAnsi="Arial" w:cs="Arial"/>
          <w:sz w:val="22"/>
          <w:szCs w:val="22"/>
          <w:lang w:val="es-CO" w:eastAsia="en-US"/>
        </w:rPr>
        <w:t xml:space="preserve">dentro de su ejecución presupuestal el </w:t>
      </w:r>
      <w:r w:rsidR="0078145F" w:rsidRPr="00A21B5C">
        <w:rPr>
          <w:rFonts w:ascii="Arial" w:eastAsia="Calibri" w:hAnsi="Arial" w:cs="Arial"/>
          <w:sz w:val="22"/>
          <w:szCs w:val="22"/>
          <w:lang w:val="es-CO" w:eastAsia="en-US"/>
        </w:rPr>
        <w:t xml:space="preserve">monto total </w:t>
      </w:r>
      <w:r w:rsidRPr="00A21B5C">
        <w:rPr>
          <w:rFonts w:ascii="Arial" w:eastAsia="Calibri" w:hAnsi="Arial" w:cs="Arial"/>
          <w:sz w:val="22"/>
          <w:szCs w:val="22"/>
          <w:lang w:val="es-CO" w:eastAsia="en-US"/>
        </w:rPr>
        <w:t xml:space="preserve">de los recursos </w:t>
      </w:r>
      <w:r w:rsidR="0078145F" w:rsidRPr="00A21B5C">
        <w:rPr>
          <w:rFonts w:ascii="Arial" w:eastAsia="Calibri" w:hAnsi="Arial" w:cs="Arial"/>
          <w:sz w:val="22"/>
          <w:szCs w:val="22"/>
          <w:lang w:val="es-CO" w:eastAsia="en-US"/>
        </w:rPr>
        <w:t>asign</w:t>
      </w:r>
      <w:r w:rsidRPr="00A21B5C">
        <w:rPr>
          <w:rFonts w:ascii="Arial" w:eastAsia="Calibri" w:hAnsi="Arial" w:cs="Arial"/>
          <w:sz w:val="22"/>
          <w:szCs w:val="22"/>
          <w:lang w:val="es-CO" w:eastAsia="en-US"/>
        </w:rPr>
        <w:t xml:space="preserve">ados durante la vigencia, el cual se corroboró con el valor de giros consultado en la Plataforma de Giros del Ministerio de Hacienda y Crédito Público, evidenciando que la Entidad </w:t>
      </w:r>
      <w:r w:rsidRPr="00A21B5C">
        <w:rPr>
          <w:rFonts w:ascii="Arial" w:eastAsia="Calibri" w:hAnsi="Arial" w:cs="Arial"/>
          <w:sz w:val="22"/>
          <w:szCs w:val="22"/>
          <w:lang w:val="es-CO" w:eastAsia="en-US"/>
        </w:rPr>
        <w:lastRenderedPageBreak/>
        <w:t xml:space="preserve">Territorial </w:t>
      </w:r>
      <w:r w:rsidR="00815AE0" w:rsidRPr="00A21B5C">
        <w:rPr>
          <w:rFonts w:ascii="Arial" w:eastAsia="Calibri" w:hAnsi="Arial" w:cs="Arial"/>
          <w:sz w:val="22"/>
          <w:szCs w:val="22"/>
          <w:lang w:val="es-CO" w:eastAsia="en-US"/>
        </w:rPr>
        <w:t xml:space="preserve">registró </w:t>
      </w:r>
      <w:r w:rsidRPr="00A21B5C">
        <w:rPr>
          <w:rFonts w:ascii="Arial" w:eastAsia="Calibri" w:hAnsi="Arial" w:cs="Arial"/>
          <w:sz w:val="22"/>
          <w:szCs w:val="22"/>
          <w:lang w:val="es-CO" w:eastAsia="en-US"/>
        </w:rPr>
        <w:t>el recaudo total de la asignación corriente, teniendo disponibilidad del 100</w:t>
      </w:r>
      <w:r w:rsidR="00A24D50" w:rsidRPr="00A21B5C">
        <w:rPr>
          <w:rFonts w:ascii="Arial" w:eastAsia="Calibri" w:hAnsi="Arial" w:cs="Arial"/>
          <w:sz w:val="22"/>
          <w:szCs w:val="22"/>
          <w:lang w:val="es-CO" w:eastAsia="en-US"/>
        </w:rPr>
        <w:t xml:space="preserve"> </w:t>
      </w:r>
      <w:r w:rsidRPr="00A21B5C">
        <w:rPr>
          <w:rFonts w:ascii="Arial" w:eastAsia="Calibri" w:hAnsi="Arial" w:cs="Arial"/>
          <w:sz w:val="22"/>
          <w:szCs w:val="22"/>
          <w:lang w:val="es-CO" w:eastAsia="en-US"/>
        </w:rPr>
        <w:t>% de los recursos que le fueron asignados.</w:t>
      </w:r>
    </w:p>
    <w:p w:rsidR="00BD27F8" w:rsidRPr="00A21B5C" w:rsidRDefault="00BD27F8">
      <w:pPr>
        <w:pStyle w:val="Prrafodelista"/>
        <w:jc w:val="both"/>
        <w:rPr>
          <w:rFonts w:ascii="Arial" w:eastAsia="Calibri" w:hAnsi="Arial" w:cs="Arial"/>
          <w:sz w:val="22"/>
          <w:szCs w:val="22"/>
          <w:lang w:val="es-CO" w:eastAsia="en-US"/>
        </w:rPr>
      </w:pPr>
    </w:p>
    <w:p w:rsidR="00347762" w:rsidRPr="00A21B5C" w:rsidRDefault="0024605B" w:rsidP="00A21B5C">
      <w:pPr>
        <w:pStyle w:val="Textonotapie"/>
        <w:numPr>
          <w:ilvl w:val="0"/>
          <w:numId w:val="2"/>
        </w:numPr>
        <w:contextualSpacing/>
        <w:jc w:val="both"/>
        <w:rPr>
          <w:rFonts w:ascii="Arial" w:hAnsi="Arial" w:cs="Arial"/>
          <w:sz w:val="22"/>
          <w:szCs w:val="22"/>
          <w:lang w:val="es-CO"/>
        </w:rPr>
      </w:pPr>
      <w:r w:rsidRPr="00A21B5C">
        <w:rPr>
          <w:rFonts w:ascii="Arial" w:hAnsi="Arial" w:cs="Arial"/>
          <w:sz w:val="22"/>
          <w:szCs w:val="22"/>
          <w:lang w:val="es-CO"/>
        </w:rPr>
        <w:t>S</w:t>
      </w:r>
      <w:r w:rsidR="008C2E4A" w:rsidRPr="00A21B5C">
        <w:rPr>
          <w:rFonts w:ascii="Arial" w:hAnsi="Arial" w:cs="Arial"/>
          <w:sz w:val="22"/>
          <w:szCs w:val="22"/>
          <w:lang w:val="es-CO"/>
        </w:rPr>
        <w:t>e observó que dentro de la Ejecución Presupuestal de Gastos se contin</w:t>
      </w:r>
      <w:r w:rsidR="0046177F" w:rsidRPr="00A21B5C">
        <w:rPr>
          <w:rFonts w:ascii="Arial" w:hAnsi="Arial" w:cs="Arial"/>
          <w:sz w:val="22"/>
          <w:szCs w:val="22"/>
          <w:lang w:val="es-CO"/>
        </w:rPr>
        <w:t>ú</w:t>
      </w:r>
      <w:r w:rsidR="008C2E4A" w:rsidRPr="00A21B5C">
        <w:rPr>
          <w:rFonts w:ascii="Arial" w:hAnsi="Arial" w:cs="Arial"/>
          <w:sz w:val="22"/>
          <w:szCs w:val="22"/>
          <w:lang w:val="es-CO"/>
        </w:rPr>
        <w:t xml:space="preserve">a con la integración de un rubro para el manejo de las </w:t>
      </w:r>
      <w:r w:rsidR="008C2E4A" w:rsidRPr="00A21B5C">
        <w:rPr>
          <w:rFonts w:ascii="Arial" w:hAnsi="Arial" w:cs="Arial"/>
          <w:bCs/>
          <w:iCs/>
          <w:sz w:val="22"/>
          <w:szCs w:val="22"/>
          <w:lang w:val="es-CO"/>
        </w:rPr>
        <w:t>Reservas Presupuestales de vigencias anteriores</w:t>
      </w:r>
      <w:r w:rsidR="008C2E4A" w:rsidRPr="00A21B5C">
        <w:rPr>
          <w:rStyle w:val="Refdenotaalpie"/>
          <w:rFonts w:ascii="Arial" w:hAnsi="Arial" w:cs="Arial"/>
          <w:bCs/>
          <w:iCs/>
          <w:sz w:val="22"/>
          <w:szCs w:val="22"/>
          <w:lang w:val="es-CO"/>
        </w:rPr>
        <w:footnoteReference w:id="17"/>
      </w:r>
      <w:r w:rsidR="008C2E4A" w:rsidRPr="00A21B5C">
        <w:rPr>
          <w:rFonts w:ascii="Arial" w:hAnsi="Arial" w:cs="Arial"/>
          <w:bCs/>
          <w:sz w:val="22"/>
          <w:szCs w:val="22"/>
          <w:lang w:val="es-CO"/>
        </w:rPr>
        <w:t xml:space="preserve"> por $16.206.847, corroborándose, como se mencionó anteriormente que, estas correspondieron al </w:t>
      </w:r>
      <w:r w:rsidR="008C2E4A" w:rsidRPr="00A21B5C">
        <w:rPr>
          <w:rFonts w:ascii="Arial" w:hAnsi="Arial" w:cs="Arial"/>
          <w:bCs/>
          <w:iCs/>
          <w:sz w:val="22"/>
          <w:szCs w:val="22"/>
          <w:lang w:val="es-CO"/>
        </w:rPr>
        <w:t>Pasivo de Vigencias Expiradas</w:t>
      </w:r>
      <w:r w:rsidR="008C2E4A" w:rsidRPr="00A21B5C">
        <w:rPr>
          <w:rFonts w:ascii="Arial" w:hAnsi="Arial" w:cs="Arial"/>
          <w:b/>
          <w:i/>
          <w:sz w:val="22"/>
          <w:szCs w:val="22"/>
          <w:lang w:val="es-CO"/>
        </w:rPr>
        <w:t xml:space="preserve"> </w:t>
      </w:r>
      <w:r w:rsidR="008C2E4A" w:rsidRPr="00A21B5C">
        <w:rPr>
          <w:rFonts w:ascii="Arial" w:hAnsi="Arial" w:cs="Arial"/>
          <w:sz w:val="22"/>
          <w:szCs w:val="22"/>
          <w:lang w:val="es-CO"/>
        </w:rPr>
        <w:t>constituido</w:t>
      </w:r>
      <w:r w:rsidR="008C2E4A" w:rsidRPr="00A21B5C">
        <w:rPr>
          <w:rFonts w:ascii="Arial" w:hAnsi="Arial" w:cs="Arial"/>
          <w:b/>
          <w:i/>
          <w:sz w:val="22"/>
          <w:szCs w:val="22"/>
          <w:lang w:val="es-CO"/>
        </w:rPr>
        <w:t xml:space="preserve"> </w:t>
      </w:r>
      <w:r w:rsidR="008C2E4A" w:rsidRPr="00A21B5C">
        <w:rPr>
          <w:rFonts w:ascii="Arial" w:hAnsi="Arial" w:cs="Arial"/>
          <w:sz w:val="22"/>
          <w:szCs w:val="22"/>
          <w:lang w:val="es-CO"/>
        </w:rPr>
        <w:t>mediante el Decreto 129 de 2018 por este valor</w:t>
      </w:r>
      <w:r w:rsidR="008C2E4A" w:rsidRPr="00A21B5C">
        <w:rPr>
          <w:rStyle w:val="Refdenotaalpie"/>
          <w:rFonts w:ascii="Arial" w:hAnsi="Arial" w:cs="Arial"/>
          <w:sz w:val="22"/>
          <w:szCs w:val="22"/>
          <w:lang w:val="es-CO"/>
        </w:rPr>
        <w:footnoteReference w:id="18"/>
      </w:r>
      <w:r w:rsidR="008C2E4A" w:rsidRPr="00A21B5C">
        <w:rPr>
          <w:rFonts w:ascii="Arial" w:hAnsi="Arial" w:cs="Arial"/>
          <w:sz w:val="22"/>
          <w:szCs w:val="22"/>
          <w:lang w:val="es-CO"/>
        </w:rPr>
        <w:t xml:space="preserve">, a través del cual el compromiso asumido mediante el Contrato de </w:t>
      </w:r>
      <w:r w:rsidR="00A24D50" w:rsidRPr="00A21B5C">
        <w:rPr>
          <w:rFonts w:ascii="Arial" w:hAnsi="Arial" w:cs="Arial"/>
          <w:sz w:val="22"/>
          <w:szCs w:val="22"/>
          <w:lang w:val="es-CO"/>
        </w:rPr>
        <w:t>O</w:t>
      </w:r>
      <w:r w:rsidR="008C2E4A" w:rsidRPr="00A21B5C">
        <w:rPr>
          <w:rFonts w:ascii="Arial" w:hAnsi="Arial" w:cs="Arial"/>
          <w:sz w:val="22"/>
          <w:szCs w:val="22"/>
          <w:lang w:val="es-CO"/>
        </w:rPr>
        <w:t>bra 004 de 2016 para la construcción de 2 bodegas y 1 oficina, culminó los momentos presupuestales de obligación y pago</w:t>
      </w:r>
      <w:r w:rsidR="007D612D" w:rsidRPr="00A21B5C">
        <w:rPr>
          <w:rFonts w:ascii="Arial" w:hAnsi="Arial" w:cs="Arial"/>
          <w:sz w:val="22"/>
          <w:szCs w:val="22"/>
          <w:lang w:val="es-CO"/>
        </w:rPr>
        <w:t>.</w:t>
      </w:r>
    </w:p>
    <w:p w:rsidR="00347762" w:rsidRPr="00A21B5C" w:rsidRDefault="00347762">
      <w:pPr>
        <w:pStyle w:val="Prrafodelista"/>
        <w:rPr>
          <w:rFonts w:ascii="Arial" w:hAnsi="Arial" w:cs="Arial"/>
          <w:sz w:val="22"/>
          <w:szCs w:val="22"/>
          <w:lang w:val="es-CO"/>
        </w:rPr>
      </w:pPr>
    </w:p>
    <w:p w:rsidR="008C2E4A" w:rsidRPr="00A21B5C" w:rsidRDefault="003A10AF" w:rsidP="00A21B5C">
      <w:pPr>
        <w:pStyle w:val="Textonotapie"/>
        <w:ind w:left="720"/>
        <w:contextualSpacing/>
        <w:jc w:val="both"/>
        <w:rPr>
          <w:rFonts w:ascii="Arial" w:hAnsi="Arial" w:cs="Arial"/>
          <w:sz w:val="22"/>
          <w:szCs w:val="22"/>
          <w:lang w:val="es-CO"/>
        </w:rPr>
      </w:pPr>
      <w:r w:rsidRPr="00A21B5C">
        <w:rPr>
          <w:rFonts w:ascii="Arial" w:hAnsi="Arial" w:cs="Arial"/>
          <w:sz w:val="22"/>
          <w:szCs w:val="22"/>
          <w:lang w:val="es-CO"/>
        </w:rPr>
        <w:t>No obstante, teniendo en cuenta el manejo</w:t>
      </w:r>
      <w:r w:rsidR="00604B43" w:rsidRPr="00A21B5C">
        <w:rPr>
          <w:rFonts w:ascii="Arial" w:hAnsi="Arial" w:cs="Arial"/>
          <w:sz w:val="22"/>
          <w:szCs w:val="22"/>
          <w:lang w:val="es-CO"/>
        </w:rPr>
        <w:t xml:space="preserve"> </w:t>
      </w:r>
      <w:r w:rsidRPr="00A21B5C">
        <w:rPr>
          <w:rFonts w:ascii="Arial" w:hAnsi="Arial" w:cs="Arial"/>
          <w:sz w:val="22"/>
          <w:szCs w:val="22"/>
          <w:lang w:val="es-CO"/>
        </w:rPr>
        <w:t>que el Municipio da a las reservas</w:t>
      </w:r>
      <w:r w:rsidR="00106F0E" w:rsidRPr="00A21B5C">
        <w:rPr>
          <w:rFonts w:ascii="Arial" w:hAnsi="Arial" w:cs="Arial"/>
          <w:sz w:val="22"/>
          <w:szCs w:val="22"/>
          <w:lang w:val="es-CO"/>
        </w:rPr>
        <w:t xml:space="preserve"> presupuestales</w:t>
      </w:r>
      <w:r w:rsidRPr="00A21B5C">
        <w:rPr>
          <w:rFonts w:ascii="Arial" w:hAnsi="Arial" w:cs="Arial"/>
          <w:sz w:val="22"/>
          <w:szCs w:val="22"/>
          <w:lang w:val="es-CO"/>
        </w:rPr>
        <w:t>,</w:t>
      </w:r>
      <w:r w:rsidR="0057262F" w:rsidRPr="00A21B5C">
        <w:rPr>
          <w:rFonts w:ascii="Arial" w:hAnsi="Arial" w:cs="Arial"/>
          <w:sz w:val="22"/>
          <w:szCs w:val="22"/>
          <w:lang w:val="es-CO"/>
        </w:rPr>
        <w:t xml:space="preserve"> incorporándolas en el presupuesto de la vigenci</w:t>
      </w:r>
      <w:r w:rsidR="00FC7909" w:rsidRPr="00A21B5C">
        <w:rPr>
          <w:rFonts w:ascii="Arial" w:hAnsi="Arial" w:cs="Arial"/>
          <w:sz w:val="22"/>
          <w:szCs w:val="22"/>
          <w:lang w:val="es-CO"/>
        </w:rPr>
        <w:t>a</w:t>
      </w:r>
      <w:r w:rsidR="0057262F" w:rsidRPr="00A21B5C">
        <w:rPr>
          <w:rFonts w:ascii="Arial" w:hAnsi="Arial" w:cs="Arial"/>
          <w:sz w:val="22"/>
          <w:szCs w:val="22"/>
          <w:lang w:val="es-CO"/>
        </w:rPr>
        <w:t xml:space="preserve"> siguiente</w:t>
      </w:r>
      <w:r w:rsidR="00604B43" w:rsidRPr="00A21B5C">
        <w:rPr>
          <w:rFonts w:ascii="Arial" w:hAnsi="Arial" w:cs="Arial"/>
          <w:sz w:val="22"/>
          <w:szCs w:val="22"/>
          <w:lang w:val="es-CO"/>
        </w:rPr>
        <w:t xml:space="preserve"> a su </w:t>
      </w:r>
      <w:r w:rsidR="00FC7909" w:rsidRPr="00A21B5C">
        <w:rPr>
          <w:rFonts w:ascii="Arial" w:hAnsi="Arial" w:cs="Arial"/>
          <w:sz w:val="22"/>
          <w:szCs w:val="22"/>
          <w:lang w:val="es-CO"/>
        </w:rPr>
        <w:t>constitución</w:t>
      </w:r>
      <w:r w:rsidR="0057262F" w:rsidRPr="00A21B5C">
        <w:rPr>
          <w:rFonts w:ascii="Arial" w:hAnsi="Arial" w:cs="Arial"/>
          <w:sz w:val="22"/>
          <w:szCs w:val="22"/>
          <w:lang w:val="es-CO"/>
        </w:rPr>
        <w:t>,</w:t>
      </w:r>
      <w:r w:rsidRPr="00A21B5C">
        <w:rPr>
          <w:rFonts w:ascii="Arial" w:hAnsi="Arial" w:cs="Arial"/>
          <w:sz w:val="22"/>
          <w:szCs w:val="22"/>
          <w:lang w:val="es-CO"/>
        </w:rPr>
        <w:t xml:space="preserve"> no es claro </w:t>
      </w:r>
      <w:r w:rsidR="00221BF7" w:rsidRPr="00A21B5C">
        <w:rPr>
          <w:rFonts w:ascii="Arial" w:hAnsi="Arial" w:cs="Arial"/>
          <w:sz w:val="22"/>
          <w:szCs w:val="22"/>
          <w:lang w:val="es-CO"/>
        </w:rPr>
        <w:t>el tratamiento que se dio al remanente de $35.624.707 correspondiente a las reservas de 2016 no obligadas en la vigencia 2017, así como a</w:t>
      </w:r>
      <w:r w:rsidR="001733EA" w:rsidRPr="00A21B5C">
        <w:rPr>
          <w:rFonts w:ascii="Arial" w:hAnsi="Arial" w:cs="Arial"/>
          <w:sz w:val="22"/>
          <w:szCs w:val="22"/>
          <w:lang w:val="es-CO"/>
        </w:rPr>
        <w:t xml:space="preserve"> los $83.793.153</w:t>
      </w:r>
      <w:r w:rsidR="006715D9" w:rsidRPr="00A21B5C">
        <w:rPr>
          <w:rFonts w:ascii="Arial" w:hAnsi="Arial" w:cs="Arial"/>
          <w:sz w:val="22"/>
          <w:szCs w:val="22"/>
          <w:lang w:val="es-CO"/>
        </w:rPr>
        <w:t xml:space="preserve"> </w:t>
      </w:r>
      <w:r w:rsidR="00C43350" w:rsidRPr="00A21B5C">
        <w:rPr>
          <w:rFonts w:ascii="Arial" w:hAnsi="Arial" w:cs="Arial"/>
          <w:sz w:val="22"/>
          <w:szCs w:val="22"/>
          <w:lang w:val="es-CO"/>
        </w:rPr>
        <w:t>correspondientes al saldo de las reservas</w:t>
      </w:r>
      <w:r w:rsidR="0050034C" w:rsidRPr="00A21B5C">
        <w:rPr>
          <w:rFonts w:ascii="Arial" w:hAnsi="Arial" w:cs="Arial"/>
          <w:sz w:val="22"/>
          <w:szCs w:val="22"/>
          <w:lang w:val="es-CO"/>
        </w:rPr>
        <w:t xml:space="preserve"> presupuestales</w:t>
      </w:r>
      <w:r w:rsidR="00C43350" w:rsidRPr="00A21B5C">
        <w:rPr>
          <w:rFonts w:ascii="Arial" w:hAnsi="Arial" w:cs="Arial"/>
          <w:sz w:val="22"/>
          <w:szCs w:val="22"/>
          <w:lang w:val="es-CO"/>
        </w:rPr>
        <w:t xml:space="preserve"> </w:t>
      </w:r>
      <w:r w:rsidR="00586C15" w:rsidRPr="00A21B5C">
        <w:rPr>
          <w:rFonts w:ascii="Arial" w:hAnsi="Arial" w:cs="Arial"/>
          <w:sz w:val="22"/>
          <w:szCs w:val="22"/>
          <w:lang w:val="es-CO"/>
        </w:rPr>
        <w:t>constituidas</w:t>
      </w:r>
      <w:r w:rsidR="00C43350" w:rsidRPr="00A21B5C">
        <w:rPr>
          <w:rFonts w:ascii="Arial" w:hAnsi="Arial" w:cs="Arial"/>
          <w:sz w:val="22"/>
          <w:szCs w:val="22"/>
          <w:lang w:val="es-CO"/>
        </w:rPr>
        <w:t xml:space="preserve"> en la vigencia 2017</w:t>
      </w:r>
      <w:r w:rsidR="0057262F" w:rsidRPr="00A21B5C">
        <w:rPr>
          <w:rFonts w:ascii="Arial" w:hAnsi="Arial" w:cs="Arial"/>
          <w:sz w:val="22"/>
          <w:szCs w:val="22"/>
          <w:lang w:val="es-CO"/>
        </w:rPr>
        <w:t>.</w:t>
      </w:r>
    </w:p>
    <w:p w:rsidR="008C2E4A" w:rsidRPr="00A21B5C" w:rsidRDefault="008C2E4A" w:rsidP="00A21B5C">
      <w:pPr>
        <w:contextualSpacing/>
        <w:jc w:val="both"/>
        <w:rPr>
          <w:rFonts w:ascii="Arial" w:hAnsi="Arial" w:cs="Arial"/>
          <w:b/>
          <w:color w:val="FF0000"/>
          <w:sz w:val="22"/>
          <w:szCs w:val="22"/>
          <w:lang w:val="es-CO"/>
        </w:rPr>
      </w:pPr>
    </w:p>
    <w:p w:rsidR="008339CD" w:rsidRPr="00A21B5C" w:rsidRDefault="008339CD" w:rsidP="00A21B5C">
      <w:pPr>
        <w:contextualSpacing/>
        <w:jc w:val="both"/>
        <w:rPr>
          <w:rFonts w:ascii="Arial" w:hAnsi="Arial" w:cs="Arial"/>
          <w:b/>
          <w:sz w:val="22"/>
          <w:szCs w:val="22"/>
          <w:lang w:val="es-CO"/>
        </w:rPr>
      </w:pPr>
      <w:r w:rsidRPr="00A21B5C">
        <w:rPr>
          <w:rFonts w:ascii="Arial" w:hAnsi="Arial" w:cs="Arial"/>
          <w:b/>
          <w:sz w:val="22"/>
          <w:szCs w:val="22"/>
          <w:lang w:val="es-CO"/>
        </w:rPr>
        <w:t>Vigencia 2019:</w:t>
      </w:r>
    </w:p>
    <w:p w:rsidR="008339CD" w:rsidRPr="00A21B5C" w:rsidRDefault="008339CD" w:rsidP="00A21B5C">
      <w:pPr>
        <w:contextualSpacing/>
        <w:jc w:val="both"/>
        <w:rPr>
          <w:rFonts w:ascii="Arial" w:hAnsi="Arial" w:cs="Arial"/>
          <w:b/>
          <w:sz w:val="22"/>
          <w:szCs w:val="22"/>
          <w:lang w:val="es-CO"/>
        </w:rPr>
      </w:pPr>
    </w:p>
    <w:p w:rsidR="008339CD" w:rsidRPr="00A21B5C" w:rsidRDefault="008339CD">
      <w:pPr>
        <w:pStyle w:val="Prrafodelista"/>
        <w:numPr>
          <w:ilvl w:val="0"/>
          <w:numId w:val="2"/>
        </w:numPr>
        <w:jc w:val="both"/>
        <w:rPr>
          <w:rFonts w:ascii="Arial" w:hAnsi="Arial" w:cs="Arial"/>
          <w:sz w:val="22"/>
          <w:szCs w:val="22"/>
          <w:lang w:val="es-CO"/>
        </w:rPr>
      </w:pPr>
      <w:r w:rsidRPr="00A21B5C">
        <w:rPr>
          <w:rFonts w:ascii="Arial" w:hAnsi="Arial" w:cs="Arial"/>
          <w:sz w:val="22"/>
          <w:szCs w:val="22"/>
          <w:lang w:val="es-CO"/>
        </w:rPr>
        <w:t>Se</w:t>
      </w:r>
      <w:r w:rsidR="00E068AE" w:rsidRPr="00A21B5C">
        <w:rPr>
          <w:rFonts w:ascii="Arial" w:hAnsi="Arial" w:cs="Arial"/>
          <w:sz w:val="22"/>
          <w:szCs w:val="22"/>
          <w:lang w:val="es-CO"/>
        </w:rPr>
        <w:t xml:space="preserve"> evidenció</w:t>
      </w:r>
      <w:r w:rsidRPr="00A21B5C">
        <w:rPr>
          <w:rFonts w:ascii="Arial" w:hAnsi="Arial" w:cs="Arial"/>
          <w:sz w:val="22"/>
          <w:szCs w:val="22"/>
          <w:lang w:val="es-CO"/>
        </w:rPr>
        <w:t xml:space="preserve"> que al igual que en la v</w:t>
      </w:r>
      <w:r w:rsidR="00E068AE" w:rsidRPr="00A21B5C">
        <w:rPr>
          <w:rFonts w:ascii="Arial" w:hAnsi="Arial" w:cs="Arial"/>
          <w:sz w:val="22"/>
          <w:szCs w:val="22"/>
          <w:lang w:val="es-CO"/>
        </w:rPr>
        <w:t xml:space="preserve">igencia inmediatamente anterior, </w:t>
      </w:r>
      <w:r w:rsidRPr="00A21B5C">
        <w:rPr>
          <w:rFonts w:ascii="Arial" w:hAnsi="Arial" w:cs="Arial"/>
          <w:sz w:val="22"/>
          <w:szCs w:val="22"/>
          <w:lang w:val="es-CO"/>
        </w:rPr>
        <w:t xml:space="preserve">si bien </w:t>
      </w:r>
      <w:r w:rsidR="00E068AE" w:rsidRPr="00A21B5C">
        <w:rPr>
          <w:rFonts w:ascii="Arial" w:hAnsi="Arial" w:cs="Arial"/>
          <w:sz w:val="22"/>
          <w:szCs w:val="22"/>
          <w:lang w:val="es-CO"/>
        </w:rPr>
        <w:t>la Entidad Territorial reportó dentro de su ejecución presupuestal el recaudo del 100</w:t>
      </w:r>
      <w:r w:rsidR="00A24D50" w:rsidRPr="00A21B5C">
        <w:rPr>
          <w:rFonts w:ascii="Arial" w:hAnsi="Arial" w:cs="Arial"/>
          <w:sz w:val="22"/>
          <w:szCs w:val="22"/>
          <w:lang w:val="es-CO"/>
        </w:rPr>
        <w:t xml:space="preserve"> </w:t>
      </w:r>
      <w:r w:rsidR="00E068AE" w:rsidRPr="00A21B5C">
        <w:rPr>
          <w:rFonts w:ascii="Arial" w:hAnsi="Arial" w:cs="Arial"/>
          <w:sz w:val="22"/>
          <w:szCs w:val="22"/>
          <w:lang w:val="es-CO"/>
        </w:rPr>
        <w:t xml:space="preserve">% de los recursos que le fueron asignados por el Departamento Nacional de Planeación, no ajustó </w:t>
      </w:r>
      <w:r w:rsidR="00741586" w:rsidRPr="00A21B5C">
        <w:rPr>
          <w:rFonts w:ascii="Arial" w:hAnsi="Arial" w:cs="Arial"/>
          <w:sz w:val="22"/>
          <w:szCs w:val="22"/>
          <w:lang w:val="es-CO"/>
        </w:rPr>
        <w:t>el</w:t>
      </w:r>
      <w:r w:rsidR="00E068AE" w:rsidRPr="00A21B5C">
        <w:rPr>
          <w:rFonts w:ascii="Arial" w:hAnsi="Arial" w:cs="Arial"/>
          <w:sz w:val="22"/>
          <w:szCs w:val="22"/>
          <w:lang w:val="es-CO"/>
        </w:rPr>
        <w:t xml:space="preserve"> presupuesto definitivo a dicho valor, observándose una diferencia para la vigencia 2019 de $57.428.965.</w:t>
      </w:r>
    </w:p>
    <w:p w:rsidR="008339CD" w:rsidRPr="00A21B5C" w:rsidRDefault="008339CD">
      <w:pPr>
        <w:pStyle w:val="Prrafodelista"/>
        <w:jc w:val="both"/>
        <w:rPr>
          <w:rFonts w:ascii="Arial" w:hAnsi="Arial" w:cs="Arial"/>
          <w:sz w:val="22"/>
          <w:szCs w:val="22"/>
          <w:lang w:val="es-CO"/>
        </w:rPr>
      </w:pPr>
    </w:p>
    <w:p w:rsidR="008339CD" w:rsidRPr="00A21B5C" w:rsidRDefault="00713739" w:rsidP="00A21B5C">
      <w:pPr>
        <w:pStyle w:val="Prrafodelista"/>
        <w:numPr>
          <w:ilvl w:val="0"/>
          <w:numId w:val="2"/>
        </w:numPr>
        <w:jc w:val="both"/>
        <w:rPr>
          <w:rFonts w:ascii="Arial" w:hAnsi="Arial" w:cs="Arial"/>
          <w:sz w:val="22"/>
          <w:szCs w:val="22"/>
          <w:lang w:val="es-CO"/>
        </w:rPr>
      </w:pPr>
      <w:r w:rsidRPr="00A21B5C">
        <w:rPr>
          <w:rFonts w:ascii="Arial" w:hAnsi="Arial" w:cs="Arial"/>
          <w:sz w:val="22"/>
          <w:szCs w:val="22"/>
          <w:lang w:val="es-CO"/>
        </w:rPr>
        <w:t>Se observó una</w:t>
      </w:r>
      <w:r w:rsidR="00741586" w:rsidRPr="00A21B5C">
        <w:rPr>
          <w:rFonts w:ascii="Arial" w:hAnsi="Arial" w:cs="Arial"/>
          <w:sz w:val="22"/>
          <w:szCs w:val="22"/>
          <w:lang w:val="es-CO"/>
        </w:rPr>
        <w:t xml:space="preserve"> diferencia entre el superávit de la vigencia </w:t>
      </w:r>
      <w:r w:rsidRPr="00A21B5C">
        <w:rPr>
          <w:rFonts w:ascii="Arial" w:hAnsi="Arial" w:cs="Arial"/>
          <w:sz w:val="22"/>
          <w:szCs w:val="22"/>
          <w:lang w:val="es-CO"/>
        </w:rPr>
        <w:t>2018</w:t>
      </w:r>
      <w:r w:rsidR="00741586" w:rsidRPr="00A21B5C">
        <w:rPr>
          <w:rFonts w:ascii="Arial" w:hAnsi="Arial" w:cs="Arial"/>
          <w:sz w:val="22"/>
          <w:szCs w:val="22"/>
          <w:lang w:val="es-CO"/>
        </w:rPr>
        <w:t xml:space="preserve"> y el </w:t>
      </w:r>
      <w:r w:rsidR="00E068AE" w:rsidRPr="00A21B5C">
        <w:rPr>
          <w:rFonts w:ascii="Arial" w:hAnsi="Arial" w:cs="Arial"/>
          <w:sz w:val="22"/>
          <w:szCs w:val="22"/>
          <w:lang w:val="es-CO"/>
        </w:rPr>
        <w:t xml:space="preserve">monto reportado por concepto de </w:t>
      </w:r>
      <w:r w:rsidR="00741586" w:rsidRPr="00A21B5C">
        <w:rPr>
          <w:rFonts w:ascii="Arial" w:hAnsi="Arial" w:cs="Arial"/>
          <w:sz w:val="22"/>
          <w:szCs w:val="22"/>
          <w:lang w:val="es-CO"/>
        </w:rPr>
        <w:t>r</w:t>
      </w:r>
      <w:r w:rsidR="00E068AE" w:rsidRPr="00A21B5C">
        <w:rPr>
          <w:rFonts w:ascii="Arial" w:hAnsi="Arial" w:cs="Arial"/>
          <w:sz w:val="22"/>
          <w:szCs w:val="22"/>
          <w:lang w:val="es-CO"/>
        </w:rPr>
        <w:t xml:space="preserve">ecursos del balance </w:t>
      </w:r>
      <w:r w:rsidR="00741586" w:rsidRPr="00A21B5C">
        <w:rPr>
          <w:rFonts w:ascii="Arial" w:hAnsi="Arial" w:cs="Arial"/>
          <w:sz w:val="22"/>
          <w:szCs w:val="22"/>
          <w:lang w:val="es-CO"/>
        </w:rPr>
        <w:t>en el reporte de la información presupuestal de ingresos</w:t>
      </w:r>
      <w:r w:rsidRPr="00A21B5C">
        <w:rPr>
          <w:rFonts w:ascii="Arial" w:hAnsi="Arial" w:cs="Arial"/>
          <w:sz w:val="22"/>
          <w:szCs w:val="22"/>
          <w:lang w:val="es-CO"/>
        </w:rPr>
        <w:t xml:space="preserve"> para la vigencia 2019. Sin embargo, este valor</w:t>
      </w:r>
      <w:r w:rsidR="00741586" w:rsidRPr="00A21B5C">
        <w:rPr>
          <w:rFonts w:ascii="Arial" w:hAnsi="Arial" w:cs="Arial"/>
          <w:sz w:val="22"/>
          <w:szCs w:val="22"/>
          <w:lang w:val="es-CO"/>
        </w:rPr>
        <w:t xml:space="preserve"> corresponde</w:t>
      </w:r>
      <w:r w:rsidRPr="00A21B5C">
        <w:rPr>
          <w:rFonts w:ascii="Arial" w:hAnsi="Arial" w:cs="Arial"/>
          <w:sz w:val="22"/>
          <w:szCs w:val="22"/>
          <w:lang w:val="es-CO"/>
        </w:rPr>
        <w:t xml:space="preserve"> con </w:t>
      </w:r>
      <w:r w:rsidR="00741586" w:rsidRPr="00A21B5C">
        <w:rPr>
          <w:rFonts w:ascii="Arial" w:hAnsi="Arial" w:cs="Arial"/>
          <w:sz w:val="22"/>
          <w:szCs w:val="22"/>
          <w:lang w:val="es-CO"/>
        </w:rPr>
        <w:t>los $4.751.044 que no fueron incorporados en el presupuesto definitivo en la vigencia 2018</w:t>
      </w:r>
      <w:r w:rsidRPr="00A21B5C">
        <w:rPr>
          <w:rFonts w:ascii="Arial" w:hAnsi="Arial" w:cs="Arial"/>
          <w:sz w:val="22"/>
          <w:szCs w:val="22"/>
          <w:lang w:val="es-CO"/>
        </w:rPr>
        <w:t xml:space="preserve">, a los que se hace referencia en </w:t>
      </w:r>
      <w:r w:rsidR="00A24D50" w:rsidRPr="00A21B5C">
        <w:rPr>
          <w:rFonts w:ascii="Arial" w:hAnsi="Arial" w:cs="Arial"/>
          <w:sz w:val="22"/>
          <w:szCs w:val="22"/>
          <w:lang w:val="es-CO"/>
        </w:rPr>
        <w:t xml:space="preserve">el numeral </w:t>
      </w:r>
      <w:r w:rsidRPr="00A21B5C">
        <w:rPr>
          <w:rFonts w:ascii="Arial" w:hAnsi="Arial" w:cs="Arial"/>
          <w:sz w:val="22"/>
          <w:szCs w:val="22"/>
          <w:lang w:val="es-CO"/>
        </w:rPr>
        <w:t>(6).</w:t>
      </w:r>
    </w:p>
    <w:p w:rsidR="008339CD" w:rsidRPr="00A21B5C" w:rsidRDefault="008339CD" w:rsidP="00A21B5C">
      <w:pPr>
        <w:pStyle w:val="Prrafodelista"/>
        <w:jc w:val="both"/>
        <w:rPr>
          <w:rFonts w:ascii="Arial" w:hAnsi="Arial" w:cs="Arial"/>
          <w:b/>
          <w:color w:val="FF0000"/>
          <w:sz w:val="22"/>
          <w:szCs w:val="22"/>
          <w:lang w:val="es-CO"/>
        </w:rPr>
      </w:pPr>
    </w:p>
    <w:p w:rsidR="008C2E4A" w:rsidRPr="00A21B5C" w:rsidRDefault="008C2E4A" w:rsidP="00A21B5C">
      <w:pPr>
        <w:contextualSpacing/>
        <w:jc w:val="both"/>
        <w:rPr>
          <w:rFonts w:ascii="Arial" w:hAnsi="Arial" w:cs="Arial"/>
          <w:b/>
          <w:color w:val="000000" w:themeColor="text1"/>
          <w:sz w:val="22"/>
          <w:szCs w:val="22"/>
          <w:lang w:val="es-CO"/>
        </w:rPr>
      </w:pPr>
      <w:r w:rsidRPr="00A21B5C">
        <w:rPr>
          <w:rFonts w:ascii="Arial" w:hAnsi="Arial" w:cs="Arial"/>
          <w:b/>
          <w:color w:val="000000" w:themeColor="text1"/>
          <w:sz w:val="22"/>
          <w:szCs w:val="22"/>
          <w:lang w:val="es-CO"/>
        </w:rPr>
        <w:t>Documentos presupuestales</w:t>
      </w:r>
      <w:r w:rsidR="00A24D50" w:rsidRPr="00A21B5C">
        <w:rPr>
          <w:rFonts w:ascii="Arial" w:hAnsi="Arial" w:cs="Arial"/>
          <w:b/>
          <w:color w:val="000000" w:themeColor="text1"/>
          <w:sz w:val="22"/>
          <w:szCs w:val="22"/>
          <w:lang w:val="es-CO"/>
        </w:rPr>
        <w:t>:</w:t>
      </w:r>
    </w:p>
    <w:p w:rsidR="008C2E4A" w:rsidRPr="00A21B5C" w:rsidRDefault="008C2E4A" w:rsidP="00A21B5C">
      <w:pPr>
        <w:spacing w:after="160"/>
        <w:contextualSpacing/>
        <w:jc w:val="both"/>
        <w:rPr>
          <w:rFonts w:ascii="Arial" w:eastAsia="Times New Roman" w:hAnsi="Arial" w:cs="Arial"/>
          <w:color w:val="000000"/>
          <w:sz w:val="22"/>
          <w:szCs w:val="22"/>
          <w:lang w:val="es-CO" w:eastAsia="en-US"/>
        </w:rPr>
      </w:pPr>
    </w:p>
    <w:p w:rsidR="008C2E4A" w:rsidRPr="00A21B5C" w:rsidRDefault="008C2E4A" w:rsidP="00A21B5C">
      <w:pPr>
        <w:contextualSpacing/>
        <w:jc w:val="both"/>
        <w:rPr>
          <w:rFonts w:ascii="Arial" w:hAnsi="Arial" w:cs="Arial"/>
          <w:sz w:val="22"/>
          <w:szCs w:val="22"/>
          <w:lang w:val="es-CO"/>
        </w:rPr>
      </w:pPr>
      <w:r w:rsidRPr="00A21B5C">
        <w:rPr>
          <w:rFonts w:ascii="Arial" w:eastAsia="Times New Roman" w:hAnsi="Arial" w:cs="Arial"/>
          <w:color w:val="000000"/>
          <w:sz w:val="22"/>
          <w:szCs w:val="22"/>
          <w:lang w:val="es-CO" w:eastAsia="en-US"/>
        </w:rPr>
        <w:t>De manera particular, en revisión a los documentos presupuestales compartidos por la Entidad Territorial, se evidenció que para la vigencia 2017 la Entidad Territorial expidió Certificados de Disponibilidad Presupuestal - CDP y Registros Presupuestales – RP para realizar el pago de la ejecución de</w:t>
      </w:r>
      <w:r w:rsidR="00AA5A6B" w:rsidRPr="00A21B5C">
        <w:rPr>
          <w:rFonts w:ascii="Arial" w:eastAsia="Times New Roman" w:hAnsi="Arial" w:cs="Arial"/>
          <w:color w:val="000000"/>
          <w:sz w:val="22"/>
          <w:szCs w:val="22"/>
          <w:lang w:val="es-CO" w:eastAsia="en-US"/>
        </w:rPr>
        <w:t xml:space="preserve"> </w:t>
      </w:r>
      <w:r w:rsidR="00A24D50" w:rsidRPr="00A21B5C">
        <w:rPr>
          <w:rFonts w:ascii="Arial" w:eastAsia="Times New Roman" w:hAnsi="Arial" w:cs="Arial"/>
          <w:color w:val="000000"/>
          <w:sz w:val="22"/>
          <w:szCs w:val="22"/>
          <w:lang w:val="es-CO" w:eastAsia="en-US"/>
        </w:rPr>
        <w:t>los c</w:t>
      </w:r>
      <w:r w:rsidRPr="00A21B5C">
        <w:rPr>
          <w:rFonts w:ascii="Arial" w:eastAsia="Times New Roman" w:hAnsi="Arial" w:cs="Arial"/>
          <w:color w:val="000000"/>
          <w:sz w:val="22"/>
          <w:szCs w:val="22"/>
          <w:lang w:val="es-CO" w:eastAsia="en-US"/>
        </w:rPr>
        <w:t xml:space="preserve">ontratos, </w:t>
      </w:r>
      <w:r w:rsidRPr="00A21B5C">
        <w:rPr>
          <w:rFonts w:ascii="Arial" w:hAnsi="Arial" w:cs="Arial"/>
          <w:sz w:val="22"/>
          <w:szCs w:val="22"/>
          <w:lang w:val="es-CO"/>
        </w:rPr>
        <w:t>de manera tal que se expidieron tantos CDPs y RPs como pagos a realizar:</w:t>
      </w:r>
    </w:p>
    <w:p w:rsidR="00BD27F8" w:rsidRPr="00A21B5C" w:rsidRDefault="00BD27F8" w:rsidP="00A21B5C">
      <w:pPr>
        <w:contextualSpacing/>
        <w:jc w:val="both"/>
        <w:rPr>
          <w:rFonts w:ascii="Arial" w:hAnsi="Arial" w:cs="Arial"/>
          <w:sz w:val="22"/>
          <w:szCs w:val="22"/>
          <w:lang w:val="es-CO"/>
        </w:rPr>
      </w:pPr>
    </w:p>
    <w:p w:rsidR="00510B4D" w:rsidRPr="00A21B5C" w:rsidRDefault="00510B4D" w:rsidP="00A21B5C">
      <w:pPr>
        <w:contextualSpacing/>
        <w:jc w:val="both"/>
        <w:rPr>
          <w:rFonts w:ascii="Arial" w:hAnsi="Arial" w:cs="Arial"/>
          <w:sz w:val="22"/>
          <w:szCs w:val="22"/>
          <w:lang w:val="es-CO"/>
        </w:rPr>
      </w:pPr>
    </w:p>
    <w:p w:rsidR="008C2E4A" w:rsidRPr="00A21B5C" w:rsidRDefault="008C2E4A" w:rsidP="00A21B5C">
      <w:pPr>
        <w:pStyle w:val="Prrafodelista"/>
        <w:numPr>
          <w:ilvl w:val="0"/>
          <w:numId w:val="3"/>
        </w:numPr>
        <w:spacing w:after="160"/>
        <w:jc w:val="both"/>
        <w:rPr>
          <w:rFonts w:ascii="Arial" w:eastAsia="Times New Roman" w:hAnsi="Arial" w:cs="Arial"/>
          <w:color w:val="000000"/>
          <w:sz w:val="22"/>
          <w:szCs w:val="22"/>
          <w:lang w:val="es-CO" w:eastAsia="en-US"/>
        </w:rPr>
      </w:pPr>
      <w:r w:rsidRPr="00A21B5C">
        <w:rPr>
          <w:rFonts w:ascii="Arial" w:eastAsia="Times New Roman" w:hAnsi="Arial" w:cs="Arial"/>
          <w:color w:val="000000"/>
          <w:sz w:val="22"/>
          <w:szCs w:val="22"/>
          <w:lang w:val="es-CO" w:eastAsia="en-US"/>
        </w:rPr>
        <w:t>Se expidieron el CDP N° 06</w:t>
      </w:r>
      <w:r w:rsidR="00127AB4" w:rsidRPr="00A21B5C">
        <w:rPr>
          <w:rFonts w:ascii="Arial" w:eastAsia="Times New Roman" w:hAnsi="Arial" w:cs="Arial"/>
          <w:color w:val="000000"/>
          <w:sz w:val="22"/>
          <w:szCs w:val="22"/>
          <w:lang w:val="es-CO" w:eastAsia="en-US"/>
        </w:rPr>
        <w:t>0</w:t>
      </w:r>
      <w:r w:rsidRPr="00A21B5C">
        <w:rPr>
          <w:rFonts w:ascii="Arial" w:eastAsia="Times New Roman" w:hAnsi="Arial" w:cs="Arial"/>
          <w:color w:val="000000"/>
          <w:sz w:val="22"/>
          <w:szCs w:val="22"/>
          <w:lang w:val="es-CO" w:eastAsia="en-US"/>
        </w:rPr>
        <w:t xml:space="preserve">601 y el RP N° 06061701 el día 6 de junio de 2017, para el pago final del Contrato de </w:t>
      </w:r>
      <w:r w:rsidR="00A24D50" w:rsidRPr="00A21B5C">
        <w:rPr>
          <w:rFonts w:ascii="Arial" w:eastAsia="Times New Roman" w:hAnsi="Arial" w:cs="Arial"/>
          <w:color w:val="000000"/>
          <w:sz w:val="22"/>
          <w:szCs w:val="22"/>
          <w:lang w:val="es-CO" w:eastAsia="en-US"/>
        </w:rPr>
        <w:t>O</w:t>
      </w:r>
      <w:r w:rsidRPr="00A21B5C">
        <w:rPr>
          <w:rFonts w:ascii="Arial" w:eastAsia="Times New Roman" w:hAnsi="Arial" w:cs="Arial"/>
          <w:color w:val="000000"/>
          <w:sz w:val="22"/>
          <w:szCs w:val="22"/>
          <w:lang w:val="es-CO" w:eastAsia="en-US"/>
        </w:rPr>
        <w:t>bra N°004 suscrito el 8 de septiembre de 2016.</w:t>
      </w:r>
    </w:p>
    <w:p w:rsidR="008C2E4A" w:rsidRPr="00A21B5C" w:rsidRDefault="008C2E4A" w:rsidP="00A21B5C">
      <w:pPr>
        <w:pStyle w:val="Prrafodelista"/>
        <w:numPr>
          <w:ilvl w:val="0"/>
          <w:numId w:val="3"/>
        </w:numPr>
        <w:spacing w:after="160"/>
        <w:jc w:val="both"/>
        <w:rPr>
          <w:rFonts w:ascii="Arial" w:eastAsia="Times New Roman" w:hAnsi="Arial" w:cs="Arial"/>
          <w:color w:val="000000"/>
          <w:sz w:val="22"/>
          <w:szCs w:val="22"/>
          <w:lang w:val="es-CO" w:eastAsia="en-US"/>
        </w:rPr>
      </w:pPr>
      <w:r w:rsidRPr="00A21B5C">
        <w:rPr>
          <w:rFonts w:ascii="Arial" w:eastAsia="Times New Roman" w:hAnsi="Arial" w:cs="Arial"/>
          <w:color w:val="000000"/>
          <w:sz w:val="22"/>
          <w:szCs w:val="22"/>
          <w:lang w:val="es-CO" w:eastAsia="en-US"/>
        </w:rPr>
        <w:lastRenderedPageBreak/>
        <w:t>Se expidieron el CDP N°</w:t>
      </w:r>
      <w:r w:rsidRPr="00A21B5C">
        <w:rPr>
          <w:rFonts w:ascii="Arial" w:hAnsi="Arial" w:cs="Arial"/>
          <w:sz w:val="22"/>
          <w:szCs w:val="22"/>
        </w:rPr>
        <w:t xml:space="preserve"> </w:t>
      </w:r>
      <w:r w:rsidRPr="00A21B5C">
        <w:rPr>
          <w:rFonts w:ascii="Arial" w:eastAsia="Times New Roman" w:hAnsi="Arial" w:cs="Arial"/>
          <w:color w:val="000000"/>
          <w:sz w:val="22"/>
          <w:szCs w:val="22"/>
          <w:lang w:val="es-CO" w:eastAsia="en-US"/>
        </w:rPr>
        <w:t xml:space="preserve">260701y el RP N° 26071701 el día 26 de julio de 2017, para el pago final del Contrato de </w:t>
      </w:r>
      <w:r w:rsidR="00A24D50" w:rsidRPr="00A21B5C">
        <w:rPr>
          <w:rFonts w:ascii="Arial" w:eastAsia="Times New Roman" w:hAnsi="Arial" w:cs="Arial"/>
          <w:color w:val="000000"/>
          <w:sz w:val="22"/>
          <w:szCs w:val="22"/>
          <w:lang w:val="es-CO" w:eastAsia="en-US"/>
        </w:rPr>
        <w:t>I</w:t>
      </w:r>
      <w:r w:rsidRPr="00A21B5C">
        <w:rPr>
          <w:rFonts w:ascii="Arial" w:eastAsia="Times New Roman" w:hAnsi="Arial" w:cs="Arial"/>
          <w:color w:val="000000"/>
          <w:sz w:val="22"/>
          <w:szCs w:val="22"/>
          <w:lang w:val="es-CO" w:eastAsia="en-US"/>
        </w:rPr>
        <w:t>nterventoría N° 003 suscrito el 11 de noviembre de 2016.</w:t>
      </w:r>
    </w:p>
    <w:p w:rsidR="008C2E4A" w:rsidRPr="00A21B5C" w:rsidRDefault="008C2E4A" w:rsidP="00A21B5C">
      <w:pPr>
        <w:pStyle w:val="Prrafodelista"/>
        <w:numPr>
          <w:ilvl w:val="0"/>
          <w:numId w:val="3"/>
        </w:numPr>
        <w:spacing w:after="160"/>
        <w:jc w:val="both"/>
        <w:rPr>
          <w:rFonts w:ascii="Arial" w:eastAsia="Times New Roman" w:hAnsi="Arial" w:cs="Arial"/>
          <w:color w:val="000000"/>
          <w:sz w:val="22"/>
          <w:szCs w:val="22"/>
          <w:lang w:val="es-CO" w:eastAsia="en-US"/>
        </w:rPr>
      </w:pPr>
      <w:r w:rsidRPr="00A21B5C">
        <w:rPr>
          <w:rFonts w:ascii="Arial" w:eastAsia="Times New Roman" w:hAnsi="Arial" w:cs="Arial"/>
          <w:color w:val="000000"/>
          <w:sz w:val="22"/>
          <w:szCs w:val="22"/>
          <w:lang w:val="es-CO" w:eastAsia="en-US"/>
        </w:rPr>
        <w:t>Se expidieron el CDP N°</w:t>
      </w:r>
      <w:r w:rsidRPr="00A21B5C">
        <w:rPr>
          <w:rFonts w:ascii="Arial" w:hAnsi="Arial" w:cs="Arial"/>
          <w:sz w:val="22"/>
          <w:szCs w:val="22"/>
        </w:rPr>
        <w:t xml:space="preserve"> 221201 </w:t>
      </w:r>
      <w:r w:rsidRPr="00A21B5C">
        <w:rPr>
          <w:rFonts w:ascii="Arial" w:eastAsia="Times New Roman" w:hAnsi="Arial" w:cs="Arial"/>
          <w:color w:val="000000"/>
          <w:sz w:val="22"/>
          <w:szCs w:val="22"/>
          <w:lang w:val="es-CO" w:eastAsia="en-US"/>
        </w:rPr>
        <w:t>y el RP N° 22121701 el día 22 de diciembre de 2017, para el pago parcial del Contrato Interadministrativo N° 010 suscrito el 15 de julio de 2016.</w:t>
      </w:r>
    </w:p>
    <w:p w:rsidR="008C2E4A" w:rsidRPr="00A21B5C" w:rsidRDefault="008C2E4A" w:rsidP="00A21B5C">
      <w:pPr>
        <w:pStyle w:val="Prrafodelista"/>
        <w:numPr>
          <w:ilvl w:val="0"/>
          <w:numId w:val="3"/>
        </w:numPr>
        <w:jc w:val="both"/>
        <w:rPr>
          <w:rFonts w:ascii="Arial" w:eastAsia="Times New Roman" w:hAnsi="Arial" w:cs="Arial"/>
          <w:color w:val="000000"/>
          <w:sz w:val="22"/>
          <w:szCs w:val="22"/>
          <w:lang w:val="es-CO" w:eastAsia="en-US"/>
        </w:rPr>
      </w:pPr>
      <w:r w:rsidRPr="00A21B5C">
        <w:rPr>
          <w:rFonts w:ascii="Arial" w:eastAsia="Times New Roman" w:hAnsi="Arial" w:cs="Arial"/>
          <w:color w:val="000000"/>
          <w:sz w:val="22"/>
          <w:szCs w:val="22"/>
          <w:lang w:val="es-CO" w:eastAsia="en-US"/>
        </w:rPr>
        <w:t>Se expidieron 27 CDPs y RPs para pago del Convenio de Asociación N° 032 suscrito el 27 de diciembre de 2016:</w:t>
      </w:r>
    </w:p>
    <w:p w:rsidR="00BD27F8" w:rsidRPr="00A21B5C" w:rsidRDefault="00BD27F8" w:rsidP="00A21B5C">
      <w:pPr>
        <w:pStyle w:val="Prrafodelista"/>
        <w:jc w:val="both"/>
        <w:rPr>
          <w:rFonts w:ascii="Arial" w:eastAsia="Times New Roman" w:hAnsi="Arial" w:cs="Arial"/>
          <w:color w:val="000000"/>
          <w:sz w:val="22"/>
          <w:szCs w:val="22"/>
          <w:lang w:val="es-CO" w:eastAsia="en-US"/>
        </w:rPr>
      </w:pPr>
    </w:p>
    <w:p w:rsidR="00120CE3" w:rsidRPr="00A21B5C" w:rsidRDefault="00120CE3" w:rsidP="00A21B5C">
      <w:pPr>
        <w:pStyle w:val="Prrafodelista"/>
        <w:spacing w:after="120"/>
        <w:rPr>
          <w:rFonts w:ascii="Arial" w:eastAsia="Times New Roman" w:hAnsi="Arial" w:cs="Arial"/>
          <w:color w:val="000000"/>
          <w:sz w:val="22"/>
          <w:szCs w:val="22"/>
          <w:lang w:val="es-CO" w:eastAsia="en-US"/>
        </w:rPr>
      </w:pPr>
      <w:r w:rsidRPr="00A21B5C">
        <w:rPr>
          <w:rFonts w:ascii="Arial" w:eastAsia="Calibri" w:hAnsi="Arial" w:cs="Arial"/>
          <w:b/>
          <w:sz w:val="22"/>
          <w:szCs w:val="22"/>
          <w:lang w:val="es-CO" w:eastAsia="en-US"/>
        </w:rPr>
        <w:t xml:space="preserve">Tabla N° 2: </w:t>
      </w:r>
      <w:r w:rsidRPr="00A21B5C">
        <w:rPr>
          <w:rFonts w:ascii="Arial" w:eastAsia="Calibri" w:hAnsi="Arial" w:cs="Arial"/>
          <w:sz w:val="22"/>
          <w:szCs w:val="22"/>
          <w:lang w:val="es-CO" w:eastAsia="en-US"/>
        </w:rPr>
        <w:t>Relación de CDPs y RPs expedidos por el Municipio de D</w:t>
      </w:r>
      <w:r w:rsidR="00923C3F" w:rsidRPr="00A21B5C">
        <w:rPr>
          <w:rFonts w:ascii="Arial" w:eastAsia="Calibri" w:hAnsi="Arial" w:cs="Arial"/>
          <w:sz w:val="22"/>
          <w:szCs w:val="22"/>
          <w:lang w:val="es-CO" w:eastAsia="en-US"/>
        </w:rPr>
        <w:t>ibulla – La Guajira</w:t>
      </w:r>
    </w:p>
    <w:tbl>
      <w:tblPr>
        <w:tblW w:w="4895" w:type="pct"/>
        <w:jc w:val="center"/>
        <w:tblCellMar>
          <w:left w:w="70" w:type="dxa"/>
          <w:right w:w="70" w:type="dxa"/>
        </w:tblCellMar>
        <w:tblLook w:val="04A0" w:firstRow="1" w:lastRow="0" w:firstColumn="1" w:lastColumn="0" w:noHBand="0" w:noVBand="1"/>
      </w:tblPr>
      <w:tblGrid>
        <w:gridCol w:w="1198"/>
        <w:gridCol w:w="1494"/>
        <w:gridCol w:w="1678"/>
        <w:gridCol w:w="161"/>
        <w:gridCol w:w="1156"/>
        <w:gridCol w:w="1494"/>
        <w:gridCol w:w="1462"/>
      </w:tblGrid>
      <w:tr w:rsidR="005D51E7" w:rsidRPr="00A21B5C" w:rsidTr="009D1534">
        <w:trPr>
          <w:trHeight w:val="300"/>
          <w:jc w:val="center"/>
        </w:trPr>
        <w:tc>
          <w:tcPr>
            <w:tcW w:w="693" w:type="pct"/>
            <w:tcBorders>
              <w:top w:val="single" w:sz="4" w:space="0" w:color="auto"/>
              <w:left w:val="dashSmallGap" w:sz="4" w:space="0" w:color="595959" w:themeColor="text1" w:themeTint="A6"/>
              <w:bottom w:val="single" w:sz="4" w:space="0" w:color="auto"/>
              <w:right w:val="dashSmallGap" w:sz="4" w:space="0" w:color="595959" w:themeColor="text1" w:themeTint="A6"/>
            </w:tcBorders>
            <w:shd w:val="clear" w:color="auto" w:fill="215868" w:themeFill="accent5" w:themeFillShade="80"/>
            <w:noWrap/>
            <w:vAlign w:val="center"/>
            <w:hideMark/>
          </w:tcPr>
          <w:p w:rsidR="008C2E4A" w:rsidRPr="00A21B5C" w:rsidRDefault="008C2E4A" w:rsidP="00A21B5C">
            <w:pPr>
              <w:ind w:left="209" w:hanging="209"/>
              <w:contextualSpacing/>
              <w:jc w:val="center"/>
              <w:rPr>
                <w:rFonts w:ascii="Arial" w:eastAsia="Times New Roman" w:hAnsi="Arial" w:cs="Arial"/>
                <w:b/>
                <w:bCs/>
                <w:color w:val="FFFFFF" w:themeColor="background1"/>
                <w:sz w:val="20"/>
                <w:szCs w:val="20"/>
                <w:lang w:val="es-CO" w:eastAsia="es-CO"/>
              </w:rPr>
            </w:pPr>
            <w:r w:rsidRPr="00A21B5C">
              <w:rPr>
                <w:rFonts w:ascii="Arial" w:eastAsia="Times New Roman" w:hAnsi="Arial" w:cs="Arial"/>
                <w:b/>
                <w:bCs/>
                <w:color w:val="FFFFFF" w:themeColor="background1"/>
                <w:sz w:val="20"/>
                <w:szCs w:val="20"/>
                <w:lang w:val="es-CO" w:eastAsia="es-CO"/>
              </w:rPr>
              <w:t>CDP</w:t>
            </w:r>
          </w:p>
        </w:tc>
        <w:tc>
          <w:tcPr>
            <w:tcW w:w="864" w:type="pct"/>
            <w:tcBorders>
              <w:top w:val="single" w:sz="4" w:space="0" w:color="auto"/>
              <w:left w:val="dashSmallGap" w:sz="4" w:space="0" w:color="595959" w:themeColor="text1" w:themeTint="A6"/>
              <w:bottom w:val="single" w:sz="4" w:space="0" w:color="auto"/>
              <w:right w:val="dashSmallGap" w:sz="4" w:space="0" w:color="595959" w:themeColor="text1" w:themeTint="A6"/>
            </w:tcBorders>
            <w:shd w:val="clear" w:color="auto" w:fill="215868" w:themeFill="accent5" w:themeFillShade="80"/>
            <w:noWrap/>
            <w:vAlign w:val="center"/>
            <w:hideMark/>
          </w:tcPr>
          <w:p w:rsidR="008C2E4A" w:rsidRPr="00A21B5C" w:rsidRDefault="008C2E4A" w:rsidP="00A21B5C">
            <w:pPr>
              <w:ind w:left="209" w:hanging="209"/>
              <w:contextualSpacing/>
              <w:jc w:val="center"/>
              <w:rPr>
                <w:rFonts w:ascii="Arial" w:eastAsia="Times New Roman" w:hAnsi="Arial" w:cs="Arial"/>
                <w:b/>
                <w:bCs/>
                <w:color w:val="FFFFFF" w:themeColor="background1"/>
                <w:sz w:val="20"/>
                <w:szCs w:val="20"/>
                <w:lang w:val="es-CO" w:eastAsia="es-CO"/>
              </w:rPr>
            </w:pPr>
            <w:r w:rsidRPr="00A21B5C">
              <w:rPr>
                <w:rFonts w:ascii="Arial" w:eastAsia="Times New Roman" w:hAnsi="Arial" w:cs="Arial"/>
                <w:b/>
                <w:bCs/>
                <w:color w:val="FFFFFF" w:themeColor="background1"/>
                <w:sz w:val="20"/>
                <w:szCs w:val="20"/>
                <w:lang w:val="es-CO" w:eastAsia="es-CO"/>
              </w:rPr>
              <w:t>RP</w:t>
            </w:r>
          </w:p>
        </w:tc>
        <w:tc>
          <w:tcPr>
            <w:tcW w:w="971" w:type="pct"/>
            <w:tcBorders>
              <w:top w:val="single" w:sz="4" w:space="0" w:color="auto"/>
              <w:left w:val="dashSmallGap" w:sz="4" w:space="0" w:color="595959" w:themeColor="text1" w:themeTint="A6"/>
              <w:bottom w:val="single" w:sz="4" w:space="0" w:color="auto"/>
              <w:right w:val="dashSmallGap" w:sz="4" w:space="0" w:color="595959" w:themeColor="text1" w:themeTint="A6"/>
            </w:tcBorders>
            <w:shd w:val="clear" w:color="auto" w:fill="215868" w:themeFill="accent5" w:themeFillShade="80"/>
            <w:noWrap/>
            <w:vAlign w:val="center"/>
            <w:hideMark/>
          </w:tcPr>
          <w:p w:rsidR="008C2E4A" w:rsidRPr="00A21B5C" w:rsidRDefault="008C2E4A" w:rsidP="00A21B5C">
            <w:pPr>
              <w:ind w:left="209" w:hanging="209"/>
              <w:contextualSpacing/>
              <w:jc w:val="center"/>
              <w:rPr>
                <w:rFonts w:ascii="Arial" w:eastAsia="Times New Roman" w:hAnsi="Arial" w:cs="Arial"/>
                <w:b/>
                <w:bCs/>
                <w:color w:val="FFFFFF" w:themeColor="background1"/>
                <w:sz w:val="20"/>
                <w:szCs w:val="20"/>
                <w:lang w:val="es-CO" w:eastAsia="es-CO"/>
              </w:rPr>
            </w:pPr>
            <w:r w:rsidRPr="00A21B5C">
              <w:rPr>
                <w:rFonts w:ascii="Arial" w:eastAsia="Times New Roman" w:hAnsi="Arial" w:cs="Arial"/>
                <w:b/>
                <w:bCs/>
                <w:color w:val="FFFFFF" w:themeColor="background1"/>
                <w:sz w:val="20"/>
                <w:szCs w:val="20"/>
                <w:lang w:val="es-CO" w:eastAsia="es-CO"/>
              </w:rPr>
              <w:t>Fecha</w:t>
            </w:r>
          </w:p>
        </w:tc>
        <w:tc>
          <w:tcPr>
            <w:tcW w:w="84" w:type="pct"/>
            <w:tcBorders>
              <w:top w:val="single" w:sz="4" w:space="0" w:color="FFFFFF" w:themeColor="background1"/>
              <w:left w:val="dashSmallGap" w:sz="4" w:space="0" w:color="595959" w:themeColor="text1" w:themeTint="A6"/>
              <w:bottom w:val="nil"/>
              <w:right w:val="dashSmallGap" w:sz="4" w:space="0" w:color="595959" w:themeColor="text1" w:themeTint="A6"/>
            </w:tcBorders>
          </w:tcPr>
          <w:p w:rsidR="008C2E4A" w:rsidRPr="00A21B5C" w:rsidRDefault="008C2E4A" w:rsidP="00A21B5C">
            <w:pPr>
              <w:ind w:left="209" w:hanging="209"/>
              <w:contextualSpacing/>
              <w:jc w:val="center"/>
              <w:rPr>
                <w:rFonts w:ascii="Arial" w:eastAsia="Times New Roman" w:hAnsi="Arial" w:cs="Arial"/>
                <w:b/>
                <w:bCs/>
                <w:color w:val="000000"/>
                <w:sz w:val="20"/>
                <w:szCs w:val="20"/>
                <w:lang w:val="es-CO" w:eastAsia="es-CO"/>
              </w:rPr>
            </w:pPr>
          </w:p>
        </w:tc>
        <w:tc>
          <w:tcPr>
            <w:tcW w:w="669" w:type="pct"/>
            <w:tcBorders>
              <w:top w:val="single" w:sz="4" w:space="0" w:color="auto"/>
              <w:left w:val="dashSmallGap" w:sz="4" w:space="0" w:color="595959" w:themeColor="text1" w:themeTint="A6"/>
              <w:bottom w:val="single" w:sz="4" w:space="0" w:color="auto"/>
              <w:right w:val="dashSmallGap" w:sz="4" w:space="0" w:color="595959" w:themeColor="text1" w:themeTint="A6"/>
            </w:tcBorders>
            <w:shd w:val="clear" w:color="auto" w:fill="215868" w:themeFill="accent5" w:themeFillShade="80"/>
            <w:vAlign w:val="center"/>
            <w:hideMark/>
          </w:tcPr>
          <w:p w:rsidR="008C2E4A" w:rsidRPr="00A21B5C" w:rsidRDefault="008C2E4A" w:rsidP="00A21B5C">
            <w:pPr>
              <w:ind w:left="209" w:hanging="209"/>
              <w:contextualSpacing/>
              <w:jc w:val="center"/>
              <w:rPr>
                <w:rFonts w:ascii="Arial" w:hAnsi="Arial" w:cs="Arial"/>
                <w:color w:val="000000"/>
                <w:sz w:val="20"/>
                <w:szCs w:val="20"/>
              </w:rPr>
            </w:pPr>
            <w:r w:rsidRPr="00A21B5C">
              <w:rPr>
                <w:rFonts w:ascii="Arial" w:eastAsia="Times New Roman" w:hAnsi="Arial" w:cs="Arial"/>
                <w:b/>
                <w:bCs/>
                <w:color w:val="FFFFFF" w:themeColor="background1"/>
                <w:sz w:val="20"/>
                <w:szCs w:val="20"/>
                <w:lang w:val="es-CO" w:eastAsia="es-CO"/>
              </w:rPr>
              <w:t>CDP</w:t>
            </w:r>
          </w:p>
        </w:tc>
        <w:tc>
          <w:tcPr>
            <w:tcW w:w="864" w:type="pct"/>
            <w:tcBorders>
              <w:top w:val="single" w:sz="4" w:space="0" w:color="auto"/>
              <w:left w:val="dashSmallGap" w:sz="4" w:space="0" w:color="595959" w:themeColor="text1" w:themeTint="A6"/>
              <w:bottom w:val="single" w:sz="4" w:space="0" w:color="auto"/>
              <w:right w:val="dashSmallGap" w:sz="4" w:space="0" w:color="595959" w:themeColor="text1" w:themeTint="A6"/>
            </w:tcBorders>
            <w:shd w:val="clear" w:color="auto" w:fill="215868" w:themeFill="accent5" w:themeFillShade="80"/>
            <w:vAlign w:val="center"/>
            <w:hideMark/>
          </w:tcPr>
          <w:p w:rsidR="008C2E4A" w:rsidRPr="00A21B5C" w:rsidRDefault="008C2E4A" w:rsidP="00A21B5C">
            <w:pPr>
              <w:ind w:left="209" w:hanging="209"/>
              <w:contextualSpacing/>
              <w:jc w:val="center"/>
              <w:rPr>
                <w:rFonts w:ascii="Arial" w:hAnsi="Arial" w:cs="Arial"/>
                <w:color w:val="000000"/>
                <w:sz w:val="20"/>
                <w:szCs w:val="20"/>
              </w:rPr>
            </w:pPr>
            <w:r w:rsidRPr="00A21B5C">
              <w:rPr>
                <w:rFonts w:ascii="Arial" w:eastAsia="Times New Roman" w:hAnsi="Arial" w:cs="Arial"/>
                <w:b/>
                <w:bCs/>
                <w:color w:val="FFFFFF" w:themeColor="background1"/>
                <w:sz w:val="20"/>
                <w:szCs w:val="20"/>
                <w:lang w:val="es-CO" w:eastAsia="es-CO"/>
              </w:rPr>
              <w:t>RP</w:t>
            </w:r>
          </w:p>
        </w:tc>
        <w:tc>
          <w:tcPr>
            <w:tcW w:w="855" w:type="pct"/>
            <w:tcBorders>
              <w:top w:val="single" w:sz="4" w:space="0" w:color="auto"/>
              <w:left w:val="dashSmallGap" w:sz="4" w:space="0" w:color="595959" w:themeColor="text1" w:themeTint="A6"/>
              <w:bottom w:val="single" w:sz="4" w:space="0" w:color="auto"/>
              <w:right w:val="dashSmallGap" w:sz="4" w:space="0" w:color="595959" w:themeColor="text1" w:themeTint="A6"/>
            </w:tcBorders>
            <w:shd w:val="clear" w:color="auto" w:fill="215868" w:themeFill="accent5" w:themeFillShade="80"/>
            <w:vAlign w:val="center"/>
            <w:hideMark/>
          </w:tcPr>
          <w:p w:rsidR="008C2E4A" w:rsidRPr="00A21B5C" w:rsidRDefault="008C2E4A" w:rsidP="00A21B5C">
            <w:pPr>
              <w:ind w:left="209" w:hanging="209"/>
              <w:contextualSpacing/>
              <w:jc w:val="center"/>
              <w:rPr>
                <w:rFonts w:ascii="Arial" w:hAnsi="Arial" w:cs="Arial"/>
                <w:color w:val="000000"/>
                <w:sz w:val="20"/>
                <w:szCs w:val="20"/>
              </w:rPr>
            </w:pPr>
            <w:r w:rsidRPr="00A21B5C">
              <w:rPr>
                <w:rFonts w:ascii="Arial" w:eastAsia="Times New Roman" w:hAnsi="Arial" w:cs="Arial"/>
                <w:b/>
                <w:bCs/>
                <w:color w:val="FFFFFF" w:themeColor="background1"/>
                <w:sz w:val="20"/>
                <w:szCs w:val="20"/>
                <w:lang w:val="es-CO" w:eastAsia="es-CO"/>
              </w:rPr>
              <w:t>Fecha</w:t>
            </w:r>
          </w:p>
        </w:tc>
      </w:tr>
      <w:tr w:rsidR="009D1534" w:rsidRPr="00A21B5C" w:rsidTr="009D1534">
        <w:trPr>
          <w:trHeight w:val="300"/>
          <w:jc w:val="center"/>
        </w:trPr>
        <w:tc>
          <w:tcPr>
            <w:tcW w:w="693" w:type="pct"/>
            <w:tcBorders>
              <w:top w:val="nil"/>
              <w:left w:val="dashSmallGap" w:sz="4" w:space="0" w:color="595959" w:themeColor="text1" w:themeTint="A6"/>
              <w:bottom w:val="single" w:sz="4" w:space="0" w:color="auto"/>
              <w:right w:val="dashSmallGap" w:sz="4" w:space="0" w:color="595959" w:themeColor="text1" w:themeTint="A6"/>
            </w:tcBorders>
            <w:noWrap/>
            <w:vAlign w:val="center"/>
          </w:tcPr>
          <w:p w:rsidR="00EE006C" w:rsidRPr="00A21B5C" w:rsidRDefault="00EE006C" w:rsidP="00A21B5C">
            <w:pPr>
              <w:ind w:left="209" w:hanging="209"/>
              <w:contextualSpacing/>
              <w:jc w:val="center"/>
              <w:rPr>
                <w:rFonts w:ascii="Arial" w:eastAsia="Times New Roman" w:hAnsi="Arial" w:cs="Arial"/>
                <w:b/>
                <w:bCs/>
                <w:color w:val="FFFFFF" w:themeColor="background1"/>
                <w:sz w:val="20"/>
                <w:szCs w:val="20"/>
                <w:lang w:val="es-CO" w:eastAsia="es-CO"/>
              </w:rPr>
            </w:pPr>
            <w:r w:rsidRPr="00A21B5C">
              <w:rPr>
                <w:rFonts w:ascii="Arial" w:eastAsia="Times New Roman" w:hAnsi="Arial" w:cs="Arial"/>
                <w:color w:val="000000"/>
                <w:sz w:val="20"/>
                <w:szCs w:val="20"/>
                <w:lang w:val="es-CO" w:eastAsia="es-CO"/>
              </w:rPr>
              <w:t>151209</w:t>
            </w:r>
          </w:p>
        </w:tc>
        <w:tc>
          <w:tcPr>
            <w:tcW w:w="864" w:type="pct"/>
            <w:tcBorders>
              <w:top w:val="nil"/>
              <w:left w:val="dashSmallGap" w:sz="4" w:space="0" w:color="595959" w:themeColor="text1" w:themeTint="A6"/>
              <w:bottom w:val="single" w:sz="4" w:space="0" w:color="auto"/>
              <w:right w:val="dashSmallGap" w:sz="4" w:space="0" w:color="595959" w:themeColor="text1" w:themeTint="A6"/>
            </w:tcBorders>
            <w:noWrap/>
            <w:vAlign w:val="center"/>
          </w:tcPr>
          <w:p w:rsidR="00EE006C" w:rsidRPr="00A21B5C" w:rsidRDefault="00EE006C" w:rsidP="00A21B5C">
            <w:pPr>
              <w:ind w:left="209" w:hanging="209"/>
              <w:contextualSpacing/>
              <w:jc w:val="center"/>
              <w:rPr>
                <w:rFonts w:ascii="Arial" w:eastAsia="Times New Roman" w:hAnsi="Arial" w:cs="Arial"/>
                <w:b/>
                <w:bCs/>
                <w:color w:val="FFFFFF" w:themeColor="background1"/>
                <w:sz w:val="20"/>
                <w:szCs w:val="20"/>
                <w:lang w:val="es-CO" w:eastAsia="es-CO"/>
              </w:rPr>
            </w:pPr>
            <w:r w:rsidRPr="00A21B5C">
              <w:rPr>
                <w:rFonts w:ascii="Arial" w:eastAsia="Times New Roman" w:hAnsi="Arial" w:cs="Arial"/>
                <w:color w:val="000000"/>
                <w:sz w:val="20"/>
                <w:szCs w:val="20"/>
                <w:lang w:val="es-CO" w:eastAsia="es-CO"/>
              </w:rPr>
              <w:t>15121711</w:t>
            </w:r>
          </w:p>
        </w:tc>
        <w:tc>
          <w:tcPr>
            <w:tcW w:w="962" w:type="pct"/>
            <w:tcBorders>
              <w:top w:val="nil"/>
              <w:left w:val="dashSmallGap" w:sz="4" w:space="0" w:color="595959" w:themeColor="text1" w:themeTint="A6"/>
              <w:bottom w:val="single" w:sz="4" w:space="0" w:color="auto"/>
              <w:right w:val="dashSmallGap" w:sz="4" w:space="0" w:color="595959" w:themeColor="text1" w:themeTint="A6"/>
            </w:tcBorders>
            <w:noWrap/>
            <w:vAlign w:val="center"/>
          </w:tcPr>
          <w:p w:rsidR="00EE006C" w:rsidRPr="00A21B5C" w:rsidRDefault="00EE006C" w:rsidP="00A21B5C">
            <w:pPr>
              <w:ind w:left="209" w:hanging="209"/>
              <w:contextualSpacing/>
              <w:jc w:val="center"/>
              <w:rPr>
                <w:rFonts w:ascii="Arial" w:eastAsia="Times New Roman" w:hAnsi="Arial" w:cs="Arial"/>
                <w:b/>
                <w:bCs/>
                <w:color w:val="FFFFFF" w:themeColor="background1"/>
                <w:sz w:val="20"/>
                <w:szCs w:val="20"/>
                <w:lang w:val="es-CO" w:eastAsia="es-CO"/>
              </w:rPr>
            </w:pPr>
            <w:r w:rsidRPr="00A21B5C">
              <w:rPr>
                <w:rFonts w:ascii="Arial" w:eastAsia="Times New Roman" w:hAnsi="Arial" w:cs="Arial"/>
                <w:color w:val="000000"/>
                <w:sz w:val="20"/>
                <w:szCs w:val="20"/>
                <w:lang w:val="es-CO" w:eastAsia="es-CO"/>
              </w:rPr>
              <w:t>15/12/2017</w:t>
            </w:r>
          </w:p>
        </w:tc>
        <w:tc>
          <w:tcPr>
            <w:tcW w:w="93" w:type="pct"/>
            <w:vMerge w:val="restart"/>
            <w:tcBorders>
              <w:top w:val="single" w:sz="4" w:space="0" w:color="FFFFFF" w:themeColor="background1"/>
              <w:left w:val="dashSmallGap" w:sz="4" w:space="0" w:color="595959" w:themeColor="text1" w:themeTint="A6"/>
              <w:bottom w:val="nil"/>
              <w:right w:val="dashSmallGap" w:sz="4" w:space="0" w:color="595959" w:themeColor="text1" w:themeTint="A6"/>
            </w:tcBorders>
          </w:tcPr>
          <w:p w:rsidR="00EE006C" w:rsidRPr="00A21B5C" w:rsidRDefault="00EE006C" w:rsidP="00A21B5C">
            <w:pPr>
              <w:ind w:left="209" w:hanging="209"/>
              <w:contextualSpacing/>
              <w:jc w:val="center"/>
              <w:rPr>
                <w:rFonts w:ascii="Arial" w:eastAsia="Times New Roman" w:hAnsi="Arial" w:cs="Arial"/>
                <w:b/>
                <w:bCs/>
                <w:color w:val="000000"/>
                <w:sz w:val="20"/>
                <w:szCs w:val="20"/>
                <w:lang w:val="es-CO" w:eastAsia="es-CO"/>
              </w:rPr>
            </w:pPr>
          </w:p>
        </w:tc>
        <w:tc>
          <w:tcPr>
            <w:tcW w:w="669" w:type="pct"/>
            <w:tcBorders>
              <w:top w:val="nil"/>
              <w:left w:val="dashSmallGap" w:sz="4" w:space="0" w:color="595959" w:themeColor="text1" w:themeTint="A6"/>
              <w:bottom w:val="single" w:sz="4" w:space="0" w:color="auto"/>
              <w:right w:val="dashSmallGap" w:sz="4" w:space="0" w:color="595959" w:themeColor="text1" w:themeTint="A6"/>
            </w:tcBorders>
            <w:vAlign w:val="bottom"/>
            <w:hideMark/>
          </w:tcPr>
          <w:p w:rsidR="00EE006C" w:rsidRPr="00A21B5C" w:rsidRDefault="00EE006C" w:rsidP="00A21B5C">
            <w:pPr>
              <w:ind w:left="209" w:hanging="209"/>
              <w:contextualSpacing/>
              <w:jc w:val="center"/>
              <w:rPr>
                <w:rFonts w:ascii="Arial" w:eastAsia="Times New Roman" w:hAnsi="Arial" w:cs="Arial"/>
                <w:b/>
                <w:bCs/>
                <w:color w:val="000000"/>
                <w:sz w:val="20"/>
                <w:szCs w:val="20"/>
                <w:lang w:val="es-CO" w:eastAsia="es-CO"/>
              </w:rPr>
            </w:pPr>
            <w:r w:rsidRPr="00A21B5C">
              <w:rPr>
                <w:rFonts w:ascii="Arial" w:hAnsi="Arial" w:cs="Arial"/>
                <w:color w:val="000000"/>
                <w:sz w:val="20"/>
                <w:szCs w:val="20"/>
              </w:rPr>
              <w:t>201104</w:t>
            </w:r>
          </w:p>
        </w:tc>
        <w:tc>
          <w:tcPr>
            <w:tcW w:w="864" w:type="pct"/>
            <w:tcBorders>
              <w:top w:val="nil"/>
              <w:left w:val="dashSmallGap" w:sz="4" w:space="0" w:color="595959" w:themeColor="text1" w:themeTint="A6"/>
              <w:bottom w:val="single" w:sz="4" w:space="0" w:color="auto"/>
              <w:right w:val="dashSmallGap" w:sz="4" w:space="0" w:color="595959" w:themeColor="text1" w:themeTint="A6"/>
            </w:tcBorders>
            <w:vAlign w:val="bottom"/>
            <w:hideMark/>
          </w:tcPr>
          <w:p w:rsidR="00EE006C" w:rsidRPr="00A21B5C" w:rsidRDefault="00EE006C" w:rsidP="00A21B5C">
            <w:pPr>
              <w:ind w:left="209" w:hanging="209"/>
              <w:contextualSpacing/>
              <w:jc w:val="center"/>
              <w:rPr>
                <w:rFonts w:ascii="Arial" w:eastAsia="Times New Roman" w:hAnsi="Arial" w:cs="Arial"/>
                <w:b/>
                <w:bCs/>
                <w:color w:val="000000"/>
                <w:sz w:val="20"/>
                <w:szCs w:val="20"/>
                <w:lang w:val="es-CO" w:eastAsia="es-CO"/>
              </w:rPr>
            </w:pPr>
            <w:r w:rsidRPr="00A21B5C">
              <w:rPr>
                <w:rFonts w:ascii="Arial" w:hAnsi="Arial" w:cs="Arial"/>
                <w:color w:val="000000"/>
                <w:sz w:val="20"/>
                <w:szCs w:val="20"/>
              </w:rPr>
              <w:t>20111704</w:t>
            </w:r>
          </w:p>
        </w:tc>
        <w:tc>
          <w:tcPr>
            <w:tcW w:w="855" w:type="pct"/>
            <w:tcBorders>
              <w:top w:val="nil"/>
              <w:left w:val="dashSmallGap" w:sz="4" w:space="0" w:color="595959" w:themeColor="text1" w:themeTint="A6"/>
              <w:bottom w:val="single" w:sz="4" w:space="0" w:color="auto"/>
              <w:right w:val="dashSmallGap" w:sz="4" w:space="0" w:color="595959" w:themeColor="text1" w:themeTint="A6"/>
            </w:tcBorders>
            <w:vAlign w:val="bottom"/>
            <w:hideMark/>
          </w:tcPr>
          <w:p w:rsidR="00EE006C" w:rsidRPr="00A21B5C" w:rsidRDefault="00EE006C" w:rsidP="00A21B5C">
            <w:pPr>
              <w:ind w:left="209" w:hanging="209"/>
              <w:contextualSpacing/>
              <w:jc w:val="center"/>
              <w:rPr>
                <w:rFonts w:ascii="Arial" w:eastAsia="Times New Roman" w:hAnsi="Arial" w:cs="Arial"/>
                <w:b/>
                <w:bCs/>
                <w:color w:val="000000"/>
                <w:sz w:val="20"/>
                <w:szCs w:val="20"/>
                <w:lang w:val="es-CO" w:eastAsia="es-CO"/>
              </w:rPr>
            </w:pPr>
            <w:r w:rsidRPr="00A21B5C">
              <w:rPr>
                <w:rFonts w:ascii="Arial" w:hAnsi="Arial" w:cs="Arial"/>
                <w:color w:val="000000"/>
                <w:sz w:val="20"/>
                <w:szCs w:val="20"/>
              </w:rPr>
              <w:t>20/11/2017</w:t>
            </w:r>
          </w:p>
        </w:tc>
      </w:tr>
      <w:tr w:rsidR="004B28C1" w:rsidRPr="00A21B5C" w:rsidTr="009D1534">
        <w:trPr>
          <w:trHeight w:val="300"/>
          <w:jc w:val="center"/>
        </w:trPr>
        <w:tc>
          <w:tcPr>
            <w:tcW w:w="693" w:type="pct"/>
            <w:tcBorders>
              <w:top w:val="nil"/>
              <w:left w:val="dashSmallGap" w:sz="4" w:space="0" w:color="595959" w:themeColor="text1" w:themeTint="A6"/>
              <w:bottom w:val="single" w:sz="4" w:space="0" w:color="auto"/>
              <w:right w:val="dashSmallGap" w:sz="4" w:space="0" w:color="595959" w:themeColor="text1" w:themeTint="A6"/>
            </w:tcBorders>
            <w:noWrap/>
            <w:vAlign w:val="bottom"/>
            <w:hideMark/>
          </w:tcPr>
          <w:p w:rsidR="00EE006C" w:rsidRPr="00A21B5C" w:rsidRDefault="00EE006C" w:rsidP="00A21B5C">
            <w:pPr>
              <w:ind w:left="209" w:hanging="209"/>
              <w:contextualSpacing/>
              <w:jc w:val="center"/>
              <w:rPr>
                <w:rFonts w:ascii="Arial" w:eastAsia="Times New Roman" w:hAnsi="Arial" w:cs="Arial"/>
                <w:color w:val="000000"/>
                <w:sz w:val="20"/>
                <w:szCs w:val="20"/>
                <w:lang w:val="es-CO" w:eastAsia="es-CO"/>
              </w:rPr>
            </w:pPr>
            <w:r w:rsidRPr="00A21B5C">
              <w:rPr>
                <w:rFonts w:ascii="Arial" w:eastAsia="Times New Roman" w:hAnsi="Arial" w:cs="Arial"/>
                <w:color w:val="000000"/>
                <w:sz w:val="20"/>
                <w:szCs w:val="20"/>
                <w:lang w:val="es-CO" w:eastAsia="es-CO"/>
              </w:rPr>
              <w:t>151208</w:t>
            </w:r>
          </w:p>
        </w:tc>
        <w:tc>
          <w:tcPr>
            <w:tcW w:w="864" w:type="pct"/>
            <w:tcBorders>
              <w:top w:val="nil"/>
              <w:left w:val="dashSmallGap" w:sz="4" w:space="0" w:color="595959" w:themeColor="text1" w:themeTint="A6"/>
              <w:bottom w:val="single" w:sz="4" w:space="0" w:color="auto"/>
              <w:right w:val="dashSmallGap" w:sz="4" w:space="0" w:color="595959" w:themeColor="text1" w:themeTint="A6"/>
            </w:tcBorders>
            <w:noWrap/>
            <w:vAlign w:val="bottom"/>
            <w:hideMark/>
          </w:tcPr>
          <w:p w:rsidR="00EE006C" w:rsidRPr="00A21B5C" w:rsidRDefault="00EE006C" w:rsidP="00A21B5C">
            <w:pPr>
              <w:ind w:left="209" w:hanging="209"/>
              <w:contextualSpacing/>
              <w:jc w:val="center"/>
              <w:rPr>
                <w:rFonts w:ascii="Arial" w:eastAsia="Times New Roman" w:hAnsi="Arial" w:cs="Arial"/>
                <w:color w:val="000000"/>
                <w:sz w:val="20"/>
                <w:szCs w:val="20"/>
                <w:lang w:val="es-CO" w:eastAsia="es-CO"/>
              </w:rPr>
            </w:pPr>
            <w:r w:rsidRPr="00A21B5C">
              <w:rPr>
                <w:rFonts w:ascii="Arial" w:eastAsia="Times New Roman" w:hAnsi="Arial" w:cs="Arial"/>
                <w:color w:val="000000"/>
                <w:sz w:val="20"/>
                <w:szCs w:val="20"/>
                <w:lang w:val="es-CO" w:eastAsia="es-CO"/>
              </w:rPr>
              <w:t>15121710</w:t>
            </w:r>
          </w:p>
        </w:tc>
        <w:tc>
          <w:tcPr>
            <w:tcW w:w="962" w:type="pct"/>
            <w:tcBorders>
              <w:top w:val="nil"/>
              <w:left w:val="dashSmallGap" w:sz="4" w:space="0" w:color="595959" w:themeColor="text1" w:themeTint="A6"/>
              <w:bottom w:val="single" w:sz="4" w:space="0" w:color="auto"/>
              <w:right w:val="dashSmallGap" w:sz="4" w:space="0" w:color="595959" w:themeColor="text1" w:themeTint="A6"/>
            </w:tcBorders>
            <w:noWrap/>
            <w:vAlign w:val="center"/>
            <w:hideMark/>
          </w:tcPr>
          <w:p w:rsidR="00EE006C" w:rsidRPr="00A21B5C" w:rsidRDefault="00EE006C" w:rsidP="00A21B5C">
            <w:pPr>
              <w:ind w:left="209" w:hanging="209"/>
              <w:contextualSpacing/>
              <w:jc w:val="center"/>
              <w:rPr>
                <w:rFonts w:ascii="Arial" w:eastAsia="Times New Roman" w:hAnsi="Arial" w:cs="Arial"/>
                <w:color w:val="000000"/>
                <w:sz w:val="20"/>
                <w:szCs w:val="20"/>
                <w:lang w:val="es-CO" w:eastAsia="es-CO"/>
              </w:rPr>
            </w:pPr>
            <w:r w:rsidRPr="00A21B5C">
              <w:rPr>
                <w:rFonts w:ascii="Arial" w:eastAsia="Times New Roman" w:hAnsi="Arial" w:cs="Arial"/>
                <w:color w:val="000000"/>
                <w:sz w:val="20"/>
                <w:szCs w:val="20"/>
                <w:lang w:val="es-CO" w:eastAsia="es-CO"/>
              </w:rPr>
              <w:t>15/12/2017</w:t>
            </w:r>
          </w:p>
        </w:tc>
        <w:tc>
          <w:tcPr>
            <w:tcW w:w="93" w:type="pct"/>
            <w:vMerge/>
            <w:tcBorders>
              <w:top w:val="single" w:sz="4" w:space="0" w:color="FFFFFF" w:themeColor="background1"/>
              <w:left w:val="dashSmallGap" w:sz="4" w:space="0" w:color="595959" w:themeColor="text1" w:themeTint="A6"/>
              <w:bottom w:val="nil"/>
              <w:right w:val="dashSmallGap" w:sz="4" w:space="0" w:color="595959" w:themeColor="text1" w:themeTint="A6"/>
            </w:tcBorders>
            <w:vAlign w:val="center"/>
            <w:hideMark/>
          </w:tcPr>
          <w:p w:rsidR="00EE006C" w:rsidRPr="00A21B5C" w:rsidRDefault="00EE006C" w:rsidP="00A21B5C">
            <w:pPr>
              <w:ind w:left="209" w:hanging="209"/>
              <w:contextualSpacing/>
              <w:jc w:val="center"/>
              <w:rPr>
                <w:rFonts w:ascii="Arial" w:eastAsia="Times New Roman" w:hAnsi="Arial" w:cs="Arial"/>
                <w:b/>
                <w:bCs/>
                <w:color w:val="000000"/>
                <w:sz w:val="20"/>
                <w:szCs w:val="20"/>
                <w:lang w:val="es-CO" w:eastAsia="es-CO"/>
              </w:rPr>
            </w:pPr>
          </w:p>
        </w:tc>
        <w:tc>
          <w:tcPr>
            <w:tcW w:w="669" w:type="pct"/>
            <w:tcBorders>
              <w:top w:val="nil"/>
              <w:left w:val="dashSmallGap" w:sz="4" w:space="0" w:color="595959" w:themeColor="text1" w:themeTint="A6"/>
              <w:bottom w:val="single" w:sz="4" w:space="0" w:color="auto"/>
              <w:right w:val="dashSmallGap" w:sz="4" w:space="0" w:color="595959" w:themeColor="text1" w:themeTint="A6"/>
            </w:tcBorders>
            <w:vAlign w:val="bottom"/>
            <w:hideMark/>
          </w:tcPr>
          <w:p w:rsidR="00EE006C" w:rsidRPr="00A21B5C" w:rsidRDefault="00EE006C" w:rsidP="00A21B5C">
            <w:pPr>
              <w:ind w:left="209" w:hanging="209"/>
              <w:contextualSpacing/>
              <w:jc w:val="center"/>
              <w:rPr>
                <w:rFonts w:ascii="Arial" w:eastAsia="Times New Roman" w:hAnsi="Arial" w:cs="Arial"/>
                <w:color w:val="000000"/>
                <w:sz w:val="20"/>
                <w:szCs w:val="20"/>
                <w:lang w:val="es-CO" w:eastAsia="es-CO"/>
              </w:rPr>
            </w:pPr>
            <w:r w:rsidRPr="00A21B5C">
              <w:rPr>
                <w:rFonts w:ascii="Arial" w:hAnsi="Arial" w:cs="Arial"/>
                <w:color w:val="000000"/>
                <w:sz w:val="20"/>
                <w:szCs w:val="20"/>
              </w:rPr>
              <w:t>201103</w:t>
            </w:r>
          </w:p>
        </w:tc>
        <w:tc>
          <w:tcPr>
            <w:tcW w:w="864" w:type="pct"/>
            <w:tcBorders>
              <w:top w:val="nil"/>
              <w:left w:val="dashSmallGap" w:sz="4" w:space="0" w:color="595959" w:themeColor="text1" w:themeTint="A6"/>
              <w:bottom w:val="single" w:sz="4" w:space="0" w:color="auto"/>
              <w:right w:val="dashSmallGap" w:sz="4" w:space="0" w:color="595959" w:themeColor="text1" w:themeTint="A6"/>
            </w:tcBorders>
            <w:vAlign w:val="bottom"/>
            <w:hideMark/>
          </w:tcPr>
          <w:p w:rsidR="00EE006C" w:rsidRPr="00A21B5C" w:rsidRDefault="00EE006C" w:rsidP="00A21B5C">
            <w:pPr>
              <w:ind w:left="209" w:hanging="209"/>
              <w:contextualSpacing/>
              <w:jc w:val="center"/>
              <w:rPr>
                <w:rFonts w:ascii="Arial" w:eastAsia="Times New Roman" w:hAnsi="Arial" w:cs="Arial"/>
                <w:color w:val="000000"/>
                <w:sz w:val="20"/>
                <w:szCs w:val="20"/>
                <w:lang w:val="es-CO" w:eastAsia="es-CO"/>
              </w:rPr>
            </w:pPr>
            <w:r w:rsidRPr="00A21B5C">
              <w:rPr>
                <w:rFonts w:ascii="Arial" w:hAnsi="Arial" w:cs="Arial"/>
                <w:color w:val="000000"/>
                <w:sz w:val="20"/>
                <w:szCs w:val="20"/>
              </w:rPr>
              <w:t>20111703</w:t>
            </w:r>
          </w:p>
        </w:tc>
        <w:tc>
          <w:tcPr>
            <w:tcW w:w="855" w:type="pct"/>
            <w:tcBorders>
              <w:top w:val="nil"/>
              <w:left w:val="dashSmallGap" w:sz="4" w:space="0" w:color="595959" w:themeColor="text1" w:themeTint="A6"/>
              <w:bottom w:val="single" w:sz="4" w:space="0" w:color="auto"/>
              <w:right w:val="dashSmallGap" w:sz="4" w:space="0" w:color="595959" w:themeColor="text1" w:themeTint="A6"/>
            </w:tcBorders>
            <w:vAlign w:val="bottom"/>
            <w:hideMark/>
          </w:tcPr>
          <w:p w:rsidR="00EE006C" w:rsidRPr="00A21B5C" w:rsidRDefault="00EE006C" w:rsidP="00A21B5C">
            <w:pPr>
              <w:ind w:left="209" w:hanging="209"/>
              <w:contextualSpacing/>
              <w:jc w:val="center"/>
              <w:rPr>
                <w:rFonts w:ascii="Arial" w:eastAsia="Times New Roman" w:hAnsi="Arial" w:cs="Arial"/>
                <w:color w:val="000000"/>
                <w:sz w:val="20"/>
                <w:szCs w:val="20"/>
                <w:lang w:val="es-CO" w:eastAsia="es-CO"/>
              </w:rPr>
            </w:pPr>
            <w:r w:rsidRPr="00A21B5C">
              <w:rPr>
                <w:rFonts w:ascii="Arial" w:hAnsi="Arial" w:cs="Arial"/>
                <w:color w:val="000000"/>
                <w:sz w:val="20"/>
                <w:szCs w:val="20"/>
              </w:rPr>
              <w:t>20/11/2017</w:t>
            </w:r>
          </w:p>
        </w:tc>
      </w:tr>
      <w:tr w:rsidR="004B28C1" w:rsidRPr="00A21B5C" w:rsidTr="009D1534">
        <w:trPr>
          <w:trHeight w:val="300"/>
          <w:jc w:val="center"/>
        </w:trPr>
        <w:tc>
          <w:tcPr>
            <w:tcW w:w="693" w:type="pct"/>
            <w:tcBorders>
              <w:top w:val="nil"/>
              <w:left w:val="dashSmallGap" w:sz="4" w:space="0" w:color="595959" w:themeColor="text1" w:themeTint="A6"/>
              <w:bottom w:val="single" w:sz="4" w:space="0" w:color="auto"/>
              <w:right w:val="dashSmallGap" w:sz="4" w:space="0" w:color="595959" w:themeColor="text1" w:themeTint="A6"/>
            </w:tcBorders>
            <w:noWrap/>
            <w:vAlign w:val="bottom"/>
            <w:hideMark/>
          </w:tcPr>
          <w:p w:rsidR="00EE006C" w:rsidRPr="00A21B5C" w:rsidRDefault="00EE006C" w:rsidP="00A21B5C">
            <w:pPr>
              <w:ind w:left="209" w:hanging="209"/>
              <w:contextualSpacing/>
              <w:jc w:val="center"/>
              <w:rPr>
                <w:rFonts w:ascii="Arial" w:eastAsia="Times New Roman" w:hAnsi="Arial" w:cs="Arial"/>
                <w:color w:val="000000"/>
                <w:sz w:val="20"/>
                <w:szCs w:val="20"/>
                <w:lang w:val="es-CO" w:eastAsia="es-CO"/>
              </w:rPr>
            </w:pPr>
            <w:r w:rsidRPr="00A21B5C">
              <w:rPr>
                <w:rFonts w:ascii="Arial" w:eastAsia="Times New Roman" w:hAnsi="Arial" w:cs="Arial"/>
                <w:color w:val="000000"/>
                <w:sz w:val="20"/>
                <w:szCs w:val="20"/>
                <w:lang w:val="es-CO" w:eastAsia="es-CO"/>
              </w:rPr>
              <w:t>151207</w:t>
            </w:r>
          </w:p>
        </w:tc>
        <w:tc>
          <w:tcPr>
            <w:tcW w:w="864" w:type="pct"/>
            <w:tcBorders>
              <w:top w:val="nil"/>
              <w:left w:val="dashSmallGap" w:sz="4" w:space="0" w:color="595959" w:themeColor="text1" w:themeTint="A6"/>
              <w:bottom w:val="single" w:sz="4" w:space="0" w:color="auto"/>
              <w:right w:val="dashSmallGap" w:sz="4" w:space="0" w:color="595959" w:themeColor="text1" w:themeTint="A6"/>
            </w:tcBorders>
            <w:noWrap/>
            <w:vAlign w:val="bottom"/>
            <w:hideMark/>
          </w:tcPr>
          <w:p w:rsidR="00EE006C" w:rsidRPr="00A21B5C" w:rsidRDefault="00EE006C" w:rsidP="00A21B5C">
            <w:pPr>
              <w:ind w:left="209" w:hanging="209"/>
              <w:contextualSpacing/>
              <w:jc w:val="center"/>
              <w:rPr>
                <w:rFonts w:ascii="Arial" w:eastAsia="Times New Roman" w:hAnsi="Arial" w:cs="Arial"/>
                <w:color w:val="000000"/>
                <w:sz w:val="20"/>
                <w:szCs w:val="20"/>
                <w:lang w:val="es-CO" w:eastAsia="es-CO"/>
              </w:rPr>
            </w:pPr>
            <w:r w:rsidRPr="00A21B5C">
              <w:rPr>
                <w:rFonts w:ascii="Arial" w:eastAsia="Times New Roman" w:hAnsi="Arial" w:cs="Arial"/>
                <w:color w:val="000000"/>
                <w:sz w:val="20"/>
                <w:szCs w:val="20"/>
                <w:lang w:val="es-CO" w:eastAsia="es-CO"/>
              </w:rPr>
              <w:t>15121709</w:t>
            </w:r>
          </w:p>
        </w:tc>
        <w:tc>
          <w:tcPr>
            <w:tcW w:w="962" w:type="pct"/>
            <w:tcBorders>
              <w:top w:val="nil"/>
              <w:left w:val="dashSmallGap" w:sz="4" w:space="0" w:color="595959" w:themeColor="text1" w:themeTint="A6"/>
              <w:bottom w:val="single" w:sz="4" w:space="0" w:color="auto"/>
              <w:right w:val="dashSmallGap" w:sz="4" w:space="0" w:color="595959" w:themeColor="text1" w:themeTint="A6"/>
            </w:tcBorders>
            <w:noWrap/>
            <w:vAlign w:val="center"/>
            <w:hideMark/>
          </w:tcPr>
          <w:p w:rsidR="00EE006C" w:rsidRPr="00A21B5C" w:rsidRDefault="00EE006C" w:rsidP="00A21B5C">
            <w:pPr>
              <w:ind w:left="209" w:hanging="209"/>
              <w:contextualSpacing/>
              <w:jc w:val="center"/>
              <w:rPr>
                <w:rFonts w:ascii="Arial" w:eastAsia="Times New Roman" w:hAnsi="Arial" w:cs="Arial"/>
                <w:color w:val="000000"/>
                <w:sz w:val="20"/>
                <w:szCs w:val="20"/>
                <w:lang w:val="es-CO" w:eastAsia="es-CO"/>
              </w:rPr>
            </w:pPr>
            <w:r w:rsidRPr="00A21B5C">
              <w:rPr>
                <w:rFonts w:ascii="Arial" w:eastAsia="Times New Roman" w:hAnsi="Arial" w:cs="Arial"/>
                <w:color w:val="000000"/>
                <w:sz w:val="20"/>
                <w:szCs w:val="20"/>
                <w:lang w:val="es-CO" w:eastAsia="es-CO"/>
              </w:rPr>
              <w:t>15/12/2017</w:t>
            </w:r>
          </w:p>
        </w:tc>
        <w:tc>
          <w:tcPr>
            <w:tcW w:w="93" w:type="pct"/>
            <w:vMerge/>
            <w:tcBorders>
              <w:top w:val="single" w:sz="4" w:space="0" w:color="FFFFFF" w:themeColor="background1"/>
              <w:left w:val="dashSmallGap" w:sz="4" w:space="0" w:color="595959" w:themeColor="text1" w:themeTint="A6"/>
              <w:bottom w:val="nil"/>
              <w:right w:val="dashSmallGap" w:sz="4" w:space="0" w:color="595959" w:themeColor="text1" w:themeTint="A6"/>
            </w:tcBorders>
            <w:vAlign w:val="center"/>
            <w:hideMark/>
          </w:tcPr>
          <w:p w:rsidR="00EE006C" w:rsidRPr="00A21B5C" w:rsidRDefault="00EE006C" w:rsidP="00A21B5C">
            <w:pPr>
              <w:ind w:left="209" w:hanging="209"/>
              <w:contextualSpacing/>
              <w:jc w:val="center"/>
              <w:rPr>
                <w:rFonts w:ascii="Arial" w:eastAsia="Times New Roman" w:hAnsi="Arial" w:cs="Arial"/>
                <w:b/>
                <w:bCs/>
                <w:color w:val="000000"/>
                <w:sz w:val="20"/>
                <w:szCs w:val="20"/>
                <w:lang w:val="es-CO" w:eastAsia="es-CO"/>
              </w:rPr>
            </w:pPr>
          </w:p>
        </w:tc>
        <w:tc>
          <w:tcPr>
            <w:tcW w:w="669" w:type="pct"/>
            <w:tcBorders>
              <w:top w:val="nil"/>
              <w:left w:val="dashSmallGap" w:sz="4" w:space="0" w:color="595959" w:themeColor="text1" w:themeTint="A6"/>
              <w:bottom w:val="single" w:sz="4" w:space="0" w:color="auto"/>
              <w:right w:val="dashSmallGap" w:sz="4" w:space="0" w:color="595959" w:themeColor="text1" w:themeTint="A6"/>
            </w:tcBorders>
            <w:vAlign w:val="bottom"/>
            <w:hideMark/>
          </w:tcPr>
          <w:p w:rsidR="00EE006C" w:rsidRPr="00A21B5C" w:rsidRDefault="00EE006C" w:rsidP="00A21B5C">
            <w:pPr>
              <w:ind w:left="209" w:hanging="209"/>
              <w:contextualSpacing/>
              <w:jc w:val="center"/>
              <w:rPr>
                <w:rFonts w:ascii="Arial" w:eastAsia="Times New Roman" w:hAnsi="Arial" w:cs="Arial"/>
                <w:color w:val="000000"/>
                <w:sz w:val="20"/>
                <w:szCs w:val="20"/>
                <w:lang w:val="es-CO" w:eastAsia="es-CO"/>
              </w:rPr>
            </w:pPr>
            <w:r w:rsidRPr="00A21B5C">
              <w:rPr>
                <w:rFonts w:ascii="Arial" w:hAnsi="Arial" w:cs="Arial"/>
                <w:color w:val="000000"/>
                <w:sz w:val="20"/>
                <w:szCs w:val="20"/>
              </w:rPr>
              <w:t>201102</w:t>
            </w:r>
          </w:p>
        </w:tc>
        <w:tc>
          <w:tcPr>
            <w:tcW w:w="864" w:type="pct"/>
            <w:tcBorders>
              <w:top w:val="nil"/>
              <w:left w:val="dashSmallGap" w:sz="4" w:space="0" w:color="595959" w:themeColor="text1" w:themeTint="A6"/>
              <w:bottom w:val="single" w:sz="4" w:space="0" w:color="auto"/>
              <w:right w:val="dashSmallGap" w:sz="4" w:space="0" w:color="595959" w:themeColor="text1" w:themeTint="A6"/>
            </w:tcBorders>
            <w:vAlign w:val="bottom"/>
            <w:hideMark/>
          </w:tcPr>
          <w:p w:rsidR="00EE006C" w:rsidRPr="00A21B5C" w:rsidRDefault="00EE006C" w:rsidP="00A21B5C">
            <w:pPr>
              <w:ind w:left="209" w:hanging="209"/>
              <w:contextualSpacing/>
              <w:jc w:val="center"/>
              <w:rPr>
                <w:rFonts w:ascii="Arial" w:eastAsia="Times New Roman" w:hAnsi="Arial" w:cs="Arial"/>
                <w:color w:val="000000"/>
                <w:sz w:val="20"/>
                <w:szCs w:val="20"/>
                <w:lang w:val="es-CO" w:eastAsia="es-CO"/>
              </w:rPr>
            </w:pPr>
            <w:r w:rsidRPr="00A21B5C">
              <w:rPr>
                <w:rFonts w:ascii="Arial" w:hAnsi="Arial" w:cs="Arial"/>
                <w:color w:val="000000"/>
                <w:sz w:val="20"/>
                <w:szCs w:val="20"/>
              </w:rPr>
              <w:t>20111702</w:t>
            </w:r>
          </w:p>
        </w:tc>
        <w:tc>
          <w:tcPr>
            <w:tcW w:w="855" w:type="pct"/>
            <w:tcBorders>
              <w:top w:val="nil"/>
              <w:left w:val="dashSmallGap" w:sz="4" w:space="0" w:color="595959" w:themeColor="text1" w:themeTint="A6"/>
              <w:bottom w:val="single" w:sz="4" w:space="0" w:color="auto"/>
              <w:right w:val="dashSmallGap" w:sz="4" w:space="0" w:color="595959" w:themeColor="text1" w:themeTint="A6"/>
            </w:tcBorders>
            <w:vAlign w:val="bottom"/>
            <w:hideMark/>
          </w:tcPr>
          <w:p w:rsidR="00EE006C" w:rsidRPr="00A21B5C" w:rsidRDefault="00EE006C" w:rsidP="00A21B5C">
            <w:pPr>
              <w:ind w:left="209" w:hanging="209"/>
              <w:contextualSpacing/>
              <w:jc w:val="center"/>
              <w:rPr>
                <w:rFonts w:ascii="Arial" w:eastAsia="Times New Roman" w:hAnsi="Arial" w:cs="Arial"/>
                <w:color w:val="000000"/>
                <w:sz w:val="20"/>
                <w:szCs w:val="20"/>
                <w:lang w:val="es-CO" w:eastAsia="es-CO"/>
              </w:rPr>
            </w:pPr>
            <w:r w:rsidRPr="00A21B5C">
              <w:rPr>
                <w:rFonts w:ascii="Arial" w:hAnsi="Arial" w:cs="Arial"/>
                <w:color w:val="000000"/>
                <w:sz w:val="20"/>
                <w:szCs w:val="20"/>
              </w:rPr>
              <w:t>20/11/2017</w:t>
            </w:r>
          </w:p>
        </w:tc>
      </w:tr>
      <w:tr w:rsidR="004B28C1" w:rsidRPr="00A21B5C" w:rsidTr="009D1534">
        <w:trPr>
          <w:trHeight w:val="300"/>
          <w:jc w:val="center"/>
        </w:trPr>
        <w:tc>
          <w:tcPr>
            <w:tcW w:w="693" w:type="pct"/>
            <w:tcBorders>
              <w:top w:val="nil"/>
              <w:left w:val="dashSmallGap" w:sz="4" w:space="0" w:color="595959" w:themeColor="text1" w:themeTint="A6"/>
              <w:bottom w:val="single" w:sz="4" w:space="0" w:color="auto"/>
              <w:right w:val="dashSmallGap" w:sz="4" w:space="0" w:color="595959" w:themeColor="text1" w:themeTint="A6"/>
            </w:tcBorders>
            <w:noWrap/>
            <w:vAlign w:val="bottom"/>
            <w:hideMark/>
          </w:tcPr>
          <w:p w:rsidR="00EE006C" w:rsidRPr="00A21B5C" w:rsidRDefault="00EE006C" w:rsidP="00A21B5C">
            <w:pPr>
              <w:ind w:left="209" w:hanging="209"/>
              <w:contextualSpacing/>
              <w:jc w:val="center"/>
              <w:rPr>
                <w:rFonts w:ascii="Arial" w:eastAsia="Times New Roman" w:hAnsi="Arial" w:cs="Arial"/>
                <w:color w:val="000000"/>
                <w:sz w:val="20"/>
                <w:szCs w:val="20"/>
                <w:lang w:val="es-CO" w:eastAsia="es-CO"/>
              </w:rPr>
            </w:pPr>
            <w:r w:rsidRPr="00A21B5C">
              <w:rPr>
                <w:rFonts w:ascii="Arial" w:eastAsia="Times New Roman" w:hAnsi="Arial" w:cs="Arial"/>
                <w:color w:val="000000"/>
                <w:sz w:val="20"/>
                <w:szCs w:val="20"/>
                <w:lang w:val="es-CO" w:eastAsia="es-CO"/>
              </w:rPr>
              <w:t>151206</w:t>
            </w:r>
          </w:p>
        </w:tc>
        <w:tc>
          <w:tcPr>
            <w:tcW w:w="864" w:type="pct"/>
            <w:tcBorders>
              <w:top w:val="nil"/>
              <w:left w:val="dashSmallGap" w:sz="4" w:space="0" w:color="595959" w:themeColor="text1" w:themeTint="A6"/>
              <w:bottom w:val="single" w:sz="4" w:space="0" w:color="auto"/>
              <w:right w:val="dashSmallGap" w:sz="4" w:space="0" w:color="595959" w:themeColor="text1" w:themeTint="A6"/>
            </w:tcBorders>
            <w:noWrap/>
            <w:vAlign w:val="bottom"/>
            <w:hideMark/>
          </w:tcPr>
          <w:p w:rsidR="00EE006C" w:rsidRPr="00A21B5C" w:rsidRDefault="00EE006C" w:rsidP="00A21B5C">
            <w:pPr>
              <w:ind w:left="209" w:hanging="209"/>
              <w:contextualSpacing/>
              <w:jc w:val="center"/>
              <w:rPr>
                <w:rFonts w:ascii="Arial" w:eastAsia="Times New Roman" w:hAnsi="Arial" w:cs="Arial"/>
                <w:color w:val="000000"/>
                <w:sz w:val="20"/>
                <w:szCs w:val="20"/>
                <w:lang w:val="es-CO" w:eastAsia="es-CO"/>
              </w:rPr>
            </w:pPr>
            <w:r w:rsidRPr="00A21B5C">
              <w:rPr>
                <w:rFonts w:ascii="Arial" w:eastAsia="Times New Roman" w:hAnsi="Arial" w:cs="Arial"/>
                <w:color w:val="000000"/>
                <w:sz w:val="20"/>
                <w:szCs w:val="20"/>
                <w:lang w:val="es-CO" w:eastAsia="es-CO"/>
              </w:rPr>
              <w:t>15121708</w:t>
            </w:r>
          </w:p>
        </w:tc>
        <w:tc>
          <w:tcPr>
            <w:tcW w:w="962" w:type="pct"/>
            <w:tcBorders>
              <w:top w:val="nil"/>
              <w:left w:val="dashSmallGap" w:sz="4" w:space="0" w:color="595959" w:themeColor="text1" w:themeTint="A6"/>
              <w:bottom w:val="single" w:sz="4" w:space="0" w:color="auto"/>
              <w:right w:val="dashSmallGap" w:sz="4" w:space="0" w:color="595959" w:themeColor="text1" w:themeTint="A6"/>
            </w:tcBorders>
            <w:noWrap/>
            <w:vAlign w:val="center"/>
            <w:hideMark/>
          </w:tcPr>
          <w:p w:rsidR="00EE006C" w:rsidRPr="00A21B5C" w:rsidRDefault="00EE006C" w:rsidP="00A21B5C">
            <w:pPr>
              <w:ind w:left="209" w:hanging="209"/>
              <w:contextualSpacing/>
              <w:jc w:val="center"/>
              <w:rPr>
                <w:rFonts w:ascii="Arial" w:eastAsia="Times New Roman" w:hAnsi="Arial" w:cs="Arial"/>
                <w:color w:val="000000"/>
                <w:sz w:val="20"/>
                <w:szCs w:val="20"/>
                <w:lang w:val="es-CO" w:eastAsia="es-CO"/>
              </w:rPr>
            </w:pPr>
            <w:r w:rsidRPr="00A21B5C">
              <w:rPr>
                <w:rFonts w:ascii="Arial" w:eastAsia="Times New Roman" w:hAnsi="Arial" w:cs="Arial"/>
                <w:color w:val="000000"/>
                <w:sz w:val="20"/>
                <w:szCs w:val="20"/>
                <w:lang w:val="es-CO" w:eastAsia="es-CO"/>
              </w:rPr>
              <w:t>15/12/2017</w:t>
            </w:r>
          </w:p>
        </w:tc>
        <w:tc>
          <w:tcPr>
            <w:tcW w:w="93" w:type="pct"/>
            <w:vMerge/>
            <w:tcBorders>
              <w:top w:val="single" w:sz="4" w:space="0" w:color="FFFFFF" w:themeColor="background1"/>
              <w:left w:val="dashSmallGap" w:sz="4" w:space="0" w:color="595959" w:themeColor="text1" w:themeTint="A6"/>
              <w:bottom w:val="nil"/>
              <w:right w:val="dashSmallGap" w:sz="4" w:space="0" w:color="595959" w:themeColor="text1" w:themeTint="A6"/>
            </w:tcBorders>
            <w:vAlign w:val="center"/>
            <w:hideMark/>
          </w:tcPr>
          <w:p w:rsidR="00EE006C" w:rsidRPr="00A21B5C" w:rsidRDefault="00EE006C" w:rsidP="00A21B5C">
            <w:pPr>
              <w:ind w:left="209" w:hanging="209"/>
              <w:contextualSpacing/>
              <w:jc w:val="center"/>
              <w:rPr>
                <w:rFonts w:ascii="Arial" w:eastAsia="Times New Roman" w:hAnsi="Arial" w:cs="Arial"/>
                <w:b/>
                <w:bCs/>
                <w:color w:val="000000"/>
                <w:sz w:val="20"/>
                <w:szCs w:val="20"/>
                <w:lang w:val="es-CO" w:eastAsia="es-CO"/>
              </w:rPr>
            </w:pPr>
          </w:p>
        </w:tc>
        <w:tc>
          <w:tcPr>
            <w:tcW w:w="669" w:type="pct"/>
            <w:tcBorders>
              <w:top w:val="nil"/>
              <w:left w:val="dashSmallGap" w:sz="4" w:space="0" w:color="595959" w:themeColor="text1" w:themeTint="A6"/>
              <w:bottom w:val="single" w:sz="4" w:space="0" w:color="auto"/>
              <w:right w:val="dashSmallGap" w:sz="4" w:space="0" w:color="595959" w:themeColor="text1" w:themeTint="A6"/>
            </w:tcBorders>
            <w:vAlign w:val="bottom"/>
            <w:hideMark/>
          </w:tcPr>
          <w:p w:rsidR="00EE006C" w:rsidRPr="00A21B5C" w:rsidRDefault="00EE006C" w:rsidP="00A21B5C">
            <w:pPr>
              <w:ind w:left="209" w:hanging="209"/>
              <w:contextualSpacing/>
              <w:jc w:val="center"/>
              <w:rPr>
                <w:rFonts w:ascii="Arial" w:eastAsia="Times New Roman" w:hAnsi="Arial" w:cs="Arial"/>
                <w:color w:val="000000"/>
                <w:sz w:val="20"/>
                <w:szCs w:val="20"/>
                <w:lang w:val="es-CO" w:eastAsia="es-CO"/>
              </w:rPr>
            </w:pPr>
            <w:r w:rsidRPr="00A21B5C">
              <w:rPr>
                <w:rFonts w:ascii="Arial" w:hAnsi="Arial" w:cs="Arial"/>
                <w:color w:val="000000"/>
                <w:sz w:val="20"/>
                <w:szCs w:val="20"/>
              </w:rPr>
              <w:t>201101</w:t>
            </w:r>
          </w:p>
        </w:tc>
        <w:tc>
          <w:tcPr>
            <w:tcW w:w="864" w:type="pct"/>
            <w:tcBorders>
              <w:top w:val="nil"/>
              <w:left w:val="dashSmallGap" w:sz="4" w:space="0" w:color="595959" w:themeColor="text1" w:themeTint="A6"/>
              <w:bottom w:val="single" w:sz="4" w:space="0" w:color="auto"/>
              <w:right w:val="dashSmallGap" w:sz="4" w:space="0" w:color="595959" w:themeColor="text1" w:themeTint="A6"/>
            </w:tcBorders>
            <w:vAlign w:val="bottom"/>
            <w:hideMark/>
          </w:tcPr>
          <w:p w:rsidR="00EE006C" w:rsidRPr="00A21B5C" w:rsidRDefault="00EE006C" w:rsidP="00A21B5C">
            <w:pPr>
              <w:ind w:left="209" w:hanging="209"/>
              <w:contextualSpacing/>
              <w:jc w:val="center"/>
              <w:rPr>
                <w:rFonts w:ascii="Arial" w:eastAsia="Times New Roman" w:hAnsi="Arial" w:cs="Arial"/>
                <w:color w:val="000000"/>
                <w:sz w:val="20"/>
                <w:szCs w:val="20"/>
                <w:lang w:val="es-CO" w:eastAsia="es-CO"/>
              </w:rPr>
            </w:pPr>
            <w:r w:rsidRPr="00A21B5C">
              <w:rPr>
                <w:rFonts w:ascii="Arial" w:hAnsi="Arial" w:cs="Arial"/>
                <w:color w:val="000000"/>
                <w:sz w:val="20"/>
                <w:szCs w:val="20"/>
              </w:rPr>
              <w:t>20111701</w:t>
            </w:r>
          </w:p>
        </w:tc>
        <w:tc>
          <w:tcPr>
            <w:tcW w:w="855" w:type="pct"/>
            <w:tcBorders>
              <w:top w:val="nil"/>
              <w:left w:val="dashSmallGap" w:sz="4" w:space="0" w:color="595959" w:themeColor="text1" w:themeTint="A6"/>
              <w:bottom w:val="single" w:sz="4" w:space="0" w:color="auto"/>
              <w:right w:val="dashSmallGap" w:sz="4" w:space="0" w:color="595959" w:themeColor="text1" w:themeTint="A6"/>
            </w:tcBorders>
            <w:vAlign w:val="bottom"/>
            <w:hideMark/>
          </w:tcPr>
          <w:p w:rsidR="00EE006C" w:rsidRPr="00A21B5C" w:rsidRDefault="00EE006C" w:rsidP="00A21B5C">
            <w:pPr>
              <w:ind w:left="209" w:hanging="209"/>
              <w:contextualSpacing/>
              <w:jc w:val="center"/>
              <w:rPr>
                <w:rFonts w:ascii="Arial" w:eastAsia="Times New Roman" w:hAnsi="Arial" w:cs="Arial"/>
                <w:color w:val="000000"/>
                <w:sz w:val="20"/>
                <w:szCs w:val="20"/>
                <w:lang w:val="es-CO" w:eastAsia="es-CO"/>
              </w:rPr>
            </w:pPr>
            <w:r w:rsidRPr="00A21B5C">
              <w:rPr>
                <w:rFonts w:ascii="Arial" w:hAnsi="Arial" w:cs="Arial"/>
                <w:color w:val="000000"/>
                <w:sz w:val="20"/>
                <w:szCs w:val="20"/>
              </w:rPr>
              <w:t>20/11/2017</w:t>
            </w:r>
          </w:p>
        </w:tc>
      </w:tr>
      <w:tr w:rsidR="004B28C1" w:rsidRPr="00A21B5C" w:rsidTr="009D1534">
        <w:trPr>
          <w:trHeight w:val="300"/>
          <w:jc w:val="center"/>
        </w:trPr>
        <w:tc>
          <w:tcPr>
            <w:tcW w:w="693" w:type="pct"/>
            <w:tcBorders>
              <w:top w:val="nil"/>
              <w:left w:val="dashSmallGap" w:sz="4" w:space="0" w:color="595959" w:themeColor="text1" w:themeTint="A6"/>
              <w:bottom w:val="single" w:sz="4" w:space="0" w:color="auto"/>
              <w:right w:val="dashSmallGap" w:sz="4" w:space="0" w:color="595959" w:themeColor="text1" w:themeTint="A6"/>
            </w:tcBorders>
            <w:noWrap/>
            <w:vAlign w:val="bottom"/>
            <w:hideMark/>
          </w:tcPr>
          <w:p w:rsidR="00EE006C" w:rsidRPr="00A21B5C" w:rsidRDefault="00EE006C" w:rsidP="00A21B5C">
            <w:pPr>
              <w:ind w:left="209" w:hanging="209"/>
              <w:contextualSpacing/>
              <w:jc w:val="center"/>
              <w:rPr>
                <w:rFonts w:ascii="Arial" w:eastAsia="Times New Roman" w:hAnsi="Arial" w:cs="Arial"/>
                <w:color w:val="000000"/>
                <w:sz w:val="20"/>
                <w:szCs w:val="20"/>
                <w:lang w:val="es-CO" w:eastAsia="es-CO"/>
              </w:rPr>
            </w:pPr>
            <w:r w:rsidRPr="00A21B5C">
              <w:rPr>
                <w:rFonts w:ascii="Arial" w:eastAsia="Times New Roman" w:hAnsi="Arial" w:cs="Arial"/>
                <w:color w:val="000000"/>
                <w:sz w:val="20"/>
                <w:szCs w:val="20"/>
                <w:lang w:val="es-CO" w:eastAsia="es-CO"/>
              </w:rPr>
              <w:t>151205</w:t>
            </w:r>
          </w:p>
        </w:tc>
        <w:tc>
          <w:tcPr>
            <w:tcW w:w="864" w:type="pct"/>
            <w:tcBorders>
              <w:top w:val="nil"/>
              <w:left w:val="dashSmallGap" w:sz="4" w:space="0" w:color="595959" w:themeColor="text1" w:themeTint="A6"/>
              <w:bottom w:val="single" w:sz="4" w:space="0" w:color="auto"/>
              <w:right w:val="dashSmallGap" w:sz="4" w:space="0" w:color="595959" w:themeColor="text1" w:themeTint="A6"/>
            </w:tcBorders>
            <w:noWrap/>
            <w:vAlign w:val="bottom"/>
            <w:hideMark/>
          </w:tcPr>
          <w:p w:rsidR="00EE006C" w:rsidRPr="00A21B5C" w:rsidRDefault="00EE006C" w:rsidP="00A21B5C">
            <w:pPr>
              <w:ind w:left="209" w:hanging="209"/>
              <w:contextualSpacing/>
              <w:jc w:val="center"/>
              <w:rPr>
                <w:rFonts w:ascii="Arial" w:eastAsia="Times New Roman" w:hAnsi="Arial" w:cs="Arial"/>
                <w:color w:val="000000"/>
                <w:sz w:val="20"/>
                <w:szCs w:val="20"/>
                <w:lang w:val="es-CO" w:eastAsia="es-CO"/>
              </w:rPr>
            </w:pPr>
            <w:r w:rsidRPr="00A21B5C">
              <w:rPr>
                <w:rFonts w:ascii="Arial" w:eastAsia="Times New Roman" w:hAnsi="Arial" w:cs="Arial"/>
                <w:color w:val="000000"/>
                <w:sz w:val="20"/>
                <w:szCs w:val="20"/>
                <w:lang w:val="es-CO" w:eastAsia="es-CO"/>
              </w:rPr>
              <w:t>15121707</w:t>
            </w:r>
          </w:p>
        </w:tc>
        <w:tc>
          <w:tcPr>
            <w:tcW w:w="962" w:type="pct"/>
            <w:tcBorders>
              <w:top w:val="nil"/>
              <w:left w:val="dashSmallGap" w:sz="4" w:space="0" w:color="595959" w:themeColor="text1" w:themeTint="A6"/>
              <w:bottom w:val="single" w:sz="4" w:space="0" w:color="auto"/>
              <w:right w:val="dashSmallGap" w:sz="4" w:space="0" w:color="595959" w:themeColor="text1" w:themeTint="A6"/>
            </w:tcBorders>
            <w:noWrap/>
            <w:vAlign w:val="center"/>
            <w:hideMark/>
          </w:tcPr>
          <w:p w:rsidR="00EE006C" w:rsidRPr="00A21B5C" w:rsidRDefault="00EE006C" w:rsidP="00A21B5C">
            <w:pPr>
              <w:ind w:left="209" w:hanging="209"/>
              <w:contextualSpacing/>
              <w:jc w:val="center"/>
              <w:rPr>
                <w:rFonts w:ascii="Arial" w:eastAsia="Times New Roman" w:hAnsi="Arial" w:cs="Arial"/>
                <w:color w:val="000000"/>
                <w:sz w:val="20"/>
                <w:szCs w:val="20"/>
                <w:lang w:val="es-CO" w:eastAsia="es-CO"/>
              </w:rPr>
            </w:pPr>
            <w:r w:rsidRPr="00A21B5C">
              <w:rPr>
                <w:rFonts w:ascii="Arial" w:eastAsia="Times New Roman" w:hAnsi="Arial" w:cs="Arial"/>
                <w:color w:val="000000"/>
                <w:sz w:val="20"/>
                <w:szCs w:val="20"/>
                <w:lang w:val="es-CO" w:eastAsia="es-CO"/>
              </w:rPr>
              <w:t>15/12/2017</w:t>
            </w:r>
          </w:p>
        </w:tc>
        <w:tc>
          <w:tcPr>
            <w:tcW w:w="93" w:type="pct"/>
            <w:vMerge/>
            <w:tcBorders>
              <w:top w:val="single" w:sz="4" w:space="0" w:color="FFFFFF" w:themeColor="background1"/>
              <w:left w:val="dashSmallGap" w:sz="4" w:space="0" w:color="595959" w:themeColor="text1" w:themeTint="A6"/>
              <w:bottom w:val="nil"/>
              <w:right w:val="dashSmallGap" w:sz="4" w:space="0" w:color="595959" w:themeColor="text1" w:themeTint="A6"/>
            </w:tcBorders>
            <w:vAlign w:val="center"/>
            <w:hideMark/>
          </w:tcPr>
          <w:p w:rsidR="00EE006C" w:rsidRPr="00A21B5C" w:rsidRDefault="00EE006C" w:rsidP="00A21B5C">
            <w:pPr>
              <w:ind w:left="209" w:hanging="209"/>
              <w:contextualSpacing/>
              <w:jc w:val="center"/>
              <w:rPr>
                <w:rFonts w:ascii="Arial" w:eastAsia="Times New Roman" w:hAnsi="Arial" w:cs="Arial"/>
                <w:b/>
                <w:bCs/>
                <w:color w:val="000000"/>
                <w:sz w:val="20"/>
                <w:szCs w:val="20"/>
                <w:lang w:val="es-CO" w:eastAsia="es-CO"/>
              </w:rPr>
            </w:pPr>
          </w:p>
        </w:tc>
        <w:tc>
          <w:tcPr>
            <w:tcW w:w="669" w:type="pct"/>
            <w:tcBorders>
              <w:top w:val="nil"/>
              <w:left w:val="dashSmallGap" w:sz="4" w:space="0" w:color="595959" w:themeColor="text1" w:themeTint="A6"/>
              <w:bottom w:val="single" w:sz="4" w:space="0" w:color="auto"/>
              <w:right w:val="dashSmallGap" w:sz="4" w:space="0" w:color="595959" w:themeColor="text1" w:themeTint="A6"/>
            </w:tcBorders>
            <w:vAlign w:val="bottom"/>
            <w:hideMark/>
          </w:tcPr>
          <w:p w:rsidR="00EE006C" w:rsidRPr="00A21B5C" w:rsidRDefault="00EE006C" w:rsidP="00A21B5C">
            <w:pPr>
              <w:ind w:left="209" w:hanging="209"/>
              <w:contextualSpacing/>
              <w:jc w:val="center"/>
              <w:rPr>
                <w:rFonts w:ascii="Arial" w:eastAsia="Times New Roman" w:hAnsi="Arial" w:cs="Arial"/>
                <w:color w:val="000000"/>
                <w:sz w:val="20"/>
                <w:szCs w:val="20"/>
                <w:lang w:val="es-CO" w:eastAsia="es-CO"/>
              </w:rPr>
            </w:pPr>
            <w:r w:rsidRPr="00A21B5C">
              <w:rPr>
                <w:rFonts w:ascii="Arial" w:hAnsi="Arial" w:cs="Arial"/>
                <w:color w:val="000000"/>
                <w:sz w:val="20"/>
                <w:szCs w:val="20"/>
              </w:rPr>
              <w:t>130209</w:t>
            </w:r>
          </w:p>
        </w:tc>
        <w:tc>
          <w:tcPr>
            <w:tcW w:w="864" w:type="pct"/>
            <w:tcBorders>
              <w:top w:val="nil"/>
              <w:left w:val="dashSmallGap" w:sz="4" w:space="0" w:color="595959" w:themeColor="text1" w:themeTint="A6"/>
              <w:bottom w:val="single" w:sz="4" w:space="0" w:color="auto"/>
              <w:right w:val="dashSmallGap" w:sz="4" w:space="0" w:color="595959" w:themeColor="text1" w:themeTint="A6"/>
            </w:tcBorders>
            <w:vAlign w:val="bottom"/>
            <w:hideMark/>
          </w:tcPr>
          <w:p w:rsidR="00EE006C" w:rsidRPr="00A21B5C" w:rsidRDefault="00EE006C" w:rsidP="00A21B5C">
            <w:pPr>
              <w:ind w:left="209" w:hanging="209"/>
              <w:contextualSpacing/>
              <w:jc w:val="center"/>
              <w:rPr>
                <w:rFonts w:ascii="Arial" w:eastAsia="Times New Roman" w:hAnsi="Arial" w:cs="Arial"/>
                <w:color w:val="000000"/>
                <w:sz w:val="20"/>
                <w:szCs w:val="20"/>
                <w:lang w:val="es-CO" w:eastAsia="es-CO"/>
              </w:rPr>
            </w:pPr>
            <w:r w:rsidRPr="00A21B5C">
              <w:rPr>
                <w:rFonts w:ascii="Arial" w:hAnsi="Arial" w:cs="Arial"/>
                <w:color w:val="000000"/>
                <w:sz w:val="20"/>
                <w:szCs w:val="20"/>
              </w:rPr>
              <w:t>13021709</w:t>
            </w:r>
          </w:p>
        </w:tc>
        <w:tc>
          <w:tcPr>
            <w:tcW w:w="855" w:type="pct"/>
            <w:tcBorders>
              <w:top w:val="nil"/>
              <w:left w:val="dashSmallGap" w:sz="4" w:space="0" w:color="595959" w:themeColor="text1" w:themeTint="A6"/>
              <w:bottom w:val="single" w:sz="4" w:space="0" w:color="auto"/>
              <w:right w:val="dashSmallGap" w:sz="4" w:space="0" w:color="595959" w:themeColor="text1" w:themeTint="A6"/>
            </w:tcBorders>
            <w:vAlign w:val="bottom"/>
            <w:hideMark/>
          </w:tcPr>
          <w:p w:rsidR="00EE006C" w:rsidRPr="00A21B5C" w:rsidRDefault="00EE006C" w:rsidP="00A21B5C">
            <w:pPr>
              <w:ind w:left="209" w:hanging="209"/>
              <w:contextualSpacing/>
              <w:jc w:val="center"/>
              <w:rPr>
                <w:rFonts w:ascii="Arial" w:eastAsia="Times New Roman" w:hAnsi="Arial" w:cs="Arial"/>
                <w:color w:val="000000"/>
                <w:sz w:val="20"/>
                <w:szCs w:val="20"/>
                <w:lang w:val="es-CO" w:eastAsia="es-CO"/>
              </w:rPr>
            </w:pPr>
            <w:r w:rsidRPr="00A21B5C">
              <w:rPr>
                <w:rFonts w:ascii="Arial" w:hAnsi="Arial" w:cs="Arial"/>
                <w:color w:val="000000"/>
                <w:sz w:val="20"/>
                <w:szCs w:val="20"/>
              </w:rPr>
              <w:t>13/02/2017</w:t>
            </w:r>
          </w:p>
        </w:tc>
      </w:tr>
      <w:tr w:rsidR="004B28C1" w:rsidRPr="00A21B5C" w:rsidTr="009D1534">
        <w:trPr>
          <w:trHeight w:val="300"/>
          <w:jc w:val="center"/>
        </w:trPr>
        <w:tc>
          <w:tcPr>
            <w:tcW w:w="693" w:type="pct"/>
            <w:tcBorders>
              <w:top w:val="nil"/>
              <w:left w:val="dashSmallGap" w:sz="4" w:space="0" w:color="595959" w:themeColor="text1" w:themeTint="A6"/>
              <w:bottom w:val="single" w:sz="4" w:space="0" w:color="auto"/>
              <w:right w:val="dashSmallGap" w:sz="4" w:space="0" w:color="595959" w:themeColor="text1" w:themeTint="A6"/>
            </w:tcBorders>
            <w:noWrap/>
            <w:vAlign w:val="bottom"/>
            <w:hideMark/>
          </w:tcPr>
          <w:p w:rsidR="00EE006C" w:rsidRPr="00A21B5C" w:rsidRDefault="00EE006C" w:rsidP="00A21B5C">
            <w:pPr>
              <w:ind w:left="209" w:hanging="209"/>
              <w:contextualSpacing/>
              <w:jc w:val="center"/>
              <w:rPr>
                <w:rFonts w:ascii="Arial" w:eastAsia="Times New Roman" w:hAnsi="Arial" w:cs="Arial"/>
                <w:color w:val="000000"/>
                <w:sz w:val="20"/>
                <w:szCs w:val="20"/>
                <w:lang w:val="es-CO" w:eastAsia="es-CO"/>
              </w:rPr>
            </w:pPr>
            <w:r w:rsidRPr="00A21B5C">
              <w:rPr>
                <w:rFonts w:ascii="Arial" w:eastAsia="Times New Roman" w:hAnsi="Arial" w:cs="Arial"/>
                <w:color w:val="000000"/>
                <w:sz w:val="20"/>
                <w:szCs w:val="20"/>
                <w:lang w:val="es-CO" w:eastAsia="es-CO"/>
              </w:rPr>
              <w:t>151204</w:t>
            </w:r>
          </w:p>
        </w:tc>
        <w:tc>
          <w:tcPr>
            <w:tcW w:w="864" w:type="pct"/>
            <w:tcBorders>
              <w:top w:val="nil"/>
              <w:left w:val="dashSmallGap" w:sz="4" w:space="0" w:color="595959" w:themeColor="text1" w:themeTint="A6"/>
              <w:bottom w:val="single" w:sz="4" w:space="0" w:color="auto"/>
              <w:right w:val="dashSmallGap" w:sz="4" w:space="0" w:color="595959" w:themeColor="text1" w:themeTint="A6"/>
            </w:tcBorders>
            <w:noWrap/>
            <w:vAlign w:val="bottom"/>
            <w:hideMark/>
          </w:tcPr>
          <w:p w:rsidR="00EE006C" w:rsidRPr="00A21B5C" w:rsidRDefault="00EE006C" w:rsidP="00A21B5C">
            <w:pPr>
              <w:ind w:left="209" w:hanging="209"/>
              <w:contextualSpacing/>
              <w:jc w:val="center"/>
              <w:rPr>
                <w:rFonts w:ascii="Arial" w:eastAsia="Times New Roman" w:hAnsi="Arial" w:cs="Arial"/>
                <w:color w:val="000000"/>
                <w:sz w:val="20"/>
                <w:szCs w:val="20"/>
                <w:lang w:val="es-CO" w:eastAsia="es-CO"/>
              </w:rPr>
            </w:pPr>
            <w:r w:rsidRPr="00A21B5C">
              <w:rPr>
                <w:rFonts w:ascii="Arial" w:eastAsia="Times New Roman" w:hAnsi="Arial" w:cs="Arial"/>
                <w:color w:val="000000"/>
                <w:sz w:val="20"/>
                <w:szCs w:val="20"/>
                <w:lang w:val="es-CO" w:eastAsia="es-CO"/>
              </w:rPr>
              <w:t>15121706</w:t>
            </w:r>
          </w:p>
        </w:tc>
        <w:tc>
          <w:tcPr>
            <w:tcW w:w="962" w:type="pct"/>
            <w:tcBorders>
              <w:top w:val="nil"/>
              <w:left w:val="dashSmallGap" w:sz="4" w:space="0" w:color="595959" w:themeColor="text1" w:themeTint="A6"/>
              <w:bottom w:val="single" w:sz="4" w:space="0" w:color="auto"/>
              <w:right w:val="dashSmallGap" w:sz="4" w:space="0" w:color="595959" w:themeColor="text1" w:themeTint="A6"/>
            </w:tcBorders>
            <w:noWrap/>
            <w:vAlign w:val="center"/>
            <w:hideMark/>
          </w:tcPr>
          <w:p w:rsidR="00EE006C" w:rsidRPr="00A21B5C" w:rsidRDefault="00EE006C" w:rsidP="00A21B5C">
            <w:pPr>
              <w:ind w:left="209" w:hanging="209"/>
              <w:contextualSpacing/>
              <w:jc w:val="center"/>
              <w:rPr>
                <w:rFonts w:ascii="Arial" w:eastAsia="Times New Roman" w:hAnsi="Arial" w:cs="Arial"/>
                <w:color w:val="000000"/>
                <w:sz w:val="20"/>
                <w:szCs w:val="20"/>
                <w:lang w:val="es-CO" w:eastAsia="es-CO"/>
              </w:rPr>
            </w:pPr>
            <w:r w:rsidRPr="00A21B5C">
              <w:rPr>
                <w:rFonts w:ascii="Arial" w:eastAsia="Times New Roman" w:hAnsi="Arial" w:cs="Arial"/>
                <w:color w:val="000000"/>
                <w:sz w:val="20"/>
                <w:szCs w:val="20"/>
                <w:lang w:val="es-CO" w:eastAsia="es-CO"/>
              </w:rPr>
              <w:t>15/12/2017</w:t>
            </w:r>
          </w:p>
        </w:tc>
        <w:tc>
          <w:tcPr>
            <w:tcW w:w="93" w:type="pct"/>
            <w:vMerge/>
            <w:tcBorders>
              <w:top w:val="single" w:sz="4" w:space="0" w:color="FFFFFF" w:themeColor="background1"/>
              <w:left w:val="dashSmallGap" w:sz="4" w:space="0" w:color="595959" w:themeColor="text1" w:themeTint="A6"/>
              <w:bottom w:val="nil"/>
              <w:right w:val="dashSmallGap" w:sz="4" w:space="0" w:color="595959" w:themeColor="text1" w:themeTint="A6"/>
            </w:tcBorders>
            <w:vAlign w:val="center"/>
            <w:hideMark/>
          </w:tcPr>
          <w:p w:rsidR="00EE006C" w:rsidRPr="00A21B5C" w:rsidRDefault="00EE006C" w:rsidP="00A21B5C">
            <w:pPr>
              <w:ind w:left="209" w:hanging="209"/>
              <w:contextualSpacing/>
              <w:jc w:val="center"/>
              <w:rPr>
                <w:rFonts w:ascii="Arial" w:eastAsia="Times New Roman" w:hAnsi="Arial" w:cs="Arial"/>
                <w:b/>
                <w:bCs/>
                <w:color w:val="000000"/>
                <w:sz w:val="20"/>
                <w:szCs w:val="20"/>
                <w:lang w:val="es-CO" w:eastAsia="es-CO"/>
              </w:rPr>
            </w:pPr>
          </w:p>
        </w:tc>
        <w:tc>
          <w:tcPr>
            <w:tcW w:w="669" w:type="pct"/>
            <w:tcBorders>
              <w:top w:val="nil"/>
              <w:left w:val="dashSmallGap" w:sz="4" w:space="0" w:color="595959" w:themeColor="text1" w:themeTint="A6"/>
              <w:bottom w:val="single" w:sz="4" w:space="0" w:color="auto"/>
              <w:right w:val="dashSmallGap" w:sz="4" w:space="0" w:color="595959" w:themeColor="text1" w:themeTint="A6"/>
            </w:tcBorders>
            <w:vAlign w:val="bottom"/>
            <w:hideMark/>
          </w:tcPr>
          <w:p w:rsidR="00EE006C" w:rsidRPr="00A21B5C" w:rsidRDefault="00EE006C" w:rsidP="00A21B5C">
            <w:pPr>
              <w:ind w:left="209" w:hanging="209"/>
              <w:contextualSpacing/>
              <w:jc w:val="center"/>
              <w:rPr>
                <w:rFonts w:ascii="Arial" w:eastAsia="Times New Roman" w:hAnsi="Arial" w:cs="Arial"/>
                <w:color w:val="000000"/>
                <w:sz w:val="20"/>
                <w:szCs w:val="20"/>
                <w:lang w:val="es-CO" w:eastAsia="es-CO"/>
              </w:rPr>
            </w:pPr>
            <w:r w:rsidRPr="00A21B5C">
              <w:rPr>
                <w:rFonts w:ascii="Arial" w:hAnsi="Arial" w:cs="Arial"/>
                <w:color w:val="000000"/>
                <w:sz w:val="20"/>
                <w:szCs w:val="20"/>
              </w:rPr>
              <w:t>130208</w:t>
            </w:r>
          </w:p>
        </w:tc>
        <w:tc>
          <w:tcPr>
            <w:tcW w:w="864" w:type="pct"/>
            <w:tcBorders>
              <w:top w:val="nil"/>
              <w:left w:val="dashSmallGap" w:sz="4" w:space="0" w:color="595959" w:themeColor="text1" w:themeTint="A6"/>
              <w:bottom w:val="single" w:sz="4" w:space="0" w:color="auto"/>
              <w:right w:val="dashSmallGap" w:sz="4" w:space="0" w:color="595959" w:themeColor="text1" w:themeTint="A6"/>
            </w:tcBorders>
            <w:vAlign w:val="bottom"/>
            <w:hideMark/>
          </w:tcPr>
          <w:p w:rsidR="00EE006C" w:rsidRPr="00A21B5C" w:rsidRDefault="00EE006C" w:rsidP="00A21B5C">
            <w:pPr>
              <w:ind w:left="209" w:hanging="209"/>
              <w:contextualSpacing/>
              <w:jc w:val="center"/>
              <w:rPr>
                <w:rFonts w:ascii="Arial" w:eastAsia="Times New Roman" w:hAnsi="Arial" w:cs="Arial"/>
                <w:color w:val="000000"/>
                <w:sz w:val="20"/>
                <w:szCs w:val="20"/>
                <w:lang w:val="es-CO" w:eastAsia="es-CO"/>
              </w:rPr>
            </w:pPr>
            <w:r w:rsidRPr="00A21B5C">
              <w:rPr>
                <w:rFonts w:ascii="Arial" w:hAnsi="Arial" w:cs="Arial"/>
                <w:color w:val="000000"/>
                <w:sz w:val="20"/>
                <w:szCs w:val="20"/>
              </w:rPr>
              <w:t>13021708</w:t>
            </w:r>
          </w:p>
        </w:tc>
        <w:tc>
          <w:tcPr>
            <w:tcW w:w="855" w:type="pct"/>
            <w:tcBorders>
              <w:top w:val="nil"/>
              <w:left w:val="dashSmallGap" w:sz="4" w:space="0" w:color="595959" w:themeColor="text1" w:themeTint="A6"/>
              <w:bottom w:val="single" w:sz="4" w:space="0" w:color="auto"/>
              <w:right w:val="dashSmallGap" w:sz="4" w:space="0" w:color="595959" w:themeColor="text1" w:themeTint="A6"/>
            </w:tcBorders>
            <w:vAlign w:val="bottom"/>
            <w:hideMark/>
          </w:tcPr>
          <w:p w:rsidR="00EE006C" w:rsidRPr="00A21B5C" w:rsidRDefault="00EE006C" w:rsidP="00A21B5C">
            <w:pPr>
              <w:ind w:left="209" w:hanging="209"/>
              <w:contextualSpacing/>
              <w:jc w:val="center"/>
              <w:rPr>
                <w:rFonts w:ascii="Arial" w:eastAsia="Times New Roman" w:hAnsi="Arial" w:cs="Arial"/>
                <w:color w:val="000000"/>
                <w:sz w:val="20"/>
                <w:szCs w:val="20"/>
                <w:lang w:val="es-CO" w:eastAsia="es-CO"/>
              </w:rPr>
            </w:pPr>
            <w:r w:rsidRPr="00A21B5C">
              <w:rPr>
                <w:rFonts w:ascii="Arial" w:hAnsi="Arial" w:cs="Arial"/>
                <w:color w:val="000000"/>
                <w:sz w:val="20"/>
                <w:szCs w:val="20"/>
              </w:rPr>
              <w:t>13/02/2017</w:t>
            </w:r>
          </w:p>
        </w:tc>
      </w:tr>
      <w:tr w:rsidR="004B28C1" w:rsidRPr="00A21B5C" w:rsidTr="009D1534">
        <w:trPr>
          <w:trHeight w:val="300"/>
          <w:jc w:val="center"/>
        </w:trPr>
        <w:tc>
          <w:tcPr>
            <w:tcW w:w="693" w:type="pct"/>
            <w:tcBorders>
              <w:top w:val="nil"/>
              <w:left w:val="dashSmallGap" w:sz="4" w:space="0" w:color="595959" w:themeColor="text1" w:themeTint="A6"/>
              <w:bottom w:val="single" w:sz="4" w:space="0" w:color="auto"/>
              <w:right w:val="dashSmallGap" w:sz="4" w:space="0" w:color="595959" w:themeColor="text1" w:themeTint="A6"/>
            </w:tcBorders>
            <w:noWrap/>
            <w:vAlign w:val="bottom"/>
            <w:hideMark/>
          </w:tcPr>
          <w:p w:rsidR="00EE006C" w:rsidRPr="00A21B5C" w:rsidRDefault="00EE006C" w:rsidP="00A21B5C">
            <w:pPr>
              <w:ind w:left="209" w:hanging="209"/>
              <w:contextualSpacing/>
              <w:jc w:val="center"/>
              <w:rPr>
                <w:rFonts w:ascii="Arial" w:eastAsia="Times New Roman" w:hAnsi="Arial" w:cs="Arial"/>
                <w:color w:val="000000"/>
                <w:sz w:val="20"/>
                <w:szCs w:val="20"/>
                <w:lang w:val="es-CO" w:eastAsia="es-CO"/>
              </w:rPr>
            </w:pPr>
            <w:r w:rsidRPr="00A21B5C">
              <w:rPr>
                <w:rFonts w:ascii="Arial" w:eastAsia="Times New Roman" w:hAnsi="Arial" w:cs="Arial"/>
                <w:color w:val="000000"/>
                <w:sz w:val="20"/>
                <w:szCs w:val="20"/>
                <w:lang w:val="es-CO" w:eastAsia="es-CO"/>
              </w:rPr>
              <w:t>151203</w:t>
            </w:r>
          </w:p>
        </w:tc>
        <w:tc>
          <w:tcPr>
            <w:tcW w:w="864" w:type="pct"/>
            <w:tcBorders>
              <w:top w:val="nil"/>
              <w:left w:val="dashSmallGap" w:sz="4" w:space="0" w:color="595959" w:themeColor="text1" w:themeTint="A6"/>
              <w:bottom w:val="single" w:sz="4" w:space="0" w:color="auto"/>
              <w:right w:val="dashSmallGap" w:sz="4" w:space="0" w:color="595959" w:themeColor="text1" w:themeTint="A6"/>
            </w:tcBorders>
            <w:noWrap/>
            <w:vAlign w:val="bottom"/>
            <w:hideMark/>
          </w:tcPr>
          <w:p w:rsidR="00EE006C" w:rsidRPr="00A21B5C" w:rsidRDefault="00EE006C" w:rsidP="00A21B5C">
            <w:pPr>
              <w:ind w:left="209" w:hanging="209"/>
              <w:contextualSpacing/>
              <w:jc w:val="center"/>
              <w:rPr>
                <w:rFonts w:ascii="Arial" w:eastAsia="Times New Roman" w:hAnsi="Arial" w:cs="Arial"/>
                <w:color w:val="000000"/>
                <w:sz w:val="20"/>
                <w:szCs w:val="20"/>
                <w:lang w:val="es-CO" w:eastAsia="es-CO"/>
              </w:rPr>
            </w:pPr>
            <w:r w:rsidRPr="00A21B5C">
              <w:rPr>
                <w:rFonts w:ascii="Arial" w:eastAsia="Times New Roman" w:hAnsi="Arial" w:cs="Arial"/>
                <w:color w:val="000000"/>
                <w:sz w:val="20"/>
                <w:szCs w:val="20"/>
                <w:lang w:val="es-CO" w:eastAsia="es-CO"/>
              </w:rPr>
              <w:t>15121705</w:t>
            </w:r>
          </w:p>
        </w:tc>
        <w:tc>
          <w:tcPr>
            <w:tcW w:w="962" w:type="pct"/>
            <w:tcBorders>
              <w:top w:val="nil"/>
              <w:left w:val="dashSmallGap" w:sz="4" w:space="0" w:color="595959" w:themeColor="text1" w:themeTint="A6"/>
              <w:bottom w:val="single" w:sz="4" w:space="0" w:color="auto"/>
              <w:right w:val="dashSmallGap" w:sz="4" w:space="0" w:color="595959" w:themeColor="text1" w:themeTint="A6"/>
            </w:tcBorders>
            <w:noWrap/>
            <w:vAlign w:val="center"/>
            <w:hideMark/>
          </w:tcPr>
          <w:p w:rsidR="00EE006C" w:rsidRPr="00A21B5C" w:rsidRDefault="00EE006C" w:rsidP="00A21B5C">
            <w:pPr>
              <w:ind w:left="209" w:hanging="209"/>
              <w:contextualSpacing/>
              <w:jc w:val="center"/>
              <w:rPr>
                <w:rFonts w:ascii="Arial" w:eastAsia="Times New Roman" w:hAnsi="Arial" w:cs="Arial"/>
                <w:color w:val="000000"/>
                <w:sz w:val="20"/>
                <w:szCs w:val="20"/>
                <w:lang w:val="es-CO" w:eastAsia="es-CO"/>
              </w:rPr>
            </w:pPr>
            <w:r w:rsidRPr="00A21B5C">
              <w:rPr>
                <w:rFonts w:ascii="Arial" w:eastAsia="Times New Roman" w:hAnsi="Arial" w:cs="Arial"/>
                <w:color w:val="000000"/>
                <w:sz w:val="20"/>
                <w:szCs w:val="20"/>
                <w:lang w:val="es-CO" w:eastAsia="es-CO"/>
              </w:rPr>
              <w:t>15/12/2017</w:t>
            </w:r>
          </w:p>
        </w:tc>
        <w:tc>
          <w:tcPr>
            <w:tcW w:w="93" w:type="pct"/>
            <w:vMerge/>
            <w:tcBorders>
              <w:top w:val="single" w:sz="4" w:space="0" w:color="FFFFFF" w:themeColor="background1"/>
              <w:left w:val="dashSmallGap" w:sz="4" w:space="0" w:color="595959" w:themeColor="text1" w:themeTint="A6"/>
              <w:bottom w:val="nil"/>
              <w:right w:val="dashSmallGap" w:sz="4" w:space="0" w:color="595959" w:themeColor="text1" w:themeTint="A6"/>
            </w:tcBorders>
            <w:vAlign w:val="center"/>
            <w:hideMark/>
          </w:tcPr>
          <w:p w:rsidR="00EE006C" w:rsidRPr="00A21B5C" w:rsidRDefault="00EE006C" w:rsidP="00A21B5C">
            <w:pPr>
              <w:ind w:left="209" w:hanging="209"/>
              <w:contextualSpacing/>
              <w:jc w:val="center"/>
              <w:rPr>
                <w:rFonts w:ascii="Arial" w:eastAsia="Times New Roman" w:hAnsi="Arial" w:cs="Arial"/>
                <w:b/>
                <w:bCs/>
                <w:color w:val="000000"/>
                <w:sz w:val="20"/>
                <w:szCs w:val="20"/>
                <w:lang w:val="es-CO" w:eastAsia="es-CO"/>
              </w:rPr>
            </w:pPr>
          </w:p>
        </w:tc>
        <w:tc>
          <w:tcPr>
            <w:tcW w:w="669" w:type="pct"/>
            <w:tcBorders>
              <w:top w:val="nil"/>
              <w:left w:val="dashSmallGap" w:sz="4" w:space="0" w:color="595959" w:themeColor="text1" w:themeTint="A6"/>
              <w:bottom w:val="single" w:sz="4" w:space="0" w:color="auto"/>
              <w:right w:val="dashSmallGap" w:sz="4" w:space="0" w:color="595959" w:themeColor="text1" w:themeTint="A6"/>
            </w:tcBorders>
            <w:vAlign w:val="bottom"/>
            <w:hideMark/>
          </w:tcPr>
          <w:p w:rsidR="00EE006C" w:rsidRPr="00A21B5C" w:rsidRDefault="00EE006C" w:rsidP="00A21B5C">
            <w:pPr>
              <w:ind w:left="209" w:hanging="209"/>
              <w:contextualSpacing/>
              <w:jc w:val="center"/>
              <w:rPr>
                <w:rFonts w:ascii="Arial" w:eastAsia="Times New Roman" w:hAnsi="Arial" w:cs="Arial"/>
                <w:color w:val="000000"/>
                <w:sz w:val="20"/>
                <w:szCs w:val="20"/>
                <w:lang w:val="es-CO" w:eastAsia="es-CO"/>
              </w:rPr>
            </w:pPr>
            <w:r w:rsidRPr="00A21B5C">
              <w:rPr>
                <w:rFonts w:ascii="Arial" w:hAnsi="Arial" w:cs="Arial"/>
                <w:color w:val="000000"/>
                <w:sz w:val="20"/>
                <w:szCs w:val="20"/>
              </w:rPr>
              <w:t>130207</w:t>
            </w:r>
          </w:p>
        </w:tc>
        <w:tc>
          <w:tcPr>
            <w:tcW w:w="864" w:type="pct"/>
            <w:tcBorders>
              <w:top w:val="nil"/>
              <w:left w:val="dashSmallGap" w:sz="4" w:space="0" w:color="595959" w:themeColor="text1" w:themeTint="A6"/>
              <w:bottom w:val="single" w:sz="4" w:space="0" w:color="auto"/>
              <w:right w:val="dashSmallGap" w:sz="4" w:space="0" w:color="595959" w:themeColor="text1" w:themeTint="A6"/>
            </w:tcBorders>
            <w:vAlign w:val="bottom"/>
            <w:hideMark/>
          </w:tcPr>
          <w:p w:rsidR="00EE006C" w:rsidRPr="00A21B5C" w:rsidRDefault="00EE006C" w:rsidP="00A21B5C">
            <w:pPr>
              <w:ind w:left="209" w:hanging="209"/>
              <w:contextualSpacing/>
              <w:jc w:val="center"/>
              <w:rPr>
                <w:rFonts w:ascii="Arial" w:eastAsia="Times New Roman" w:hAnsi="Arial" w:cs="Arial"/>
                <w:color w:val="000000"/>
                <w:sz w:val="20"/>
                <w:szCs w:val="20"/>
                <w:lang w:val="es-CO" w:eastAsia="es-CO"/>
              </w:rPr>
            </w:pPr>
            <w:r w:rsidRPr="00A21B5C">
              <w:rPr>
                <w:rFonts w:ascii="Arial" w:hAnsi="Arial" w:cs="Arial"/>
                <w:color w:val="000000"/>
                <w:sz w:val="20"/>
                <w:szCs w:val="20"/>
              </w:rPr>
              <w:t>13021707</w:t>
            </w:r>
          </w:p>
        </w:tc>
        <w:tc>
          <w:tcPr>
            <w:tcW w:w="855" w:type="pct"/>
            <w:tcBorders>
              <w:top w:val="nil"/>
              <w:left w:val="dashSmallGap" w:sz="4" w:space="0" w:color="595959" w:themeColor="text1" w:themeTint="A6"/>
              <w:bottom w:val="single" w:sz="4" w:space="0" w:color="auto"/>
              <w:right w:val="dashSmallGap" w:sz="4" w:space="0" w:color="595959" w:themeColor="text1" w:themeTint="A6"/>
            </w:tcBorders>
            <w:vAlign w:val="bottom"/>
            <w:hideMark/>
          </w:tcPr>
          <w:p w:rsidR="00EE006C" w:rsidRPr="00A21B5C" w:rsidRDefault="00EE006C" w:rsidP="00A21B5C">
            <w:pPr>
              <w:ind w:left="209" w:hanging="209"/>
              <w:contextualSpacing/>
              <w:jc w:val="center"/>
              <w:rPr>
                <w:rFonts w:ascii="Arial" w:eastAsia="Times New Roman" w:hAnsi="Arial" w:cs="Arial"/>
                <w:color w:val="000000"/>
                <w:sz w:val="20"/>
                <w:szCs w:val="20"/>
                <w:lang w:val="es-CO" w:eastAsia="es-CO"/>
              </w:rPr>
            </w:pPr>
            <w:r w:rsidRPr="00A21B5C">
              <w:rPr>
                <w:rFonts w:ascii="Arial" w:hAnsi="Arial" w:cs="Arial"/>
                <w:color w:val="000000"/>
                <w:sz w:val="20"/>
                <w:szCs w:val="20"/>
              </w:rPr>
              <w:t>13/02/2017</w:t>
            </w:r>
          </w:p>
        </w:tc>
      </w:tr>
      <w:tr w:rsidR="004B28C1" w:rsidRPr="00A21B5C" w:rsidTr="009D1534">
        <w:trPr>
          <w:trHeight w:val="300"/>
          <w:jc w:val="center"/>
        </w:trPr>
        <w:tc>
          <w:tcPr>
            <w:tcW w:w="693" w:type="pct"/>
            <w:tcBorders>
              <w:top w:val="nil"/>
              <w:left w:val="dashSmallGap" w:sz="4" w:space="0" w:color="595959" w:themeColor="text1" w:themeTint="A6"/>
              <w:bottom w:val="single" w:sz="4" w:space="0" w:color="auto"/>
              <w:right w:val="dashSmallGap" w:sz="4" w:space="0" w:color="595959" w:themeColor="text1" w:themeTint="A6"/>
            </w:tcBorders>
            <w:noWrap/>
            <w:vAlign w:val="bottom"/>
            <w:hideMark/>
          </w:tcPr>
          <w:p w:rsidR="00EE006C" w:rsidRPr="00A21B5C" w:rsidRDefault="00EE006C" w:rsidP="00A21B5C">
            <w:pPr>
              <w:ind w:left="209" w:hanging="209"/>
              <w:contextualSpacing/>
              <w:jc w:val="center"/>
              <w:rPr>
                <w:rFonts w:ascii="Arial" w:eastAsia="Times New Roman" w:hAnsi="Arial" w:cs="Arial"/>
                <w:color w:val="000000"/>
                <w:sz w:val="20"/>
                <w:szCs w:val="20"/>
                <w:lang w:val="es-CO" w:eastAsia="es-CO"/>
              </w:rPr>
            </w:pPr>
            <w:r w:rsidRPr="00A21B5C">
              <w:rPr>
                <w:rFonts w:ascii="Arial" w:eastAsia="Times New Roman" w:hAnsi="Arial" w:cs="Arial"/>
                <w:color w:val="000000"/>
                <w:sz w:val="20"/>
                <w:szCs w:val="20"/>
                <w:lang w:val="es-CO" w:eastAsia="es-CO"/>
              </w:rPr>
              <w:t>151202</w:t>
            </w:r>
          </w:p>
        </w:tc>
        <w:tc>
          <w:tcPr>
            <w:tcW w:w="864" w:type="pct"/>
            <w:tcBorders>
              <w:top w:val="nil"/>
              <w:left w:val="dashSmallGap" w:sz="4" w:space="0" w:color="595959" w:themeColor="text1" w:themeTint="A6"/>
              <w:bottom w:val="single" w:sz="4" w:space="0" w:color="auto"/>
              <w:right w:val="dashSmallGap" w:sz="4" w:space="0" w:color="595959" w:themeColor="text1" w:themeTint="A6"/>
            </w:tcBorders>
            <w:noWrap/>
            <w:vAlign w:val="bottom"/>
            <w:hideMark/>
          </w:tcPr>
          <w:p w:rsidR="00EE006C" w:rsidRPr="00A21B5C" w:rsidRDefault="00EE006C" w:rsidP="00A21B5C">
            <w:pPr>
              <w:ind w:left="209" w:hanging="209"/>
              <w:contextualSpacing/>
              <w:jc w:val="center"/>
              <w:rPr>
                <w:rFonts w:ascii="Arial" w:eastAsia="Times New Roman" w:hAnsi="Arial" w:cs="Arial"/>
                <w:color w:val="000000"/>
                <w:sz w:val="20"/>
                <w:szCs w:val="20"/>
                <w:lang w:val="es-CO" w:eastAsia="es-CO"/>
              </w:rPr>
            </w:pPr>
            <w:r w:rsidRPr="00A21B5C">
              <w:rPr>
                <w:rFonts w:ascii="Arial" w:eastAsia="Times New Roman" w:hAnsi="Arial" w:cs="Arial"/>
                <w:color w:val="000000"/>
                <w:sz w:val="20"/>
                <w:szCs w:val="20"/>
                <w:lang w:val="es-CO" w:eastAsia="es-CO"/>
              </w:rPr>
              <w:t>15121704</w:t>
            </w:r>
          </w:p>
        </w:tc>
        <w:tc>
          <w:tcPr>
            <w:tcW w:w="962" w:type="pct"/>
            <w:tcBorders>
              <w:top w:val="nil"/>
              <w:left w:val="dashSmallGap" w:sz="4" w:space="0" w:color="595959" w:themeColor="text1" w:themeTint="A6"/>
              <w:bottom w:val="single" w:sz="4" w:space="0" w:color="auto"/>
              <w:right w:val="dashSmallGap" w:sz="4" w:space="0" w:color="595959" w:themeColor="text1" w:themeTint="A6"/>
            </w:tcBorders>
            <w:noWrap/>
            <w:vAlign w:val="center"/>
            <w:hideMark/>
          </w:tcPr>
          <w:p w:rsidR="00EE006C" w:rsidRPr="00A21B5C" w:rsidRDefault="00EE006C" w:rsidP="00A21B5C">
            <w:pPr>
              <w:ind w:left="209" w:hanging="209"/>
              <w:contextualSpacing/>
              <w:jc w:val="center"/>
              <w:rPr>
                <w:rFonts w:ascii="Arial" w:eastAsia="Times New Roman" w:hAnsi="Arial" w:cs="Arial"/>
                <w:color w:val="000000"/>
                <w:sz w:val="20"/>
                <w:szCs w:val="20"/>
                <w:lang w:val="es-CO" w:eastAsia="es-CO"/>
              </w:rPr>
            </w:pPr>
            <w:r w:rsidRPr="00A21B5C">
              <w:rPr>
                <w:rFonts w:ascii="Arial" w:eastAsia="Times New Roman" w:hAnsi="Arial" w:cs="Arial"/>
                <w:color w:val="000000"/>
                <w:sz w:val="20"/>
                <w:szCs w:val="20"/>
                <w:lang w:val="es-CO" w:eastAsia="es-CO"/>
              </w:rPr>
              <w:t>15/12/2017</w:t>
            </w:r>
          </w:p>
        </w:tc>
        <w:tc>
          <w:tcPr>
            <w:tcW w:w="93" w:type="pct"/>
            <w:vMerge/>
            <w:tcBorders>
              <w:top w:val="single" w:sz="4" w:space="0" w:color="FFFFFF" w:themeColor="background1"/>
              <w:left w:val="dashSmallGap" w:sz="4" w:space="0" w:color="595959" w:themeColor="text1" w:themeTint="A6"/>
              <w:bottom w:val="nil"/>
              <w:right w:val="dashSmallGap" w:sz="4" w:space="0" w:color="595959" w:themeColor="text1" w:themeTint="A6"/>
            </w:tcBorders>
            <w:vAlign w:val="center"/>
            <w:hideMark/>
          </w:tcPr>
          <w:p w:rsidR="00EE006C" w:rsidRPr="00A21B5C" w:rsidRDefault="00EE006C" w:rsidP="00A21B5C">
            <w:pPr>
              <w:ind w:left="209" w:hanging="209"/>
              <w:contextualSpacing/>
              <w:jc w:val="center"/>
              <w:rPr>
                <w:rFonts w:ascii="Arial" w:eastAsia="Times New Roman" w:hAnsi="Arial" w:cs="Arial"/>
                <w:b/>
                <w:bCs/>
                <w:color w:val="000000"/>
                <w:sz w:val="20"/>
                <w:szCs w:val="20"/>
                <w:lang w:val="es-CO" w:eastAsia="es-CO"/>
              </w:rPr>
            </w:pPr>
          </w:p>
        </w:tc>
        <w:tc>
          <w:tcPr>
            <w:tcW w:w="669" w:type="pct"/>
            <w:tcBorders>
              <w:top w:val="nil"/>
              <w:left w:val="dashSmallGap" w:sz="4" w:space="0" w:color="595959" w:themeColor="text1" w:themeTint="A6"/>
              <w:bottom w:val="single" w:sz="4" w:space="0" w:color="auto"/>
              <w:right w:val="dashSmallGap" w:sz="4" w:space="0" w:color="595959" w:themeColor="text1" w:themeTint="A6"/>
            </w:tcBorders>
            <w:vAlign w:val="bottom"/>
            <w:hideMark/>
          </w:tcPr>
          <w:p w:rsidR="00EE006C" w:rsidRPr="00A21B5C" w:rsidRDefault="00EE006C" w:rsidP="00A21B5C">
            <w:pPr>
              <w:ind w:left="209" w:hanging="209"/>
              <w:contextualSpacing/>
              <w:jc w:val="center"/>
              <w:rPr>
                <w:rFonts w:ascii="Arial" w:eastAsia="Times New Roman" w:hAnsi="Arial" w:cs="Arial"/>
                <w:color w:val="000000"/>
                <w:sz w:val="20"/>
                <w:szCs w:val="20"/>
                <w:lang w:val="es-CO" w:eastAsia="es-CO"/>
              </w:rPr>
            </w:pPr>
            <w:r w:rsidRPr="00A21B5C">
              <w:rPr>
                <w:rFonts w:ascii="Arial" w:hAnsi="Arial" w:cs="Arial"/>
                <w:color w:val="000000"/>
                <w:sz w:val="20"/>
                <w:szCs w:val="20"/>
              </w:rPr>
              <w:t>130206</w:t>
            </w:r>
          </w:p>
        </w:tc>
        <w:tc>
          <w:tcPr>
            <w:tcW w:w="864" w:type="pct"/>
            <w:tcBorders>
              <w:top w:val="nil"/>
              <w:left w:val="dashSmallGap" w:sz="4" w:space="0" w:color="595959" w:themeColor="text1" w:themeTint="A6"/>
              <w:bottom w:val="single" w:sz="4" w:space="0" w:color="auto"/>
              <w:right w:val="dashSmallGap" w:sz="4" w:space="0" w:color="595959" w:themeColor="text1" w:themeTint="A6"/>
            </w:tcBorders>
            <w:vAlign w:val="bottom"/>
            <w:hideMark/>
          </w:tcPr>
          <w:p w:rsidR="00EE006C" w:rsidRPr="00A21B5C" w:rsidRDefault="00EE006C" w:rsidP="00A21B5C">
            <w:pPr>
              <w:ind w:left="209" w:hanging="209"/>
              <w:contextualSpacing/>
              <w:jc w:val="center"/>
              <w:rPr>
                <w:rFonts w:ascii="Arial" w:eastAsia="Times New Roman" w:hAnsi="Arial" w:cs="Arial"/>
                <w:color w:val="000000"/>
                <w:sz w:val="20"/>
                <w:szCs w:val="20"/>
                <w:lang w:val="es-CO" w:eastAsia="es-CO"/>
              </w:rPr>
            </w:pPr>
            <w:r w:rsidRPr="00A21B5C">
              <w:rPr>
                <w:rFonts w:ascii="Arial" w:hAnsi="Arial" w:cs="Arial"/>
                <w:color w:val="000000"/>
                <w:sz w:val="20"/>
                <w:szCs w:val="20"/>
              </w:rPr>
              <w:t>13021706</w:t>
            </w:r>
          </w:p>
        </w:tc>
        <w:tc>
          <w:tcPr>
            <w:tcW w:w="855" w:type="pct"/>
            <w:tcBorders>
              <w:top w:val="nil"/>
              <w:left w:val="dashSmallGap" w:sz="4" w:space="0" w:color="595959" w:themeColor="text1" w:themeTint="A6"/>
              <w:bottom w:val="single" w:sz="4" w:space="0" w:color="auto"/>
              <w:right w:val="dashSmallGap" w:sz="4" w:space="0" w:color="595959" w:themeColor="text1" w:themeTint="A6"/>
            </w:tcBorders>
            <w:vAlign w:val="bottom"/>
            <w:hideMark/>
          </w:tcPr>
          <w:p w:rsidR="00EE006C" w:rsidRPr="00A21B5C" w:rsidRDefault="00EE006C" w:rsidP="00A21B5C">
            <w:pPr>
              <w:ind w:left="209" w:hanging="209"/>
              <w:contextualSpacing/>
              <w:jc w:val="center"/>
              <w:rPr>
                <w:rFonts w:ascii="Arial" w:eastAsia="Times New Roman" w:hAnsi="Arial" w:cs="Arial"/>
                <w:color w:val="000000"/>
                <w:sz w:val="20"/>
                <w:szCs w:val="20"/>
                <w:lang w:val="es-CO" w:eastAsia="es-CO"/>
              </w:rPr>
            </w:pPr>
            <w:r w:rsidRPr="00A21B5C">
              <w:rPr>
                <w:rFonts w:ascii="Arial" w:hAnsi="Arial" w:cs="Arial"/>
                <w:color w:val="000000"/>
                <w:sz w:val="20"/>
                <w:szCs w:val="20"/>
              </w:rPr>
              <w:t>13/02/2017</w:t>
            </w:r>
          </w:p>
        </w:tc>
      </w:tr>
      <w:tr w:rsidR="004B28C1" w:rsidRPr="00A21B5C" w:rsidTr="009D1534">
        <w:trPr>
          <w:trHeight w:val="300"/>
          <w:jc w:val="center"/>
        </w:trPr>
        <w:tc>
          <w:tcPr>
            <w:tcW w:w="693" w:type="pct"/>
            <w:tcBorders>
              <w:top w:val="nil"/>
              <w:left w:val="dashSmallGap" w:sz="4" w:space="0" w:color="595959" w:themeColor="text1" w:themeTint="A6"/>
              <w:bottom w:val="single" w:sz="4" w:space="0" w:color="auto"/>
              <w:right w:val="dashSmallGap" w:sz="4" w:space="0" w:color="595959" w:themeColor="text1" w:themeTint="A6"/>
            </w:tcBorders>
            <w:noWrap/>
            <w:vAlign w:val="bottom"/>
            <w:hideMark/>
          </w:tcPr>
          <w:p w:rsidR="00EE006C" w:rsidRPr="00A21B5C" w:rsidRDefault="00EE006C" w:rsidP="00A21B5C">
            <w:pPr>
              <w:ind w:left="209" w:hanging="209"/>
              <w:contextualSpacing/>
              <w:jc w:val="center"/>
              <w:rPr>
                <w:rFonts w:ascii="Arial" w:eastAsia="Times New Roman" w:hAnsi="Arial" w:cs="Arial"/>
                <w:color w:val="000000"/>
                <w:sz w:val="20"/>
                <w:szCs w:val="20"/>
                <w:lang w:val="es-CO" w:eastAsia="es-CO"/>
              </w:rPr>
            </w:pPr>
            <w:r w:rsidRPr="00A21B5C">
              <w:rPr>
                <w:rFonts w:ascii="Arial" w:eastAsia="Times New Roman" w:hAnsi="Arial" w:cs="Arial"/>
                <w:color w:val="000000"/>
                <w:sz w:val="20"/>
                <w:szCs w:val="20"/>
                <w:lang w:val="es-CO" w:eastAsia="es-CO"/>
              </w:rPr>
              <w:t>151201</w:t>
            </w:r>
          </w:p>
        </w:tc>
        <w:tc>
          <w:tcPr>
            <w:tcW w:w="864" w:type="pct"/>
            <w:tcBorders>
              <w:top w:val="nil"/>
              <w:left w:val="dashSmallGap" w:sz="4" w:space="0" w:color="595959" w:themeColor="text1" w:themeTint="A6"/>
              <w:bottom w:val="single" w:sz="4" w:space="0" w:color="auto"/>
              <w:right w:val="dashSmallGap" w:sz="4" w:space="0" w:color="595959" w:themeColor="text1" w:themeTint="A6"/>
            </w:tcBorders>
            <w:noWrap/>
            <w:vAlign w:val="bottom"/>
            <w:hideMark/>
          </w:tcPr>
          <w:p w:rsidR="00EE006C" w:rsidRPr="00A21B5C" w:rsidRDefault="00EE006C" w:rsidP="00A21B5C">
            <w:pPr>
              <w:ind w:left="209" w:hanging="209"/>
              <w:contextualSpacing/>
              <w:jc w:val="center"/>
              <w:rPr>
                <w:rFonts w:ascii="Arial" w:eastAsia="Times New Roman" w:hAnsi="Arial" w:cs="Arial"/>
                <w:color w:val="000000"/>
                <w:sz w:val="20"/>
                <w:szCs w:val="20"/>
                <w:lang w:val="es-CO" w:eastAsia="es-CO"/>
              </w:rPr>
            </w:pPr>
            <w:r w:rsidRPr="00A21B5C">
              <w:rPr>
                <w:rFonts w:ascii="Arial" w:eastAsia="Times New Roman" w:hAnsi="Arial" w:cs="Arial"/>
                <w:color w:val="000000"/>
                <w:sz w:val="20"/>
                <w:szCs w:val="20"/>
                <w:lang w:val="es-CO" w:eastAsia="es-CO"/>
              </w:rPr>
              <w:t>15121703</w:t>
            </w:r>
          </w:p>
        </w:tc>
        <w:tc>
          <w:tcPr>
            <w:tcW w:w="962" w:type="pct"/>
            <w:tcBorders>
              <w:top w:val="nil"/>
              <w:left w:val="dashSmallGap" w:sz="4" w:space="0" w:color="595959" w:themeColor="text1" w:themeTint="A6"/>
              <w:bottom w:val="single" w:sz="4" w:space="0" w:color="auto"/>
              <w:right w:val="dashSmallGap" w:sz="4" w:space="0" w:color="595959" w:themeColor="text1" w:themeTint="A6"/>
            </w:tcBorders>
            <w:noWrap/>
            <w:vAlign w:val="center"/>
            <w:hideMark/>
          </w:tcPr>
          <w:p w:rsidR="00EE006C" w:rsidRPr="00A21B5C" w:rsidRDefault="00EE006C" w:rsidP="00A21B5C">
            <w:pPr>
              <w:ind w:left="209" w:hanging="209"/>
              <w:contextualSpacing/>
              <w:jc w:val="center"/>
              <w:rPr>
                <w:rFonts w:ascii="Arial" w:eastAsia="Times New Roman" w:hAnsi="Arial" w:cs="Arial"/>
                <w:color w:val="000000"/>
                <w:sz w:val="20"/>
                <w:szCs w:val="20"/>
                <w:lang w:val="es-CO" w:eastAsia="es-CO"/>
              </w:rPr>
            </w:pPr>
            <w:r w:rsidRPr="00A21B5C">
              <w:rPr>
                <w:rFonts w:ascii="Arial" w:eastAsia="Times New Roman" w:hAnsi="Arial" w:cs="Arial"/>
                <w:color w:val="000000"/>
                <w:sz w:val="20"/>
                <w:szCs w:val="20"/>
                <w:lang w:val="es-CO" w:eastAsia="es-CO"/>
              </w:rPr>
              <w:t>15/12/2017</w:t>
            </w:r>
          </w:p>
        </w:tc>
        <w:tc>
          <w:tcPr>
            <w:tcW w:w="93" w:type="pct"/>
            <w:vMerge/>
            <w:tcBorders>
              <w:top w:val="single" w:sz="4" w:space="0" w:color="FFFFFF" w:themeColor="background1"/>
              <w:left w:val="dashSmallGap" w:sz="4" w:space="0" w:color="595959" w:themeColor="text1" w:themeTint="A6"/>
              <w:bottom w:val="nil"/>
              <w:right w:val="dashSmallGap" w:sz="4" w:space="0" w:color="595959" w:themeColor="text1" w:themeTint="A6"/>
            </w:tcBorders>
            <w:vAlign w:val="center"/>
            <w:hideMark/>
          </w:tcPr>
          <w:p w:rsidR="00EE006C" w:rsidRPr="00A21B5C" w:rsidRDefault="00EE006C" w:rsidP="00A21B5C">
            <w:pPr>
              <w:ind w:left="209" w:hanging="209"/>
              <w:contextualSpacing/>
              <w:jc w:val="center"/>
              <w:rPr>
                <w:rFonts w:ascii="Arial" w:eastAsia="Times New Roman" w:hAnsi="Arial" w:cs="Arial"/>
                <w:b/>
                <w:bCs/>
                <w:color w:val="000000"/>
                <w:sz w:val="20"/>
                <w:szCs w:val="20"/>
                <w:lang w:val="es-CO" w:eastAsia="es-CO"/>
              </w:rPr>
            </w:pPr>
          </w:p>
        </w:tc>
        <w:tc>
          <w:tcPr>
            <w:tcW w:w="669" w:type="pct"/>
            <w:tcBorders>
              <w:top w:val="nil"/>
              <w:left w:val="dashSmallGap" w:sz="4" w:space="0" w:color="595959" w:themeColor="text1" w:themeTint="A6"/>
              <w:bottom w:val="single" w:sz="4" w:space="0" w:color="auto"/>
              <w:right w:val="dashSmallGap" w:sz="4" w:space="0" w:color="595959" w:themeColor="text1" w:themeTint="A6"/>
            </w:tcBorders>
            <w:vAlign w:val="bottom"/>
            <w:hideMark/>
          </w:tcPr>
          <w:p w:rsidR="00EE006C" w:rsidRPr="00A21B5C" w:rsidRDefault="00EE006C" w:rsidP="00A21B5C">
            <w:pPr>
              <w:ind w:left="209" w:hanging="209"/>
              <w:contextualSpacing/>
              <w:jc w:val="center"/>
              <w:rPr>
                <w:rFonts w:ascii="Arial" w:eastAsia="Times New Roman" w:hAnsi="Arial" w:cs="Arial"/>
                <w:color w:val="000000"/>
                <w:sz w:val="20"/>
                <w:szCs w:val="20"/>
                <w:lang w:val="es-CO" w:eastAsia="es-CO"/>
              </w:rPr>
            </w:pPr>
            <w:r w:rsidRPr="00A21B5C">
              <w:rPr>
                <w:rFonts w:ascii="Arial" w:hAnsi="Arial" w:cs="Arial"/>
                <w:color w:val="000000"/>
                <w:sz w:val="20"/>
                <w:szCs w:val="20"/>
              </w:rPr>
              <w:t>130205</w:t>
            </w:r>
          </w:p>
        </w:tc>
        <w:tc>
          <w:tcPr>
            <w:tcW w:w="864" w:type="pct"/>
            <w:tcBorders>
              <w:top w:val="nil"/>
              <w:left w:val="dashSmallGap" w:sz="4" w:space="0" w:color="595959" w:themeColor="text1" w:themeTint="A6"/>
              <w:bottom w:val="single" w:sz="4" w:space="0" w:color="auto"/>
              <w:right w:val="dashSmallGap" w:sz="4" w:space="0" w:color="595959" w:themeColor="text1" w:themeTint="A6"/>
            </w:tcBorders>
            <w:vAlign w:val="bottom"/>
            <w:hideMark/>
          </w:tcPr>
          <w:p w:rsidR="00EE006C" w:rsidRPr="00A21B5C" w:rsidRDefault="00EE006C" w:rsidP="00A21B5C">
            <w:pPr>
              <w:ind w:left="209" w:hanging="209"/>
              <w:contextualSpacing/>
              <w:jc w:val="center"/>
              <w:rPr>
                <w:rFonts w:ascii="Arial" w:eastAsia="Times New Roman" w:hAnsi="Arial" w:cs="Arial"/>
                <w:color w:val="000000"/>
                <w:sz w:val="20"/>
                <w:szCs w:val="20"/>
                <w:lang w:val="es-CO" w:eastAsia="es-CO"/>
              </w:rPr>
            </w:pPr>
            <w:r w:rsidRPr="00A21B5C">
              <w:rPr>
                <w:rFonts w:ascii="Arial" w:hAnsi="Arial" w:cs="Arial"/>
                <w:color w:val="000000"/>
                <w:sz w:val="20"/>
                <w:szCs w:val="20"/>
              </w:rPr>
              <w:t>13021705</w:t>
            </w:r>
          </w:p>
        </w:tc>
        <w:tc>
          <w:tcPr>
            <w:tcW w:w="855" w:type="pct"/>
            <w:tcBorders>
              <w:top w:val="nil"/>
              <w:left w:val="dashSmallGap" w:sz="4" w:space="0" w:color="595959" w:themeColor="text1" w:themeTint="A6"/>
              <w:bottom w:val="single" w:sz="4" w:space="0" w:color="auto"/>
              <w:right w:val="dashSmallGap" w:sz="4" w:space="0" w:color="595959" w:themeColor="text1" w:themeTint="A6"/>
            </w:tcBorders>
            <w:vAlign w:val="bottom"/>
            <w:hideMark/>
          </w:tcPr>
          <w:p w:rsidR="00EE006C" w:rsidRPr="00A21B5C" w:rsidRDefault="00EE006C" w:rsidP="00A21B5C">
            <w:pPr>
              <w:ind w:left="209" w:hanging="209"/>
              <w:contextualSpacing/>
              <w:jc w:val="center"/>
              <w:rPr>
                <w:rFonts w:ascii="Arial" w:eastAsia="Times New Roman" w:hAnsi="Arial" w:cs="Arial"/>
                <w:color w:val="000000"/>
                <w:sz w:val="20"/>
                <w:szCs w:val="20"/>
                <w:lang w:val="es-CO" w:eastAsia="es-CO"/>
              </w:rPr>
            </w:pPr>
            <w:r w:rsidRPr="00A21B5C">
              <w:rPr>
                <w:rFonts w:ascii="Arial" w:hAnsi="Arial" w:cs="Arial"/>
                <w:color w:val="000000"/>
                <w:sz w:val="20"/>
                <w:szCs w:val="20"/>
              </w:rPr>
              <w:t>13/02/2017</w:t>
            </w:r>
          </w:p>
        </w:tc>
      </w:tr>
      <w:tr w:rsidR="004B28C1" w:rsidRPr="00A21B5C" w:rsidTr="009D1534">
        <w:trPr>
          <w:trHeight w:val="300"/>
          <w:jc w:val="center"/>
        </w:trPr>
        <w:tc>
          <w:tcPr>
            <w:tcW w:w="693" w:type="pct"/>
            <w:tcBorders>
              <w:top w:val="nil"/>
              <w:left w:val="dashSmallGap" w:sz="4" w:space="0" w:color="595959" w:themeColor="text1" w:themeTint="A6"/>
              <w:bottom w:val="single" w:sz="4" w:space="0" w:color="auto"/>
              <w:right w:val="dashSmallGap" w:sz="4" w:space="0" w:color="595959" w:themeColor="text1" w:themeTint="A6"/>
            </w:tcBorders>
            <w:noWrap/>
            <w:vAlign w:val="bottom"/>
            <w:hideMark/>
          </w:tcPr>
          <w:p w:rsidR="00EE006C" w:rsidRPr="00A21B5C" w:rsidRDefault="00EE006C" w:rsidP="00A21B5C">
            <w:pPr>
              <w:ind w:left="209" w:hanging="209"/>
              <w:contextualSpacing/>
              <w:jc w:val="center"/>
              <w:rPr>
                <w:rFonts w:ascii="Arial" w:eastAsia="Times New Roman" w:hAnsi="Arial" w:cs="Arial"/>
                <w:color w:val="000000"/>
                <w:sz w:val="20"/>
                <w:szCs w:val="20"/>
                <w:lang w:val="es-CO" w:eastAsia="es-CO"/>
              </w:rPr>
            </w:pPr>
            <w:r w:rsidRPr="00A21B5C">
              <w:rPr>
                <w:rFonts w:ascii="Arial" w:eastAsia="Times New Roman" w:hAnsi="Arial" w:cs="Arial"/>
                <w:color w:val="000000"/>
                <w:sz w:val="20"/>
                <w:szCs w:val="20"/>
                <w:lang w:val="es-CO" w:eastAsia="es-CO"/>
              </w:rPr>
              <w:t>201109</w:t>
            </w:r>
          </w:p>
        </w:tc>
        <w:tc>
          <w:tcPr>
            <w:tcW w:w="864" w:type="pct"/>
            <w:tcBorders>
              <w:top w:val="nil"/>
              <w:left w:val="dashSmallGap" w:sz="4" w:space="0" w:color="595959" w:themeColor="text1" w:themeTint="A6"/>
              <w:bottom w:val="single" w:sz="4" w:space="0" w:color="auto"/>
              <w:right w:val="dashSmallGap" w:sz="4" w:space="0" w:color="595959" w:themeColor="text1" w:themeTint="A6"/>
            </w:tcBorders>
            <w:noWrap/>
            <w:vAlign w:val="bottom"/>
            <w:hideMark/>
          </w:tcPr>
          <w:p w:rsidR="00EE006C" w:rsidRPr="00A21B5C" w:rsidRDefault="00EE006C" w:rsidP="00A21B5C">
            <w:pPr>
              <w:ind w:left="209" w:hanging="209"/>
              <w:contextualSpacing/>
              <w:jc w:val="center"/>
              <w:rPr>
                <w:rFonts w:ascii="Arial" w:eastAsia="Times New Roman" w:hAnsi="Arial" w:cs="Arial"/>
                <w:color w:val="000000"/>
                <w:sz w:val="20"/>
                <w:szCs w:val="20"/>
                <w:lang w:val="es-CO" w:eastAsia="es-CO"/>
              </w:rPr>
            </w:pPr>
            <w:r w:rsidRPr="00A21B5C">
              <w:rPr>
                <w:rFonts w:ascii="Arial" w:eastAsia="Times New Roman" w:hAnsi="Arial" w:cs="Arial"/>
                <w:color w:val="000000"/>
                <w:sz w:val="20"/>
                <w:szCs w:val="20"/>
                <w:lang w:val="es-CO" w:eastAsia="es-CO"/>
              </w:rPr>
              <w:t>20111709</w:t>
            </w:r>
          </w:p>
        </w:tc>
        <w:tc>
          <w:tcPr>
            <w:tcW w:w="962" w:type="pct"/>
            <w:tcBorders>
              <w:top w:val="nil"/>
              <w:left w:val="dashSmallGap" w:sz="4" w:space="0" w:color="595959" w:themeColor="text1" w:themeTint="A6"/>
              <w:bottom w:val="single" w:sz="4" w:space="0" w:color="auto"/>
              <w:right w:val="dashSmallGap" w:sz="4" w:space="0" w:color="595959" w:themeColor="text1" w:themeTint="A6"/>
            </w:tcBorders>
            <w:noWrap/>
            <w:vAlign w:val="bottom"/>
            <w:hideMark/>
          </w:tcPr>
          <w:p w:rsidR="00EE006C" w:rsidRPr="00A21B5C" w:rsidRDefault="00EE006C" w:rsidP="00A21B5C">
            <w:pPr>
              <w:ind w:left="209" w:hanging="209"/>
              <w:contextualSpacing/>
              <w:jc w:val="center"/>
              <w:rPr>
                <w:rFonts w:ascii="Arial" w:eastAsia="Times New Roman" w:hAnsi="Arial" w:cs="Arial"/>
                <w:color w:val="000000"/>
                <w:sz w:val="20"/>
                <w:szCs w:val="20"/>
                <w:lang w:val="es-CO" w:eastAsia="es-CO"/>
              </w:rPr>
            </w:pPr>
            <w:r w:rsidRPr="00A21B5C">
              <w:rPr>
                <w:rFonts w:ascii="Arial" w:eastAsia="Times New Roman" w:hAnsi="Arial" w:cs="Arial"/>
                <w:color w:val="000000"/>
                <w:sz w:val="20"/>
                <w:szCs w:val="20"/>
                <w:lang w:val="es-CO" w:eastAsia="es-CO"/>
              </w:rPr>
              <w:t>20/11/2017</w:t>
            </w:r>
          </w:p>
        </w:tc>
        <w:tc>
          <w:tcPr>
            <w:tcW w:w="93" w:type="pct"/>
            <w:vMerge/>
            <w:tcBorders>
              <w:top w:val="single" w:sz="4" w:space="0" w:color="FFFFFF" w:themeColor="background1"/>
              <w:left w:val="dashSmallGap" w:sz="4" w:space="0" w:color="595959" w:themeColor="text1" w:themeTint="A6"/>
              <w:bottom w:val="nil"/>
              <w:right w:val="dashSmallGap" w:sz="4" w:space="0" w:color="595959" w:themeColor="text1" w:themeTint="A6"/>
            </w:tcBorders>
            <w:vAlign w:val="center"/>
            <w:hideMark/>
          </w:tcPr>
          <w:p w:rsidR="00EE006C" w:rsidRPr="00A21B5C" w:rsidRDefault="00EE006C" w:rsidP="00A21B5C">
            <w:pPr>
              <w:ind w:left="209" w:hanging="209"/>
              <w:contextualSpacing/>
              <w:jc w:val="center"/>
              <w:rPr>
                <w:rFonts w:ascii="Arial" w:eastAsia="Times New Roman" w:hAnsi="Arial" w:cs="Arial"/>
                <w:b/>
                <w:bCs/>
                <w:color w:val="000000"/>
                <w:sz w:val="20"/>
                <w:szCs w:val="20"/>
                <w:lang w:val="es-CO" w:eastAsia="es-CO"/>
              </w:rPr>
            </w:pPr>
          </w:p>
        </w:tc>
        <w:tc>
          <w:tcPr>
            <w:tcW w:w="669" w:type="pct"/>
            <w:tcBorders>
              <w:top w:val="nil"/>
              <w:left w:val="dashSmallGap" w:sz="4" w:space="0" w:color="595959" w:themeColor="text1" w:themeTint="A6"/>
              <w:bottom w:val="single" w:sz="4" w:space="0" w:color="auto"/>
              <w:right w:val="dashSmallGap" w:sz="4" w:space="0" w:color="595959" w:themeColor="text1" w:themeTint="A6"/>
            </w:tcBorders>
            <w:vAlign w:val="bottom"/>
            <w:hideMark/>
          </w:tcPr>
          <w:p w:rsidR="00EE006C" w:rsidRPr="00A21B5C" w:rsidRDefault="00EE006C" w:rsidP="00A21B5C">
            <w:pPr>
              <w:ind w:left="209" w:hanging="209"/>
              <w:contextualSpacing/>
              <w:jc w:val="center"/>
              <w:rPr>
                <w:rFonts w:ascii="Arial" w:eastAsia="Times New Roman" w:hAnsi="Arial" w:cs="Arial"/>
                <w:color w:val="000000"/>
                <w:sz w:val="20"/>
                <w:szCs w:val="20"/>
                <w:lang w:val="es-CO" w:eastAsia="es-CO"/>
              </w:rPr>
            </w:pPr>
            <w:r w:rsidRPr="00A21B5C">
              <w:rPr>
                <w:rFonts w:ascii="Arial" w:hAnsi="Arial" w:cs="Arial"/>
                <w:color w:val="000000"/>
                <w:sz w:val="20"/>
                <w:szCs w:val="20"/>
              </w:rPr>
              <w:t>130204</w:t>
            </w:r>
          </w:p>
        </w:tc>
        <w:tc>
          <w:tcPr>
            <w:tcW w:w="864" w:type="pct"/>
            <w:tcBorders>
              <w:top w:val="nil"/>
              <w:left w:val="dashSmallGap" w:sz="4" w:space="0" w:color="595959" w:themeColor="text1" w:themeTint="A6"/>
              <w:bottom w:val="single" w:sz="4" w:space="0" w:color="auto"/>
              <w:right w:val="dashSmallGap" w:sz="4" w:space="0" w:color="595959" w:themeColor="text1" w:themeTint="A6"/>
            </w:tcBorders>
            <w:vAlign w:val="bottom"/>
            <w:hideMark/>
          </w:tcPr>
          <w:p w:rsidR="00EE006C" w:rsidRPr="00A21B5C" w:rsidRDefault="00EE006C" w:rsidP="00A21B5C">
            <w:pPr>
              <w:ind w:left="209" w:hanging="209"/>
              <w:contextualSpacing/>
              <w:jc w:val="center"/>
              <w:rPr>
                <w:rFonts w:ascii="Arial" w:eastAsia="Times New Roman" w:hAnsi="Arial" w:cs="Arial"/>
                <w:color w:val="000000"/>
                <w:sz w:val="20"/>
                <w:szCs w:val="20"/>
                <w:lang w:val="es-CO" w:eastAsia="es-CO"/>
              </w:rPr>
            </w:pPr>
            <w:r w:rsidRPr="00A21B5C">
              <w:rPr>
                <w:rFonts w:ascii="Arial" w:hAnsi="Arial" w:cs="Arial"/>
                <w:color w:val="000000"/>
                <w:sz w:val="20"/>
                <w:szCs w:val="20"/>
              </w:rPr>
              <w:t>13021704</w:t>
            </w:r>
          </w:p>
        </w:tc>
        <w:tc>
          <w:tcPr>
            <w:tcW w:w="855" w:type="pct"/>
            <w:tcBorders>
              <w:top w:val="nil"/>
              <w:left w:val="dashSmallGap" w:sz="4" w:space="0" w:color="595959" w:themeColor="text1" w:themeTint="A6"/>
              <w:bottom w:val="single" w:sz="4" w:space="0" w:color="auto"/>
              <w:right w:val="dashSmallGap" w:sz="4" w:space="0" w:color="595959" w:themeColor="text1" w:themeTint="A6"/>
            </w:tcBorders>
            <w:vAlign w:val="bottom"/>
            <w:hideMark/>
          </w:tcPr>
          <w:p w:rsidR="00EE006C" w:rsidRPr="00A21B5C" w:rsidRDefault="00EE006C" w:rsidP="00A21B5C">
            <w:pPr>
              <w:ind w:left="209" w:hanging="209"/>
              <w:contextualSpacing/>
              <w:jc w:val="center"/>
              <w:rPr>
                <w:rFonts w:ascii="Arial" w:eastAsia="Times New Roman" w:hAnsi="Arial" w:cs="Arial"/>
                <w:color w:val="000000"/>
                <w:sz w:val="20"/>
                <w:szCs w:val="20"/>
                <w:lang w:val="es-CO" w:eastAsia="es-CO"/>
              </w:rPr>
            </w:pPr>
            <w:r w:rsidRPr="00A21B5C">
              <w:rPr>
                <w:rFonts w:ascii="Arial" w:hAnsi="Arial" w:cs="Arial"/>
                <w:color w:val="000000"/>
                <w:sz w:val="20"/>
                <w:szCs w:val="20"/>
              </w:rPr>
              <w:t>13/02/2017</w:t>
            </w:r>
          </w:p>
        </w:tc>
      </w:tr>
      <w:tr w:rsidR="004B28C1" w:rsidRPr="00A21B5C" w:rsidTr="009D1534">
        <w:trPr>
          <w:trHeight w:val="300"/>
          <w:jc w:val="center"/>
        </w:trPr>
        <w:tc>
          <w:tcPr>
            <w:tcW w:w="693" w:type="pct"/>
            <w:tcBorders>
              <w:top w:val="nil"/>
              <w:left w:val="dashSmallGap" w:sz="4" w:space="0" w:color="595959" w:themeColor="text1" w:themeTint="A6"/>
              <w:bottom w:val="single" w:sz="4" w:space="0" w:color="auto"/>
              <w:right w:val="dashSmallGap" w:sz="4" w:space="0" w:color="595959" w:themeColor="text1" w:themeTint="A6"/>
            </w:tcBorders>
            <w:noWrap/>
            <w:vAlign w:val="bottom"/>
            <w:hideMark/>
          </w:tcPr>
          <w:p w:rsidR="00EE006C" w:rsidRPr="00A21B5C" w:rsidRDefault="00EE006C" w:rsidP="00A21B5C">
            <w:pPr>
              <w:ind w:left="209" w:hanging="209"/>
              <w:contextualSpacing/>
              <w:jc w:val="center"/>
              <w:rPr>
                <w:rFonts w:ascii="Arial" w:eastAsia="Times New Roman" w:hAnsi="Arial" w:cs="Arial"/>
                <w:color w:val="000000"/>
                <w:sz w:val="20"/>
                <w:szCs w:val="20"/>
                <w:lang w:val="es-CO" w:eastAsia="es-CO"/>
              </w:rPr>
            </w:pPr>
            <w:r w:rsidRPr="00A21B5C">
              <w:rPr>
                <w:rFonts w:ascii="Arial" w:eastAsia="Times New Roman" w:hAnsi="Arial" w:cs="Arial"/>
                <w:color w:val="000000"/>
                <w:sz w:val="20"/>
                <w:szCs w:val="20"/>
                <w:lang w:val="es-CO" w:eastAsia="es-CO"/>
              </w:rPr>
              <w:t>201108</w:t>
            </w:r>
          </w:p>
        </w:tc>
        <w:tc>
          <w:tcPr>
            <w:tcW w:w="864" w:type="pct"/>
            <w:tcBorders>
              <w:top w:val="nil"/>
              <w:left w:val="dashSmallGap" w:sz="4" w:space="0" w:color="595959" w:themeColor="text1" w:themeTint="A6"/>
              <w:bottom w:val="single" w:sz="4" w:space="0" w:color="auto"/>
              <w:right w:val="dashSmallGap" w:sz="4" w:space="0" w:color="595959" w:themeColor="text1" w:themeTint="A6"/>
            </w:tcBorders>
            <w:noWrap/>
            <w:vAlign w:val="bottom"/>
            <w:hideMark/>
          </w:tcPr>
          <w:p w:rsidR="00EE006C" w:rsidRPr="00A21B5C" w:rsidRDefault="00EE006C" w:rsidP="00A21B5C">
            <w:pPr>
              <w:ind w:left="209" w:hanging="209"/>
              <w:contextualSpacing/>
              <w:jc w:val="center"/>
              <w:rPr>
                <w:rFonts w:ascii="Arial" w:eastAsia="Times New Roman" w:hAnsi="Arial" w:cs="Arial"/>
                <w:color w:val="000000"/>
                <w:sz w:val="20"/>
                <w:szCs w:val="20"/>
                <w:lang w:val="es-CO" w:eastAsia="es-CO"/>
              </w:rPr>
            </w:pPr>
            <w:r w:rsidRPr="00A21B5C">
              <w:rPr>
                <w:rFonts w:ascii="Arial" w:eastAsia="Times New Roman" w:hAnsi="Arial" w:cs="Arial"/>
                <w:color w:val="000000"/>
                <w:sz w:val="20"/>
                <w:szCs w:val="20"/>
                <w:lang w:val="es-CO" w:eastAsia="es-CO"/>
              </w:rPr>
              <w:t>20111708</w:t>
            </w:r>
          </w:p>
        </w:tc>
        <w:tc>
          <w:tcPr>
            <w:tcW w:w="962" w:type="pct"/>
            <w:tcBorders>
              <w:top w:val="nil"/>
              <w:left w:val="dashSmallGap" w:sz="4" w:space="0" w:color="595959" w:themeColor="text1" w:themeTint="A6"/>
              <w:bottom w:val="single" w:sz="4" w:space="0" w:color="auto"/>
              <w:right w:val="dashSmallGap" w:sz="4" w:space="0" w:color="595959" w:themeColor="text1" w:themeTint="A6"/>
            </w:tcBorders>
            <w:noWrap/>
            <w:vAlign w:val="bottom"/>
            <w:hideMark/>
          </w:tcPr>
          <w:p w:rsidR="00EE006C" w:rsidRPr="00A21B5C" w:rsidRDefault="00EE006C" w:rsidP="00A21B5C">
            <w:pPr>
              <w:ind w:left="209" w:hanging="209"/>
              <w:contextualSpacing/>
              <w:jc w:val="center"/>
              <w:rPr>
                <w:rFonts w:ascii="Arial" w:eastAsia="Times New Roman" w:hAnsi="Arial" w:cs="Arial"/>
                <w:color w:val="000000"/>
                <w:sz w:val="20"/>
                <w:szCs w:val="20"/>
                <w:lang w:val="es-CO" w:eastAsia="es-CO"/>
              </w:rPr>
            </w:pPr>
            <w:r w:rsidRPr="00A21B5C">
              <w:rPr>
                <w:rFonts w:ascii="Arial" w:eastAsia="Times New Roman" w:hAnsi="Arial" w:cs="Arial"/>
                <w:color w:val="000000"/>
                <w:sz w:val="20"/>
                <w:szCs w:val="20"/>
                <w:lang w:val="es-CO" w:eastAsia="es-CO"/>
              </w:rPr>
              <w:t>20/11/2017</w:t>
            </w:r>
          </w:p>
        </w:tc>
        <w:tc>
          <w:tcPr>
            <w:tcW w:w="93" w:type="pct"/>
            <w:vMerge/>
            <w:tcBorders>
              <w:top w:val="single" w:sz="4" w:space="0" w:color="FFFFFF" w:themeColor="background1"/>
              <w:left w:val="dashSmallGap" w:sz="4" w:space="0" w:color="595959" w:themeColor="text1" w:themeTint="A6"/>
              <w:bottom w:val="nil"/>
              <w:right w:val="dashSmallGap" w:sz="4" w:space="0" w:color="595959" w:themeColor="text1" w:themeTint="A6"/>
            </w:tcBorders>
            <w:vAlign w:val="center"/>
            <w:hideMark/>
          </w:tcPr>
          <w:p w:rsidR="00EE006C" w:rsidRPr="00A21B5C" w:rsidRDefault="00EE006C" w:rsidP="00A21B5C">
            <w:pPr>
              <w:ind w:left="209" w:hanging="209"/>
              <w:contextualSpacing/>
              <w:jc w:val="center"/>
              <w:rPr>
                <w:rFonts w:ascii="Arial" w:eastAsia="Times New Roman" w:hAnsi="Arial" w:cs="Arial"/>
                <w:b/>
                <w:bCs/>
                <w:color w:val="000000"/>
                <w:sz w:val="20"/>
                <w:szCs w:val="20"/>
                <w:lang w:val="es-CO" w:eastAsia="es-CO"/>
              </w:rPr>
            </w:pPr>
          </w:p>
        </w:tc>
        <w:tc>
          <w:tcPr>
            <w:tcW w:w="669" w:type="pct"/>
            <w:tcBorders>
              <w:top w:val="nil"/>
              <w:left w:val="dashSmallGap" w:sz="4" w:space="0" w:color="595959" w:themeColor="text1" w:themeTint="A6"/>
              <w:bottom w:val="single" w:sz="4" w:space="0" w:color="auto"/>
              <w:right w:val="dashSmallGap" w:sz="4" w:space="0" w:color="595959" w:themeColor="text1" w:themeTint="A6"/>
            </w:tcBorders>
            <w:vAlign w:val="bottom"/>
            <w:hideMark/>
          </w:tcPr>
          <w:p w:rsidR="00EE006C" w:rsidRPr="00A21B5C" w:rsidRDefault="00EE006C" w:rsidP="00A21B5C">
            <w:pPr>
              <w:ind w:left="209" w:hanging="209"/>
              <w:contextualSpacing/>
              <w:jc w:val="center"/>
              <w:rPr>
                <w:rFonts w:ascii="Arial" w:eastAsia="Times New Roman" w:hAnsi="Arial" w:cs="Arial"/>
                <w:color w:val="000000"/>
                <w:sz w:val="20"/>
                <w:szCs w:val="20"/>
                <w:lang w:val="es-CO" w:eastAsia="es-CO"/>
              </w:rPr>
            </w:pPr>
            <w:r w:rsidRPr="00A21B5C">
              <w:rPr>
                <w:rFonts w:ascii="Arial" w:hAnsi="Arial" w:cs="Arial"/>
                <w:color w:val="000000"/>
                <w:sz w:val="20"/>
                <w:szCs w:val="20"/>
              </w:rPr>
              <w:t>130203</w:t>
            </w:r>
          </w:p>
        </w:tc>
        <w:tc>
          <w:tcPr>
            <w:tcW w:w="864" w:type="pct"/>
            <w:tcBorders>
              <w:top w:val="nil"/>
              <w:left w:val="dashSmallGap" w:sz="4" w:space="0" w:color="595959" w:themeColor="text1" w:themeTint="A6"/>
              <w:bottom w:val="single" w:sz="4" w:space="0" w:color="auto"/>
              <w:right w:val="dashSmallGap" w:sz="4" w:space="0" w:color="595959" w:themeColor="text1" w:themeTint="A6"/>
            </w:tcBorders>
            <w:vAlign w:val="bottom"/>
            <w:hideMark/>
          </w:tcPr>
          <w:p w:rsidR="00EE006C" w:rsidRPr="00A21B5C" w:rsidRDefault="00EE006C" w:rsidP="00A21B5C">
            <w:pPr>
              <w:ind w:left="209" w:hanging="209"/>
              <w:contextualSpacing/>
              <w:jc w:val="center"/>
              <w:rPr>
                <w:rFonts w:ascii="Arial" w:eastAsia="Times New Roman" w:hAnsi="Arial" w:cs="Arial"/>
                <w:color w:val="000000"/>
                <w:sz w:val="20"/>
                <w:szCs w:val="20"/>
                <w:lang w:val="es-CO" w:eastAsia="es-CO"/>
              </w:rPr>
            </w:pPr>
            <w:r w:rsidRPr="00A21B5C">
              <w:rPr>
                <w:rFonts w:ascii="Arial" w:hAnsi="Arial" w:cs="Arial"/>
                <w:color w:val="000000"/>
                <w:sz w:val="20"/>
                <w:szCs w:val="20"/>
              </w:rPr>
              <w:t>13021703</w:t>
            </w:r>
          </w:p>
        </w:tc>
        <w:tc>
          <w:tcPr>
            <w:tcW w:w="855" w:type="pct"/>
            <w:tcBorders>
              <w:top w:val="nil"/>
              <w:left w:val="dashSmallGap" w:sz="4" w:space="0" w:color="595959" w:themeColor="text1" w:themeTint="A6"/>
              <w:bottom w:val="single" w:sz="4" w:space="0" w:color="auto"/>
              <w:right w:val="dashSmallGap" w:sz="4" w:space="0" w:color="595959" w:themeColor="text1" w:themeTint="A6"/>
            </w:tcBorders>
            <w:vAlign w:val="bottom"/>
            <w:hideMark/>
          </w:tcPr>
          <w:p w:rsidR="00EE006C" w:rsidRPr="00A21B5C" w:rsidRDefault="00EE006C" w:rsidP="00A21B5C">
            <w:pPr>
              <w:ind w:left="209" w:hanging="209"/>
              <w:contextualSpacing/>
              <w:jc w:val="center"/>
              <w:rPr>
                <w:rFonts w:ascii="Arial" w:eastAsia="Times New Roman" w:hAnsi="Arial" w:cs="Arial"/>
                <w:color w:val="000000"/>
                <w:sz w:val="20"/>
                <w:szCs w:val="20"/>
                <w:lang w:val="es-CO" w:eastAsia="es-CO"/>
              </w:rPr>
            </w:pPr>
            <w:r w:rsidRPr="00A21B5C">
              <w:rPr>
                <w:rFonts w:ascii="Arial" w:hAnsi="Arial" w:cs="Arial"/>
                <w:color w:val="000000"/>
                <w:sz w:val="20"/>
                <w:szCs w:val="20"/>
              </w:rPr>
              <w:t>13/02/2017</w:t>
            </w:r>
          </w:p>
        </w:tc>
      </w:tr>
      <w:tr w:rsidR="004B28C1" w:rsidRPr="00A21B5C" w:rsidTr="009D1534">
        <w:trPr>
          <w:trHeight w:val="300"/>
          <w:jc w:val="center"/>
        </w:trPr>
        <w:tc>
          <w:tcPr>
            <w:tcW w:w="693" w:type="pct"/>
            <w:tcBorders>
              <w:top w:val="nil"/>
              <w:left w:val="dashSmallGap" w:sz="4" w:space="0" w:color="595959" w:themeColor="text1" w:themeTint="A6"/>
              <w:bottom w:val="single" w:sz="4" w:space="0" w:color="auto"/>
              <w:right w:val="dashSmallGap" w:sz="4" w:space="0" w:color="595959" w:themeColor="text1" w:themeTint="A6"/>
            </w:tcBorders>
            <w:noWrap/>
            <w:vAlign w:val="bottom"/>
            <w:hideMark/>
          </w:tcPr>
          <w:p w:rsidR="00EE006C" w:rsidRPr="00A21B5C" w:rsidRDefault="00EE006C" w:rsidP="00A21B5C">
            <w:pPr>
              <w:ind w:left="209" w:hanging="209"/>
              <w:contextualSpacing/>
              <w:jc w:val="center"/>
              <w:rPr>
                <w:rFonts w:ascii="Arial" w:eastAsia="Times New Roman" w:hAnsi="Arial" w:cs="Arial"/>
                <w:color w:val="000000"/>
                <w:sz w:val="20"/>
                <w:szCs w:val="20"/>
                <w:lang w:val="es-CO" w:eastAsia="es-CO"/>
              </w:rPr>
            </w:pPr>
            <w:r w:rsidRPr="00A21B5C">
              <w:rPr>
                <w:rFonts w:ascii="Arial" w:eastAsia="Times New Roman" w:hAnsi="Arial" w:cs="Arial"/>
                <w:color w:val="000000"/>
                <w:sz w:val="20"/>
                <w:szCs w:val="20"/>
                <w:lang w:val="es-CO" w:eastAsia="es-CO"/>
              </w:rPr>
              <w:t>201107</w:t>
            </w:r>
          </w:p>
        </w:tc>
        <w:tc>
          <w:tcPr>
            <w:tcW w:w="864" w:type="pct"/>
            <w:tcBorders>
              <w:top w:val="nil"/>
              <w:left w:val="dashSmallGap" w:sz="4" w:space="0" w:color="595959" w:themeColor="text1" w:themeTint="A6"/>
              <w:bottom w:val="single" w:sz="4" w:space="0" w:color="auto"/>
              <w:right w:val="dashSmallGap" w:sz="4" w:space="0" w:color="595959" w:themeColor="text1" w:themeTint="A6"/>
            </w:tcBorders>
            <w:noWrap/>
            <w:vAlign w:val="bottom"/>
            <w:hideMark/>
          </w:tcPr>
          <w:p w:rsidR="00EE006C" w:rsidRPr="00A21B5C" w:rsidRDefault="00EE006C" w:rsidP="00A21B5C">
            <w:pPr>
              <w:ind w:left="209" w:hanging="209"/>
              <w:contextualSpacing/>
              <w:jc w:val="center"/>
              <w:rPr>
                <w:rFonts w:ascii="Arial" w:eastAsia="Times New Roman" w:hAnsi="Arial" w:cs="Arial"/>
                <w:color w:val="000000"/>
                <w:sz w:val="20"/>
                <w:szCs w:val="20"/>
                <w:lang w:val="es-CO" w:eastAsia="es-CO"/>
              </w:rPr>
            </w:pPr>
            <w:r w:rsidRPr="00A21B5C">
              <w:rPr>
                <w:rFonts w:ascii="Arial" w:eastAsia="Times New Roman" w:hAnsi="Arial" w:cs="Arial"/>
                <w:color w:val="000000"/>
                <w:sz w:val="20"/>
                <w:szCs w:val="20"/>
                <w:lang w:val="es-CO" w:eastAsia="es-CO"/>
              </w:rPr>
              <w:t>20111707</w:t>
            </w:r>
          </w:p>
        </w:tc>
        <w:tc>
          <w:tcPr>
            <w:tcW w:w="962" w:type="pct"/>
            <w:tcBorders>
              <w:top w:val="nil"/>
              <w:left w:val="dashSmallGap" w:sz="4" w:space="0" w:color="595959" w:themeColor="text1" w:themeTint="A6"/>
              <w:bottom w:val="single" w:sz="4" w:space="0" w:color="auto"/>
              <w:right w:val="dashSmallGap" w:sz="4" w:space="0" w:color="595959" w:themeColor="text1" w:themeTint="A6"/>
            </w:tcBorders>
            <w:noWrap/>
            <w:vAlign w:val="bottom"/>
            <w:hideMark/>
          </w:tcPr>
          <w:p w:rsidR="00EE006C" w:rsidRPr="00A21B5C" w:rsidRDefault="00EE006C" w:rsidP="00A21B5C">
            <w:pPr>
              <w:ind w:left="209" w:hanging="209"/>
              <w:contextualSpacing/>
              <w:jc w:val="center"/>
              <w:rPr>
                <w:rFonts w:ascii="Arial" w:eastAsia="Times New Roman" w:hAnsi="Arial" w:cs="Arial"/>
                <w:color w:val="000000"/>
                <w:sz w:val="20"/>
                <w:szCs w:val="20"/>
                <w:lang w:val="es-CO" w:eastAsia="es-CO"/>
              </w:rPr>
            </w:pPr>
            <w:r w:rsidRPr="00A21B5C">
              <w:rPr>
                <w:rFonts w:ascii="Arial" w:eastAsia="Times New Roman" w:hAnsi="Arial" w:cs="Arial"/>
                <w:color w:val="000000"/>
                <w:sz w:val="20"/>
                <w:szCs w:val="20"/>
                <w:lang w:val="es-CO" w:eastAsia="es-CO"/>
              </w:rPr>
              <w:t>20/11/2017</w:t>
            </w:r>
          </w:p>
        </w:tc>
        <w:tc>
          <w:tcPr>
            <w:tcW w:w="93" w:type="pct"/>
            <w:vMerge/>
            <w:tcBorders>
              <w:top w:val="single" w:sz="4" w:space="0" w:color="FFFFFF" w:themeColor="background1"/>
              <w:left w:val="dashSmallGap" w:sz="4" w:space="0" w:color="595959" w:themeColor="text1" w:themeTint="A6"/>
              <w:bottom w:val="nil"/>
              <w:right w:val="dashSmallGap" w:sz="4" w:space="0" w:color="595959" w:themeColor="text1" w:themeTint="A6"/>
            </w:tcBorders>
            <w:vAlign w:val="center"/>
            <w:hideMark/>
          </w:tcPr>
          <w:p w:rsidR="00EE006C" w:rsidRPr="00A21B5C" w:rsidRDefault="00EE006C" w:rsidP="00A21B5C">
            <w:pPr>
              <w:ind w:left="209" w:hanging="209"/>
              <w:contextualSpacing/>
              <w:jc w:val="center"/>
              <w:rPr>
                <w:rFonts w:ascii="Arial" w:eastAsia="Times New Roman" w:hAnsi="Arial" w:cs="Arial"/>
                <w:b/>
                <w:bCs/>
                <w:color w:val="000000"/>
                <w:sz w:val="20"/>
                <w:szCs w:val="20"/>
                <w:lang w:val="es-CO" w:eastAsia="es-CO"/>
              </w:rPr>
            </w:pPr>
          </w:p>
        </w:tc>
        <w:tc>
          <w:tcPr>
            <w:tcW w:w="669" w:type="pct"/>
            <w:tcBorders>
              <w:top w:val="nil"/>
              <w:left w:val="dashSmallGap" w:sz="4" w:space="0" w:color="595959" w:themeColor="text1" w:themeTint="A6"/>
              <w:bottom w:val="single" w:sz="4" w:space="0" w:color="auto"/>
              <w:right w:val="dashSmallGap" w:sz="4" w:space="0" w:color="595959" w:themeColor="text1" w:themeTint="A6"/>
            </w:tcBorders>
            <w:vAlign w:val="bottom"/>
            <w:hideMark/>
          </w:tcPr>
          <w:p w:rsidR="00EE006C" w:rsidRPr="00A21B5C" w:rsidRDefault="00EE006C" w:rsidP="00A21B5C">
            <w:pPr>
              <w:ind w:left="209" w:hanging="209"/>
              <w:contextualSpacing/>
              <w:jc w:val="center"/>
              <w:rPr>
                <w:rFonts w:ascii="Arial" w:eastAsia="Times New Roman" w:hAnsi="Arial" w:cs="Arial"/>
                <w:color w:val="000000"/>
                <w:sz w:val="20"/>
                <w:szCs w:val="20"/>
                <w:lang w:val="es-CO" w:eastAsia="es-CO"/>
              </w:rPr>
            </w:pPr>
            <w:r w:rsidRPr="00A21B5C">
              <w:rPr>
                <w:rFonts w:ascii="Arial" w:hAnsi="Arial" w:cs="Arial"/>
                <w:color w:val="000000"/>
                <w:sz w:val="20"/>
                <w:szCs w:val="20"/>
              </w:rPr>
              <w:t>130202</w:t>
            </w:r>
          </w:p>
        </w:tc>
        <w:tc>
          <w:tcPr>
            <w:tcW w:w="864" w:type="pct"/>
            <w:tcBorders>
              <w:top w:val="nil"/>
              <w:left w:val="dashSmallGap" w:sz="4" w:space="0" w:color="595959" w:themeColor="text1" w:themeTint="A6"/>
              <w:bottom w:val="single" w:sz="4" w:space="0" w:color="auto"/>
              <w:right w:val="dashSmallGap" w:sz="4" w:space="0" w:color="595959" w:themeColor="text1" w:themeTint="A6"/>
            </w:tcBorders>
            <w:vAlign w:val="bottom"/>
            <w:hideMark/>
          </w:tcPr>
          <w:p w:rsidR="00EE006C" w:rsidRPr="00A21B5C" w:rsidRDefault="00EE006C" w:rsidP="00A21B5C">
            <w:pPr>
              <w:ind w:left="209" w:hanging="209"/>
              <w:contextualSpacing/>
              <w:jc w:val="center"/>
              <w:rPr>
                <w:rFonts w:ascii="Arial" w:eastAsia="Times New Roman" w:hAnsi="Arial" w:cs="Arial"/>
                <w:color w:val="000000"/>
                <w:sz w:val="20"/>
                <w:szCs w:val="20"/>
                <w:lang w:val="es-CO" w:eastAsia="es-CO"/>
              </w:rPr>
            </w:pPr>
            <w:r w:rsidRPr="00A21B5C">
              <w:rPr>
                <w:rFonts w:ascii="Arial" w:hAnsi="Arial" w:cs="Arial"/>
                <w:color w:val="000000"/>
                <w:sz w:val="20"/>
                <w:szCs w:val="20"/>
              </w:rPr>
              <w:t>13021702</w:t>
            </w:r>
          </w:p>
        </w:tc>
        <w:tc>
          <w:tcPr>
            <w:tcW w:w="855" w:type="pct"/>
            <w:tcBorders>
              <w:top w:val="nil"/>
              <w:left w:val="dashSmallGap" w:sz="4" w:space="0" w:color="595959" w:themeColor="text1" w:themeTint="A6"/>
              <w:bottom w:val="single" w:sz="4" w:space="0" w:color="auto"/>
              <w:right w:val="dashSmallGap" w:sz="4" w:space="0" w:color="595959" w:themeColor="text1" w:themeTint="A6"/>
            </w:tcBorders>
            <w:vAlign w:val="bottom"/>
            <w:hideMark/>
          </w:tcPr>
          <w:p w:rsidR="00EE006C" w:rsidRPr="00A21B5C" w:rsidRDefault="00EE006C" w:rsidP="00A21B5C">
            <w:pPr>
              <w:ind w:left="209" w:hanging="209"/>
              <w:contextualSpacing/>
              <w:jc w:val="center"/>
              <w:rPr>
                <w:rFonts w:ascii="Arial" w:eastAsia="Times New Roman" w:hAnsi="Arial" w:cs="Arial"/>
                <w:color w:val="000000"/>
                <w:sz w:val="20"/>
                <w:szCs w:val="20"/>
                <w:lang w:val="es-CO" w:eastAsia="es-CO"/>
              </w:rPr>
            </w:pPr>
            <w:r w:rsidRPr="00A21B5C">
              <w:rPr>
                <w:rFonts w:ascii="Arial" w:hAnsi="Arial" w:cs="Arial"/>
                <w:color w:val="000000"/>
                <w:sz w:val="20"/>
                <w:szCs w:val="20"/>
              </w:rPr>
              <w:t>13/02/2017</w:t>
            </w:r>
          </w:p>
        </w:tc>
      </w:tr>
      <w:tr w:rsidR="004B28C1" w:rsidRPr="00A21B5C" w:rsidTr="009D1534">
        <w:trPr>
          <w:trHeight w:val="300"/>
          <w:jc w:val="center"/>
        </w:trPr>
        <w:tc>
          <w:tcPr>
            <w:tcW w:w="693" w:type="pct"/>
            <w:tcBorders>
              <w:top w:val="nil"/>
              <w:left w:val="dashSmallGap" w:sz="4" w:space="0" w:color="595959" w:themeColor="text1" w:themeTint="A6"/>
              <w:bottom w:val="single" w:sz="4" w:space="0" w:color="auto"/>
              <w:right w:val="single" w:sz="4" w:space="0" w:color="auto"/>
            </w:tcBorders>
            <w:noWrap/>
            <w:vAlign w:val="bottom"/>
            <w:hideMark/>
          </w:tcPr>
          <w:p w:rsidR="00EE006C" w:rsidRPr="00A21B5C" w:rsidRDefault="00EE006C" w:rsidP="00A21B5C">
            <w:pPr>
              <w:ind w:left="209" w:hanging="209"/>
              <w:contextualSpacing/>
              <w:jc w:val="center"/>
              <w:rPr>
                <w:rFonts w:ascii="Arial" w:eastAsia="Times New Roman" w:hAnsi="Arial" w:cs="Arial"/>
                <w:color w:val="000000"/>
                <w:sz w:val="20"/>
                <w:szCs w:val="20"/>
                <w:lang w:val="es-CO" w:eastAsia="es-CO"/>
              </w:rPr>
            </w:pPr>
            <w:r w:rsidRPr="00A21B5C">
              <w:rPr>
                <w:rFonts w:ascii="Arial" w:eastAsia="Times New Roman" w:hAnsi="Arial" w:cs="Arial"/>
                <w:color w:val="000000"/>
                <w:sz w:val="20"/>
                <w:szCs w:val="20"/>
                <w:lang w:val="es-CO" w:eastAsia="es-CO"/>
              </w:rPr>
              <w:t>201106</w:t>
            </w:r>
          </w:p>
        </w:tc>
        <w:tc>
          <w:tcPr>
            <w:tcW w:w="864" w:type="pct"/>
            <w:tcBorders>
              <w:top w:val="nil"/>
              <w:left w:val="nil"/>
              <w:bottom w:val="single" w:sz="4" w:space="0" w:color="auto"/>
              <w:right w:val="dashSmallGap" w:sz="4" w:space="0" w:color="595959" w:themeColor="text1" w:themeTint="A6"/>
            </w:tcBorders>
            <w:noWrap/>
            <w:vAlign w:val="bottom"/>
            <w:hideMark/>
          </w:tcPr>
          <w:p w:rsidR="00EE006C" w:rsidRPr="00A21B5C" w:rsidRDefault="00EE006C" w:rsidP="00A21B5C">
            <w:pPr>
              <w:ind w:left="209" w:hanging="209"/>
              <w:contextualSpacing/>
              <w:jc w:val="center"/>
              <w:rPr>
                <w:rFonts w:ascii="Arial" w:eastAsia="Times New Roman" w:hAnsi="Arial" w:cs="Arial"/>
                <w:color w:val="000000"/>
                <w:sz w:val="20"/>
                <w:szCs w:val="20"/>
                <w:lang w:val="es-CO" w:eastAsia="es-CO"/>
              </w:rPr>
            </w:pPr>
            <w:r w:rsidRPr="00A21B5C">
              <w:rPr>
                <w:rFonts w:ascii="Arial" w:eastAsia="Times New Roman" w:hAnsi="Arial" w:cs="Arial"/>
                <w:color w:val="000000"/>
                <w:sz w:val="20"/>
                <w:szCs w:val="20"/>
                <w:lang w:val="es-CO" w:eastAsia="es-CO"/>
              </w:rPr>
              <w:t>20111706</w:t>
            </w:r>
          </w:p>
        </w:tc>
        <w:tc>
          <w:tcPr>
            <w:tcW w:w="962" w:type="pct"/>
            <w:tcBorders>
              <w:top w:val="nil"/>
              <w:left w:val="dashSmallGap" w:sz="4" w:space="0" w:color="595959" w:themeColor="text1" w:themeTint="A6"/>
              <w:bottom w:val="single" w:sz="4" w:space="0" w:color="auto"/>
              <w:right w:val="dashSmallGap" w:sz="4" w:space="0" w:color="595959" w:themeColor="text1" w:themeTint="A6"/>
            </w:tcBorders>
            <w:noWrap/>
            <w:vAlign w:val="bottom"/>
            <w:hideMark/>
          </w:tcPr>
          <w:p w:rsidR="00EE006C" w:rsidRPr="00A21B5C" w:rsidRDefault="00EE006C" w:rsidP="00A21B5C">
            <w:pPr>
              <w:ind w:left="209" w:hanging="209"/>
              <w:contextualSpacing/>
              <w:jc w:val="center"/>
              <w:rPr>
                <w:rFonts w:ascii="Arial" w:eastAsia="Times New Roman" w:hAnsi="Arial" w:cs="Arial"/>
                <w:color w:val="000000"/>
                <w:sz w:val="20"/>
                <w:szCs w:val="20"/>
                <w:lang w:val="es-CO" w:eastAsia="es-CO"/>
              </w:rPr>
            </w:pPr>
            <w:r w:rsidRPr="00A21B5C">
              <w:rPr>
                <w:rFonts w:ascii="Arial" w:eastAsia="Times New Roman" w:hAnsi="Arial" w:cs="Arial"/>
                <w:color w:val="000000"/>
                <w:sz w:val="20"/>
                <w:szCs w:val="20"/>
                <w:lang w:val="es-CO" w:eastAsia="es-CO"/>
              </w:rPr>
              <w:t>20/11/2017</w:t>
            </w:r>
          </w:p>
        </w:tc>
        <w:tc>
          <w:tcPr>
            <w:tcW w:w="93" w:type="pct"/>
            <w:vMerge/>
            <w:tcBorders>
              <w:top w:val="single" w:sz="4" w:space="0" w:color="FFFFFF" w:themeColor="background1"/>
              <w:left w:val="dashSmallGap" w:sz="4" w:space="0" w:color="595959" w:themeColor="text1" w:themeTint="A6"/>
              <w:bottom w:val="nil"/>
              <w:right w:val="dashSmallGap" w:sz="4" w:space="0" w:color="595959" w:themeColor="text1" w:themeTint="A6"/>
            </w:tcBorders>
            <w:vAlign w:val="center"/>
            <w:hideMark/>
          </w:tcPr>
          <w:p w:rsidR="00EE006C" w:rsidRPr="00A21B5C" w:rsidRDefault="00EE006C" w:rsidP="00A21B5C">
            <w:pPr>
              <w:ind w:left="209" w:hanging="209"/>
              <w:contextualSpacing/>
              <w:jc w:val="center"/>
              <w:rPr>
                <w:rFonts w:ascii="Arial" w:eastAsia="Times New Roman" w:hAnsi="Arial" w:cs="Arial"/>
                <w:b/>
                <w:bCs/>
                <w:color w:val="000000"/>
                <w:sz w:val="20"/>
                <w:szCs w:val="20"/>
                <w:lang w:val="es-CO" w:eastAsia="es-CO"/>
              </w:rPr>
            </w:pPr>
          </w:p>
        </w:tc>
        <w:tc>
          <w:tcPr>
            <w:tcW w:w="669" w:type="pct"/>
            <w:tcBorders>
              <w:top w:val="single" w:sz="4" w:space="0" w:color="auto"/>
              <w:left w:val="dashSmallGap" w:sz="4" w:space="0" w:color="595959" w:themeColor="text1" w:themeTint="A6"/>
              <w:bottom w:val="single" w:sz="4" w:space="0" w:color="auto"/>
              <w:right w:val="dashSmallGap" w:sz="4" w:space="0" w:color="595959" w:themeColor="text1" w:themeTint="A6"/>
            </w:tcBorders>
            <w:vAlign w:val="bottom"/>
            <w:hideMark/>
          </w:tcPr>
          <w:p w:rsidR="00EE006C" w:rsidRPr="00A21B5C" w:rsidRDefault="00EE006C" w:rsidP="00A21B5C">
            <w:pPr>
              <w:ind w:left="209" w:hanging="209"/>
              <w:contextualSpacing/>
              <w:jc w:val="center"/>
              <w:rPr>
                <w:rFonts w:ascii="Arial" w:eastAsia="Times New Roman" w:hAnsi="Arial" w:cs="Arial"/>
                <w:color w:val="000000"/>
                <w:sz w:val="20"/>
                <w:szCs w:val="20"/>
                <w:lang w:val="es-CO" w:eastAsia="es-CO"/>
              </w:rPr>
            </w:pPr>
            <w:r w:rsidRPr="00A21B5C">
              <w:rPr>
                <w:rFonts w:ascii="Arial" w:hAnsi="Arial" w:cs="Arial"/>
                <w:color w:val="000000"/>
                <w:sz w:val="20"/>
                <w:szCs w:val="20"/>
              </w:rPr>
              <w:t>130201</w:t>
            </w:r>
          </w:p>
        </w:tc>
        <w:tc>
          <w:tcPr>
            <w:tcW w:w="864" w:type="pct"/>
            <w:tcBorders>
              <w:top w:val="single" w:sz="4" w:space="0" w:color="auto"/>
              <w:left w:val="dashSmallGap" w:sz="4" w:space="0" w:color="595959" w:themeColor="text1" w:themeTint="A6"/>
              <w:bottom w:val="single" w:sz="4" w:space="0" w:color="auto"/>
              <w:right w:val="dashSmallGap" w:sz="4" w:space="0" w:color="595959" w:themeColor="text1" w:themeTint="A6"/>
            </w:tcBorders>
            <w:vAlign w:val="bottom"/>
            <w:hideMark/>
          </w:tcPr>
          <w:p w:rsidR="00EE006C" w:rsidRPr="00A21B5C" w:rsidRDefault="00EE006C" w:rsidP="00A21B5C">
            <w:pPr>
              <w:ind w:left="209" w:hanging="209"/>
              <w:contextualSpacing/>
              <w:jc w:val="center"/>
              <w:rPr>
                <w:rFonts w:ascii="Arial" w:eastAsia="Times New Roman" w:hAnsi="Arial" w:cs="Arial"/>
                <w:color w:val="000000"/>
                <w:sz w:val="20"/>
                <w:szCs w:val="20"/>
                <w:lang w:val="es-CO" w:eastAsia="es-CO"/>
              </w:rPr>
            </w:pPr>
            <w:r w:rsidRPr="00A21B5C">
              <w:rPr>
                <w:rFonts w:ascii="Arial" w:hAnsi="Arial" w:cs="Arial"/>
                <w:color w:val="000000"/>
                <w:sz w:val="20"/>
                <w:szCs w:val="20"/>
              </w:rPr>
              <w:t>13021701</w:t>
            </w:r>
          </w:p>
        </w:tc>
        <w:tc>
          <w:tcPr>
            <w:tcW w:w="855" w:type="pct"/>
            <w:tcBorders>
              <w:top w:val="single" w:sz="4" w:space="0" w:color="auto"/>
              <w:left w:val="dashSmallGap" w:sz="4" w:space="0" w:color="595959" w:themeColor="text1" w:themeTint="A6"/>
              <w:bottom w:val="single" w:sz="4" w:space="0" w:color="auto"/>
              <w:right w:val="dashSmallGap" w:sz="4" w:space="0" w:color="595959" w:themeColor="text1" w:themeTint="A6"/>
            </w:tcBorders>
            <w:vAlign w:val="bottom"/>
            <w:hideMark/>
          </w:tcPr>
          <w:p w:rsidR="00EE006C" w:rsidRPr="00A21B5C" w:rsidRDefault="00EE006C" w:rsidP="00A21B5C">
            <w:pPr>
              <w:ind w:left="209" w:hanging="209"/>
              <w:contextualSpacing/>
              <w:jc w:val="center"/>
              <w:rPr>
                <w:rFonts w:ascii="Arial" w:eastAsia="Times New Roman" w:hAnsi="Arial" w:cs="Arial"/>
                <w:color w:val="000000"/>
                <w:sz w:val="20"/>
                <w:szCs w:val="20"/>
                <w:lang w:val="es-CO" w:eastAsia="es-CO"/>
              </w:rPr>
            </w:pPr>
            <w:r w:rsidRPr="00A21B5C">
              <w:rPr>
                <w:rFonts w:ascii="Arial" w:hAnsi="Arial" w:cs="Arial"/>
                <w:color w:val="000000"/>
                <w:sz w:val="20"/>
                <w:szCs w:val="20"/>
              </w:rPr>
              <w:t>13/02/2017</w:t>
            </w:r>
          </w:p>
        </w:tc>
      </w:tr>
      <w:tr w:rsidR="009D1534" w:rsidRPr="00A21B5C" w:rsidTr="009D1534">
        <w:trPr>
          <w:trHeight w:val="300"/>
          <w:jc w:val="center"/>
        </w:trPr>
        <w:tc>
          <w:tcPr>
            <w:tcW w:w="693" w:type="pct"/>
            <w:tcBorders>
              <w:top w:val="single" w:sz="4" w:space="0" w:color="auto"/>
              <w:left w:val="dashSmallGap" w:sz="4" w:space="0" w:color="595959" w:themeColor="text1" w:themeTint="A6"/>
              <w:bottom w:val="single" w:sz="4" w:space="0" w:color="auto"/>
              <w:right w:val="dashSmallGap" w:sz="4" w:space="0" w:color="595959" w:themeColor="text1" w:themeTint="A6"/>
            </w:tcBorders>
            <w:noWrap/>
            <w:vAlign w:val="bottom"/>
          </w:tcPr>
          <w:p w:rsidR="00EE006C" w:rsidRPr="00A21B5C" w:rsidRDefault="00EE006C" w:rsidP="00A21B5C">
            <w:pPr>
              <w:ind w:left="209" w:hanging="209"/>
              <w:contextualSpacing/>
              <w:jc w:val="center"/>
              <w:rPr>
                <w:rFonts w:ascii="Arial" w:eastAsia="Times New Roman" w:hAnsi="Arial" w:cs="Arial"/>
                <w:color w:val="000000"/>
                <w:sz w:val="20"/>
                <w:szCs w:val="20"/>
                <w:lang w:val="es-CO" w:eastAsia="es-CO"/>
              </w:rPr>
            </w:pPr>
            <w:r w:rsidRPr="00A21B5C">
              <w:rPr>
                <w:rFonts w:ascii="Arial" w:hAnsi="Arial" w:cs="Arial"/>
                <w:color w:val="000000"/>
                <w:sz w:val="20"/>
                <w:szCs w:val="20"/>
              </w:rPr>
              <w:t>201105</w:t>
            </w:r>
          </w:p>
        </w:tc>
        <w:tc>
          <w:tcPr>
            <w:tcW w:w="864" w:type="pct"/>
            <w:tcBorders>
              <w:top w:val="single" w:sz="4" w:space="0" w:color="auto"/>
              <w:left w:val="dashSmallGap" w:sz="4" w:space="0" w:color="595959" w:themeColor="text1" w:themeTint="A6"/>
              <w:bottom w:val="single" w:sz="4" w:space="0" w:color="auto"/>
              <w:right w:val="dashSmallGap" w:sz="4" w:space="0" w:color="595959" w:themeColor="text1" w:themeTint="A6"/>
            </w:tcBorders>
            <w:noWrap/>
            <w:vAlign w:val="bottom"/>
          </w:tcPr>
          <w:p w:rsidR="00EE006C" w:rsidRPr="00A21B5C" w:rsidRDefault="00EE006C" w:rsidP="00A21B5C">
            <w:pPr>
              <w:ind w:left="209" w:hanging="209"/>
              <w:contextualSpacing/>
              <w:jc w:val="center"/>
              <w:rPr>
                <w:rFonts w:ascii="Arial" w:eastAsia="Times New Roman" w:hAnsi="Arial" w:cs="Arial"/>
                <w:color w:val="000000"/>
                <w:sz w:val="20"/>
                <w:szCs w:val="20"/>
                <w:lang w:val="es-CO" w:eastAsia="es-CO"/>
              </w:rPr>
            </w:pPr>
            <w:r w:rsidRPr="00A21B5C">
              <w:rPr>
                <w:rFonts w:ascii="Arial" w:hAnsi="Arial" w:cs="Arial"/>
                <w:color w:val="000000"/>
                <w:sz w:val="20"/>
                <w:szCs w:val="20"/>
              </w:rPr>
              <w:t>20111705</w:t>
            </w:r>
          </w:p>
        </w:tc>
        <w:tc>
          <w:tcPr>
            <w:tcW w:w="962" w:type="pct"/>
            <w:tcBorders>
              <w:top w:val="single" w:sz="4" w:space="0" w:color="auto"/>
              <w:left w:val="dashSmallGap" w:sz="4" w:space="0" w:color="595959" w:themeColor="text1" w:themeTint="A6"/>
              <w:bottom w:val="single" w:sz="4" w:space="0" w:color="auto"/>
              <w:right w:val="dashSmallGap" w:sz="4" w:space="0" w:color="595959" w:themeColor="text1" w:themeTint="A6"/>
            </w:tcBorders>
            <w:noWrap/>
            <w:vAlign w:val="bottom"/>
          </w:tcPr>
          <w:p w:rsidR="00EE006C" w:rsidRPr="00A21B5C" w:rsidRDefault="00EE006C" w:rsidP="00A21B5C">
            <w:pPr>
              <w:ind w:left="209" w:hanging="209"/>
              <w:contextualSpacing/>
              <w:jc w:val="center"/>
              <w:rPr>
                <w:rFonts w:ascii="Arial" w:eastAsia="Times New Roman" w:hAnsi="Arial" w:cs="Arial"/>
                <w:color w:val="000000"/>
                <w:sz w:val="20"/>
                <w:szCs w:val="20"/>
                <w:lang w:val="es-CO" w:eastAsia="es-CO"/>
              </w:rPr>
            </w:pPr>
            <w:r w:rsidRPr="00A21B5C">
              <w:rPr>
                <w:rFonts w:ascii="Arial" w:hAnsi="Arial" w:cs="Arial"/>
                <w:color w:val="000000"/>
                <w:sz w:val="20"/>
                <w:szCs w:val="20"/>
              </w:rPr>
              <w:t>20/11/2017</w:t>
            </w:r>
          </w:p>
        </w:tc>
        <w:tc>
          <w:tcPr>
            <w:tcW w:w="93" w:type="pct"/>
            <w:vMerge/>
            <w:tcBorders>
              <w:top w:val="single" w:sz="4" w:space="0" w:color="FFFFFF" w:themeColor="background1"/>
              <w:left w:val="dashSmallGap" w:sz="4" w:space="0" w:color="595959" w:themeColor="text1" w:themeTint="A6"/>
              <w:bottom w:val="nil"/>
            </w:tcBorders>
            <w:vAlign w:val="center"/>
            <w:hideMark/>
          </w:tcPr>
          <w:p w:rsidR="00EE006C" w:rsidRPr="00A21B5C" w:rsidRDefault="00EE006C" w:rsidP="00A21B5C">
            <w:pPr>
              <w:ind w:left="209" w:hanging="209"/>
              <w:contextualSpacing/>
              <w:rPr>
                <w:rFonts w:ascii="Arial" w:eastAsia="Times New Roman" w:hAnsi="Arial" w:cs="Arial"/>
                <w:b/>
                <w:bCs/>
                <w:color w:val="000000"/>
                <w:sz w:val="20"/>
                <w:szCs w:val="20"/>
                <w:lang w:val="es-CO" w:eastAsia="es-CO"/>
              </w:rPr>
            </w:pPr>
          </w:p>
        </w:tc>
        <w:tc>
          <w:tcPr>
            <w:tcW w:w="669" w:type="pct"/>
            <w:tcBorders>
              <w:top w:val="single" w:sz="4" w:space="0" w:color="auto"/>
            </w:tcBorders>
            <w:vAlign w:val="bottom"/>
          </w:tcPr>
          <w:p w:rsidR="00EE006C" w:rsidRPr="00A21B5C" w:rsidRDefault="00EE006C" w:rsidP="00A21B5C">
            <w:pPr>
              <w:ind w:left="209" w:hanging="209"/>
              <w:contextualSpacing/>
              <w:jc w:val="right"/>
              <w:rPr>
                <w:rFonts w:ascii="Arial" w:eastAsia="Times New Roman" w:hAnsi="Arial" w:cs="Arial"/>
                <w:color w:val="000000"/>
                <w:sz w:val="20"/>
                <w:szCs w:val="20"/>
                <w:lang w:val="es-CO" w:eastAsia="es-CO"/>
              </w:rPr>
            </w:pPr>
          </w:p>
        </w:tc>
        <w:tc>
          <w:tcPr>
            <w:tcW w:w="864" w:type="pct"/>
            <w:tcBorders>
              <w:top w:val="single" w:sz="4" w:space="0" w:color="auto"/>
            </w:tcBorders>
            <w:vAlign w:val="bottom"/>
          </w:tcPr>
          <w:p w:rsidR="00EE006C" w:rsidRPr="00A21B5C" w:rsidRDefault="00EE006C" w:rsidP="00A21B5C">
            <w:pPr>
              <w:ind w:left="209" w:hanging="209"/>
              <w:contextualSpacing/>
              <w:jc w:val="right"/>
              <w:rPr>
                <w:rFonts w:ascii="Arial" w:eastAsia="Times New Roman" w:hAnsi="Arial" w:cs="Arial"/>
                <w:color w:val="000000"/>
                <w:sz w:val="20"/>
                <w:szCs w:val="20"/>
                <w:lang w:val="es-CO" w:eastAsia="es-CO"/>
              </w:rPr>
            </w:pPr>
          </w:p>
        </w:tc>
        <w:tc>
          <w:tcPr>
            <w:tcW w:w="855" w:type="pct"/>
            <w:tcBorders>
              <w:top w:val="single" w:sz="4" w:space="0" w:color="auto"/>
            </w:tcBorders>
            <w:vAlign w:val="bottom"/>
          </w:tcPr>
          <w:p w:rsidR="00EE006C" w:rsidRPr="00A21B5C" w:rsidRDefault="00EE006C" w:rsidP="00A21B5C">
            <w:pPr>
              <w:ind w:left="209" w:hanging="209"/>
              <w:contextualSpacing/>
              <w:jc w:val="right"/>
              <w:rPr>
                <w:rFonts w:ascii="Arial" w:eastAsia="Times New Roman" w:hAnsi="Arial" w:cs="Arial"/>
                <w:color w:val="000000"/>
                <w:sz w:val="20"/>
                <w:szCs w:val="20"/>
                <w:lang w:val="es-CO" w:eastAsia="es-CO"/>
              </w:rPr>
            </w:pPr>
          </w:p>
        </w:tc>
      </w:tr>
    </w:tbl>
    <w:p w:rsidR="00AA5A6B" w:rsidRPr="00A21B5C" w:rsidRDefault="00AA5A6B" w:rsidP="00A21B5C">
      <w:pPr>
        <w:contextualSpacing/>
        <w:jc w:val="center"/>
        <w:rPr>
          <w:rFonts w:ascii="Arial" w:hAnsi="Arial" w:cs="Arial"/>
          <w:b/>
          <w:bCs/>
          <w:sz w:val="10"/>
          <w:szCs w:val="10"/>
          <w:lang w:val="es-CO"/>
        </w:rPr>
      </w:pPr>
    </w:p>
    <w:p w:rsidR="008C2E4A" w:rsidRPr="00A21B5C" w:rsidRDefault="009C693F" w:rsidP="00A21B5C">
      <w:pPr>
        <w:spacing w:before="120" w:after="160"/>
        <w:contextualSpacing/>
        <w:jc w:val="center"/>
        <w:rPr>
          <w:rFonts w:ascii="Arial" w:hAnsi="Arial" w:cs="Arial"/>
          <w:sz w:val="20"/>
          <w:szCs w:val="20"/>
          <w:lang w:val="es-CO"/>
        </w:rPr>
      </w:pPr>
      <w:r w:rsidRPr="00A21B5C">
        <w:rPr>
          <w:rFonts w:ascii="Arial" w:hAnsi="Arial" w:cs="Arial"/>
          <w:b/>
          <w:bCs/>
          <w:sz w:val="20"/>
          <w:szCs w:val="20"/>
          <w:lang w:val="es-CO"/>
        </w:rPr>
        <w:t>Fuente:</w:t>
      </w:r>
      <w:r w:rsidRPr="00A21B5C">
        <w:rPr>
          <w:rFonts w:ascii="Arial" w:hAnsi="Arial" w:cs="Arial"/>
          <w:sz w:val="20"/>
          <w:szCs w:val="20"/>
          <w:lang w:val="es-CO"/>
        </w:rPr>
        <w:t xml:space="preserve"> </w:t>
      </w:r>
      <w:r w:rsidR="00AE2918" w:rsidRPr="00A21B5C">
        <w:rPr>
          <w:rFonts w:ascii="Arial" w:hAnsi="Arial" w:cs="Arial"/>
          <w:sz w:val="20"/>
          <w:szCs w:val="20"/>
          <w:lang w:val="es-CO"/>
        </w:rPr>
        <w:t>Elaboración propia sobre i</w:t>
      </w:r>
      <w:r w:rsidRPr="00A21B5C">
        <w:rPr>
          <w:rFonts w:ascii="Arial" w:hAnsi="Arial" w:cs="Arial"/>
          <w:sz w:val="20"/>
          <w:szCs w:val="20"/>
          <w:lang w:val="es-CO"/>
        </w:rPr>
        <w:t xml:space="preserve">nformación presupuestal remitida por el Municipio de Dibulla – La </w:t>
      </w:r>
      <w:r w:rsidR="00AE2918" w:rsidRPr="00A21B5C">
        <w:rPr>
          <w:rFonts w:ascii="Arial" w:hAnsi="Arial" w:cs="Arial"/>
          <w:sz w:val="20"/>
          <w:szCs w:val="20"/>
          <w:lang w:val="es-CO"/>
        </w:rPr>
        <w:t>G</w:t>
      </w:r>
      <w:r w:rsidRPr="00A21B5C">
        <w:rPr>
          <w:rFonts w:ascii="Arial" w:hAnsi="Arial" w:cs="Arial"/>
          <w:sz w:val="20"/>
          <w:szCs w:val="20"/>
          <w:lang w:val="es-CO"/>
        </w:rPr>
        <w:t>uajira</w:t>
      </w:r>
      <w:r w:rsidR="00AE2918" w:rsidRPr="00A21B5C">
        <w:rPr>
          <w:rFonts w:ascii="Arial" w:hAnsi="Arial" w:cs="Arial"/>
          <w:sz w:val="20"/>
          <w:szCs w:val="20"/>
          <w:lang w:val="es-CO"/>
        </w:rPr>
        <w:t>.</w:t>
      </w:r>
    </w:p>
    <w:p w:rsidR="009C693F" w:rsidRPr="00A21B5C" w:rsidRDefault="009C693F" w:rsidP="00A21B5C">
      <w:pPr>
        <w:spacing w:after="160"/>
        <w:contextualSpacing/>
        <w:jc w:val="both"/>
        <w:rPr>
          <w:rFonts w:ascii="Arial" w:hAnsi="Arial" w:cs="Arial"/>
          <w:sz w:val="22"/>
          <w:szCs w:val="22"/>
          <w:lang w:val="es-CO"/>
        </w:rPr>
      </w:pPr>
    </w:p>
    <w:p w:rsidR="008C2E4A" w:rsidRPr="00A21B5C" w:rsidRDefault="008C2E4A" w:rsidP="00A21B5C">
      <w:pPr>
        <w:contextualSpacing/>
        <w:jc w:val="both"/>
        <w:rPr>
          <w:rFonts w:ascii="Arial" w:hAnsi="Arial" w:cs="Arial"/>
          <w:sz w:val="22"/>
          <w:szCs w:val="22"/>
          <w:lang w:val="es-CO"/>
        </w:rPr>
      </w:pPr>
      <w:r w:rsidRPr="00A21B5C">
        <w:rPr>
          <w:rFonts w:ascii="Arial" w:hAnsi="Arial" w:cs="Arial"/>
          <w:sz w:val="22"/>
          <w:szCs w:val="22"/>
          <w:lang w:val="es-CO"/>
        </w:rPr>
        <w:t>Sobre esto, se hace claridad que el Certificado de Disponibilidad Presupuestal y el Registro Presupuestal se expiden una única vez</w:t>
      </w:r>
      <w:r w:rsidRPr="00A21B5C">
        <w:rPr>
          <w:rFonts w:ascii="Arial" w:hAnsi="Arial" w:cs="Arial"/>
          <w:i/>
          <w:sz w:val="22"/>
          <w:szCs w:val="22"/>
          <w:lang w:val="es-CO"/>
        </w:rPr>
        <w:t xml:space="preserve">, </w:t>
      </w:r>
      <w:r w:rsidRPr="00A21B5C">
        <w:rPr>
          <w:rFonts w:ascii="Arial" w:hAnsi="Arial" w:cs="Arial"/>
          <w:sz w:val="22"/>
          <w:szCs w:val="22"/>
          <w:lang w:val="es-CO"/>
        </w:rPr>
        <w:t>previo a la asunción de compromisos en el caso del CDP</w:t>
      </w:r>
      <w:r w:rsidRPr="00A21B5C">
        <w:rPr>
          <w:rStyle w:val="Refdenotaalpie"/>
          <w:rFonts w:ascii="Arial" w:hAnsi="Arial" w:cs="Arial"/>
          <w:sz w:val="22"/>
          <w:szCs w:val="22"/>
          <w:lang w:val="es-CO"/>
        </w:rPr>
        <w:footnoteReference w:id="19"/>
      </w:r>
      <w:r w:rsidRPr="00A21B5C">
        <w:rPr>
          <w:rFonts w:ascii="Arial" w:hAnsi="Arial" w:cs="Arial"/>
          <w:sz w:val="22"/>
          <w:szCs w:val="22"/>
          <w:lang w:val="es-CO"/>
        </w:rPr>
        <w:t>,</w:t>
      </w:r>
      <w:r w:rsidRPr="00A21B5C">
        <w:rPr>
          <w:rFonts w:ascii="Arial" w:hAnsi="Arial" w:cs="Arial"/>
          <w:i/>
          <w:sz w:val="22"/>
          <w:szCs w:val="22"/>
          <w:lang w:val="es-CO"/>
        </w:rPr>
        <w:t xml:space="preserve"> y “en el momento que se perfecciona el compromiso y se afecta en forma definitiva la apropiación, garantizando que ésta no será desviada a ningún otro fin”</w:t>
      </w:r>
      <w:r w:rsidRPr="00A21B5C">
        <w:rPr>
          <w:rStyle w:val="Refdenotaalpie"/>
          <w:rFonts w:ascii="Arial" w:hAnsi="Arial" w:cs="Arial"/>
          <w:sz w:val="22"/>
          <w:szCs w:val="22"/>
          <w:lang w:val="es-CO"/>
        </w:rPr>
        <w:footnoteReference w:id="20"/>
      </w:r>
      <w:r w:rsidRPr="00A21B5C">
        <w:rPr>
          <w:rFonts w:ascii="Arial" w:hAnsi="Arial" w:cs="Arial"/>
          <w:i/>
          <w:sz w:val="22"/>
          <w:szCs w:val="22"/>
          <w:lang w:val="es-CO"/>
        </w:rPr>
        <w:t xml:space="preserve">, </w:t>
      </w:r>
      <w:r w:rsidRPr="00A21B5C">
        <w:rPr>
          <w:rFonts w:ascii="Arial" w:hAnsi="Arial" w:cs="Arial"/>
          <w:sz w:val="22"/>
          <w:szCs w:val="22"/>
          <w:lang w:val="es-CO"/>
        </w:rPr>
        <w:t>afectando el presupuesto una única vez</w:t>
      </w:r>
      <w:r w:rsidRPr="00A21B5C">
        <w:rPr>
          <w:rFonts w:ascii="Arial" w:hAnsi="Arial" w:cs="Arial"/>
          <w:i/>
          <w:sz w:val="22"/>
          <w:szCs w:val="22"/>
          <w:lang w:val="es-CO"/>
        </w:rPr>
        <w:t xml:space="preserve">, </w:t>
      </w:r>
      <w:r w:rsidRPr="00A21B5C">
        <w:rPr>
          <w:rFonts w:ascii="Arial" w:hAnsi="Arial" w:cs="Arial"/>
          <w:sz w:val="22"/>
          <w:szCs w:val="22"/>
          <w:lang w:val="es-CO"/>
        </w:rPr>
        <w:t>en el caso del RP. De esta forma, estos Certificados de Disponibilidad y Registros Presupuestales</w:t>
      </w:r>
      <w:r w:rsidRPr="00A21B5C">
        <w:rPr>
          <w:rStyle w:val="Refdenotaalpie"/>
          <w:rFonts w:ascii="Arial" w:hAnsi="Arial" w:cs="Arial"/>
          <w:sz w:val="22"/>
          <w:szCs w:val="22"/>
          <w:lang w:val="es-CO"/>
        </w:rPr>
        <w:footnoteReference w:id="21"/>
      </w:r>
      <w:r w:rsidRPr="00A21B5C">
        <w:rPr>
          <w:rFonts w:ascii="Arial" w:hAnsi="Arial" w:cs="Arial"/>
          <w:sz w:val="22"/>
          <w:szCs w:val="22"/>
          <w:lang w:val="es-CO"/>
        </w:rPr>
        <w:t xml:space="preserve"> expedidos por la Entidad Territorial posteriores a la asunción de compromisos, evidenciados en la revisión realizada, no corresponden a documentos de carácter presupuestal sino de tesorería, en cuanto se expiden con base en cuentas de cobro y actas de cumplimiento, como bien se lee en el objeto y demás especificaciones en los mismos</w:t>
      </w:r>
      <w:r w:rsidR="00521AB2" w:rsidRPr="00A21B5C">
        <w:rPr>
          <w:rFonts w:ascii="Arial" w:hAnsi="Arial" w:cs="Arial"/>
          <w:sz w:val="22"/>
          <w:szCs w:val="22"/>
          <w:lang w:val="es-CO"/>
        </w:rPr>
        <w:t>.</w:t>
      </w:r>
    </w:p>
    <w:p w:rsidR="007F6FF1" w:rsidRPr="00A21B5C" w:rsidRDefault="007F6FF1" w:rsidP="00A21B5C">
      <w:pPr>
        <w:contextualSpacing/>
        <w:jc w:val="both"/>
        <w:rPr>
          <w:rFonts w:ascii="Arial" w:hAnsi="Arial" w:cs="Arial"/>
          <w:sz w:val="22"/>
          <w:szCs w:val="22"/>
          <w:lang w:val="es-CO"/>
        </w:rPr>
      </w:pPr>
    </w:p>
    <w:p w:rsidR="00AE0112" w:rsidRPr="00A21B5C" w:rsidRDefault="00AF045D" w:rsidP="00A21B5C">
      <w:pPr>
        <w:pStyle w:val="Prrafodelista"/>
        <w:numPr>
          <w:ilvl w:val="1"/>
          <w:numId w:val="1"/>
        </w:numPr>
        <w:tabs>
          <w:tab w:val="clear" w:pos="360"/>
          <w:tab w:val="num" w:pos="142"/>
        </w:tabs>
        <w:ind w:left="284" w:hanging="284"/>
        <w:jc w:val="both"/>
        <w:rPr>
          <w:rFonts w:ascii="Arial" w:hAnsi="Arial" w:cs="Arial"/>
          <w:b/>
          <w:bCs/>
          <w:sz w:val="22"/>
          <w:szCs w:val="22"/>
          <w:lang w:val="es-CO"/>
        </w:rPr>
      </w:pPr>
      <w:r w:rsidRPr="00A21B5C">
        <w:rPr>
          <w:rFonts w:ascii="Arial" w:hAnsi="Arial" w:cs="Arial"/>
          <w:b/>
          <w:bCs/>
          <w:sz w:val="22"/>
          <w:szCs w:val="22"/>
          <w:lang w:val="es-CO"/>
        </w:rPr>
        <w:t xml:space="preserve">REPORTE DE INFORMACIÓN </w:t>
      </w:r>
      <w:r w:rsidR="00120CE3" w:rsidRPr="00A21B5C">
        <w:rPr>
          <w:rFonts w:ascii="Arial" w:hAnsi="Arial" w:cs="Arial"/>
          <w:b/>
          <w:bCs/>
          <w:sz w:val="22"/>
          <w:szCs w:val="22"/>
          <w:lang w:val="es-CO"/>
        </w:rPr>
        <w:t>–</w:t>
      </w:r>
      <w:r w:rsidRPr="00A21B5C">
        <w:rPr>
          <w:rFonts w:ascii="Arial" w:hAnsi="Arial" w:cs="Arial"/>
          <w:b/>
          <w:bCs/>
          <w:sz w:val="22"/>
          <w:szCs w:val="22"/>
          <w:lang w:val="es-CO"/>
        </w:rPr>
        <w:t xml:space="preserve"> FUT</w:t>
      </w:r>
      <w:r w:rsidR="00A24D50" w:rsidRPr="00A21B5C">
        <w:rPr>
          <w:rFonts w:ascii="Arial" w:hAnsi="Arial" w:cs="Arial"/>
          <w:b/>
          <w:bCs/>
          <w:sz w:val="22"/>
          <w:szCs w:val="22"/>
          <w:lang w:val="es-CO"/>
        </w:rPr>
        <w:t>.</w:t>
      </w:r>
    </w:p>
    <w:p w:rsidR="00120CE3" w:rsidRPr="00A21B5C" w:rsidRDefault="00120CE3" w:rsidP="00A21B5C">
      <w:pPr>
        <w:pStyle w:val="Prrafodelista"/>
        <w:ind w:left="360"/>
        <w:jc w:val="both"/>
        <w:rPr>
          <w:rFonts w:ascii="Arial" w:hAnsi="Arial" w:cs="Arial"/>
          <w:b/>
          <w:bCs/>
          <w:sz w:val="22"/>
          <w:szCs w:val="22"/>
          <w:lang w:val="es-CO"/>
        </w:rPr>
      </w:pPr>
    </w:p>
    <w:p w:rsidR="008C2E4A" w:rsidRPr="00A21B5C" w:rsidRDefault="008C2E4A" w:rsidP="00A21B5C">
      <w:pPr>
        <w:spacing w:after="240"/>
        <w:contextualSpacing/>
        <w:jc w:val="both"/>
        <w:rPr>
          <w:rFonts w:ascii="Arial" w:eastAsia="Calibri" w:hAnsi="Arial" w:cs="Arial"/>
          <w:sz w:val="22"/>
          <w:szCs w:val="22"/>
          <w:lang w:val="es-CO" w:eastAsia="en-US"/>
        </w:rPr>
      </w:pPr>
      <w:r w:rsidRPr="00A21B5C">
        <w:rPr>
          <w:rFonts w:ascii="Arial" w:eastAsia="Calibri" w:hAnsi="Arial" w:cs="Arial"/>
          <w:sz w:val="22"/>
          <w:szCs w:val="22"/>
          <w:lang w:val="es-CO" w:eastAsia="en-US"/>
        </w:rPr>
        <w:t>Se consultó en el Formulario Único Territorial – FUT, la información presupuestal de ingresos y gastos de la AESGPRI del Resguardo Indígena</w:t>
      </w:r>
      <w:r w:rsidRPr="00A21B5C">
        <w:rPr>
          <w:rFonts w:ascii="Arial" w:hAnsi="Arial" w:cs="Arial"/>
          <w:sz w:val="22"/>
          <w:szCs w:val="22"/>
          <w:lang w:val="es-CO"/>
        </w:rPr>
        <w:t xml:space="preserve"> </w:t>
      </w:r>
      <w:r w:rsidRPr="00A21B5C">
        <w:rPr>
          <w:rFonts w:ascii="Arial" w:eastAsia="Calibri" w:hAnsi="Arial" w:cs="Arial"/>
          <w:iCs/>
          <w:sz w:val="22"/>
          <w:szCs w:val="22"/>
          <w:lang w:val="es-CO" w:eastAsia="en-US"/>
        </w:rPr>
        <w:t>Kogui – Malayo – Arhuaco,</w:t>
      </w:r>
      <w:r w:rsidR="00D91BC6" w:rsidRPr="00A21B5C">
        <w:rPr>
          <w:rFonts w:ascii="Arial" w:eastAsia="Calibri" w:hAnsi="Arial" w:cs="Arial"/>
          <w:iCs/>
          <w:sz w:val="22"/>
          <w:szCs w:val="22"/>
          <w:lang w:val="es-CO" w:eastAsia="en-US"/>
        </w:rPr>
        <w:t xml:space="preserve"> </w:t>
      </w:r>
      <w:r w:rsidR="00664621" w:rsidRPr="00A21B5C">
        <w:rPr>
          <w:rFonts w:ascii="Arial" w:eastAsia="Calibri" w:hAnsi="Arial" w:cs="Arial"/>
          <w:iCs/>
          <w:sz w:val="22"/>
          <w:szCs w:val="22"/>
          <w:lang w:val="es-CO" w:eastAsia="en-US"/>
        </w:rPr>
        <w:t xml:space="preserve">y se </w:t>
      </w:r>
      <w:r w:rsidR="00D91BC6" w:rsidRPr="00A21B5C">
        <w:rPr>
          <w:rFonts w:ascii="Arial" w:eastAsia="Calibri" w:hAnsi="Arial" w:cs="Arial"/>
          <w:iCs/>
          <w:sz w:val="22"/>
          <w:szCs w:val="22"/>
          <w:lang w:val="es-CO" w:eastAsia="en-US"/>
        </w:rPr>
        <w:t>contrast</w:t>
      </w:r>
      <w:r w:rsidR="00664621" w:rsidRPr="00A21B5C">
        <w:rPr>
          <w:rFonts w:ascii="Arial" w:eastAsia="Calibri" w:hAnsi="Arial" w:cs="Arial"/>
          <w:iCs/>
          <w:sz w:val="22"/>
          <w:szCs w:val="22"/>
          <w:lang w:val="es-CO" w:eastAsia="en-US"/>
        </w:rPr>
        <w:t xml:space="preserve">ó con la información consignada en las </w:t>
      </w:r>
      <w:r w:rsidR="00D91BC6" w:rsidRPr="00A21B5C">
        <w:rPr>
          <w:rFonts w:ascii="Arial" w:eastAsia="Calibri" w:hAnsi="Arial" w:cs="Arial"/>
          <w:iCs/>
          <w:sz w:val="22"/>
          <w:szCs w:val="22"/>
          <w:lang w:val="es-CO" w:eastAsia="en-US"/>
        </w:rPr>
        <w:t>ejecuciones presupuestales</w:t>
      </w:r>
      <w:r w:rsidR="00664621" w:rsidRPr="00A21B5C">
        <w:rPr>
          <w:rFonts w:ascii="Arial" w:eastAsia="Calibri" w:hAnsi="Arial" w:cs="Arial"/>
          <w:iCs/>
          <w:sz w:val="22"/>
          <w:szCs w:val="22"/>
          <w:lang w:val="es-CO" w:eastAsia="en-US"/>
        </w:rPr>
        <w:t xml:space="preserve"> del Municipio,</w:t>
      </w:r>
      <w:r w:rsidR="00D91BC6" w:rsidRPr="00A21B5C">
        <w:rPr>
          <w:rFonts w:ascii="Arial" w:eastAsia="Calibri" w:hAnsi="Arial" w:cs="Arial"/>
          <w:iCs/>
          <w:sz w:val="22"/>
          <w:szCs w:val="22"/>
          <w:lang w:val="es-CO" w:eastAsia="en-US"/>
        </w:rPr>
        <w:t xml:space="preserve"> </w:t>
      </w:r>
      <w:r w:rsidR="00D139F7" w:rsidRPr="00A21B5C">
        <w:rPr>
          <w:rFonts w:ascii="Arial" w:eastAsia="Calibri" w:hAnsi="Arial" w:cs="Arial"/>
          <w:iCs/>
          <w:sz w:val="22"/>
          <w:szCs w:val="22"/>
          <w:lang w:val="es-CO" w:eastAsia="en-US"/>
        </w:rPr>
        <w:t>tal como se detalla a continuación:</w:t>
      </w:r>
    </w:p>
    <w:p w:rsidR="00CD0F3D" w:rsidRPr="00A21B5C" w:rsidRDefault="008C2E4A" w:rsidP="00A21B5C">
      <w:pPr>
        <w:contextualSpacing/>
        <w:jc w:val="center"/>
        <w:rPr>
          <w:rFonts w:ascii="Arial" w:hAnsi="Arial" w:cs="Arial"/>
          <w:sz w:val="22"/>
          <w:szCs w:val="22"/>
          <w:lang w:val="es-CO"/>
        </w:rPr>
      </w:pPr>
      <w:r w:rsidRPr="00A21B5C">
        <w:rPr>
          <w:rFonts w:ascii="Arial" w:hAnsi="Arial" w:cs="Arial"/>
          <w:b/>
          <w:sz w:val="22"/>
          <w:szCs w:val="22"/>
          <w:lang w:val="es-CO"/>
        </w:rPr>
        <w:t>Tabla N°</w:t>
      </w:r>
      <w:r w:rsidR="00E17914" w:rsidRPr="00A21B5C">
        <w:rPr>
          <w:rFonts w:ascii="Arial" w:hAnsi="Arial" w:cs="Arial"/>
          <w:b/>
          <w:sz w:val="22"/>
          <w:szCs w:val="22"/>
          <w:lang w:val="es-CO"/>
        </w:rPr>
        <w:t xml:space="preserve"> </w:t>
      </w:r>
      <w:r w:rsidR="005D3E84" w:rsidRPr="00A21B5C">
        <w:rPr>
          <w:rFonts w:ascii="Arial" w:hAnsi="Arial" w:cs="Arial"/>
          <w:b/>
          <w:sz w:val="22"/>
          <w:szCs w:val="22"/>
          <w:lang w:val="es-CO"/>
        </w:rPr>
        <w:t>3</w:t>
      </w:r>
      <w:r w:rsidRPr="00A21B5C">
        <w:rPr>
          <w:rFonts w:ascii="Arial" w:hAnsi="Arial" w:cs="Arial"/>
          <w:sz w:val="22"/>
          <w:szCs w:val="22"/>
          <w:lang w:val="es-CO"/>
        </w:rPr>
        <w:t xml:space="preserve">: Reporte de Ingresos en la Categoría Resguardos 1 en el FUT, por parte del </w:t>
      </w:r>
    </w:p>
    <w:p w:rsidR="008C2E4A" w:rsidRPr="00A21B5C" w:rsidRDefault="008C2E4A" w:rsidP="00A21B5C">
      <w:pPr>
        <w:spacing w:after="160"/>
        <w:contextualSpacing/>
        <w:jc w:val="center"/>
        <w:rPr>
          <w:rFonts w:ascii="Arial" w:hAnsi="Arial" w:cs="Arial"/>
          <w:sz w:val="22"/>
          <w:szCs w:val="22"/>
          <w:lang w:val="es-CO"/>
        </w:rPr>
      </w:pPr>
      <w:r w:rsidRPr="00A21B5C">
        <w:rPr>
          <w:rFonts w:ascii="Arial" w:hAnsi="Arial" w:cs="Arial"/>
          <w:sz w:val="22"/>
          <w:szCs w:val="22"/>
          <w:lang w:val="es-CO"/>
        </w:rPr>
        <w:t>Municipio de Dibulla – La Guajira.</w:t>
      </w:r>
    </w:p>
    <w:tbl>
      <w:tblPr>
        <w:tblW w:w="10060" w:type="dxa"/>
        <w:jc w:val="center"/>
        <w:tblLook w:val="06A0" w:firstRow="1" w:lastRow="0" w:firstColumn="1" w:lastColumn="0" w:noHBand="1" w:noVBand="1"/>
      </w:tblPr>
      <w:tblGrid>
        <w:gridCol w:w="1364"/>
        <w:gridCol w:w="1727"/>
        <w:gridCol w:w="1573"/>
        <w:gridCol w:w="1705"/>
        <w:gridCol w:w="1628"/>
        <w:gridCol w:w="2063"/>
      </w:tblGrid>
      <w:tr w:rsidR="002C051C" w:rsidRPr="00A21B5C" w:rsidTr="005219D5">
        <w:trPr>
          <w:trHeight w:val="263"/>
          <w:jc w:val="center"/>
        </w:trPr>
        <w:tc>
          <w:tcPr>
            <w:tcW w:w="1364" w:type="dxa"/>
            <w:vMerge w:val="restart"/>
            <w:tcBorders>
              <w:top w:val="single" w:sz="8" w:space="0" w:color="auto"/>
              <w:left w:val="single" w:sz="8" w:space="0" w:color="auto"/>
              <w:bottom w:val="dashed" w:sz="8" w:space="0" w:color="BFBFBF"/>
              <w:right w:val="single" w:sz="8" w:space="0" w:color="auto"/>
            </w:tcBorders>
            <w:shd w:val="clear" w:color="auto" w:fill="215868" w:themeFill="accent5" w:themeFillShade="80"/>
            <w:vAlign w:val="center"/>
            <w:hideMark/>
          </w:tcPr>
          <w:p w:rsidR="008C2E4A" w:rsidRPr="00A21B5C" w:rsidRDefault="008C2E4A" w:rsidP="00A21B5C">
            <w:pPr>
              <w:contextualSpacing/>
              <w:jc w:val="center"/>
              <w:rPr>
                <w:rFonts w:ascii="Arial" w:eastAsia="Times New Roman" w:hAnsi="Arial" w:cs="Arial"/>
                <w:b/>
                <w:bCs/>
                <w:color w:val="FFFFFF"/>
                <w:sz w:val="18"/>
                <w:szCs w:val="20"/>
                <w:lang w:val="es-CO" w:eastAsia="en-US"/>
              </w:rPr>
            </w:pPr>
            <w:r w:rsidRPr="00A21B5C">
              <w:rPr>
                <w:rFonts w:ascii="Arial" w:eastAsia="Times New Roman" w:hAnsi="Arial" w:cs="Arial"/>
                <w:b/>
                <w:bCs/>
                <w:color w:val="FFFFFF"/>
                <w:sz w:val="18"/>
                <w:szCs w:val="20"/>
                <w:lang w:val="es-CO" w:eastAsia="en-US"/>
              </w:rPr>
              <w:t>PERIODO DE REPORTE</w:t>
            </w:r>
          </w:p>
        </w:tc>
        <w:tc>
          <w:tcPr>
            <w:tcW w:w="3300" w:type="dxa"/>
            <w:gridSpan w:val="2"/>
            <w:tcBorders>
              <w:top w:val="single" w:sz="8" w:space="0" w:color="auto"/>
              <w:left w:val="nil"/>
              <w:bottom w:val="nil"/>
              <w:right w:val="single" w:sz="8" w:space="0" w:color="000000"/>
            </w:tcBorders>
            <w:shd w:val="clear" w:color="auto" w:fill="215868" w:themeFill="accent5" w:themeFillShade="80"/>
            <w:noWrap/>
            <w:vAlign w:val="center"/>
            <w:hideMark/>
          </w:tcPr>
          <w:p w:rsidR="008C2E4A" w:rsidRPr="00A21B5C" w:rsidRDefault="008C2E4A" w:rsidP="00A21B5C">
            <w:pPr>
              <w:contextualSpacing/>
              <w:jc w:val="center"/>
              <w:rPr>
                <w:rFonts w:ascii="Arial" w:eastAsia="Times New Roman" w:hAnsi="Arial" w:cs="Arial"/>
                <w:b/>
                <w:bCs/>
                <w:color w:val="FFFFFF"/>
                <w:sz w:val="18"/>
                <w:szCs w:val="20"/>
                <w:lang w:val="es-CO" w:eastAsia="en-US"/>
              </w:rPr>
            </w:pPr>
            <w:r w:rsidRPr="00A21B5C">
              <w:rPr>
                <w:rFonts w:ascii="Arial" w:eastAsia="Times New Roman" w:hAnsi="Arial" w:cs="Arial"/>
                <w:b/>
                <w:bCs/>
                <w:color w:val="FFFFFF"/>
                <w:sz w:val="18"/>
                <w:szCs w:val="20"/>
                <w:lang w:val="es-CO" w:eastAsia="en-US"/>
              </w:rPr>
              <w:t>FUT</w:t>
            </w:r>
          </w:p>
        </w:tc>
        <w:tc>
          <w:tcPr>
            <w:tcW w:w="3333" w:type="dxa"/>
            <w:gridSpan w:val="2"/>
            <w:tcBorders>
              <w:top w:val="single" w:sz="8" w:space="0" w:color="auto"/>
              <w:left w:val="nil"/>
              <w:bottom w:val="nil"/>
              <w:right w:val="single" w:sz="8" w:space="0" w:color="000000"/>
            </w:tcBorders>
            <w:shd w:val="clear" w:color="auto" w:fill="215868" w:themeFill="accent5" w:themeFillShade="80"/>
            <w:noWrap/>
            <w:vAlign w:val="center"/>
            <w:hideMark/>
          </w:tcPr>
          <w:p w:rsidR="008C2E4A" w:rsidRPr="00A21B5C" w:rsidRDefault="008C2E4A" w:rsidP="00A21B5C">
            <w:pPr>
              <w:contextualSpacing/>
              <w:jc w:val="center"/>
              <w:rPr>
                <w:rFonts w:ascii="Arial" w:eastAsia="Times New Roman" w:hAnsi="Arial" w:cs="Arial"/>
                <w:b/>
                <w:bCs/>
                <w:color w:val="FFFFFF"/>
                <w:sz w:val="18"/>
                <w:szCs w:val="20"/>
                <w:lang w:val="es-CO" w:eastAsia="en-US"/>
              </w:rPr>
            </w:pPr>
            <w:r w:rsidRPr="00A21B5C">
              <w:rPr>
                <w:rFonts w:ascii="Arial" w:eastAsia="Times New Roman" w:hAnsi="Arial" w:cs="Arial"/>
                <w:b/>
                <w:bCs/>
                <w:color w:val="FFFFFF"/>
                <w:sz w:val="18"/>
                <w:szCs w:val="20"/>
                <w:lang w:val="es-CO" w:eastAsia="en-US"/>
              </w:rPr>
              <w:t>INFORMACIÓN DEL MUNICIPIO</w:t>
            </w:r>
          </w:p>
        </w:tc>
        <w:tc>
          <w:tcPr>
            <w:tcW w:w="2063" w:type="dxa"/>
            <w:vMerge w:val="restart"/>
            <w:tcBorders>
              <w:top w:val="single" w:sz="8" w:space="0" w:color="auto"/>
              <w:left w:val="single" w:sz="8" w:space="0" w:color="auto"/>
              <w:bottom w:val="dashed" w:sz="8" w:space="0" w:color="BFBFBF"/>
              <w:right w:val="single" w:sz="8" w:space="0" w:color="auto"/>
            </w:tcBorders>
            <w:shd w:val="clear" w:color="auto" w:fill="215868" w:themeFill="accent5" w:themeFillShade="80"/>
            <w:noWrap/>
            <w:vAlign w:val="center"/>
            <w:hideMark/>
          </w:tcPr>
          <w:p w:rsidR="008C2E4A" w:rsidRPr="00A21B5C" w:rsidRDefault="008C2E4A" w:rsidP="00A21B5C">
            <w:pPr>
              <w:contextualSpacing/>
              <w:jc w:val="center"/>
              <w:rPr>
                <w:rFonts w:ascii="Arial" w:eastAsia="Times New Roman" w:hAnsi="Arial" w:cs="Arial"/>
                <w:b/>
                <w:bCs/>
                <w:color w:val="FFFFFF"/>
                <w:sz w:val="18"/>
                <w:szCs w:val="20"/>
                <w:lang w:val="es-CO" w:eastAsia="en-US"/>
              </w:rPr>
            </w:pPr>
            <w:r w:rsidRPr="00A21B5C">
              <w:rPr>
                <w:rFonts w:ascii="Arial" w:eastAsia="Times New Roman" w:hAnsi="Arial" w:cs="Arial"/>
                <w:b/>
                <w:bCs/>
                <w:color w:val="FFFFFF"/>
                <w:sz w:val="18"/>
                <w:szCs w:val="20"/>
                <w:lang w:val="es-CO" w:eastAsia="en-US"/>
              </w:rPr>
              <w:t>OBSERVACIÓN</w:t>
            </w:r>
          </w:p>
        </w:tc>
      </w:tr>
      <w:tr w:rsidR="004B28C1" w:rsidRPr="00A21B5C" w:rsidTr="005219D5">
        <w:trPr>
          <w:trHeight w:val="276"/>
          <w:jc w:val="center"/>
        </w:trPr>
        <w:tc>
          <w:tcPr>
            <w:tcW w:w="0" w:type="auto"/>
            <w:vMerge/>
            <w:tcBorders>
              <w:top w:val="single" w:sz="8" w:space="0" w:color="auto"/>
              <w:left w:val="single" w:sz="8" w:space="0" w:color="auto"/>
              <w:bottom w:val="dashed" w:sz="8" w:space="0" w:color="BFBFBF"/>
              <w:right w:val="single" w:sz="8" w:space="0" w:color="auto"/>
            </w:tcBorders>
            <w:vAlign w:val="center"/>
            <w:hideMark/>
          </w:tcPr>
          <w:p w:rsidR="008C2E4A" w:rsidRPr="00A21B5C" w:rsidRDefault="008C2E4A" w:rsidP="00A21B5C">
            <w:pPr>
              <w:contextualSpacing/>
              <w:rPr>
                <w:rFonts w:ascii="Arial" w:eastAsia="Times New Roman" w:hAnsi="Arial" w:cs="Arial"/>
                <w:b/>
                <w:bCs/>
                <w:color w:val="FFFFFF"/>
                <w:sz w:val="18"/>
                <w:szCs w:val="20"/>
                <w:lang w:val="es-CO" w:eastAsia="en-US"/>
              </w:rPr>
            </w:pPr>
          </w:p>
        </w:tc>
        <w:tc>
          <w:tcPr>
            <w:tcW w:w="1727" w:type="dxa"/>
            <w:tcBorders>
              <w:top w:val="nil"/>
              <w:left w:val="nil"/>
              <w:bottom w:val="dashed" w:sz="8" w:space="0" w:color="BFBFBF"/>
              <w:right w:val="dashed" w:sz="8" w:space="0" w:color="D9D9D9"/>
            </w:tcBorders>
            <w:shd w:val="clear" w:color="auto" w:fill="B6DDE8" w:themeFill="accent5" w:themeFillTint="66"/>
            <w:noWrap/>
            <w:vAlign w:val="center"/>
            <w:hideMark/>
          </w:tcPr>
          <w:p w:rsidR="008C2E4A" w:rsidRPr="00A21B5C" w:rsidRDefault="008C2E4A" w:rsidP="00A21B5C">
            <w:pPr>
              <w:contextualSpacing/>
              <w:jc w:val="center"/>
              <w:rPr>
                <w:rFonts w:ascii="Arial" w:eastAsia="Times New Roman" w:hAnsi="Arial" w:cs="Arial"/>
                <w:b/>
                <w:bCs/>
                <w:color w:val="000000"/>
                <w:sz w:val="18"/>
                <w:szCs w:val="20"/>
                <w:lang w:val="es-CO" w:eastAsia="en-US"/>
              </w:rPr>
            </w:pPr>
            <w:r w:rsidRPr="00A21B5C">
              <w:rPr>
                <w:rFonts w:ascii="Arial" w:eastAsia="Times New Roman" w:hAnsi="Arial" w:cs="Arial"/>
                <w:b/>
                <w:bCs/>
                <w:color w:val="000000"/>
                <w:sz w:val="18"/>
                <w:szCs w:val="20"/>
                <w:lang w:val="es-CO" w:eastAsia="en-US"/>
              </w:rPr>
              <w:t xml:space="preserve">PRESUPUESTO </w:t>
            </w:r>
          </w:p>
        </w:tc>
        <w:tc>
          <w:tcPr>
            <w:tcW w:w="1573" w:type="dxa"/>
            <w:tcBorders>
              <w:top w:val="nil"/>
              <w:left w:val="nil"/>
              <w:bottom w:val="dashed" w:sz="8" w:space="0" w:color="BFBFBF"/>
              <w:right w:val="single" w:sz="8" w:space="0" w:color="auto"/>
            </w:tcBorders>
            <w:shd w:val="clear" w:color="auto" w:fill="B6DDE8" w:themeFill="accent5" w:themeFillTint="66"/>
            <w:vAlign w:val="center"/>
            <w:hideMark/>
          </w:tcPr>
          <w:p w:rsidR="008C2E4A" w:rsidRPr="00A21B5C" w:rsidRDefault="008C2E4A" w:rsidP="00A21B5C">
            <w:pPr>
              <w:contextualSpacing/>
              <w:jc w:val="center"/>
              <w:rPr>
                <w:rFonts w:ascii="Arial" w:eastAsia="Times New Roman" w:hAnsi="Arial" w:cs="Arial"/>
                <w:b/>
                <w:bCs/>
                <w:color w:val="000000"/>
                <w:sz w:val="18"/>
                <w:szCs w:val="20"/>
                <w:lang w:val="es-CO" w:eastAsia="en-US"/>
              </w:rPr>
            </w:pPr>
            <w:r w:rsidRPr="00A21B5C">
              <w:rPr>
                <w:rFonts w:ascii="Arial" w:eastAsia="Times New Roman" w:hAnsi="Arial" w:cs="Arial"/>
                <w:b/>
                <w:bCs/>
                <w:color w:val="000000"/>
                <w:sz w:val="18"/>
                <w:szCs w:val="20"/>
                <w:lang w:val="es-CO" w:eastAsia="en-US"/>
              </w:rPr>
              <w:t>RECAUDO</w:t>
            </w:r>
          </w:p>
        </w:tc>
        <w:tc>
          <w:tcPr>
            <w:tcW w:w="1705" w:type="dxa"/>
            <w:tcBorders>
              <w:top w:val="nil"/>
              <w:left w:val="nil"/>
              <w:bottom w:val="dashed" w:sz="8" w:space="0" w:color="BFBFBF"/>
              <w:right w:val="dashed" w:sz="8" w:space="0" w:color="D9D9D9"/>
            </w:tcBorders>
            <w:shd w:val="clear" w:color="auto" w:fill="B6DDE8" w:themeFill="accent5" w:themeFillTint="66"/>
            <w:noWrap/>
            <w:vAlign w:val="center"/>
            <w:hideMark/>
          </w:tcPr>
          <w:p w:rsidR="008C2E4A" w:rsidRPr="00A21B5C" w:rsidRDefault="008C2E4A" w:rsidP="00A21B5C">
            <w:pPr>
              <w:contextualSpacing/>
              <w:jc w:val="center"/>
              <w:rPr>
                <w:rFonts w:ascii="Arial" w:eastAsia="Times New Roman" w:hAnsi="Arial" w:cs="Arial"/>
                <w:b/>
                <w:bCs/>
                <w:color w:val="000000"/>
                <w:sz w:val="18"/>
                <w:szCs w:val="20"/>
                <w:lang w:val="es-CO" w:eastAsia="en-US"/>
              </w:rPr>
            </w:pPr>
            <w:r w:rsidRPr="00A21B5C">
              <w:rPr>
                <w:rFonts w:ascii="Arial" w:eastAsia="Times New Roman" w:hAnsi="Arial" w:cs="Arial"/>
                <w:b/>
                <w:bCs/>
                <w:color w:val="000000"/>
                <w:sz w:val="18"/>
                <w:szCs w:val="20"/>
                <w:lang w:val="es-CO" w:eastAsia="en-US"/>
              </w:rPr>
              <w:t>PRESUPUESTO</w:t>
            </w:r>
          </w:p>
        </w:tc>
        <w:tc>
          <w:tcPr>
            <w:tcW w:w="1628" w:type="dxa"/>
            <w:tcBorders>
              <w:top w:val="nil"/>
              <w:left w:val="nil"/>
              <w:bottom w:val="dashed" w:sz="8" w:space="0" w:color="BFBFBF"/>
              <w:right w:val="single" w:sz="8" w:space="0" w:color="auto"/>
            </w:tcBorders>
            <w:shd w:val="clear" w:color="auto" w:fill="B6DDE8" w:themeFill="accent5" w:themeFillTint="66"/>
            <w:vAlign w:val="center"/>
            <w:hideMark/>
          </w:tcPr>
          <w:p w:rsidR="008C2E4A" w:rsidRPr="00A21B5C" w:rsidRDefault="008C2E4A" w:rsidP="00A21B5C">
            <w:pPr>
              <w:contextualSpacing/>
              <w:jc w:val="center"/>
              <w:rPr>
                <w:rFonts w:ascii="Arial" w:eastAsia="Times New Roman" w:hAnsi="Arial" w:cs="Arial"/>
                <w:b/>
                <w:bCs/>
                <w:color w:val="000000"/>
                <w:sz w:val="18"/>
                <w:szCs w:val="20"/>
                <w:lang w:val="es-CO" w:eastAsia="en-US"/>
              </w:rPr>
            </w:pPr>
            <w:r w:rsidRPr="00A21B5C">
              <w:rPr>
                <w:rFonts w:ascii="Arial" w:eastAsia="Times New Roman" w:hAnsi="Arial" w:cs="Arial"/>
                <w:b/>
                <w:bCs/>
                <w:color w:val="000000"/>
                <w:sz w:val="18"/>
                <w:szCs w:val="20"/>
                <w:lang w:val="es-CO" w:eastAsia="en-US"/>
              </w:rPr>
              <w:t>RECAUDO</w:t>
            </w:r>
          </w:p>
        </w:tc>
        <w:tc>
          <w:tcPr>
            <w:tcW w:w="2063" w:type="dxa"/>
            <w:vMerge/>
            <w:tcBorders>
              <w:top w:val="single" w:sz="8" w:space="0" w:color="auto"/>
              <w:left w:val="single" w:sz="8" w:space="0" w:color="auto"/>
              <w:bottom w:val="dashed" w:sz="8" w:space="0" w:color="BFBFBF"/>
              <w:right w:val="single" w:sz="8" w:space="0" w:color="auto"/>
            </w:tcBorders>
            <w:vAlign w:val="center"/>
            <w:hideMark/>
          </w:tcPr>
          <w:p w:rsidR="008C2E4A" w:rsidRPr="00A21B5C" w:rsidRDefault="008C2E4A" w:rsidP="00A21B5C">
            <w:pPr>
              <w:contextualSpacing/>
              <w:rPr>
                <w:rFonts w:ascii="Arial" w:eastAsia="Times New Roman" w:hAnsi="Arial" w:cs="Arial"/>
                <w:b/>
                <w:bCs/>
                <w:color w:val="FFFFFF"/>
                <w:sz w:val="18"/>
                <w:szCs w:val="20"/>
                <w:lang w:val="es-CO" w:eastAsia="en-US"/>
              </w:rPr>
            </w:pPr>
          </w:p>
        </w:tc>
      </w:tr>
      <w:tr w:rsidR="00276EDF" w:rsidRPr="00A21B5C" w:rsidTr="005219D5">
        <w:trPr>
          <w:trHeight w:val="365"/>
          <w:jc w:val="center"/>
        </w:trPr>
        <w:tc>
          <w:tcPr>
            <w:tcW w:w="1364" w:type="dxa"/>
            <w:tcBorders>
              <w:top w:val="nil"/>
              <w:left w:val="single" w:sz="8" w:space="0" w:color="auto"/>
              <w:bottom w:val="dashed" w:sz="8" w:space="0" w:color="D9D9D9"/>
              <w:right w:val="single" w:sz="8" w:space="0" w:color="auto"/>
            </w:tcBorders>
            <w:noWrap/>
            <w:vAlign w:val="center"/>
            <w:hideMark/>
          </w:tcPr>
          <w:p w:rsidR="008C2E4A" w:rsidRPr="00A21B5C" w:rsidRDefault="008C2E4A" w:rsidP="00A21B5C">
            <w:pPr>
              <w:contextualSpacing/>
              <w:jc w:val="center"/>
              <w:rPr>
                <w:rFonts w:ascii="Arial" w:eastAsia="Times New Roman" w:hAnsi="Arial" w:cs="Arial"/>
                <w:color w:val="000000"/>
                <w:sz w:val="18"/>
                <w:szCs w:val="20"/>
                <w:lang w:val="es-CO" w:eastAsia="en-US"/>
              </w:rPr>
            </w:pPr>
            <w:r w:rsidRPr="00A21B5C">
              <w:rPr>
                <w:rFonts w:ascii="Arial" w:eastAsia="Times New Roman" w:hAnsi="Arial" w:cs="Arial"/>
                <w:color w:val="000000"/>
                <w:sz w:val="18"/>
                <w:szCs w:val="20"/>
                <w:lang w:val="es-CO" w:eastAsia="en-US"/>
              </w:rPr>
              <w:t>2016-I</w:t>
            </w:r>
          </w:p>
        </w:tc>
        <w:tc>
          <w:tcPr>
            <w:tcW w:w="1727" w:type="dxa"/>
            <w:tcBorders>
              <w:top w:val="nil"/>
              <w:left w:val="nil"/>
              <w:bottom w:val="dashed" w:sz="8" w:space="0" w:color="D9D9D9"/>
              <w:right w:val="dashed" w:sz="8" w:space="0" w:color="D9D9D9"/>
            </w:tcBorders>
            <w:noWrap/>
            <w:vAlign w:val="center"/>
            <w:hideMark/>
          </w:tcPr>
          <w:p w:rsidR="008C2E4A" w:rsidRPr="00A21B5C" w:rsidRDefault="008C2E4A" w:rsidP="00A21B5C">
            <w:pPr>
              <w:contextualSpacing/>
              <w:jc w:val="center"/>
              <w:rPr>
                <w:rFonts w:ascii="Arial" w:eastAsia="Times New Roman" w:hAnsi="Arial" w:cs="Arial"/>
                <w:color w:val="000000"/>
                <w:sz w:val="18"/>
                <w:szCs w:val="20"/>
                <w:lang w:val="es-CO" w:eastAsia="en-US"/>
              </w:rPr>
            </w:pPr>
            <w:r w:rsidRPr="00A21B5C">
              <w:rPr>
                <w:rFonts w:ascii="Arial" w:eastAsia="Times New Roman" w:hAnsi="Arial" w:cs="Arial"/>
                <w:color w:val="000000"/>
                <w:sz w:val="18"/>
                <w:szCs w:val="20"/>
                <w:lang w:val="es-CO" w:eastAsia="en-US"/>
              </w:rPr>
              <w:t>$4.623.217.000</w:t>
            </w:r>
          </w:p>
        </w:tc>
        <w:tc>
          <w:tcPr>
            <w:tcW w:w="1573" w:type="dxa"/>
            <w:tcBorders>
              <w:top w:val="nil"/>
              <w:left w:val="nil"/>
              <w:bottom w:val="dashed" w:sz="8" w:space="0" w:color="D9D9D9"/>
              <w:right w:val="single" w:sz="8" w:space="0" w:color="auto"/>
            </w:tcBorders>
            <w:vAlign w:val="center"/>
            <w:hideMark/>
          </w:tcPr>
          <w:p w:rsidR="008C2E4A" w:rsidRPr="00A21B5C" w:rsidRDefault="008C2E4A" w:rsidP="00A21B5C">
            <w:pPr>
              <w:contextualSpacing/>
              <w:jc w:val="center"/>
              <w:rPr>
                <w:rFonts w:ascii="Arial" w:eastAsia="Times New Roman" w:hAnsi="Arial" w:cs="Arial"/>
                <w:color w:val="000000"/>
                <w:sz w:val="18"/>
                <w:szCs w:val="20"/>
                <w:lang w:val="es-CO" w:eastAsia="en-US"/>
              </w:rPr>
            </w:pPr>
            <w:r w:rsidRPr="00A21B5C">
              <w:rPr>
                <w:rFonts w:ascii="Arial" w:eastAsia="Times New Roman" w:hAnsi="Arial" w:cs="Arial"/>
                <w:color w:val="000000"/>
                <w:sz w:val="18"/>
                <w:szCs w:val="20"/>
                <w:lang w:val="es-CO" w:eastAsia="en-US"/>
              </w:rPr>
              <w:t>$3.815.038.000</w:t>
            </w:r>
          </w:p>
        </w:tc>
        <w:tc>
          <w:tcPr>
            <w:tcW w:w="1705" w:type="dxa"/>
            <w:tcBorders>
              <w:top w:val="nil"/>
              <w:left w:val="nil"/>
              <w:bottom w:val="dashed" w:sz="8" w:space="0" w:color="D9D9D9"/>
              <w:right w:val="dashed" w:sz="8" w:space="0" w:color="D9D9D9"/>
            </w:tcBorders>
            <w:noWrap/>
            <w:vAlign w:val="center"/>
            <w:hideMark/>
          </w:tcPr>
          <w:p w:rsidR="008C2E4A" w:rsidRPr="00A21B5C" w:rsidRDefault="008C2E4A" w:rsidP="00A21B5C">
            <w:pPr>
              <w:contextualSpacing/>
              <w:jc w:val="center"/>
              <w:rPr>
                <w:rFonts w:ascii="Arial" w:eastAsia="Times New Roman" w:hAnsi="Arial" w:cs="Arial"/>
                <w:color w:val="000000"/>
                <w:sz w:val="18"/>
                <w:szCs w:val="20"/>
                <w:lang w:val="es-CO" w:eastAsia="en-US"/>
              </w:rPr>
            </w:pPr>
            <w:r w:rsidRPr="00A21B5C">
              <w:rPr>
                <w:rFonts w:ascii="Arial" w:eastAsia="Times New Roman" w:hAnsi="Arial" w:cs="Arial"/>
                <w:color w:val="000000"/>
                <w:sz w:val="18"/>
                <w:szCs w:val="20"/>
                <w:lang w:val="es-CO" w:eastAsia="en-US"/>
              </w:rPr>
              <w:t>-</w:t>
            </w:r>
          </w:p>
        </w:tc>
        <w:tc>
          <w:tcPr>
            <w:tcW w:w="1628" w:type="dxa"/>
            <w:tcBorders>
              <w:top w:val="nil"/>
              <w:left w:val="nil"/>
              <w:bottom w:val="dashed" w:sz="8" w:space="0" w:color="D9D9D9"/>
              <w:right w:val="single" w:sz="8" w:space="0" w:color="auto"/>
            </w:tcBorders>
            <w:vAlign w:val="center"/>
            <w:hideMark/>
          </w:tcPr>
          <w:p w:rsidR="008C2E4A" w:rsidRPr="00A21B5C" w:rsidRDefault="008C2E4A" w:rsidP="00A21B5C">
            <w:pPr>
              <w:contextualSpacing/>
              <w:jc w:val="center"/>
              <w:rPr>
                <w:rFonts w:ascii="Arial" w:eastAsia="Times New Roman" w:hAnsi="Arial" w:cs="Arial"/>
                <w:color w:val="000000"/>
                <w:sz w:val="18"/>
                <w:szCs w:val="20"/>
                <w:lang w:val="es-CO" w:eastAsia="en-US"/>
              </w:rPr>
            </w:pPr>
            <w:r w:rsidRPr="00A21B5C">
              <w:rPr>
                <w:rFonts w:ascii="Arial" w:eastAsia="Times New Roman" w:hAnsi="Arial" w:cs="Arial"/>
                <w:color w:val="000000"/>
                <w:sz w:val="18"/>
                <w:szCs w:val="20"/>
                <w:lang w:val="es-CO" w:eastAsia="en-US"/>
              </w:rPr>
              <w:t>-</w:t>
            </w:r>
          </w:p>
        </w:tc>
        <w:tc>
          <w:tcPr>
            <w:tcW w:w="2063" w:type="dxa"/>
            <w:vMerge w:val="restart"/>
            <w:tcBorders>
              <w:top w:val="nil"/>
              <w:left w:val="single" w:sz="8" w:space="0" w:color="auto"/>
              <w:bottom w:val="single" w:sz="8" w:space="0" w:color="000000"/>
              <w:right w:val="single" w:sz="8" w:space="0" w:color="auto"/>
            </w:tcBorders>
            <w:vAlign w:val="center"/>
            <w:hideMark/>
          </w:tcPr>
          <w:p w:rsidR="008C2E4A" w:rsidRPr="00A21B5C" w:rsidRDefault="008C2E4A" w:rsidP="00A21B5C">
            <w:pPr>
              <w:contextualSpacing/>
              <w:jc w:val="center"/>
              <w:rPr>
                <w:rFonts w:ascii="Arial" w:eastAsia="Times New Roman" w:hAnsi="Arial" w:cs="Arial"/>
                <w:color w:val="000000"/>
                <w:sz w:val="18"/>
                <w:szCs w:val="20"/>
                <w:lang w:val="es-CO" w:eastAsia="en-US"/>
              </w:rPr>
            </w:pPr>
            <w:r w:rsidRPr="00A21B5C">
              <w:rPr>
                <w:rFonts w:ascii="Arial" w:eastAsia="Times New Roman" w:hAnsi="Arial" w:cs="Arial"/>
                <w:color w:val="000000"/>
                <w:sz w:val="18"/>
                <w:szCs w:val="20"/>
                <w:lang w:val="es-CO" w:eastAsia="en-US"/>
              </w:rPr>
              <w:t>No reportó información al cierre de la vigencia.</w:t>
            </w:r>
          </w:p>
        </w:tc>
      </w:tr>
      <w:tr w:rsidR="004B28C1" w:rsidRPr="00A21B5C" w:rsidTr="009D1534">
        <w:trPr>
          <w:trHeight w:val="399"/>
          <w:jc w:val="center"/>
        </w:trPr>
        <w:tc>
          <w:tcPr>
            <w:tcW w:w="1364" w:type="dxa"/>
            <w:tcBorders>
              <w:top w:val="nil"/>
              <w:left w:val="single" w:sz="8" w:space="0" w:color="auto"/>
              <w:bottom w:val="single" w:sz="4" w:space="0" w:color="auto"/>
              <w:right w:val="single" w:sz="8" w:space="0" w:color="auto"/>
            </w:tcBorders>
            <w:noWrap/>
            <w:vAlign w:val="center"/>
            <w:hideMark/>
          </w:tcPr>
          <w:p w:rsidR="008C2E4A" w:rsidRPr="00A21B5C" w:rsidRDefault="008C2E4A" w:rsidP="00A21B5C">
            <w:pPr>
              <w:contextualSpacing/>
              <w:jc w:val="center"/>
              <w:rPr>
                <w:rFonts w:ascii="Arial" w:eastAsia="Times New Roman" w:hAnsi="Arial" w:cs="Arial"/>
                <w:color w:val="000000"/>
                <w:sz w:val="18"/>
                <w:szCs w:val="20"/>
                <w:lang w:val="es-CO" w:eastAsia="en-US"/>
              </w:rPr>
            </w:pPr>
            <w:r w:rsidRPr="00A21B5C">
              <w:rPr>
                <w:rFonts w:ascii="Arial" w:eastAsia="Times New Roman" w:hAnsi="Arial" w:cs="Arial"/>
                <w:color w:val="000000"/>
                <w:sz w:val="18"/>
                <w:szCs w:val="20"/>
                <w:lang w:val="es-CO" w:eastAsia="en-US"/>
              </w:rPr>
              <w:t>2016-II</w:t>
            </w:r>
          </w:p>
        </w:tc>
        <w:tc>
          <w:tcPr>
            <w:tcW w:w="1727" w:type="dxa"/>
            <w:tcBorders>
              <w:top w:val="nil"/>
              <w:left w:val="nil"/>
              <w:bottom w:val="single" w:sz="4" w:space="0" w:color="auto"/>
              <w:right w:val="dashed" w:sz="8" w:space="0" w:color="D9D9D9"/>
            </w:tcBorders>
            <w:noWrap/>
            <w:vAlign w:val="center"/>
            <w:hideMark/>
          </w:tcPr>
          <w:p w:rsidR="008C2E4A" w:rsidRPr="00A21B5C" w:rsidRDefault="008C2E4A" w:rsidP="00A21B5C">
            <w:pPr>
              <w:contextualSpacing/>
              <w:jc w:val="center"/>
              <w:rPr>
                <w:rFonts w:ascii="Arial" w:eastAsia="Times New Roman" w:hAnsi="Arial" w:cs="Arial"/>
                <w:color w:val="FF0000"/>
                <w:sz w:val="18"/>
                <w:szCs w:val="20"/>
                <w:lang w:val="es-CO" w:eastAsia="en-US"/>
              </w:rPr>
            </w:pPr>
            <w:r w:rsidRPr="00A21B5C">
              <w:rPr>
                <w:rFonts w:ascii="Arial" w:eastAsia="Times New Roman" w:hAnsi="Arial" w:cs="Arial"/>
                <w:color w:val="FF0000"/>
                <w:sz w:val="18"/>
                <w:szCs w:val="20"/>
                <w:lang w:val="es-CO" w:eastAsia="en-US"/>
              </w:rPr>
              <w:t>No reportó</w:t>
            </w:r>
          </w:p>
        </w:tc>
        <w:tc>
          <w:tcPr>
            <w:tcW w:w="1573" w:type="dxa"/>
            <w:tcBorders>
              <w:top w:val="nil"/>
              <w:left w:val="nil"/>
              <w:bottom w:val="single" w:sz="4" w:space="0" w:color="auto"/>
              <w:right w:val="single" w:sz="8" w:space="0" w:color="auto"/>
            </w:tcBorders>
            <w:vAlign w:val="center"/>
            <w:hideMark/>
          </w:tcPr>
          <w:p w:rsidR="008C2E4A" w:rsidRPr="00A21B5C" w:rsidRDefault="008C2E4A" w:rsidP="00A21B5C">
            <w:pPr>
              <w:contextualSpacing/>
              <w:jc w:val="center"/>
              <w:rPr>
                <w:rFonts w:ascii="Arial" w:eastAsia="Times New Roman" w:hAnsi="Arial" w:cs="Arial"/>
                <w:color w:val="FF0000"/>
                <w:sz w:val="18"/>
                <w:szCs w:val="20"/>
                <w:lang w:val="es-CO" w:eastAsia="en-US"/>
              </w:rPr>
            </w:pPr>
            <w:r w:rsidRPr="00A21B5C">
              <w:rPr>
                <w:rFonts w:ascii="Arial" w:eastAsia="Times New Roman" w:hAnsi="Arial" w:cs="Arial"/>
                <w:color w:val="FF0000"/>
                <w:sz w:val="18"/>
                <w:szCs w:val="20"/>
                <w:lang w:val="es-CO" w:eastAsia="en-US"/>
              </w:rPr>
              <w:t>No reportó</w:t>
            </w:r>
          </w:p>
        </w:tc>
        <w:tc>
          <w:tcPr>
            <w:tcW w:w="1705" w:type="dxa"/>
            <w:tcBorders>
              <w:top w:val="nil"/>
              <w:left w:val="nil"/>
              <w:bottom w:val="single" w:sz="4" w:space="0" w:color="auto"/>
              <w:right w:val="dashed" w:sz="8" w:space="0" w:color="D9D9D9"/>
            </w:tcBorders>
            <w:noWrap/>
            <w:vAlign w:val="center"/>
            <w:hideMark/>
          </w:tcPr>
          <w:p w:rsidR="008C2E4A" w:rsidRPr="00A21B5C" w:rsidRDefault="008C2E4A" w:rsidP="00A21B5C">
            <w:pPr>
              <w:contextualSpacing/>
              <w:jc w:val="center"/>
              <w:rPr>
                <w:rFonts w:ascii="Arial" w:eastAsia="Times New Roman" w:hAnsi="Arial" w:cs="Arial"/>
                <w:color w:val="000000"/>
                <w:sz w:val="18"/>
                <w:szCs w:val="20"/>
                <w:lang w:val="es-CO" w:eastAsia="en-US"/>
              </w:rPr>
            </w:pPr>
            <w:r w:rsidRPr="00A21B5C">
              <w:rPr>
                <w:rFonts w:ascii="Arial" w:eastAsia="Times New Roman" w:hAnsi="Arial" w:cs="Arial"/>
                <w:color w:val="000000"/>
                <w:sz w:val="18"/>
                <w:szCs w:val="20"/>
                <w:lang w:val="es-CO" w:eastAsia="en-US"/>
              </w:rPr>
              <w:t>$4.623.217.302</w:t>
            </w:r>
          </w:p>
        </w:tc>
        <w:tc>
          <w:tcPr>
            <w:tcW w:w="1628" w:type="dxa"/>
            <w:tcBorders>
              <w:top w:val="nil"/>
              <w:left w:val="nil"/>
              <w:bottom w:val="single" w:sz="4" w:space="0" w:color="auto"/>
              <w:right w:val="single" w:sz="8" w:space="0" w:color="auto"/>
            </w:tcBorders>
            <w:vAlign w:val="center"/>
            <w:hideMark/>
          </w:tcPr>
          <w:p w:rsidR="008C2E4A" w:rsidRPr="00A21B5C" w:rsidRDefault="008C2E4A" w:rsidP="00A21B5C">
            <w:pPr>
              <w:contextualSpacing/>
              <w:jc w:val="center"/>
              <w:rPr>
                <w:rFonts w:ascii="Arial" w:eastAsia="Times New Roman" w:hAnsi="Arial" w:cs="Arial"/>
                <w:color w:val="000000"/>
                <w:sz w:val="18"/>
                <w:szCs w:val="20"/>
                <w:lang w:val="es-CO" w:eastAsia="en-US"/>
              </w:rPr>
            </w:pPr>
            <w:r w:rsidRPr="00A21B5C">
              <w:rPr>
                <w:rFonts w:ascii="Arial" w:eastAsia="Times New Roman" w:hAnsi="Arial" w:cs="Arial"/>
                <w:color w:val="000000"/>
                <w:sz w:val="18"/>
                <w:szCs w:val="20"/>
                <w:lang w:val="es-CO" w:eastAsia="en-US"/>
              </w:rPr>
              <w:t>$3.</w:t>
            </w:r>
            <w:r w:rsidRPr="00A21B5C">
              <w:rPr>
                <w:rFonts w:ascii="Arial" w:eastAsia="Times New Roman" w:hAnsi="Arial" w:cs="Arial"/>
                <w:bCs/>
                <w:color w:val="000000"/>
                <w:sz w:val="18"/>
                <w:szCs w:val="20"/>
                <w:lang w:val="es-CO" w:eastAsia="en-US"/>
              </w:rPr>
              <w:t xml:space="preserve"> </w:t>
            </w:r>
            <w:r w:rsidR="00490938" w:rsidRPr="00A21B5C">
              <w:rPr>
                <w:rFonts w:ascii="Arial" w:eastAsia="Times New Roman" w:hAnsi="Arial" w:cs="Arial"/>
                <w:bCs/>
                <w:color w:val="000000"/>
                <w:sz w:val="18"/>
                <w:szCs w:val="20"/>
                <w:lang w:val="es-CO" w:eastAsia="en-US"/>
              </w:rPr>
              <w:t>815.038.263</w:t>
            </w:r>
          </w:p>
        </w:tc>
        <w:tc>
          <w:tcPr>
            <w:tcW w:w="2063" w:type="dxa"/>
            <w:vMerge/>
            <w:tcBorders>
              <w:top w:val="nil"/>
              <w:left w:val="single" w:sz="8" w:space="0" w:color="auto"/>
              <w:bottom w:val="single" w:sz="4" w:space="0" w:color="auto"/>
              <w:right w:val="single" w:sz="8" w:space="0" w:color="auto"/>
            </w:tcBorders>
            <w:vAlign w:val="center"/>
            <w:hideMark/>
          </w:tcPr>
          <w:p w:rsidR="008C2E4A" w:rsidRPr="00A21B5C" w:rsidRDefault="008C2E4A" w:rsidP="00A21B5C">
            <w:pPr>
              <w:contextualSpacing/>
              <w:rPr>
                <w:rFonts w:ascii="Arial" w:eastAsia="Times New Roman" w:hAnsi="Arial" w:cs="Arial"/>
                <w:color w:val="000000"/>
                <w:sz w:val="18"/>
                <w:szCs w:val="20"/>
                <w:lang w:val="es-CO" w:eastAsia="en-US"/>
              </w:rPr>
            </w:pPr>
          </w:p>
        </w:tc>
      </w:tr>
      <w:tr w:rsidR="004B28C1" w:rsidRPr="00A21B5C" w:rsidTr="009D1534">
        <w:trPr>
          <w:trHeight w:val="1113"/>
          <w:jc w:val="center"/>
        </w:trPr>
        <w:tc>
          <w:tcPr>
            <w:tcW w:w="1364" w:type="dxa"/>
            <w:tcBorders>
              <w:top w:val="single" w:sz="4" w:space="0" w:color="auto"/>
              <w:left w:val="single" w:sz="8" w:space="0" w:color="auto"/>
              <w:bottom w:val="dashed" w:sz="8" w:space="0" w:color="D9D9D9"/>
              <w:right w:val="single" w:sz="8" w:space="0" w:color="auto"/>
            </w:tcBorders>
            <w:noWrap/>
            <w:vAlign w:val="center"/>
            <w:hideMark/>
          </w:tcPr>
          <w:p w:rsidR="008C2E4A" w:rsidRPr="00A21B5C" w:rsidRDefault="008C2E4A" w:rsidP="00A21B5C">
            <w:pPr>
              <w:contextualSpacing/>
              <w:jc w:val="center"/>
              <w:rPr>
                <w:rFonts w:ascii="Arial" w:eastAsia="Times New Roman" w:hAnsi="Arial" w:cs="Arial"/>
                <w:color w:val="000000"/>
                <w:sz w:val="18"/>
                <w:szCs w:val="20"/>
                <w:lang w:val="es-CO" w:eastAsia="en-US"/>
              </w:rPr>
            </w:pPr>
            <w:r w:rsidRPr="00A21B5C">
              <w:rPr>
                <w:rFonts w:ascii="Arial" w:eastAsia="Times New Roman" w:hAnsi="Arial" w:cs="Arial"/>
                <w:color w:val="000000"/>
                <w:sz w:val="18"/>
                <w:szCs w:val="20"/>
                <w:lang w:val="es-CO" w:eastAsia="en-US"/>
              </w:rPr>
              <w:t>2017-I</w:t>
            </w:r>
          </w:p>
        </w:tc>
        <w:tc>
          <w:tcPr>
            <w:tcW w:w="1727" w:type="dxa"/>
            <w:tcBorders>
              <w:top w:val="single" w:sz="4" w:space="0" w:color="auto"/>
              <w:left w:val="nil"/>
              <w:bottom w:val="dashed" w:sz="8" w:space="0" w:color="D9D9D9"/>
              <w:right w:val="dashed" w:sz="8" w:space="0" w:color="D9D9D9"/>
            </w:tcBorders>
            <w:noWrap/>
            <w:vAlign w:val="center"/>
            <w:hideMark/>
          </w:tcPr>
          <w:p w:rsidR="008C2E4A" w:rsidRPr="00A21B5C" w:rsidRDefault="008C2E4A" w:rsidP="00A21B5C">
            <w:pPr>
              <w:contextualSpacing/>
              <w:jc w:val="center"/>
              <w:rPr>
                <w:rFonts w:ascii="Arial" w:eastAsia="Times New Roman" w:hAnsi="Arial" w:cs="Arial"/>
                <w:color w:val="000000"/>
                <w:sz w:val="18"/>
                <w:szCs w:val="20"/>
                <w:lang w:val="es-CO" w:eastAsia="en-US"/>
              </w:rPr>
            </w:pPr>
            <w:r w:rsidRPr="00A21B5C">
              <w:rPr>
                <w:rFonts w:ascii="Arial" w:eastAsia="Times New Roman" w:hAnsi="Arial" w:cs="Arial"/>
                <w:color w:val="000000"/>
                <w:sz w:val="18"/>
                <w:szCs w:val="20"/>
                <w:lang w:val="es-CO" w:eastAsia="en-US"/>
              </w:rPr>
              <w:t>$5.210.707.681</w:t>
            </w:r>
          </w:p>
        </w:tc>
        <w:tc>
          <w:tcPr>
            <w:tcW w:w="1573" w:type="dxa"/>
            <w:tcBorders>
              <w:top w:val="single" w:sz="4" w:space="0" w:color="auto"/>
              <w:left w:val="nil"/>
              <w:bottom w:val="dashed" w:sz="8" w:space="0" w:color="D9D9D9"/>
              <w:right w:val="single" w:sz="8" w:space="0" w:color="auto"/>
            </w:tcBorders>
            <w:vAlign w:val="center"/>
            <w:hideMark/>
          </w:tcPr>
          <w:p w:rsidR="008C2E4A" w:rsidRPr="00A21B5C" w:rsidRDefault="008C2E4A" w:rsidP="00A21B5C">
            <w:pPr>
              <w:contextualSpacing/>
              <w:jc w:val="center"/>
              <w:rPr>
                <w:rFonts w:ascii="Arial" w:eastAsia="Times New Roman" w:hAnsi="Arial" w:cs="Arial"/>
                <w:color w:val="000000"/>
                <w:sz w:val="18"/>
                <w:szCs w:val="20"/>
                <w:lang w:val="es-CO" w:eastAsia="en-US"/>
              </w:rPr>
            </w:pPr>
            <w:r w:rsidRPr="00A21B5C">
              <w:rPr>
                <w:rFonts w:ascii="Arial" w:eastAsia="Times New Roman" w:hAnsi="Arial" w:cs="Arial"/>
                <w:color w:val="000000"/>
                <w:sz w:val="18"/>
                <w:szCs w:val="20"/>
                <w:lang w:val="es-CO" w:eastAsia="en-US"/>
              </w:rPr>
              <w:t>$4.472.645.417</w:t>
            </w:r>
          </w:p>
        </w:tc>
        <w:tc>
          <w:tcPr>
            <w:tcW w:w="1705" w:type="dxa"/>
            <w:tcBorders>
              <w:top w:val="single" w:sz="4" w:space="0" w:color="auto"/>
              <w:left w:val="nil"/>
              <w:bottom w:val="dashed" w:sz="8" w:space="0" w:color="D9D9D9"/>
              <w:right w:val="dashed" w:sz="8" w:space="0" w:color="D9D9D9"/>
            </w:tcBorders>
            <w:noWrap/>
            <w:vAlign w:val="center"/>
            <w:hideMark/>
          </w:tcPr>
          <w:p w:rsidR="008C2E4A" w:rsidRPr="00A21B5C" w:rsidRDefault="008C2E4A" w:rsidP="00A21B5C">
            <w:pPr>
              <w:contextualSpacing/>
              <w:jc w:val="center"/>
              <w:rPr>
                <w:rFonts w:ascii="Arial" w:eastAsia="Times New Roman" w:hAnsi="Arial" w:cs="Arial"/>
                <w:color w:val="000000"/>
                <w:sz w:val="18"/>
                <w:szCs w:val="20"/>
                <w:lang w:val="es-CO" w:eastAsia="en-US"/>
              </w:rPr>
            </w:pPr>
            <w:r w:rsidRPr="00A21B5C">
              <w:rPr>
                <w:rFonts w:ascii="Arial" w:eastAsia="Times New Roman" w:hAnsi="Arial" w:cs="Arial"/>
                <w:color w:val="000000"/>
                <w:sz w:val="18"/>
                <w:szCs w:val="20"/>
                <w:lang w:val="es-CO" w:eastAsia="en-US"/>
              </w:rPr>
              <w:t>-</w:t>
            </w:r>
          </w:p>
        </w:tc>
        <w:tc>
          <w:tcPr>
            <w:tcW w:w="1628" w:type="dxa"/>
            <w:tcBorders>
              <w:top w:val="single" w:sz="4" w:space="0" w:color="auto"/>
              <w:left w:val="nil"/>
              <w:bottom w:val="dashed" w:sz="8" w:space="0" w:color="D9D9D9"/>
              <w:right w:val="single" w:sz="8" w:space="0" w:color="auto"/>
            </w:tcBorders>
            <w:vAlign w:val="center"/>
            <w:hideMark/>
          </w:tcPr>
          <w:p w:rsidR="008C2E4A" w:rsidRPr="00A21B5C" w:rsidRDefault="008C2E4A" w:rsidP="00A21B5C">
            <w:pPr>
              <w:contextualSpacing/>
              <w:jc w:val="center"/>
              <w:rPr>
                <w:rFonts w:ascii="Arial" w:eastAsia="Times New Roman" w:hAnsi="Arial" w:cs="Arial"/>
                <w:color w:val="000000"/>
                <w:sz w:val="18"/>
                <w:szCs w:val="20"/>
                <w:lang w:val="es-CO" w:eastAsia="en-US"/>
              </w:rPr>
            </w:pPr>
            <w:r w:rsidRPr="00A21B5C">
              <w:rPr>
                <w:rFonts w:ascii="Arial" w:eastAsia="Times New Roman" w:hAnsi="Arial" w:cs="Arial"/>
                <w:color w:val="000000"/>
                <w:sz w:val="18"/>
                <w:szCs w:val="20"/>
                <w:lang w:val="es-CO" w:eastAsia="en-US"/>
              </w:rPr>
              <w:t>-</w:t>
            </w:r>
          </w:p>
        </w:tc>
        <w:tc>
          <w:tcPr>
            <w:tcW w:w="2063" w:type="dxa"/>
            <w:vMerge w:val="restart"/>
            <w:tcBorders>
              <w:top w:val="single" w:sz="4" w:space="0" w:color="auto"/>
              <w:left w:val="single" w:sz="8" w:space="0" w:color="auto"/>
              <w:bottom w:val="single" w:sz="8" w:space="0" w:color="000000"/>
              <w:right w:val="single" w:sz="8" w:space="0" w:color="auto"/>
            </w:tcBorders>
            <w:vAlign w:val="center"/>
            <w:hideMark/>
          </w:tcPr>
          <w:p w:rsidR="008C2E4A" w:rsidRPr="00A21B5C" w:rsidRDefault="008C2E4A" w:rsidP="00A21B5C">
            <w:pPr>
              <w:contextualSpacing/>
              <w:jc w:val="center"/>
              <w:rPr>
                <w:rFonts w:ascii="Arial" w:eastAsia="Times New Roman" w:hAnsi="Arial" w:cs="Arial"/>
                <w:color w:val="000000"/>
                <w:sz w:val="18"/>
                <w:szCs w:val="20"/>
                <w:lang w:val="es-CO" w:eastAsia="en-US"/>
              </w:rPr>
            </w:pPr>
            <w:r w:rsidRPr="00A21B5C">
              <w:rPr>
                <w:rFonts w:ascii="Arial" w:eastAsia="Times New Roman" w:hAnsi="Arial" w:cs="Arial"/>
                <w:color w:val="000000"/>
                <w:sz w:val="18"/>
                <w:szCs w:val="20"/>
                <w:lang w:val="es-CO" w:eastAsia="en-US"/>
              </w:rPr>
              <w:t>El valor reportado por parte de Municipio de Dibulla incluyó los recursos asignados para la vigencia 2017,</w:t>
            </w:r>
            <w:r w:rsidR="000B5A54" w:rsidRPr="00A21B5C">
              <w:rPr>
                <w:rFonts w:ascii="Arial" w:eastAsia="Times New Roman" w:hAnsi="Arial" w:cs="Arial"/>
                <w:color w:val="000000"/>
                <w:sz w:val="18"/>
                <w:szCs w:val="20"/>
                <w:lang w:val="es-CO" w:eastAsia="en-US"/>
              </w:rPr>
              <w:t xml:space="preserve"> el</w:t>
            </w:r>
            <w:r w:rsidRPr="00A21B5C">
              <w:rPr>
                <w:rFonts w:ascii="Arial" w:eastAsia="Times New Roman" w:hAnsi="Arial" w:cs="Arial"/>
                <w:color w:val="000000"/>
                <w:sz w:val="18"/>
                <w:szCs w:val="20"/>
                <w:lang w:val="es-CO" w:eastAsia="en-US"/>
              </w:rPr>
              <w:t xml:space="preserve"> saldo sin ejecutar del 2016,</w:t>
            </w:r>
            <w:r w:rsidR="000B5A54" w:rsidRPr="00A21B5C">
              <w:rPr>
                <w:rFonts w:ascii="Arial" w:eastAsia="Times New Roman" w:hAnsi="Arial" w:cs="Arial"/>
                <w:color w:val="000000"/>
                <w:sz w:val="18"/>
                <w:szCs w:val="20"/>
                <w:lang w:val="es-CO" w:eastAsia="en-US"/>
              </w:rPr>
              <w:t xml:space="preserve"> los</w:t>
            </w:r>
            <w:r w:rsidRPr="00A21B5C">
              <w:rPr>
                <w:rFonts w:ascii="Arial" w:eastAsia="Times New Roman" w:hAnsi="Arial" w:cs="Arial"/>
                <w:color w:val="000000"/>
                <w:sz w:val="18"/>
                <w:szCs w:val="20"/>
                <w:lang w:val="es-CO" w:eastAsia="en-US"/>
              </w:rPr>
              <w:t xml:space="preserve"> rendimientos financieros de la vigencia</w:t>
            </w:r>
            <w:r w:rsidR="000B5A54" w:rsidRPr="00A21B5C">
              <w:rPr>
                <w:rFonts w:ascii="Arial" w:eastAsia="Times New Roman" w:hAnsi="Arial" w:cs="Arial"/>
                <w:color w:val="000000"/>
                <w:sz w:val="18"/>
                <w:szCs w:val="20"/>
                <w:lang w:val="es-CO" w:eastAsia="en-US"/>
              </w:rPr>
              <w:t xml:space="preserve"> </w:t>
            </w:r>
            <w:r w:rsidRPr="00A21B5C">
              <w:rPr>
                <w:rFonts w:ascii="Arial" w:eastAsia="Times New Roman" w:hAnsi="Arial" w:cs="Arial"/>
                <w:color w:val="000000"/>
                <w:sz w:val="18"/>
                <w:szCs w:val="20"/>
                <w:lang w:val="es-CO" w:eastAsia="en-US"/>
              </w:rPr>
              <w:t>2016 y</w:t>
            </w:r>
            <w:r w:rsidR="000B5A54" w:rsidRPr="00A21B5C">
              <w:rPr>
                <w:rFonts w:ascii="Arial" w:eastAsia="Times New Roman" w:hAnsi="Arial" w:cs="Arial"/>
                <w:color w:val="000000"/>
                <w:sz w:val="18"/>
                <w:szCs w:val="20"/>
                <w:lang w:val="es-CO" w:eastAsia="en-US"/>
              </w:rPr>
              <w:t xml:space="preserve"> las</w:t>
            </w:r>
            <w:r w:rsidRPr="00A21B5C">
              <w:rPr>
                <w:rFonts w:ascii="Arial" w:eastAsia="Times New Roman" w:hAnsi="Arial" w:cs="Arial"/>
                <w:color w:val="000000"/>
                <w:sz w:val="18"/>
                <w:szCs w:val="20"/>
                <w:lang w:val="es-CO" w:eastAsia="en-US"/>
              </w:rPr>
              <w:t xml:space="preserve"> reservas presupuestales de 2016. </w:t>
            </w:r>
          </w:p>
        </w:tc>
      </w:tr>
      <w:tr w:rsidR="00276EDF" w:rsidRPr="00A21B5C" w:rsidTr="005219D5">
        <w:trPr>
          <w:trHeight w:val="984"/>
          <w:jc w:val="center"/>
        </w:trPr>
        <w:tc>
          <w:tcPr>
            <w:tcW w:w="1364" w:type="dxa"/>
            <w:tcBorders>
              <w:top w:val="nil"/>
              <w:left w:val="single" w:sz="8" w:space="0" w:color="auto"/>
              <w:bottom w:val="single" w:sz="8" w:space="0" w:color="000000"/>
              <w:right w:val="single" w:sz="8" w:space="0" w:color="auto"/>
            </w:tcBorders>
            <w:noWrap/>
            <w:vAlign w:val="center"/>
            <w:hideMark/>
          </w:tcPr>
          <w:p w:rsidR="008C2E4A" w:rsidRPr="00A21B5C" w:rsidRDefault="008C2E4A" w:rsidP="00A21B5C">
            <w:pPr>
              <w:contextualSpacing/>
              <w:jc w:val="center"/>
              <w:rPr>
                <w:rFonts w:ascii="Arial" w:eastAsia="Times New Roman" w:hAnsi="Arial" w:cs="Arial"/>
                <w:color w:val="000000"/>
                <w:sz w:val="18"/>
                <w:szCs w:val="20"/>
                <w:lang w:val="es-CO" w:eastAsia="en-US"/>
              </w:rPr>
            </w:pPr>
            <w:r w:rsidRPr="00A21B5C">
              <w:rPr>
                <w:rFonts w:ascii="Arial" w:eastAsia="Times New Roman" w:hAnsi="Arial" w:cs="Arial"/>
                <w:color w:val="000000"/>
                <w:sz w:val="18"/>
                <w:szCs w:val="20"/>
                <w:lang w:val="es-CO" w:eastAsia="en-US"/>
              </w:rPr>
              <w:t>2017-II</w:t>
            </w:r>
          </w:p>
        </w:tc>
        <w:tc>
          <w:tcPr>
            <w:tcW w:w="1727" w:type="dxa"/>
            <w:tcBorders>
              <w:top w:val="nil"/>
              <w:left w:val="nil"/>
              <w:bottom w:val="single" w:sz="8" w:space="0" w:color="000000"/>
              <w:right w:val="dashed" w:sz="8" w:space="0" w:color="D9D9D9"/>
            </w:tcBorders>
            <w:noWrap/>
            <w:vAlign w:val="center"/>
            <w:hideMark/>
          </w:tcPr>
          <w:p w:rsidR="008C2E4A" w:rsidRPr="00A21B5C" w:rsidRDefault="008C2E4A" w:rsidP="00A21B5C">
            <w:pPr>
              <w:contextualSpacing/>
              <w:jc w:val="center"/>
              <w:rPr>
                <w:rFonts w:ascii="Arial" w:eastAsia="Times New Roman" w:hAnsi="Arial" w:cs="Arial"/>
                <w:color w:val="000000"/>
                <w:sz w:val="18"/>
                <w:szCs w:val="20"/>
                <w:lang w:val="es-CO" w:eastAsia="en-US"/>
              </w:rPr>
            </w:pPr>
            <w:r w:rsidRPr="00A21B5C">
              <w:rPr>
                <w:rFonts w:ascii="Arial" w:eastAsia="Times New Roman" w:hAnsi="Arial" w:cs="Arial"/>
                <w:color w:val="000000"/>
                <w:sz w:val="18"/>
                <w:szCs w:val="20"/>
                <w:lang w:val="es-CO" w:eastAsia="en-US"/>
              </w:rPr>
              <w:t>$5.364.964.591</w:t>
            </w:r>
          </w:p>
        </w:tc>
        <w:tc>
          <w:tcPr>
            <w:tcW w:w="1573" w:type="dxa"/>
            <w:tcBorders>
              <w:top w:val="nil"/>
              <w:left w:val="nil"/>
              <w:bottom w:val="single" w:sz="8" w:space="0" w:color="000000"/>
              <w:right w:val="single" w:sz="8" w:space="0" w:color="auto"/>
            </w:tcBorders>
            <w:vAlign w:val="center"/>
            <w:hideMark/>
          </w:tcPr>
          <w:p w:rsidR="008C2E4A" w:rsidRPr="00A21B5C" w:rsidRDefault="008C2E4A" w:rsidP="00A21B5C">
            <w:pPr>
              <w:contextualSpacing/>
              <w:jc w:val="center"/>
              <w:rPr>
                <w:rFonts w:ascii="Arial" w:eastAsia="Times New Roman" w:hAnsi="Arial" w:cs="Arial"/>
                <w:color w:val="000000"/>
                <w:sz w:val="18"/>
                <w:szCs w:val="20"/>
                <w:lang w:val="es-CO" w:eastAsia="en-US"/>
              </w:rPr>
            </w:pPr>
            <w:r w:rsidRPr="00A21B5C">
              <w:rPr>
                <w:rFonts w:ascii="Arial" w:eastAsia="Times New Roman" w:hAnsi="Arial" w:cs="Arial"/>
                <w:color w:val="000000"/>
                <w:sz w:val="18"/>
                <w:szCs w:val="20"/>
                <w:lang w:val="es-CO" w:eastAsia="en-US"/>
              </w:rPr>
              <w:t>$5.364.964.591</w:t>
            </w:r>
          </w:p>
        </w:tc>
        <w:tc>
          <w:tcPr>
            <w:tcW w:w="1705" w:type="dxa"/>
            <w:tcBorders>
              <w:top w:val="nil"/>
              <w:left w:val="nil"/>
              <w:bottom w:val="single" w:sz="8" w:space="0" w:color="000000"/>
              <w:right w:val="dashed" w:sz="8" w:space="0" w:color="D9D9D9"/>
            </w:tcBorders>
            <w:noWrap/>
            <w:vAlign w:val="center"/>
            <w:hideMark/>
          </w:tcPr>
          <w:p w:rsidR="008C2E4A" w:rsidRPr="00A21B5C" w:rsidRDefault="008C2E4A" w:rsidP="00A21B5C">
            <w:pPr>
              <w:contextualSpacing/>
              <w:jc w:val="center"/>
              <w:rPr>
                <w:rFonts w:ascii="Arial" w:eastAsia="Times New Roman" w:hAnsi="Arial" w:cs="Arial"/>
                <w:color w:val="000000"/>
                <w:sz w:val="18"/>
                <w:szCs w:val="20"/>
                <w:lang w:val="es-CO" w:eastAsia="en-US"/>
              </w:rPr>
            </w:pPr>
            <w:r w:rsidRPr="00A21B5C">
              <w:rPr>
                <w:rFonts w:ascii="Arial" w:eastAsia="Times New Roman" w:hAnsi="Arial" w:cs="Arial"/>
                <w:color w:val="000000"/>
                <w:sz w:val="18"/>
                <w:szCs w:val="20"/>
                <w:lang w:val="es-CO" w:eastAsia="en-US"/>
              </w:rPr>
              <w:t>$5.364.964.591</w:t>
            </w:r>
          </w:p>
        </w:tc>
        <w:tc>
          <w:tcPr>
            <w:tcW w:w="1628" w:type="dxa"/>
            <w:tcBorders>
              <w:top w:val="nil"/>
              <w:left w:val="nil"/>
              <w:bottom w:val="single" w:sz="8" w:space="0" w:color="000000"/>
              <w:right w:val="single" w:sz="8" w:space="0" w:color="auto"/>
            </w:tcBorders>
            <w:vAlign w:val="center"/>
            <w:hideMark/>
          </w:tcPr>
          <w:p w:rsidR="008C2E4A" w:rsidRPr="00A21B5C" w:rsidRDefault="008C2E4A" w:rsidP="00A21B5C">
            <w:pPr>
              <w:contextualSpacing/>
              <w:jc w:val="center"/>
              <w:rPr>
                <w:rFonts w:ascii="Arial" w:eastAsia="Times New Roman" w:hAnsi="Arial" w:cs="Arial"/>
                <w:color w:val="000000"/>
                <w:sz w:val="18"/>
                <w:szCs w:val="20"/>
                <w:lang w:val="es-CO" w:eastAsia="en-US"/>
              </w:rPr>
            </w:pPr>
            <w:r w:rsidRPr="00A21B5C">
              <w:rPr>
                <w:rFonts w:ascii="Arial" w:eastAsia="Times New Roman" w:hAnsi="Arial" w:cs="Arial"/>
                <w:color w:val="000000"/>
                <w:sz w:val="18"/>
                <w:szCs w:val="20"/>
                <w:lang w:val="es-CO" w:eastAsia="en-US"/>
              </w:rPr>
              <w:t>$5.364.964.591</w:t>
            </w:r>
          </w:p>
        </w:tc>
        <w:tc>
          <w:tcPr>
            <w:tcW w:w="2063" w:type="dxa"/>
            <w:vMerge/>
            <w:tcBorders>
              <w:top w:val="nil"/>
              <w:left w:val="single" w:sz="8" w:space="0" w:color="auto"/>
              <w:bottom w:val="single" w:sz="8" w:space="0" w:color="000000"/>
              <w:right w:val="single" w:sz="8" w:space="0" w:color="auto"/>
            </w:tcBorders>
            <w:vAlign w:val="center"/>
            <w:hideMark/>
          </w:tcPr>
          <w:p w:rsidR="008C2E4A" w:rsidRPr="00A21B5C" w:rsidRDefault="008C2E4A" w:rsidP="00A21B5C">
            <w:pPr>
              <w:contextualSpacing/>
              <w:rPr>
                <w:rFonts w:ascii="Arial" w:eastAsia="Times New Roman" w:hAnsi="Arial" w:cs="Arial"/>
                <w:color w:val="000000"/>
                <w:sz w:val="18"/>
                <w:szCs w:val="20"/>
                <w:lang w:val="es-CO" w:eastAsia="en-US"/>
              </w:rPr>
            </w:pPr>
          </w:p>
        </w:tc>
      </w:tr>
      <w:tr w:rsidR="00276EDF" w:rsidRPr="00A21B5C" w:rsidTr="005219D5">
        <w:trPr>
          <w:trHeight w:val="413"/>
          <w:jc w:val="center"/>
        </w:trPr>
        <w:tc>
          <w:tcPr>
            <w:tcW w:w="1364" w:type="dxa"/>
            <w:tcBorders>
              <w:top w:val="nil"/>
              <w:left w:val="single" w:sz="8" w:space="0" w:color="auto"/>
              <w:bottom w:val="dashed" w:sz="8" w:space="0" w:color="D9D9D9"/>
              <w:right w:val="single" w:sz="8" w:space="0" w:color="auto"/>
            </w:tcBorders>
            <w:noWrap/>
            <w:vAlign w:val="center"/>
            <w:hideMark/>
          </w:tcPr>
          <w:p w:rsidR="008C2E4A" w:rsidRPr="00A21B5C" w:rsidRDefault="008C2E4A" w:rsidP="00A21B5C">
            <w:pPr>
              <w:contextualSpacing/>
              <w:jc w:val="center"/>
              <w:rPr>
                <w:rFonts w:ascii="Arial" w:eastAsia="Times New Roman" w:hAnsi="Arial" w:cs="Arial"/>
                <w:color w:val="000000"/>
                <w:sz w:val="18"/>
                <w:szCs w:val="20"/>
                <w:lang w:val="es-CO" w:eastAsia="en-US"/>
              </w:rPr>
            </w:pPr>
            <w:r w:rsidRPr="00A21B5C">
              <w:rPr>
                <w:rFonts w:ascii="Arial" w:eastAsia="Times New Roman" w:hAnsi="Arial" w:cs="Arial"/>
                <w:color w:val="000000"/>
                <w:sz w:val="18"/>
                <w:szCs w:val="20"/>
                <w:lang w:val="es-CO" w:eastAsia="en-US"/>
              </w:rPr>
              <w:t>2018-I</w:t>
            </w:r>
          </w:p>
        </w:tc>
        <w:tc>
          <w:tcPr>
            <w:tcW w:w="1727" w:type="dxa"/>
            <w:tcBorders>
              <w:top w:val="nil"/>
              <w:left w:val="nil"/>
              <w:bottom w:val="dashed" w:sz="8" w:space="0" w:color="D9D9D9"/>
              <w:right w:val="dashed" w:sz="8" w:space="0" w:color="D9D9D9"/>
            </w:tcBorders>
            <w:noWrap/>
            <w:vAlign w:val="center"/>
            <w:hideMark/>
          </w:tcPr>
          <w:p w:rsidR="008C2E4A" w:rsidRPr="00A21B5C" w:rsidRDefault="008C2E4A" w:rsidP="00A21B5C">
            <w:pPr>
              <w:contextualSpacing/>
              <w:jc w:val="center"/>
              <w:rPr>
                <w:rFonts w:ascii="Arial" w:eastAsia="Times New Roman" w:hAnsi="Arial" w:cs="Arial"/>
                <w:color w:val="000000"/>
                <w:sz w:val="18"/>
                <w:szCs w:val="20"/>
                <w:lang w:val="es-CO" w:eastAsia="en-US"/>
              </w:rPr>
            </w:pPr>
            <w:r w:rsidRPr="00A21B5C">
              <w:rPr>
                <w:rFonts w:ascii="Arial" w:eastAsia="Times New Roman" w:hAnsi="Arial" w:cs="Arial"/>
                <w:color w:val="000000"/>
                <w:sz w:val="18"/>
                <w:szCs w:val="20"/>
                <w:lang w:val="es-CO" w:eastAsia="en-US"/>
              </w:rPr>
              <w:t>$4.447.970.943</w:t>
            </w:r>
          </w:p>
        </w:tc>
        <w:tc>
          <w:tcPr>
            <w:tcW w:w="1573" w:type="dxa"/>
            <w:tcBorders>
              <w:top w:val="nil"/>
              <w:left w:val="nil"/>
              <w:bottom w:val="dashed" w:sz="8" w:space="0" w:color="D9D9D9"/>
              <w:right w:val="single" w:sz="8" w:space="0" w:color="auto"/>
            </w:tcBorders>
            <w:vAlign w:val="center"/>
            <w:hideMark/>
          </w:tcPr>
          <w:p w:rsidR="008C2E4A" w:rsidRPr="00A21B5C" w:rsidRDefault="008C2E4A" w:rsidP="00A21B5C">
            <w:pPr>
              <w:contextualSpacing/>
              <w:jc w:val="center"/>
              <w:rPr>
                <w:rFonts w:ascii="Arial" w:eastAsia="Times New Roman" w:hAnsi="Arial" w:cs="Arial"/>
                <w:color w:val="000000"/>
                <w:sz w:val="18"/>
                <w:szCs w:val="20"/>
                <w:lang w:val="es-CO" w:eastAsia="en-US"/>
              </w:rPr>
            </w:pPr>
            <w:r w:rsidRPr="00A21B5C">
              <w:rPr>
                <w:rFonts w:ascii="Arial" w:eastAsia="Times New Roman" w:hAnsi="Arial" w:cs="Arial"/>
                <w:color w:val="000000"/>
                <w:sz w:val="18"/>
                <w:szCs w:val="20"/>
                <w:lang w:val="es-CO" w:eastAsia="en-US"/>
              </w:rPr>
              <w:t>$910.406.100</w:t>
            </w:r>
          </w:p>
        </w:tc>
        <w:tc>
          <w:tcPr>
            <w:tcW w:w="1705" w:type="dxa"/>
            <w:tcBorders>
              <w:top w:val="nil"/>
              <w:left w:val="nil"/>
              <w:bottom w:val="dashed" w:sz="8" w:space="0" w:color="D9D9D9"/>
              <w:right w:val="dashed" w:sz="8" w:space="0" w:color="D9D9D9"/>
            </w:tcBorders>
            <w:noWrap/>
            <w:vAlign w:val="center"/>
            <w:hideMark/>
          </w:tcPr>
          <w:p w:rsidR="008C2E4A" w:rsidRPr="00A21B5C" w:rsidRDefault="008C2E4A" w:rsidP="00A21B5C">
            <w:pPr>
              <w:contextualSpacing/>
              <w:jc w:val="center"/>
              <w:rPr>
                <w:rFonts w:ascii="Arial" w:eastAsia="Times New Roman" w:hAnsi="Arial" w:cs="Arial"/>
                <w:color w:val="000000"/>
                <w:sz w:val="18"/>
                <w:szCs w:val="20"/>
                <w:lang w:val="es-CO" w:eastAsia="en-US"/>
              </w:rPr>
            </w:pPr>
            <w:r w:rsidRPr="00A21B5C">
              <w:rPr>
                <w:rFonts w:ascii="Arial" w:eastAsia="Times New Roman" w:hAnsi="Arial" w:cs="Arial"/>
                <w:color w:val="000000"/>
                <w:sz w:val="18"/>
                <w:szCs w:val="20"/>
                <w:lang w:val="es-CO" w:eastAsia="en-US"/>
              </w:rPr>
              <w:t>-</w:t>
            </w:r>
          </w:p>
        </w:tc>
        <w:tc>
          <w:tcPr>
            <w:tcW w:w="1628" w:type="dxa"/>
            <w:tcBorders>
              <w:top w:val="nil"/>
              <w:left w:val="nil"/>
              <w:bottom w:val="dashed" w:sz="8" w:space="0" w:color="D9D9D9"/>
              <w:right w:val="single" w:sz="8" w:space="0" w:color="auto"/>
            </w:tcBorders>
            <w:vAlign w:val="center"/>
            <w:hideMark/>
          </w:tcPr>
          <w:p w:rsidR="008C2E4A" w:rsidRPr="00A21B5C" w:rsidRDefault="008C2E4A" w:rsidP="00A21B5C">
            <w:pPr>
              <w:contextualSpacing/>
              <w:jc w:val="center"/>
              <w:rPr>
                <w:rFonts w:ascii="Arial" w:eastAsia="Times New Roman" w:hAnsi="Arial" w:cs="Arial"/>
                <w:color w:val="000000"/>
                <w:sz w:val="18"/>
                <w:szCs w:val="20"/>
                <w:lang w:val="es-CO" w:eastAsia="en-US"/>
              </w:rPr>
            </w:pPr>
            <w:r w:rsidRPr="00A21B5C">
              <w:rPr>
                <w:rFonts w:ascii="Arial" w:eastAsia="Times New Roman" w:hAnsi="Arial" w:cs="Arial"/>
                <w:color w:val="000000"/>
                <w:sz w:val="18"/>
                <w:szCs w:val="20"/>
                <w:lang w:val="es-CO" w:eastAsia="en-US"/>
              </w:rPr>
              <w:t>-</w:t>
            </w:r>
          </w:p>
        </w:tc>
        <w:tc>
          <w:tcPr>
            <w:tcW w:w="2063" w:type="dxa"/>
            <w:vMerge w:val="restart"/>
            <w:tcBorders>
              <w:top w:val="nil"/>
              <w:left w:val="single" w:sz="8" w:space="0" w:color="auto"/>
              <w:bottom w:val="single" w:sz="8" w:space="0" w:color="000000"/>
              <w:right w:val="single" w:sz="8" w:space="0" w:color="auto"/>
            </w:tcBorders>
            <w:vAlign w:val="center"/>
            <w:hideMark/>
          </w:tcPr>
          <w:p w:rsidR="008C2E4A" w:rsidRPr="00A21B5C" w:rsidRDefault="008C2E4A" w:rsidP="00A21B5C">
            <w:pPr>
              <w:contextualSpacing/>
              <w:jc w:val="center"/>
              <w:rPr>
                <w:rFonts w:ascii="Arial" w:eastAsia="Times New Roman" w:hAnsi="Arial" w:cs="Arial"/>
                <w:color w:val="000000"/>
                <w:sz w:val="18"/>
                <w:szCs w:val="20"/>
                <w:lang w:val="es-CO" w:eastAsia="en-US"/>
              </w:rPr>
            </w:pPr>
            <w:r w:rsidRPr="00A21B5C">
              <w:rPr>
                <w:rFonts w:ascii="Arial" w:eastAsia="Times New Roman" w:hAnsi="Arial" w:cs="Arial"/>
                <w:color w:val="000000"/>
                <w:sz w:val="18"/>
                <w:szCs w:val="20"/>
                <w:lang w:val="es-CO" w:eastAsia="en-US"/>
              </w:rPr>
              <w:t>No reportó información al cierre de la vigencia.</w:t>
            </w:r>
          </w:p>
        </w:tc>
      </w:tr>
      <w:tr w:rsidR="00276EDF" w:rsidRPr="00A21B5C" w:rsidTr="005219D5">
        <w:trPr>
          <w:trHeight w:val="413"/>
          <w:jc w:val="center"/>
        </w:trPr>
        <w:tc>
          <w:tcPr>
            <w:tcW w:w="1364" w:type="dxa"/>
            <w:tcBorders>
              <w:top w:val="nil"/>
              <w:left w:val="single" w:sz="8" w:space="0" w:color="auto"/>
              <w:bottom w:val="single" w:sz="8" w:space="0" w:color="000000"/>
              <w:right w:val="single" w:sz="8" w:space="0" w:color="auto"/>
            </w:tcBorders>
            <w:noWrap/>
            <w:vAlign w:val="center"/>
          </w:tcPr>
          <w:p w:rsidR="005F3490" w:rsidRPr="00A21B5C" w:rsidRDefault="005F3490" w:rsidP="00A21B5C">
            <w:pPr>
              <w:contextualSpacing/>
              <w:jc w:val="center"/>
              <w:rPr>
                <w:rFonts w:ascii="Arial" w:eastAsia="Times New Roman" w:hAnsi="Arial" w:cs="Arial"/>
                <w:color w:val="000000"/>
                <w:sz w:val="18"/>
                <w:szCs w:val="20"/>
                <w:lang w:val="es-CO" w:eastAsia="en-US"/>
              </w:rPr>
            </w:pPr>
            <w:r w:rsidRPr="00A21B5C">
              <w:rPr>
                <w:rFonts w:ascii="Arial" w:eastAsia="Times New Roman" w:hAnsi="Arial" w:cs="Arial"/>
                <w:color w:val="000000"/>
                <w:sz w:val="18"/>
                <w:szCs w:val="20"/>
                <w:lang w:val="es-CO" w:eastAsia="en-US"/>
              </w:rPr>
              <w:t>2018-II</w:t>
            </w:r>
          </w:p>
        </w:tc>
        <w:tc>
          <w:tcPr>
            <w:tcW w:w="1727" w:type="dxa"/>
            <w:tcBorders>
              <w:top w:val="nil"/>
              <w:left w:val="single" w:sz="8" w:space="0" w:color="auto"/>
              <w:bottom w:val="single" w:sz="8" w:space="0" w:color="000000"/>
              <w:right w:val="dashed" w:sz="8" w:space="0" w:color="D9D9D9"/>
            </w:tcBorders>
            <w:noWrap/>
            <w:vAlign w:val="center"/>
          </w:tcPr>
          <w:p w:rsidR="005F3490" w:rsidRPr="00A21B5C" w:rsidRDefault="005F3490" w:rsidP="00A21B5C">
            <w:pPr>
              <w:contextualSpacing/>
              <w:jc w:val="center"/>
              <w:rPr>
                <w:rFonts w:ascii="Arial" w:eastAsia="Times New Roman" w:hAnsi="Arial" w:cs="Arial"/>
                <w:color w:val="000000"/>
                <w:sz w:val="18"/>
                <w:szCs w:val="20"/>
                <w:lang w:val="es-CO" w:eastAsia="en-US"/>
              </w:rPr>
            </w:pPr>
            <w:r w:rsidRPr="00A21B5C">
              <w:rPr>
                <w:rFonts w:ascii="Arial" w:eastAsia="Times New Roman" w:hAnsi="Arial" w:cs="Arial"/>
                <w:color w:val="FF0000"/>
                <w:sz w:val="18"/>
                <w:szCs w:val="20"/>
                <w:lang w:val="es-CO" w:eastAsia="en-US"/>
              </w:rPr>
              <w:t>No reportó</w:t>
            </w:r>
          </w:p>
        </w:tc>
        <w:tc>
          <w:tcPr>
            <w:tcW w:w="1573" w:type="dxa"/>
            <w:tcBorders>
              <w:top w:val="nil"/>
              <w:left w:val="dashed" w:sz="8" w:space="0" w:color="D9D9D9"/>
              <w:bottom w:val="single" w:sz="8" w:space="0" w:color="000000"/>
              <w:right w:val="single" w:sz="8" w:space="0" w:color="auto"/>
            </w:tcBorders>
            <w:vAlign w:val="center"/>
          </w:tcPr>
          <w:p w:rsidR="005F3490" w:rsidRPr="00A21B5C" w:rsidRDefault="005F3490" w:rsidP="00A21B5C">
            <w:pPr>
              <w:contextualSpacing/>
              <w:jc w:val="center"/>
              <w:rPr>
                <w:rFonts w:ascii="Arial" w:eastAsia="Times New Roman" w:hAnsi="Arial" w:cs="Arial"/>
                <w:color w:val="000000"/>
                <w:sz w:val="18"/>
                <w:szCs w:val="20"/>
                <w:lang w:val="es-CO" w:eastAsia="en-US"/>
              </w:rPr>
            </w:pPr>
            <w:r w:rsidRPr="00A21B5C">
              <w:rPr>
                <w:rFonts w:ascii="Arial" w:eastAsia="Times New Roman" w:hAnsi="Arial" w:cs="Arial"/>
                <w:color w:val="FF0000"/>
                <w:sz w:val="18"/>
                <w:szCs w:val="20"/>
                <w:lang w:val="es-CO" w:eastAsia="en-US"/>
              </w:rPr>
              <w:t>No reportó</w:t>
            </w:r>
          </w:p>
        </w:tc>
        <w:tc>
          <w:tcPr>
            <w:tcW w:w="1705" w:type="dxa"/>
            <w:tcBorders>
              <w:top w:val="nil"/>
              <w:left w:val="single" w:sz="8" w:space="0" w:color="auto"/>
              <w:bottom w:val="single" w:sz="8" w:space="0" w:color="000000"/>
              <w:right w:val="dashed" w:sz="8" w:space="0" w:color="D9D9D9"/>
            </w:tcBorders>
            <w:noWrap/>
            <w:vAlign w:val="center"/>
          </w:tcPr>
          <w:p w:rsidR="005F3490" w:rsidRPr="00A21B5C" w:rsidRDefault="005F3490" w:rsidP="00A21B5C">
            <w:pPr>
              <w:contextualSpacing/>
              <w:jc w:val="center"/>
              <w:rPr>
                <w:rFonts w:ascii="Arial" w:eastAsia="Times New Roman" w:hAnsi="Arial" w:cs="Arial"/>
                <w:color w:val="000000"/>
                <w:sz w:val="18"/>
                <w:szCs w:val="20"/>
                <w:lang w:val="es-CO" w:eastAsia="en-US"/>
              </w:rPr>
            </w:pPr>
            <w:r w:rsidRPr="00A21B5C">
              <w:rPr>
                <w:rFonts w:ascii="Arial" w:eastAsia="Times New Roman" w:hAnsi="Arial" w:cs="Arial"/>
                <w:color w:val="000000"/>
                <w:sz w:val="18"/>
                <w:szCs w:val="20"/>
                <w:lang w:val="es-CO" w:eastAsia="en-US"/>
              </w:rPr>
              <w:t>$4.</w:t>
            </w:r>
            <w:r w:rsidR="00E819E0" w:rsidRPr="00A21B5C">
              <w:rPr>
                <w:rFonts w:ascii="Arial" w:eastAsia="Times New Roman" w:hAnsi="Arial" w:cs="Arial"/>
                <w:color w:val="000000"/>
                <w:sz w:val="18"/>
                <w:szCs w:val="20"/>
                <w:lang w:val="es-CO" w:eastAsia="en-US"/>
              </w:rPr>
              <w:t>464.</w:t>
            </w:r>
            <w:r w:rsidR="008054C9" w:rsidRPr="00A21B5C">
              <w:rPr>
                <w:rFonts w:ascii="Arial" w:eastAsia="Times New Roman" w:hAnsi="Arial" w:cs="Arial"/>
                <w:color w:val="000000"/>
                <w:sz w:val="18"/>
                <w:szCs w:val="20"/>
                <w:lang w:val="es-CO" w:eastAsia="en-US"/>
              </w:rPr>
              <w:t>177.790</w:t>
            </w:r>
          </w:p>
        </w:tc>
        <w:tc>
          <w:tcPr>
            <w:tcW w:w="1628" w:type="dxa"/>
            <w:tcBorders>
              <w:top w:val="nil"/>
              <w:left w:val="dashed" w:sz="8" w:space="0" w:color="D9D9D9"/>
              <w:bottom w:val="single" w:sz="8" w:space="0" w:color="000000"/>
              <w:right w:val="single" w:sz="8" w:space="0" w:color="auto"/>
            </w:tcBorders>
            <w:vAlign w:val="center"/>
          </w:tcPr>
          <w:p w:rsidR="005F3490" w:rsidRPr="00A21B5C" w:rsidRDefault="005F3490" w:rsidP="00A21B5C">
            <w:pPr>
              <w:contextualSpacing/>
              <w:jc w:val="center"/>
              <w:rPr>
                <w:rFonts w:ascii="Arial" w:eastAsia="Times New Roman" w:hAnsi="Arial" w:cs="Arial"/>
                <w:color w:val="000000"/>
                <w:sz w:val="18"/>
                <w:szCs w:val="20"/>
                <w:lang w:val="es-CO" w:eastAsia="en-US"/>
              </w:rPr>
            </w:pPr>
            <w:r w:rsidRPr="00A21B5C">
              <w:rPr>
                <w:rFonts w:ascii="Arial" w:eastAsia="Times New Roman" w:hAnsi="Arial" w:cs="Arial"/>
                <w:color w:val="000000"/>
                <w:sz w:val="18"/>
                <w:szCs w:val="20"/>
                <w:lang w:val="es-CO" w:eastAsia="en-US"/>
              </w:rPr>
              <w:t>$4.</w:t>
            </w:r>
            <w:r w:rsidR="008054C9" w:rsidRPr="00A21B5C">
              <w:rPr>
                <w:rFonts w:ascii="Arial" w:eastAsia="Times New Roman" w:hAnsi="Arial" w:cs="Arial"/>
                <w:color w:val="000000"/>
                <w:sz w:val="18"/>
                <w:szCs w:val="20"/>
                <w:lang w:val="es-CO" w:eastAsia="en-US"/>
              </w:rPr>
              <w:t>468.928.834</w:t>
            </w:r>
          </w:p>
        </w:tc>
        <w:tc>
          <w:tcPr>
            <w:tcW w:w="2063" w:type="dxa"/>
            <w:vMerge/>
            <w:tcBorders>
              <w:top w:val="nil"/>
              <w:left w:val="single" w:sz="8" w:space="0" w:color="auto"/>
              <w:bottom w:val="single" w:sz="8" w:space="0" w:color="000000"/>
              <w:right w:val="single" w:sz="8" w:space="0" w:color="auto"/>
            </w:tcBorders>
            <w:vAlign w:val="center"/>
          </w:tcPr>
          <w:p w:rsidR="005F3490" w:rsidRPr="00A21B5C" w:rsidRDefault="005F3490" w:rsidP="00A21B5C">
            <w:pPr>
              <w:contextualSpacing/>
              <w:jc w:val="center"/>
              <w:rPr>
                <w:rFonts w:ascii="Arial" w:eastAsia="Times New Roman" w:hAnsi="Arial" w:cs="Arial"/>
                <w:color w:val="000000"/>
                <w:sz w:val="18"/>
                <w:szCs w:val="20"/>
                <w:lang w:val="es-CO" w:eastAsia="en-US"/>
              </w:rPr>
            </w:pPr>
          </w:p>
        </w:tc>
      </w:tr>
    </w:tbl>
    <w:p w:rsidR="008C2E4A" w:rsidRPr="00A21B5C" w:rsidRDefault="008C2E4A" w:rsidP="00A21B5C">
      <w:pPr>
        <w:contextualSpacing/>
        <w:jc w:val="center"/>
        <w:rPr>
          <w:rFonts w:ascii="Arial" w:hAnsi="Arial" w:cs="Arial"/>
          <w:sz w:val="20"/>
          <w:szCs w:val="20"/>
          <w:lang w:val="es-CO"/>
        </w:rPr>
      </w:pPr>
      <w:r w:rsidRPr="00A21B5C">
        <w:rPr>
          <w:rFonts w:ascii="Arial" w:hAnsi="Arial" w:cs="Arial"/>
          <w:b/>
          <w:sz w:val="20"/>
          <w:szCs w:val="20"/>
          <w:lang w:val="es-CO"/>
        </w:rPr>
        <w:t>Fuente:</w:t>
      </w:r>
      <w:r w:rsidRPr="00A21B5C">
        <w:rPr>
          <w:rFonts w:ascii="Arial" w:hAnsi="Arial" w:cs="Arial"/>
          <w:sz w:val="20"/>
          <w:szCs w:val="20"/>
          <w:lang w:val="es-CO"/>
        </w:rPr>
        <w:t xml:space="preserve"> Información Presupuestal aportada por el Municipio de Dibulla </w:t>
      </w:r>
      <w:r w:rsidR="00E17914" w:rsidRPr="00A21B5C">
        <w:rPr>
          <w:rFonts w:ascii="Arial" w:hAnsi="Arial" w:cs="Arial"/>
          <w:sz w:val="20"/>
          <w:szCs w:val="20"/>
          <w:lang w:val="es-CO"/>
        </w:rPr>
        <w:t xml:space="preserve">– La Guajira e información del </w:t>
      </w:r>
      <w:r w:rsidRPr="00A21B5C">
        <w:rPr>
          <w:rFonts w:ascii="Arial" w:hAnsi="Arial" w:cs="Arial"/>
          <w:sz w:val="20"/>
          <w:szCs w:val="20"/>
          <w:lang w:val="es-CO"/>
        </w:rPr>
        <w:t>FUT.</w:t>
      </w:r>
    </w:p>
    <w:p w:rsidR="004B657C" w:rsidRPr="00A21B5C" w:rsidRDefault="004B657C" w:rsidP="00A21B5C">
      <w:pPr>
        <w:contextualSpacing/>
        <w:rPr>
          <w:rFonts w:ascii="Arial" w:hAnsi="Arial" w:cs="Arial"/>
          <w:sz w:val="22"/>
          <w:szCs w:val="22"/>
          <w:lang w:val="es-CO"/>
        </w:rPr>
      </w:pPr>
    </w:p>
    <w:p w:rsidR="00CD0F3D" w:rsidRPr="00A21B5C" w:rsidRDefault="00175643" w:rsidP="00A21B5C">
      <w:pPr>
        <w:contextualSpacing/>
        <w:jc w:val="center"/>
        <w:rPr>
          <w:rFonts w:ascii="Arial" w:hAnsi="Arial" w:cs="Arial"/>
          <w:sz w:val="22"/>
          <w:szCs w:val="22"/>
          <w:lang w:val="es-CO"/>
        </w:rPr>
      </w:pPr>
      <w:r w:rsidRPr="00A21B5C">
        <w:rPr>
          <w:rFonts w:ascii="Arial" w:hAnsi="Arial" w:cs="Arial"/>
          <w:b/>
          <w:sz w:val="22"/>
          <w:szCs w:val="22"/>
          <w:lang w:val="es-CO"/>
        </w:rPr>
        <w:t xml:space="preserve">Tabla N° </w:t>
      </w:r>
      <w:r w:rsidR="00685F32" w:rsidRPr="00A21B5C">
        <w:rPr>
          <w:rFonts w:ascii="Arial" w:hAnsi="Arial" w:cs="Arial"/>
          <w:b/>
          <w:sz w:val="22"/>
          <w:szCs w:val="22"/>
          <w:lang w:val="es-CO"/>
        </w:rPr>
        <w:t>4</w:t>
      </w:r>
      <w:r w:rsidR="008C2E4A" w:rsidRPr="00A21B5C">
        <w:rPr>
          <w:rFonts w:ascii="Arial" w:hAnsi="Arial" w:cs="Arial"/>
          <w:sz w:val="22"/>
          <w:szCs w:val="22"/>
          <w:lang w:val="es-CO"/>
        </w:rPr>
        <w:t>: Reporte de Gastos en la Categoría Resguardos 2 en el FUT, por parte del</w:t>
      </w:r>
    </w:p>
    <w:p w:rsidR="008C2E4A" w:rsidRPr="00A21B5C" w:rsidRDefault="008C2E4A" w:rsidP="00A21B5C">
      <w:pPr>
        <w:spacing w:after="160"/>
        <w:contextualSpacing/>
        <w:jc w:val="center"/>
        <w:rPr>
          <w:rFonts w:ascii="Arial" w:hAnsi="Arial" w:cs="Arial"/>
          <w:sz w:val="22"/>
          <w:szCs w:val="22"/>
          <w:lang w:val="es-CO"/>
        </w:rPr>
      </w:pPr>
      <w:r w:rsidRPr="00A21B5C">
        <w:rPr>
          <w:rFonts w:ascii="Arial" w:hAnsi="Arial" w:cs="Arial"/>
          <w:sz w:val="22"/>
          <w:szCs w:val="22"/>
          <w:lang w:val="es-CO"/>
        </w:rPr>
        <w:t>Municipio de Dibulla – La Guajira.</w:t>
      </w:r>
    </w:p>
    <w:tbl>
      <w:tblPr>
        <w:tblW w:w="5741" w:type="pct"/>
        <w:jc w:val="center"/>
        <w:tblLayout w:type="fixed"/>
        <w:tblLook w:val="04A0" w:firstRow="1" w:lastRow="0" w:firstColumn="1" w:lastColumn="0" w:noHBand="0" w:noVBand="1"/>
      </w:tblPr>
      <w:tblGrid>
        <w:gridCol w:w="963"/>
        <w:gridCol w:w="1170"/>
        <w:gridCol w:w="1285"/>
        <w:gridCol w:w="1235"/>
        <w:gridCol w:w="1301"/>
        <w:gridCol w:w="34"/>
        <w:gridCol w:w="1289"/>
        <w:gridCol w:w="47"/>
        <w:gridCol w:w="1334"/>
        <w:gridCol w:w="47"/>
        <w:gridCol w:w="1431"/>
      </w:tblGrid>
      <w:tr w:rsidR="00C4072F" w:rsidRPr="00A21B5C" w:rsidTr="009805C8">
        <w:trPr>
          <w:trHeight w:val="293"/>
          <w:jc w:val="center"/>
        </w:trPr>
        <w:tc>
          <w:tcPr>
            <w:tcW w:w="475" w:type="pct"/>
            <w:vMerge w:val="restart"/>
            <w:tcBorders>
              <w:top w:val="single" w:sz="8" w:space="0" w:color="auto"/>
              <w:left w:val="single" w:sz="8" w:space="0" w:color="auto"/>
              <w:bottom w:val="dashed" w:sz="8" w:space="0" w:color="BFBFBF"/>
              <w:right w:val="single" w:sz="8" w:space="0" w:color="auto"/>
            </w:tcBorders>
            <w:shd w:val="clear" w:color="auto" w:fill="215868" w:themeFill="accent5" w:themeFillShade="80"/>
            <w:vAlign w:val="center"/>
            <w:hideMark/>
          </w:tcPr>
          <w:p w:rsidR="009A6ABE" w:rsidRPr="00A21B5C" w:rsidRDefault="009A6ABE" w:rsidP="00A21B5C">
            <w:pPr>
              <w:contextualSpacing/>
              <w:jc w:val="center"/>
              <w:rPr>
                <w:rFonts w:ascii="Arial" w:eastAsia="Times New Roman" w:hAnsi="Arial" w:cs="Arial"/>
                <w:b/>
                <w:bCs/>
                <w:color w:val="FFFFFF"/>
                <w:sz w:val="18"/>
                <w:szCs w:val="18"/>
                <w:lang w:val="es-CO" w:eastAsia="en-US"/>
              </w:rPr>
            </w:pPr>
            <w:r w:rsidRPr="00A21B5C">
              <w:rPr>
                <w:rFonts w:ascii="Arial" w:eastAsia="Times New Roman" w:hAnsi="Arial" w:cs="Arial"/>
                <w:b/>
                <w:bCs/>
                <w:color w:val="FFFFFF"/>
                <w:sz w:val="18"/>
                <w:szCs w:val="18"/>
                <w:lang w:val="es-CO" w:eastAsia="en-US"/>
              </w:rPr>
              <w:t>PERIODO DE REPORTE</w:t>
            </w:r>
          </w:p>
        </w:tc>
        <w:tc>
          <w:tcPr>
            <w:tcW w:w="1820" w:type="pct"/>
            <w:gridSpan w:val="3"/>
            <w:tcBorders>
              <w:top w:val="single" w:sz="8" w:space="0" w:color="auto"/>
              <w:left w:val="nil"/>
              <w:bottom w:val="dashed" w:sz="8" w:space="0" w:color="BFBFBF"/>
              <w:right w:val="single" w:sz="8" w:space="0" w:color="000000"/>
            </w:tcBorders>
            <w:shd w:val="clear" w:color="auto" w:fill="215868" w:themeFill="accent5" w:themeFillShade="80"/>
            <w:noWrap/>
            <w:vAlign w:val="center"/>
            <w:hideMark/>
          </w:tcPr>
          <w:p w:rsidR="009A6ABE" w:rsidRPr="00A21B5C" w:rsidRDefault="009A6ABE" w:rsidP="00A21B5C">
            <w:pPr>
              <w:contextualSpacing/>
              <w:jc w:val="center"/>
              <w:rPr>
                <w:rFonts w:ascii="Arial" w:eastAsia="Times New Roman" w:hAnsi="Arial" w:cs="Arial"/>
                <w:b/>
                <w:bCs/>
                <w:color w:val="FFFFFF"/>
                <w:sz w:val="18"/>
                <w:szCs w:val="18"/>
                <w:lang w:val="es-CO" w:eastAsia="en-US"/>
              </w:rPr>
            </w:pPr>
            <w:r w:rsidRPr="00A21B5C">
              <w:rPr>
                <w:rFonts w:ascii="Arial" w:eastAsia="Times New Roman" w:hAnsi="Arial" w:cs="Arial"/>
                <w:b/>
                <w:bCs/>
                <w:color w:val="FFFFFF"/>
                <w:sz w:val="18"/>
                <w:szCs w:val="18"/>
                <w:lang w:val="es-CO" w:eastAsia="en-US"/>
              </w:rPr>
              <w:t>FUT</w:t>
            </w:r>
          </w:p>
        </w:tc>
        <w:tc>
          <w:tcPr>
            <w:tcW w:w="1976" w:type="pct"/>
            <w:gridSpan w:val="5"/>
            <w:tcBorders>
              <w:top w:val="single" w:sz="8" w:space="0" w:color="auto"/>
              <w:left w:val="nil"/>
            </w:tcBorders>
            <w:shd w:val="clear" w:color="auto" w:fill="215868" w:themeFill="accent5" w:themeFillShade="80"/>
            <w:vAlign w:val="center"/>
          </w:tcPr>
          <w:p w:rsidR="009A6ABE" w:rsidRPr="00A21B5C" w:rsidRDefault="009A6ABE" w:rsidP="00A21B5C">
            <w:pPr>
              <w:contextualSpacing/>
              <w:jc w:val="center"/>
              <w:rPr>
                <w:rFonts w:ascii="Arial" w:eastAsia="Times New Roman" w:hAnsi="Arial" w:cs="Arial"/>
                <w:b/>
                <w:bCs/>
                <w:color w:val="000000"/>
                <w:sz w:val="18"/>
                <w:szCs w:val="18"/>
                <w:lang w:val="es-CO" w:eastAsia="en-US"/>
              </w:rPr>
            </w:pPr>
            <w:r w:rsidRPr="00A21B5C">
              <w:rPr>
                <w:rFonts w:ascii="Arial" w:eastAsia="Times New Roman" w:hAnsi="Arial" w:cs="Arial"/>
                <w:b/>
                <w:bCs/>
                <w:color w:val="FFFFFF"/>
                <w:sz w:val="18"/>
                <w:szCs w:val="18"/>
                <w:lang w:val="es-CO" w:eastAsia="en-US"/>
              </w:rPr>
              <w:t>INFORMACIÓN DEL MUNICIPIO</w:t>
            </w:r>
            <w:r w:rsidRPr="00A21B5C" w:rsidDel="009A6ABE">
              <w:rPr>
                <w:rFonts w:ascii="Arial" w:eastAsia="Times New Roman" w:hAnsi="Arial" w:cs="Arial"/>
                <w:b/>
                <w:bCs/>
                <w:color w:val="000000"/>
                <w:sz w:val="18"/>
                <w:szCs w:val="18"/>
                <w:lang w:val="es-CO" w:eastAsia="en-US"/>
              </w:rPr>
              <w:t xml:space="preserve"> </w:t>
            </w:r>
          </w:p>
        </w:tc>
        <w:tc>
          <w:tcPr>
            <w:tcW w:w="729" w:type="pct"/>
            <w:gridSpan w:val="2"/>
            <w:vMerge w:val="restart"/>
            <w:tcBorders>
              <w:top w:val="single" w:sz="8" w:space="0" w:color="auto"/>
              <w:left w:val="nil"/>
            </w:tcBorders>
            <w:shd w:val="clear" w:color="auto" w:fill="215868" w:themeFill="accent5" w:themeFillShade="80"/>
            <w:vAlign w:val="center"/>
          </w:tcPr>
          <w:p w:rsidR="009A6ABE" w:rsidRPr="00A21B5C" w:rsidRDefault="009A6ABE" w:rsidP="00A21B5C">
            <w:pPr>
              <w:contextualSpacing/>
              <w:jc w:val="center"/>
              <w:rPr>
                <w:rFonts w:ascii="Arial" w:eastAsia="Times New Roman" w:hAnsi="Arial" w:cs="Arial"/>
                <w:b/>
                <w:bCs/>
                <w:color w:val="FFFFFF"/>
                <w:sz w:val="18"/>
                <w:szCs w:val="18"/>
                <w:lang w:val="es-CO" w:eastAsia="en-US"/>
              </w:rPr>
            </w:pPr>
            <w:r w:rsidRPr="00A21B5C">
              <w:rPr>
                <w:rFonts w:ascii="Arial" w:eastAsia="Times New Roman" w:hAnsi="Arial" w:cs="Arial"/>
                <w:b/>
                <w:bCs/>
                <w:color w:val="FFFFFF"/>
                <w:sz w:val="18"/>
                <w:szCs w:val="18"/>
                <w:lang w:val="es-CO" w:eastAsia="en-US"/>
              </w:rPr>
              <w:t>OBSERVACIÓN</w:t>
            </w:r>
          </w:p>
        </w:tc>
      </w:tr>
      <w:tr w:rsidR="00E97E24" w:rsidRPr="00A21B5C" w:rsidTr="009805C8">
        <w:trPr>
          <w:trHeight w:val="387"/>
          <w:jc w:val="center"/>
        </w:trPr>
        <w:tc>
          <w:tcPr>
            <w:tcW w:w="475" w:type="pct"/>
            <w:vMerge/>
            <w:tcBorders>
              <w:top w:val="single" w:sz="8" w:space="0" w:color="auto"/>
              <w:left w:val="single" w:sz="8" w:space="0" w:color="auto"/>
              <w:bottom w:val="dashed" w:sz="8" w:space="0" w:color="BFBFBF"/>
              <w:right w:val="single" w:sz="8" w:space="0" w:color="auto"/>
            </w:tcBorders>
            <w:vAlign w:val="center"/>
            <w:hideMark/>
          </w:tcPr>
          <w:p w:rsidR="009A6ABE" w:rsidRPr="00A21B5C" w:rsidRDefault="009A6ABE" w:rsidP="00A21B5C">
            <w:pPr>
              <w:contextualSpacing/>
              <w:rPr>
                <w:rFonts w:ascii="Arial" w:eastAsia="Times New Roman" w:hAnsi="Arial" w:cs="Arial"/>
                <w:b/>
                <w:bCs/>
                <w:color w:val="FFFFFF"/>
                <w:sz w:val="20"/>
                <w:szCs w:val="20"/>
                <w:lang w:val="es-CO" w:eastAsia="en-US"/>
              </w:rPr>
            </w:pPr>
          </w:p>
        </w:tc>
        <w:tc>
          <w:tcPr>
            <w:tcW w:w="577" w:type="pct"/>
            <w:tcBorders>
              <w:top w:val="nil"/>
              <w:left w:val="nil"/>
              <w:bottom w:val="dashed" w:sz="8" w:space="0" w:color="BFBFBF"/>
              <w:right w:val="dashed" w:sz="8" w:space="0" w:color="D9D9D9"/>
            </w:tcBorders>
            <w:shd w:val="clear" w:color="auto" w:fill="B6DDE8" w:themeFill="accent5" w:themeFillTint="66"/>
            <w:noWrap/>
            <w:vAlign w:val="center"/>
            <w:hideMark/>
          </w:tcPr>
          <w:p w:rsidR="009A6ABE" w:rsidRPr="00A21B5C" w:rsidRDefault="009A6ABE" w:rsidP="00A21B5C">
            <w:pPr>
              <w:contextualSpacing/>
              <w:jc w:val="center"/>
              <w:rPr>
                <w:rFonts w:ascii="Arial" w:eastAsia="Times New Roman" w:hAnsi="Arial" w:cs="Arial"/>
                <w:b/>
                <w:bCs/>
                <w:color w:val="000000"/>
                <w:sz w:val="18"/>
                <w:szCs w:val="18"/>
                <w:lang w:val="es-CO" w:eastAsia="en-US"/>
              </w:rPr>
            </w:pPr>
            <w:r w:rsidRPr="00A21B5C">
              <w:rPr>
                <w:rFonts w:ascii="Arial" w:eastAsia="Times New Roman" w:hAnsi="Arial" w:cs="Arial"/>
                <w:b/>
                <w:bCs/>
                <w:color w:val="000000"/>
                <w:sz w:val="18"/>
                <w:szCs w:val="18"/>
                <w:lang w:val="es-CO" w:eastAsia="en-US"/>
              </w:rPr>
              <w:t>Compromiso</w:t>
            </w:r>
          </w:p>
        </w:tc>
        <w:tc>
          <w:tcPr>
            <w:tcW w:w="634" w:type="pct"/>
            <w:tcBorders>
              <w:top w:val="nil"/>
              <w:left w:val="nil"/>
              <w:bottom w:val="dashed" w:sz="8" w:space="0" w:color="BFBFBF"/>
              <w:right w:val="dashed" w:sz="8" w:space="0" w:color="D9D9D9"/>
            </w:tcBorders>
            <w:shd w:val="clear" w:color="auto" w:fill="B6DDE8" w:themeFill="accent5" w:themeFillTint="66"/>
            <w:vAlign w:val="center"/>
            <w:hideMark/>
          </w:tcPr>
          <w:p w:rsidR="009A6ABE" w:rsidRPr="00A21B5C" w:rsidRDefault="009A6ABE" w:rsidP="00A21B5C">
            <w:pPr>
              <w:contextualSpacing/>
              <w:jc w:val="center"/>
              <w:rPr>
                <w:rFonts w:ascii="Arial" w:eastAsia="Times New Roman" w:hAnsi="Arial" w:cs="Arial"/>
                <w:b/>
                <w:bCs/>
                <w:color w:val="000000"/>
                <w:sz w:val="18"/>
                <w:szCs w:val="18"/>
                <w:lang w:val="es-CO" w:eastAsia="en-US"/>
              </w:rPr>
            </w:pPr>
            <w:r w:rsidRPr="00A21B5C">
              <w:rPr>
                <w:rFonts w:ascii="Arial" w:eastAsia="Times New Roman" w:hAnsi="Arial" w:cs="Arial"/>
                <w:b/>
                <w:bCs/>
                <w:color w:val="000000"/>
                <w:sz w:val="18"/>
                <w:szCs w:val="18"/>
                <w:lang w:val="es-CO" w:eastAsia="en-US"/>
              </w:rPr>
              <w:t>Obligación</w:t>
            </w:r>
          </w:p>
        </w:tc>
        <w:tc>
          <w:tcPr>
            <w:tcW w:w="609" w:type="pct"/>
            <w:tcBorders>
              <w:top w:val="nil"/>
              <w:left w:val="nil"/>
              <w:bottom w:val="dashed" w:sz="8" w:space="0" w:color="BFBFBF"/>
              <w:right w:val="single" w:sz="8" w:space="0" w:color="auto"/>
            </w:tcBorders>
            <w:shd w:val="clear" w:color="auto" w:fill="B6DDE8" w:themeFill="accent5" w:themeFillTint="66"/>
            <w:vAlign w:val="center"/>
            <w:hideMark/>
          </w:tcPr>
          <w:p w:rsidR="009A6ABE" w:rsidRPr="00A21B5C" w:rsidRDefault="009A6ABE" w:rsidP="00A21B5C">
            <w:pPr>
              <w:contextualSpacing/>
              <w:jc w:val="center"/>
              <w:rPr>
                <w:rFonts w:ascii="Arial" w:eastAsia="Times New Roman" w:hAnsi="Arial" w:cs="Arial"/>
                <w:b/>
                <w:bCs/>
                <w:color w:val="000000"/>
                <w:sz w:val="18"/>
                <w:szCs w:val="18"/>
                <w:lang w:val="es-CO" w:eastAsia="en-US"/>
              </w:rPr>
            </w:pPr>
            <w:r w:rsidRPr="00A21B5C">
              <w:rPr>
                <w:rFonts w:ascii="Arial" w:eastAsia="Times New Roman" w:hAnsi="Arial" w:cs="Arial"/>
                <w:b/>
                <w:bCs/>
                <w:color w:val="000000"/>
                <w:sz w:val="18"/>
                <w:szCs w:val="18"/>
                <w:lang w:val="es-CO" w:eastAsia="en-US"/>
              </w:rPr>
              <w:t>Pago</w:t>
            </w:r>
          </w:p>
        </w:tc>
        <w:tc>
          <w:tcPr>
            <w:tcW w:w="659" w:type="pct"/>
            <w:gridSpan w:val="2"/>
            <w:tcBorders>
              <w:left w:val="nil"/>
              <w:bottom w:val="dashed" w:sz="8" w:space="0" w:color="BFBFBF"/>
            </w:tcBorders>
            <w:shd w:val="clear" w:color="auto" w:fill="B6DDE8" w:themeFill="accent5" w:themeFillTint="66"/>
            <w:vAlign w:val="center"/>
          </w:tcPr>
          <w:p w:rsidR="009A6ABE" w:rsidRPr="00A21B5C" w:rsidRDefault="009A6ABE" w:rsidP="00A21B5C">
            <w:pPr>
              <w:contextualSpacing/>
              <w:jc w:val="center"/>
              <w:rPr>
                <w:rFonts w:ascii="Arial" w:eastAsia="Times New Roman" w:hAnsi="Arial" w:cs="Arial"/>
                <w:b/>
                <w:bCs/>
                <w:color w:val="000000"/>
                <w:sz w:val="18"/>
                <w:szCs w:val="18"/>
                <w:lang w:val="es-CO" w:eastAsia="en-US"/>
              </w:rPr>
            </w:pPr>
            <w:r w:rsidRPr="00A21B5C">
              <w:rPr>
                <w:rFonts w:ascii="Arial" w:eastAsia="Times New Roman" w:hAnsi="Arial" w:cs="Arial"/>
                <w:b/>
                <w:bCs/>
                <w:color w:val="000000"/>
                <w:sz w:val="18"/>
                <w:szCs w:val="18"/>
                <w:lang w:val="es-CO" w:eastAsia="en-US"/>
              </w:rPr>
              <w:t>Compromisos</w:t>
            </w:r>
          </w:p>
        </w:tc>
        <w:tc>
          <w:tcPr>
            <w:tcW w:w="659" w:type="pct"/>
            <w:gridSpan w:val="2"/>
            <w:tcBorders>
              <w:left w:val="nil"/>
              <w:bottom w:val="dashed" w:sz="8" w:space="0" w:color="BFBFBF"/>
            </w:tcBorders>
            <w:shd w:val="clear" w:color="auto" w:fill="B6DDE8" w:themeFill="accent5" w:themeFillTint="66"/>
            <w:vAlign w:val="center"/>
          </w:tcPr>
          <w:p w:rsidR="009A6ABE" w:rsidRPr="00A21B5C" w:rsidRDefault="009A6ABE" w:rsidP="00A21B5C">
            <w:pPr>
              <w:contextualSpacing/>
              <w:jc w:val="center"/>
              <w:rPr>
                <w:rFonts w:ascii="Arial" w:eastAsia="Times New Roman" w:hAnsi="Arial" w:cs="Arial"/>
                <w:b/>
                <w:bCs/>
                <w:color w:val="000000"/>
                <w:sz w:val="18"/>
                <w:szCs w:val="18"/>
                <w:lang w:val="es-CO" w:eastAsia="en-US"/>
              </w:rPr>
            </w:pPr>
            <w:r w:rsidRPr="00A21B5C">
              <w:rPr>
                <w:rFonts w:ascii="Arial" w:eastAsia="Times New Roman" w:hAnsi="Arial" w:cs="Arial"/>
                <w:b/>
                <w:bCs/>
                <w:color w:val="000000"/>
                <w:sz w:val="18"/>
                <w:szCs w:val="18"/>
                <w:lang w:val="es-CO" w:eastAsia="en-US"/>
              </w:rPr>
              <w:t>Obligación</w:t>
            </w:r>
          </w:p>
        </w:tc>
        <w:tc>
          <w:tcPr>
            <w:tcW w:w="658" w:type="pct"/>
            <w:tcBorders>
              <w:left w:val="nil"/>
              <w:bottom w:val="dashed" w:sz="8" w:space="0" w:color="BFBFBF"/>
            </w:tcBorders>
            <w:shd w:val="clear" w:color="auto" w:fill="B6DDE8" w:themeFill="accent5" w:themeFillTint="66"/>
            <w:vAlign w:val="center"/>
          </w:tcPr>
          <w:p w:rsidR="009A6ABE" w:rsidRPr="00A21B5C" w:rsidRDefault="009A6ABE" w:rsidP="00A21B5C">
            <w:pPr>
              <w:contextualSpacing/>
              <w:jc w:val="center"/>
              <w:rPr>
                <w:rFonts w:ascii="Arial" w:eastAsia="Times New Roman" w:hAnsi="Arial" w:cs="Arial"/>
                <w:b/>
                <w:bCs/>
                <w:color w:val="000000"/>
                <w:sz w:val="18"/>
                <w:szCs w:val="18"/>
                <w:lang w:val="es-CO" w:eastAsia="en-US"/>
              </w:rPr>
            </w:pPr>
            <w:r w:rsidRPr="00A21B5C">
              <w:rPr>
                <w:rFonts w:ascii="Arial" w:eastAsia="Times New Roman" w:hAnsi="Arial" w:cs="Arial"/>
                <w:b/>
                <w:bCs/>
                <w:color w:val="000000"/>
                <w:sz w:val="18"/>
                <w:szCs w:val="18"/>
                <w:lang w:val="es-CO" w:eastAsia="en-US"/>
              </w:rPr>
              <w:t>Pago</w:t>
            </w:r>
          </w:p>
        </w:tc>
        <w:tc>
          <w:tcPr>
            <w:tcW w:w="729" w:type="pct"/>
            <w:gridSpan w:val="2"/>
            <w:vMerge/>
            <w:tcBorders>
              <w:left w:val="nil"/>
              <w:bottom w:val="dashed" w:sz="8" w:space="0" w:color="BFBFBF"/>
            </w:tcBorders>
            <w:shd w:val="clear" w:color="auto" w:fill="215868" w:themeFill="accent5" w:themeFillShade="80"/>
            <w:vAlign w:val="center"/>
          </w:tcPr>
          <w:p w:rsidR="009A6ABE" w:rsidRPr="00A21B5C" w:rsidRDefault="009A6ABE" w:rsidP="00A21B5C">
            <w:pPr>
              <w:contextualSpacing/>
              <w:rPr>
                <w:rFonts w:ascii="Arial" w:eastAsia="Times New Roman" w:hAnsi="Arial" w:cs="Arial"/>
                <w:b/>
                <w:bCs/>
                <w:color w:val="FFFFFF"/>
                <w:sz w:val="20"/>
                <w:szCs w:val="20"/>
                <w:lang w:val="es-CO" w:eastAsia="en-US"/>
              </w:rPr>
            </w:pPr>
          </w:p>
        </w:tc>
      </w:tr>
      <w:tr w:rsidR="00947DC2" w:rsidRPr="00A21B5C" w:rsidTr="009805C8">
        <w:trPr>
          <w:trHeight w:val="783"/>
          <w:jc w:val="center"/>
        </w:trPr>
        <w:tc>
          <w:tcPr>
            <w:tcW w:w="475" w:type="pct"/>
            <w:tcBorders>
              <w:top w:val="nil"/>
              <w:left w:val="single" w:sz="8" w:space="0" w:color="auto"/>
              <w:bottom w:val="dashed" w:sz="8" w:space="0" w:color="D9D9D9"/>
              <w:right w:val="single" w:sz="8" w:space="0" w:color="auto"/>
            </w:tcBorders>
            <w:noWrap/>
            <w:vAlign w:val="center"/>
            <w:hideMark/>
          </w:tcPr>
          <w:p w:rsidR="009A6ABE" w:rsidRPr="00A21B5C" w:rsidRDefault="009A6ABE" w:rsidP="00A21B5C">
            <w:pPr>
              <w:contextualSpacing/>
              <w:jc w:val="center"/>
              <w:rPr>
                <w:rFonts w:ascii="Arial" w:eastAsia="Times New Roman" w:hAnsi="Arial" w:cs="Arial"/>
                <w:color w:val="000000"/>
                <w:sz w:val="18"/>
                <w:szCs w:val="18"/>
                <w:lang w:val="es-CO" w:eastAsia="en-US"/>
              </w:rPr>
            </w:pPr>
            <w:r w:rsidRPr="00A21B5C">
              <w:rPr>
                <w:rFonts w:ascii="Arial" w:eastAsia="Times New Roman" w:hAnsi="Arial" w:cs="Arial"/>
                <w:color w:val="000000"/>
                <w:sz w:val="18"/>
                <w:szCs w:val="18"/>
                <w:lang w:val="es-CO" w:eastAsia="en-US"/>
              </w:rPr>
              <w:t>2016-I</w:t>
            </w:r>
          </w:p>
        </w:tc>
        <w:tc>
          <w:tcPr>
            <w:tcW w:w="577" w:type="pct"/>
            <w:tcBorders>
              <w:top w:val="nil"/>
              <w:left w:val="nil"/>
              <w:bottom w:val="dashed" w:sz="8" w:space="0" w:color="D9D9D9"/>
              <w:right w:val="dashed" w:sz="8" w:space="0" w:color="D9D9D9"/>
            </w:tcBorders>
            <w:noWrap/>
            <w:vAlign w:val="center"/>
            <w:hideMark/>
          </w:tcPr>
          <w:p w:rsidR="009A6ABE" w:rsidRPr="00A21B5C" w:rsidRDefault="009A6ABE" w:rsidP="00A21B5C">
            <w:pPr>
              <w:contextualSpacing/>
              <w:jc w:val="center"/>
              <w:rPr>
                <w:rFonts w:ascii="Arial" w:eastAsia="Times New Roman" w:hAnsi="Arial" w:cs="Arial"/>
                <w:color w:val="000000"/>
                <w:sz w:val="18"/>
                <w:szCs w:val="18"/>
                <w:lang w:val="es-CO" w:eastAsia="en-US"/>
              </w:rPr>
            </w:pPr>
            <w:r w:rsidRPr="00A21B5C">
              <w:rPr>
                <w:rFonts w:ascii="Arial" w:eastAsia="Times New Roman" w:hAnsi="Arial" w:cs="Arial"/>
                <w:color w:val="000000"/>
                <w:sz w:val="18"/>
                <w:szCs w:val="18"/>
                <w:lang w:val="es-CO" w:eastAsia="en-US"/>
              </w:rPr>
              <w:t>$0</w:t>
            </w:r>
          </w:p>
        </w:tc>
        <w:tc>
          <w:tcPr>
            <w:tcW w:w="634" w:type="pct"/>
            <w:tcBorders>
              <w:top w:val="nil"/>
              <w:left w:val="nil"/>
              <w:bottom w:val="dashed" w:sz="8" w:space="0" w:color="D9D9D9"/>
              <w:right w:val="dashed" w:sz="8" w:space="0" w:color="D9D9D9"/>
            </w:tcBorders>
            <w:vAlign w:val="center"/>
            <w:hideMark/>
          </w:tcPr>
          <w:p w:rsidR="009A6ABE" w:rsidRPr="00A21B5C" w:rsidRDefault="009A6ABE" w:rsidP="00A21B5C">
            <w:pPr>
              <w:contextualSpacing/>
              <w:jc w:val="center"/>
              <w:rPr>
                <w:rFonts w:ascii="Arial" w:eastAsia="Times New Roman" w:hAnsi="Arial" w:cs="Arial"/>
                <w:color w:val="000000"/>
                <w:sz w:val="18"/>
                <w:szCs w:val="18"/>
                <w:lang w:val="es-CO" w:eastAsia="en-US"/>
              </w:rPr>
            </w:pPr>
            <w:r w:rsidRPr="00A21B5C">
              <w:rPr>
                <w:rFonts w:ascii="Arial" w:eastAsia="Times New Roman" w:hAnsi="Arial" w:cs="Arial"/>
                <w:color w:val="000000"/>
                <w:sz w:val="18"/>
                <w:szCs w:val="18"/>
                <w:lang w:val="es-CO" w:eastAsia="en-US"/>
              </w:rPr>
              <w:t>$0</w:t>
            </w:r>
          </w:p>
        </w:tc>
        <w:tc>
          <w:tcPr>
            <w:tcW w:w="609" w:type="pct"/>
            <w:tcBorders>
              <w:top w:val="nil"/>
              <w:left w:val="nil"/>
              <w:bottom w:val="dashed" w:sz="8" w:space="0" w:color="D9D9D9"/>
              <w:right w:val="single" w:sz="8" w:space="0" w:color="auto"/>
            </w:tcBorders>
            <w:vAlign w:val="center"/>
            <w:hideMark/>
          </w:tcPr>
          <w:p w:rsidR="009A6ABE" w:rsidRPr="00A21B5C" w:rsidRDefault="009A6ABE" w:rsidP="00A21B5C">
            <w:pPr>
              <w:contextualSpacing/>
              <w:jc w:val="center"/>
              <w:rPr>
                <w:rFonts w:ascii="Arial" w:eastAsia="Times New Roman" w:hAnsi="Arial" w:cs="Arial"/>
                <w:color w:val="000000"/>
                <w:sz w:val="18"/>
                <w:szCs w:val="18"/>
                <w:lang w:val="es-CO" w:eastAsia="en-US"/>
              </w:rPr>
            </w:pPr>
            <w:r w:rsidRPr="00A21B5C">
              <w:rPr>
                <w:rFonts w:ascii="Arial" w:eastAsia="Times New Roman" w:hAnsi="Arial" w:cs="Arial"/>
                <w:color w:val="000000"/>
                <w:sz w:val="18"/>
                <w:szCs w:val="18"/>
                <w:lang w:val="es-CO" w:eastAsia="en-US"/>
              </w:rPr>
              <w:t>$0</w:t>
            </w:r>
          </w:p>
        </w:tc>
        <w:tc>
          <w:tcPr>
            <w:tcW w:w="642" w:type="pct"/>
            <w:tcBorders>
              <w:top w:val="nil"/>
              <w:left w:val="nil"/>
              <w:bottom w:val="dashed" w:sz="8" w:space="0" w:color="D9D9D9"/>
              <w:right w:val="dashed" w:sz="8" w:space="0" w:color="D9D9D9"/>
            </w:tcBorders>
            <w:vAlign w:val="center"/>
          </w:tcPr>
          <w:p w:rsidR="009A6ABE" w:rsidRPr="00A21B5C" w:rsidRDefault="009A6ABE" w:rsidP="00A21B5C">
            <w:pPr>
              <w:contextualSpacing/>
              <w:jc w:val="center"/>
              <w:rPr>
                <w:rFonts w:ascii="Arial" w:eastAsia="Times New Roman" w:hAnsi="Arial" w:cs="Arial"/>
                <w:color w:val="000000"/>
                <w:sz w:val="18"/>
                <w:szCs w:val="18"/>
                <w:lang w:val="es-CO" w:eastAsia="en-US"/>
              </w:rPr>
            </w:pPr>
            <w:r w:rsidRPr="00A21B5C">
              <w:rPr>
                <w:rFonts w:ascii="Arial" w:eastAsia="Times New Roman" w:hAnsi="Arial" w:cs="Arial"/>
                <w:color w:val="000000"/>
                <w:sz w:val="18"/>
                <w:szCs w:val="18"/>
                <w:lang w:val="es-CO" w:eastAsia="en-US"/>
              </w:rPr>
              <w:t>-</w:t>
            </w:r>
          </w:p>
        </w:tc>
        <w:tc>
          <w:tcPr>
            <w:tcW w:w="653" w:type="pct"/>
            <w:gridSpan w:val="2"/>
            <w:tcBorders>
              <w:top w:val="nil"/>
              <w:left w:val="nil"/>
              <w:bottom w:val="dashed" w:sz="8" w:space="0" w:color="D9D9D9"/>
              <w:right w:val="dashed" w:sz="8" w:space="0" w:color="D9D9D9"/>
            </w:tcBorders>
            <w:vAlign w:val="center"/>
            <w:hideMark/>
          </w:tcPr>
          <w:p w:rsidR="009A6ABE" w:rsidRPr="00A21B5C" w:rsidRDefault="009A6ABE" w:rsidP="00A21B5C">
            <w:pPr>
              <w:contextualSpacing/>
              <w:jc w:val="center"/>
              <w:rPr>
                <w:rFonts w:ascii="Arial" w:eastAsia="Times New Roman" w:hAnsi="Arial" w:cs="Arial"/>
                <w:color w:val="000000"/>
                <w:sz w:val="18"/>
                <w:szCs w:val="18"/>
                <w:lang w:val="es-CO" w:eastAsia="en-US"/>
              </w:rPr>
            </w:pPr>
            <w:r w:rsidRPr="00A21B5C">
              <w:rPr>
                <w:rFonts w:ascii="Arial" w:eastAsia="Times New Roman" w:hAnsi="Arial" w:cs="Arial"/>
                <w:color w:val="000000"/>
                <w:sz w:val="18"/>
                <w:szCs w:val="18"/>
                <w:lang w:val="es-CO" w:eastAsia="en-US"/>
              </w:rPr>
              <w:t>-</w:t>
            </w:r>
          </w:p>
        </w:tc>
        <w:tc>
          <w:tcPr>
            <w:tcW w:w="704" w:type="pct"/>
            <w:gridSpan w:val="3"/>
            <w:tcBorders>
              <w:top w:val="nil"/>
              <w:left w:val="nil"/>
              <w:bottom w:val="dashed" w:sz="8" w:space="0" w:color="D9D9D9"/>
              <w:right w:val="single" w:sz="8" w:space="0" w:color="auto"/>
            </w:tcBorders>
            <w:vAlign w:val="center"/>
            <w:hideMark/>
          </w:tcPr>
          <w:p w:rsidR="009A6ABE" w:rsidRPr="00A21B5C" w:rsidRDefault="009A6ABE" w:rsidP="00A21B5C">
            <w:pPr>
              <w:contextualSpacing/>
              <w:jc w:val="center"/>
              <w:rPr>
                <w:rFonts w:ascii="Arial" w:eastAsia="Times New Roman" w:hAnsi="Arial" w:cs="Arial"/>
                <w:color w:val="000000"/>
                <w:sz w:val="18"/>
                <w:szCs w:val="18"/>
                <w:lang w:val="es-CO" w:eastAsia="en-US"/>
              </w:rPr>
            </w:pPr>
            <w:r w:rsidRPr="00A21B5C">
              <w:rPr>
                <w:rFonts w:ascii="Arial" w:eastAsia="Times New Roman" w:hAnsi="Arial" w:cs="Arial"/>
                <w:color w:val="000000"/>
                <w:sz w:val="18"/>
                <w:szCs w:val="18"/>
                <w:lang w:val="es-CO" w:eastAsia="en-US"/>
              </w:rPr>
              <w:t>-</w:t>
            </w:r>
          </w:p>
        </w:tc>
        <w:tc>
          <w:tcPr>
            <w:tcW w:w="706" w:type="pct"/>
            <w:tcBorders>
              <w:top w:val="nil"/>
              <w:left w:val="nil"/>
              <w:bottom w:val="nil"/>
              <w:right w:val="single" w:sz="8" w:space="0" w:color="auto"/>
            </w:tcBorders>
            <w:vAlign w:val="center"/>
            <w:hideMark/>
          </w:tcPr>
          <w:p w:rsidR="009A6ABE" w:rsidRPr="00A21B5C" w:rsidRDefault="009A6ABE" w:rsidP="00A21B5C">
            <w:pPr>
              <w:spacing w:before="40" w:after="40"/>
              <w:contextualSpacing/>
              <w:jc w:val="center"/>
              <w:rPr>
                <w:rFonts w:ascii="Arial" w:eastAsia="Times New Roman" w:hAnsi="Arial" w:cs="Arial"/>
                <w:color w:val="000000"/>
                <w:sz w:val="18"/>
                <w:szCs w:val="18"/>
                <w:lang w:val="es-CO" w:eastAsia="en-US"/>
              </w:rPr>
            </w:pPr>
            <w:r w:rsidRPr="00A21B5C">
              <w:rPr>
                <w:rFonts w:ascii="Arial" w:eastAsia="Times New Roman" w:hAnsi="Arial" w:cs="Arial"/>
                <w:color w:val="000000"/>
                <w:sz w:val="18"/>
                <w:szCs w:val="18"/>
                <w:lang w:val="es-CO" w:eastAsia="en-US"/>
              </w:rPr>
              <w:t>El reporte de FUT, para 2016-I presenta un Excel con ceros</w:t>
            </w:r>
          </w:p>
        </w:tc>
      </w:tr>
      <w:tr w:rsidR="00947DC2" w:rsidRPr="00A21B5C" w:rsidTr="009805C8">
        <w:trPr>
          <w:trHeight w:val="588"/>
          <w:jc w:val="center"/>
        </w:trPr>
        <w:tc>
          <w:tcPr>
            <w:tcW w:w="475" w:type="pct"/>
            <w:tcBorders>
              <w:top w:val="nil"/>
              <w:left w:val="single" w:sz="8" w:space="0" w:color="auto"/>
              <w:bottom w:val="single" w:sz="8" w:space="0" w:color="000000"/>
              <w:right w:val="single" w:sz="8" w:space="0" w:color="auto"/>
            </w:tcBorders>
            <w:noWrap/>
            <w:vAlign w:val="center"/>
            <w:hideMark/>
          </w:tcPr>
          <w:p w:rsidR="009A6ABE" w:rsidRPr="00A21B5C" w:rsidRDefault="009A6ABE" w:rsidP="00A21B5C">
            <w:pPr>
              <w:contextualSpacing/>
              <w:jc w:val="center"/>
              <w:rPr>
                <w:rFonts w:ascii="Arial" w:eastAsia="Times New Roman" w:hAnsi="Arial" w:cs="Arial"/>
                <w:color w:val="000000"/>
                <w:sz w:val="18"/>
                <w:szCs w:val="18"/>
                <w:lang w:val="es-CO" w:eastAsia="en-US"/>
              </w:rPr>
            </w:pPr>
            <w:r w:rsidRPr="00A21B5C">
              <w:rPr>
                <w:rFonts w:ascii="Arial" w:eastAsia="Times New Roman" w:hAnsi="Arial" w:cs="Arial"/>
                <w:color w:val="000000"/>
                <w:sz w:val="18"/>
                <w:szCs w:val="18"/>
                <w:lang w:val="es-CO" w:eastAsia="en-US"/>
              </w:rPr>
              <w:t>2016-II</w:t>
            </w:r>
          </w:p>
        </w:tc>
        <w:tc>
          <w:tcPr>
            <w:tcW w:w="577" w:type="pct"/>
            <w:tcBorders>
              <w:top w:val="nil"/>
              <w:left w:val="nil"/>
              <w:bottom w:val="single" w:sz="8" w:space="0" w:color="000000"/>
              <w:right w:val="dashed" w:sz="8" w:space="0" w:color="D9D9D9"/>
            </w:tcBorders>
            <w:noWrap/>
            <w:vAlign w:val="center"/>
            <w:hideMark/>
          </w:tcPr>
          <w:p w:rsidR="009A6ABE" w:rsidRPr="00A21B5C" w:rsidRDefault="009A6ABE" w:rsidP="00A21B5C">
            <w:pPr>
              <w:contextualSpacing/>
              <w:jc w:val="center"/>
              <w:rPr>
                <w:rFonts w:ascii="Arial" w:eastAsia="Times New Roman" w:hAnsi="Arial" w:cs="Arial"/>
                <w:color w:val="FF0000"/>
                <w:sz w:val="18"/>
                <w:szCs w:val="18"/>
                <w:lang w:val="es-CO" w:eastAsia="en-US"/>
              </w:rPr>
            </w:pPr>
            <w:r w:rsidRPr="00A21B5C">
              <w:rPr>
                <w:rFonts w:ascii="Arial" w:eastAsia="Times New Roman" w:hAnsi="Arial" w:cs="Arial"/>
                <w:color w:val="FF0000"/>
                <w:sz w:val="18"/>
                <w:szCs w:val="18"/>
                <w:lang w:val="es-CO" w:eastAsia="en-US"/>
              </w:rPr>
              <w:t>No reportó</w:t>
            </w:r>
          </w:p>
        </w:tc>
        <w:tc>
          <w:tcPr>
            <w:tcW w:w="634" w:type="pct"/>
            <w:tcBorders>
              <w:top w:val="nil"/>
              <w:left w:val="nil"/>
              <w:bottom w:val="single" w:sz="8" w:space="0" w:color="000000"/>
              <w:right w:val="dashed" w:sz="8" w:space="0" w:color="D9D9D9"/>
            </w:tcBorders>
            <w:vAlign w:val="center"/>
            <w:hideMark/>
          </w:tcPr>
          <w:p w:rsidR="009A6ABE" w:rsidRPr="00A21B5C" w:rsidRDefault="009A6ABE" w:rsidP="00A21B5C">
            <w:pPr>
              <w:contextualSpacing/>
              <w:jc w:val="center"/>
              <w:rPr>
                <w:rFonts w:ascii="Arial" w:eastAsia="Times New Roman" w:hAnsi="Arial" w:cs="Arial"/>
                <w:color w:val="FF0000"/>
                <w:sz w:val="18"/>
                <w:szCs w:val="18"/>
                <w:lang w:val="es-CO" w:eastAsia="en-US"/>
              </w:rPr>
            </w:pPr>
            <w:r w:rsidRPr="00A21B5C">
              <w:rPr>
                <w:rFonts w:ascii="Arial" w:eastAsia="Times New Roman" w:hAnsi="Arial" w:cs="Arial"/>
                <w:color w:val="FF0000"/>
                <w:sz w:val="18"/>
                <w:szCs w:val="18"/>
                <w:lang w:val="es-CO" w:eastAsia="en-US"/>
              </w:rPr>
              <w:t>No reportó</w:t>
            </w:r>
          </w:p>
        </w:tc>
        <w:tc>
          <w:tcPr>
            <w:tcW w:w="609" w:type="pct"/>
            <w:tcBorders>
              <w:top w:val="nil"/>
              <w:left w:val="nil"/>
              <w:bottom w:val="single" w:sz="8" w:space="0" w:color="000000"/>
              <w:right w:val="single" w:sz="8" w:space="0" w:color="auto"/>
            </w:tcBorders>
            <w:vAlign w:val="center"/>
            <w:hideMark/>
          </w:tcPr>
          <w:p w:rsidR="009A6ABE" w:rsidRPr="00A21B5C" w:rsidRDefault="009A6ABE" w:rsidP="00A21B5C">
            <w:pPr>
              <w:contextualSpacing/>
              <w:jc w:val="center"/>
              <w:rPr>
                <w:rFonts w:ascii="Arial" w:eastAsia="Times New Roman" w:hAnsi="Arial" w:cs="Arial"/>
                <w:color w:val="FF0000"/>
                <w:sz w:val="18"/>
                <w:szCs w:val="18"/>
                <w:lang w:val="es-CO" w:eastAsia="en-US"/>
              </w:rPr>
            </w:pPr>
            <w:r w:rsidRPr="00A21B5C">
              <w:rPr>
                <w:rFonts w:ascii="Arial" w:eastAsia="Times New Roman" w:hAnsi="Arial" w:cs="Arial"/>
                <w:color w:val="FF0000"/>
                <w:sz w:val="18"/>
                <w:szCs w:val="18"/>
                <w:lang w:val="es-CO" w:eastAsia="en-US"/>
              </w:rPr>
              <w:t>No reportó</w:t>
            </w:r>
          </w:p>
        </w:tc>
        <w:tc>
          <w:tcPr>
            <w:tcW w:w="642" w:type="pct"/>
            <w:tcBorders>
              <w:top w:val="nil"/>
              <w:left w:val="nil"/>
              <w:bottom w:val="single" w:sz="8" w:space="0" w:color="000000"/>
              <w:right w:val="dashed" w:sz="8" w:space="0" w:color="D9D9D9"/>
            </w:tcBorders>
            <w:vAlign w:val="center"/>
          </w:tcPr>
          <w:p w:rsidR="009A6ABE" w:rsidRPr="00A21B5C" w:rsidRDefault="009A6ABE" w:rsidP="00A21B5C">
            <w:pPr>
              <w:contextualSpacing/>
              <w:jc w:val="center"/>
              <w:rPr>
                <w:rFonts w:ascii="Arial" w:eastAsia="Times New Roman" w:hAnsi="Arial" w:cs="Arial"/>
                <w:color w:val="000000"/>
                <w:sz w:val="18"/>
                <w:szCs w:val="18"/>
                <w:lang w:val="es-CO" w:eastAsia="en-US"/>
              </w:rPr>
            </w:pPr>
            <w:r w:rsidRPr="00A21B5C">
              <w:rPr>
                <w:rFonts w:ascii="Arial" w:eastAsia="Times New Roman" w:hAnsi="Arial" w:cs="Arial"/>
                <w:color w:val="000000"/>
                <w:sz w:val="18"/>
                <w:szCs w:val="18"/>
                <w:lang w:val="es-CO" w:eastAsia="en-US"/>
              </w:rPr>
              <w:t>$2.220.413.730</w:t>
            </w:r>
          </w:p>
        </w:tc>
        <w:tc>
          <w:tcPr>
            <w:tcW w:w="653" w:type="pct"/>
            <w:gridSpan w:val="2"/>
            <w:tcBorders>
              <w:top w:val="nil"/>
              <w:left w:val="nil"/>
              <w:bottom w:val="single" w:sz="8" w:space="0" w:color="000000"/>
              <w:right w:val="dashed" w:sz="8" w:space="0" w:color="D9D9D9"/>
            </w:tcBorders>
            <w:vAlign w:val="center"/>
            <w:hideMark/>
          </w:tcPr>
          <w:p w:rsidR="009A6ABE" w:rsidRPr="00A21B5C" w:rsidRDefault="009A6ABE" w:rsidP="00A21B5C">
            <w:pPr>
              <w:contextualSpacing/>
              <w:jc w:val="center"/>
              <w:rPr>
                <w:rFonts w:ascii="Arial" w:eastAsia="Times New Roman" w:hAnsi="Arial" w:cs="Arial"/>
                <w:color w:val="000000"/>
                <w:sz w:val="18"/>
                <w:szCs w:val="18"/>
                <w:lang w:val="es-CO" w:eastAsia="en-US"/>
              </w:rPr>
            </w:pPr>
            <w:r w:rsidRPr="00A21B5C">
              <w:rPr>
                <w:rFonts w:ascii="Arial" w:eastAsia="Times New Roman" w:hAnsi="Arial" w:cs="Arial"/>
                <w:color w:val="000000"/>
                <w:sz w:val="18"/>
                <w:szCs w:val="18"/>
                <w:lang w:val="es-CO" w:eastAsia="en-US"/>
              </w:rPr>
              <w:t>$1.103.852.937</w:t>
            </w:r>
          </w:p>
        </w:tc>
        <w:tc>
          <w:tcPr>
            <w:tcW w:w="704" w:type="pct"/>
            <w:gridSpan w:val="3"/>
            <w:tcBorders>
              <w:top w:val="nil"/>
              <w:left w:val="nil"/>
              <w:bottom w:val="single" w:sz="8" w:space="0" w:color="000000"/>
              <w:right w:val="single" w:sz="8" w:space="0" w:color="auto"/>
            </w:tcBorders>
            <w:vAlign w:val="center"/>
            <w:hideMark/>
          </w:tcPr>
          <w:p w:rsidR="009A6ABE" w:rsidRPr="00A21B5C" w:rsidRDefault="009A6ABE" w:rsidP="00A21B5C">
            <w:pPr>
              <w:contextualSpacing/>
              <w:jc w:val="center"/>
              <w:rPr>
                <w:rFonts w:ascii="Arial" w:eastAsia="Times New Roman" w:hAnsi="Arial" w:cs="Arial"/>
                <w:color w:val="000000"/>
                <w:sz w:val="18"/>
                <w:szCs w:val="18"/>
                <w:lang w:val="es-CO" w:eastAsia="en-US"/>
              </w:rPr>
            </w:pPr>
            <w:r w:rsidRPr="00A21B5C">
              <w:rPr>
                <w:rFonts w:ascii="Arial" w:eastAsia="Times New Roman" w:hAnsi="Arial" w:cs="Arial"/>
                <w:color w:val="000000"/>
                <w:sz w:val="18"/>
                <w:szCs w:val="18"/>
                <w:lang w:val="es-CO" w:eastAsia="en-US"/>
              </w:rPr>
              <w:t>$1.116.560.793</w:t>
            </w:r>
          </w:p>
        </w:tc>
        <w:tc>
          <w:tcPr>
            <w:tcW w:w="706" w:type="pct"/>
            <w:tcBorders>
              <w:top w:val="nil"/>
              <w:left w:val="nil"/>
              <w:bottom w:val="single" w:sz="8" w:space="0" w:color="000000"/>
              <w:right w:val="single" w:sz="8" w:space="0" w:color="auto"/>
            </w:tcBorders>
            <w:vAlign w:val="center"/>
            <w:hideMark/>
          </w:tcPr>
          <w:p w:rsidR="009A6ABE" w:rsidRPr="00A21B5C" w:rsidRDefault="008764EC" w:rsidP="00A21B5C">
            <w:pPr>
              <w:spacing w:before="40" w:after="40"/>
              <w:contextualSpacing/>
              <w:jc w:val="center"/>
              <w:rPr>
                <w:rFonts w:ascii="Arial" w:eastAsia="Times New Roman" w:hAnsi="Arial" w:cs="Arial"/>
                <w:color w:val="000000"/>
                <w:sz w:val="18"/>
                <w:szCs w:val="18"/>
                <w:lang w:val="es-CO" w:eastAsia="en-US"/>
              </w:rPr>
            </w:pPr>
            <w:r w:rsidRPr="00A21B5C">
              <w:rPr>
                <w:rFonts w:ascii="Arial" w:eastAsia="Times New Roman" w:hAnsi="Arial" w:cs="Arial"/>
                <w:color w:val="000000"/>
                <w:sz w:val="18"/>
                <w:szCs w:val="18"/>
                <w:lang w:val="es-CO" w:eastAsia="en-US"/>
              </w:rPr>
              <w:t>No reportó información al cierre de la vigencia.</w:t>
            </w:r>
          </w:p>
        </w:tc>
      </w:tr>
      <w:tr w:rsidR="00947DC2" w:rsidRPr="00A21B5C" w:rsidTr="009805C8">
        <w:trPr>
          <w:trHeight w:val="558"/>
          <w:jc w:val="center"/>
        </w:trPr>
        <w:tc>
          <w:tcPr>
            <w:tcW w:w="475" w:type="pct"/>
            <w:tcBorders>
              <w:top w:val="nil"/>
              <w:left w:val="single" w:sz="8" w:space="0" w:color="auto"/>
              <w:bottom w:val="dashed" w:sz="8" w:space="0" w:color="D9D9D9"/>
              <w:right w:val="single" w:sz="8" w:space="0" w:color="auto"/>
            </w:tcBorders>
            <w:noWrap/>
            <w:vAlign w:val="center"/>
            <w:hideMark/>
          </w:tcPr>
          <w:p w:rsidR="009A6ABE" w:rsidRPr="00A21B5C" w:rsidRDefault="009A6ABE" w:rsidP="00A21B5C">
            <w:pPr>
              <w:contextualSpacing/>
              <w:jc w:val="center"/>
              <w:rPr>
                <w:rFonts w:ascii="Arial" w:eastAsia="Times New Roman" w:hAnsi="Arial" w:cs="Arial"/>
                <w:color w:val="000000"/>
                <w:sz w:val="18"/>
                <w:szCs w:val="18"/>
                <w:lang w:val="es-CO" w:eastAsia="en-US"/>
              </w:rPr>
            </w:pPr>
            <w:r w:rsidRPr="00A21B5C">
              <w:rPr>
                <w:rFonts w:ascii="Arial" w:eastAsia="Times New Roman" w:hAnsi="Arial" w:cs="Arial"/>
                <w:color w:val="000000"/>
                <w:sz w:val="18"/>
                <w:szCs w:val="18"/>
                <w:lang w:val="es-CO" w:eastAsia="en-US"/>
              </w:rPr>
              <w:t>2017-I</w:t>
            </w:r>
          </w:p>
        </w:tc>
        <w:tc>
          <w:tcPr>
            <w:tcW w:w="577" w:type="pct"/>
            <w:tcBorders>
              <w:top w:val="nil"/>
              <w:left w:val="nil"/>
              <w:bottom w:val="dashed" w:sz="8" w:space="0" w:color="D9D9D9"/>
              <w:right w:val="dashed" w:sz="8" w:space="0" w:color="D9D9D9"/>
            </w:tcBorders>
            <w:noWrap/>
            <w:vAlign w:val="center"/>
            <w:hideMark/>
          </w:tcPr>
          <w:p w:rsidR="009A6ABE" w:rsidRPr="00A21B5C" w:rsidRDefault="009A6ABE" w:rsidP="00A21B5C">
            <w:pPr>
              <w:contextualSpacing/>
              <w:jc w:val="center"/>
              <w:rPr>
                <w:rFonts w:ascii="Arial" w:eastAsia="Times New Roman" w:hAnsi="Arial" w:cs="Arial"/>
                <w:color w:val="000000"/>
                <w:sz w:val="18"/>
                <w:szCs w:val="18"/>
                <w:lang w:val="es-CO" w:eastAsia="en-US"/>
              </w:rPr>
            </w:pPr>
            <w:r w:rsidRPr="00A21B5C">
              <w:rPr>
                <w:rFonts w:ascii="Arial" w:eastAsia="Times New Roman" w:hAnsi="Arial" w:cs="Arial"/>
                <w:color w:val="000000"/>
                <w:sz w:val="18"/>
                <w:szCs w:val="18"/>
                <w:lang w:val="es-CO" w:eastAsia="en-US"/>
              </w:rPr>
              <w:t>$472.235.376</w:t>
            </w:r>
          </w:p>
        </w:tc>
        <w:tc>
          <w:tcPr>
            <w:tcW w:w="634" w:type="pct"/>
            <w:tcBorders>
              <w:top w:val="nil"/>
              <w:left w:val="nil"/>
              <w:bottom w:val="dashed" w:sz="8" w:space="0" w:color="D9D9D9"/>
              <w:right w:val="dashed" w:sz="8" w:space="0" w:color="D9D9D9"/>
            </w:tcBorders>
            <w:vAlign w:val="center"/>
            <w:hideMark/>
          </w:tcPr>
          <w:p w:rsidR="009A6ABE" w:rsidRPr="00A21B5C" w:rsidRDefault="009A6ABE" w:rsidP="00A21B5C">
            <w:pPr>
              <w:contextualSpacing/>
              <w:jc w:val="center"/>
              <w:rPr>
                <w:rFonts w:ascii="Arial" w:eastAsia="Times New Roman" w:hAnsi="Arial" w:cs="Arial"/>
                <w:color w:val="000000"/>
                <w:sz w:val="18"/>
                <w:szCs w:val="18"/>
                <w:lang w:val="es-CO" w:eastAsia="en-US"/>
              </w:rPr>
            </w:pPr>
            <w:r w:rsidRPr="00A21B5C">
              <w:rPr>
                <w:rFonts w:ascii="Arial" w:eastAsia="Times New Roman" w:hAnsi="Arial" w:cs="Arial"/>
                <w:color w:val="000000"/>
                <w:sz w:val="18"/>
                <w:szCs w:val="18"/>
                <w:lang w:val="es-CO" w:eastAsia="en-US"/>
              </w:rPr>
              <w:t>$0</w:t>
            </w:r>
          </w:p>
        </w:tc>
        <w:tc>
          <w:tcPr>
            <w:tcW w:w="609" w:type="pct"/>
            <w:tcBorders>
              <w:top w:val="nil"/>
              <w:left w:val="nil"/>
              <w:bottom w:val="dashed" w:sz="8" w:space="0" w:color="D9D9D9"/>
              <w:right w:val="single" w:sz="8" w:space="0" w:color="auto"/>
            </w:tcBorders>
            <w:vAlign w:val="center"/>
            <w:hideMark/>
          </w:tcPr>
          <w:p w:rsidR="009A6ABE" w:rsidRPr="00A21B5C" w:rsidRDefault="009A6ABE" w:rsidP="00A21B5C">
            <w:pPr>
              <w:contextualSpacing/>
              <w:jc w:val="center"/>
              <w:rPr>
                <w:rFonts w:ascii="Arial" w:eastAsia="Times New Roman" w:hAnsi="Arial" w:cs="Arial"/>
                <w:color w:val="000000"/>
                <w:sz w:val="18"/>
                <w:szCs w:val="18"/>
                <w:lang w:val="es-CO" w:eastAsia="en-US"/>
              </w:rPr>
            </w:pPr>
            <w:r w:rsidRPr="00A21B5C">
              <w:rPr>
                <w:rFonts w:ascii="Arial" w:eastAsia="Times New Roman" w:hAnsi="Arial" w:cs="Arial"/>
                <w:color w:val="000000"/>
                <w:sz w:val="18"/>
                <w:szCs w:val="18"/>
                <w:lang w:val="es-CO" w:eastAsia="en-US"/>
              </w:rPr>
              <w:t>$472.235.376</w:t>
            </w:r>
          </w:p>
        </w:tc>
        <w:tc>
          <w:tcPr>
            <w:tcW w:w="642" w:type="pct"/>
            <w:tcBorders>
              <w:top w:val="nil"/>
              <w:left w:val="nil"/>
              <w:bottom w:val="dashed" w:sz="8" w:space="0" w:color="D9D9D9"/>
              <w:right w:val="dashed" w:sz="8" w:space="0" w:color="D9D9D9"/>
            </w:tcBorders>
            <w:vAlign w:val="center"/>
          </w:tcPr>
          <w:p w:rsidR="009A6ABE" w:rsidRPr="00A21B5C" w:rsidRDefault="009A6ABE" w:rsidP="00A21B5C">
            <w:pPr>
              <w:contextualSpacing/>
              <w:jc w:val="center"/>
              <w:rPr>
                <w:rFonts w:ascii="Arial" w:eastAsia="Times New Roman" w:hAnsi="Arial" w:cs="Arial"/>
                <w:color w:val="000000"/>
                <w:sz w:val="18"/>
                <w:szCs w:val="18"/>
                <w:lang w:val="es-CO" w:eastAsia="en-US"/>
              </w:rPr>
            </w:pPr>
            <w:r w:rsidRPr="00A21B5C">
              <w:rPr>
                <w:rFonts w:ascii="Arial" w:eastAsia="Times New Roman" w:hAnsi="Arial" w:cs="Arial"/>
                <w:color w:val="000000"/>
                <w:sz w:val="18"/>
                <w:szCs w:val="18"/>
                <w:lang w:val="es-CO" w:eastAsia="en-US"/>
              </w:rPr>
              <w:t>-</w:t>
            </w:r>
          </w:p>
        </w:tc>
        <w:tc>
          <w:tcPr>
            <w:tcW w:w="653" w:type="pct"/>
            <w:gridSpan w:val="2"/>
            <w:tcBorders>
              <w:top w:val="nil"/>
              <w:left w:val="nil"/>
              <w:bottom w:val="dashed" w:sz="8" w:space="0" w:color="D9D9D9"/>
              <w:right w:val="dashed" w:sz="8" w:space="0" w:color="D9D9D9"/>
            </w:tcBorders>
            <w:vAlign w:val="center"/>
            <w:hideMark/>
          </w:tcPr>
          <w:p w:rsidR="009A6ABE" w:rsidRPr="00A21B5C" w:rsidRDefault="009A6ABE" w:rsidP="00A21B5C">
            <w:pPr>
              <w:contextualSpacing/>
              <w:jc w:val="center"/>
              <w:rPr>
                <w:rFonts w:ascii="Arial" w:eastAsia="Times New Roman" w:hAnsi="Arial" w:cs="Arial"/>
                <w:color w:val="000000"/>
                <w:sz w:val="18"/>
                <w:szCs w:val="18"/>
                <w:lang w:val="es-CO" w:eastAsia="en-US"/>
              </w:rPr>
            </w:pPr>
            <w:r w:rsidRPr="00A21B5C">
              <w:rPr>
                <w:rFonts w:ascii="Arial" w:eastAsia="Times New Roman" w:hAnsi="Arial" w:cs="Arial"/>
                <w:color w:val="000000"/>
                <w:sz w:val="18"/>
                <w:szCs w:val="18"/>
                <w:lang w:val="es-CO" w:eastAsia="en-US"/>
              </w:rPr>
              <w:t>-</w:t>
            </w:r>
          </w:p>
        </w:tc>
        <w:tc>
          <w:tcPr>
            <w:tcW w:w="704" w:type="pct"/>
            <w:gridSpan w:val="3"/>
            <w:tcBorders>
              <w:top w:val="nil"/>
              <w:left w:val="nil"/>
              <w:bottom w:val="dashed" w:sz="8" w:space="0" w:color="D9D9D9"/>
              <w:right w:val="single" w:sz="8" w:space="0" w:color="auto"/>
            </w:tcBorders>
            <w:vAlign w:val="center"/>
            <w:hideMark/>
          </w:tcPr>
          <w:p w:rsidR="009A6ABE" w:rsidRPr="00A21B5C" w:rsidRDefault="009A6ABE" w:rsidP="00A21B5C">
            <w:pPr>
              <w:contextualSpacing/>
              <w:jc w:val="center"/>
              <w:rPr>
                <w:rFonts w:ascii="Arial" w:eastAsia="Times New Roman" w:hAnsi="Arial" w:cs="Arial"/>
                <w:color w:val="000000"/>
                <w:sz w:val="18"/>
                <w:szCs w:val="18"/>
                <w:lang w:val="es-CO" w:eastAsia="en-US"/>
              </w:rPr>
            </w:pPr>
            <w:r w:rsidRPr="00A21B5C">
              <w:rPr>
                <w:rFonts w:ascii="Arial" w:eastAsia="Times New Roman" w:hAnsi="Arial" w:cs="Arial"/>
                <w:color w:val="000000"/>
                <w:sz w:val="18"/>
                <w:szCs w:val="18"/>
                <w:lang w:val="es-CO" w:eastAsia="en-US"/>
              </w:rPr>
              <w:t>-</w:t>
            </w:r>
          </w:p>
        </w:tc>
        <w:tc>
          <w:tcPr>
            <w:tcW w:w="706" w:type="pct"/>
            <w:vMerge w:val="restart"/>
            <w:tcBorders>
              <w:top w:val="nil"/>
              <w:left w:val="single" w:sz="8" w:space="0" w:color="auto"/>
              <w:bottom w:val="single" w:sz="8" w:space="0" w:color="000000"/>
              <w:right w:val="single" w:sz="8" w:space="0" w:color="auto"/>
            </w:tcBorders>
            <w:vAlign w:val="center"/>
            <w:hideMark/>
          </w:tcPr>
          <w:p w:rsidR="009A6ABE" w:rsidRPr="00A21B5C" w:rsidRDefault="008764EC" w:rsidP="00A21B5C">
            <w:pPr>
              <w:contextualSpacing/>
              <w:jc w:val="center"/>
              <w:rPr>
                <w:rFonts w:ascii="Arial" w:eastAsia="Times New Roman" w:hAnsi="Arial" w:cs="Arial"/>
                <w:color w:val="000000"/>
                <w:sz w:val="18"/>
                <w:szCs w:val="18"/>
                <w:lang w:val="es-CO" w:eastAsia="en-US"/>
              </w:rPr>
            </w:pPr>
            <w:r w:rsidRPr="00A21B5C">
              <w:rPr>
                <w:rFonts w:ascii="Arial" w:eastAsia="Times New Roman" w:hAnsi="Arial" w:cs="Arial"/>
                <w:color w:val="000000"/>
                <w:sz w:val="18"/>
                <w:szCs w:val="18"/>
                <w:lang w:val="es-CO" w:eastAsia="en-US"/>
              </w:rPr>
              <w:t xml:space="preserve">No reportó información al </w:t>
            </w:r>
            <w:r w:rsidRPr="00A21B5C">
              <w:rPr>
                <w:rFonts w:ascii="Arial" w:eastAsia="Times New Roman" w:hAnsi="Arial" w:cs="Arial"/>
                <w:color w:val="000000"/>
                <w:sz w:val="18"/>
                <w:szCs w:val="18"/>
                <w:lang w:val="es-CO" w:eastAsia="en-US"/>
              </w:rPr>
              <w:lastRenderedPageBreak/>
              <w:t>cierre de la vigencia.</w:t>
            </w:r>
          </w:p>
        </w:tc>
      </w:tr>
      <w:tr w:rsidR="00947DC2" w:rsidRPr="00A21B5C" w:rsidTr="00613441">
        <w:trPr>
          <w:trHeight w:val="550"/>
          <w:jc w:val="center"/>
        </w:trPr>
        <w:tc>
          <w:tcPr>
            <w:tcW w:w="475" w:type="pct"/>
            <w:tcBorders>
              <w:top w:val="nil"/>
              <w:left w:val="single" w:sz="8" w:space="0" w:color="auto"/>
              <w:bottom w:val="single" w:sz="4" w:space="0" w:color="auto"/>
              <w:right w:val="single" w:sz="8" w:space="0" w:color="auto"/>
            </w:tcBorders>
            <w:noWrap/>
            <w:vAlign w:val="center"/>
            <w:hideMark/>
          </w:tcPr>
          <w:p w:rsidR="009A6ABE" w:rsidRPr="00A21B5C" w:rsidRDefault="009A6ABE" w:rsidP="00A21B5C">
            <w:pPr>
              <w:contextualSpacing/>
              <w:jc w:val="center"/>
              <w:rPr>
                <w:rFonts w:ascii="Arial" w:eastAsia="Times New Roman" w:hAnsi="Arial" w:cs="Arial"/>
                <w:color w:val="000000"/>
                <w:sz w:val="18"/>
                <w:szCs w:val="18"/>
                <w:lang w:val="es-CO" w:eastAsia="en-US"/>
              </w:rPr>
            </w:pPr>
            <w:r w:rsidRPr="00A21B5C">
              <w:rPr>
                <w:rFonts w:ascii="Arial" w:eastAsia="Times New Roman" w:hAnsi="Arial" w:cs="Arial"/>
                <w:color w:val="000000"/>
                <w:sz w:val="18"/>
                <w:szCs w:val="18"/>
                <w:lang w:val="es-CO" w:eastAsia="en-US"/>
              </w:rPr>
              <w:lastRenderedPageBreak/>
              <w:t>2017-II</w:t>
            </w:r>
          </w:p>
        </w:tc>
        <w:tc>
          <w:tcPr>
            <w:tcW w:w="577" w:type="pct"/>
            <w:tcBorders>
              <w:top w:val="nil"/>
              <w:left w:val="nil"/>
              <w:bottom w:val="single" w:sz="4" w:space="0" w:color="auto"/>
              <w:right w:val="dashed" w:sz="8" w:space="0" w:color="D9D9D9"/>
            </w:tcBorders>
            <w:noWrap/>
            <w:vAlign w:val="center"/>
            <w:hideMark/>
          </w:tcPr>
          <w:p w:rsidR="009A6ABE" w:rsidRPr="00A21B5C" w:rsidRDefault="009A6ABE" w:rsidP="00A21B5C">
            <w:pPr>
              <w:contextualSpacing/>
              <w:jc w:val="center"/>
              <w:rPr>
                <w:rFonts w:ascii="Arial" w:eastAsia="Times New Roman" w:hAnsi="Arial" w:cs="Arial"/>
                <w:color w:val="FF0000"/>
                <w:sz w:val="18"/>
                <w:szCs w:val="18"/>
                <w:lang w:val="es-CO" w:eastAsia="en-US"/>
              </w:rPr>
            </w:pPr>
            <w:r w:rsidRPr="00A21B5C">
              <w:rPr>
                <w:rFonts w:ascii="Arial" w:eastAsia="Times New Roman" w:hAnsi="Arial" w:cs="Arial"/>
                <w:color w:val="FF0000"/>
                <w:sz w:val="18"/>
                <w:szCs w:val="18"/>
                <w:lang w:val="es-CO" w:eastAsia="en-US"/>
              </w:rPr>
              <w:t>No reportó</w:t>
            </w:r>
          </w:p>
        </w:tc>
        <w:tc>
          <w:tcPr>
            <w:tcW w:w="634" w:type="pct"/>
            <w:tcBorders>
              <w:top w:val="nil"/>
              <w:left w:val="nil"/>
              <w:bottom w:val="single" w:sz="4" w:space="0" w:color="auto"/>
              <w:right w:val="dashed" w:sz="8" w:space="0" w:color="D9D9D9"/>
            </w:tcBorders>
            <w:vAlign w:val="center"/>
            <w:hideMark/>
          </w:tcPr>
          <w:p w:rsidR="009A6ABE" w:rsidRPr="00A21B5C" w:rsidRDefault="009A6ABE" w:rsidP="00A21B5C">
            <w:pPr>
              <w:contextualSpacing/>
              <w:jc w:val="center"/>
              <w:rPr>
                <w:rFonts w:ascii="Arial" w:eastAsia="Times New Roman" w:hAnsi="Arial" w:cs="Arial"/>
                <w:color w:val="FF0000"/>
                <w:sz w:val="18"/>
                <w:szCs w:val="18"/>
                <w:lang w:val="es-CO" w:eastAsia="en-US"/>
              </w:rPr>
            </w:pPr>
            <w:r w:rsidRPr="00A21B5C">
              <w:rPr>
                <w:rFonts w:ascii="Arial" w:eastAsia="Times New Roman" w:hAnsi="Arial" w:cs="Arial"/>
                <w:color w:val="FF0000"/>
                <w:sz w:val="18"/>
                <w:szCs w:val="18"/>
                <w:lang w:val="es-CO" w:eastAsia="en-US"/>
              </w:rPr>
              <w:t>No reportó</w:t>
            </w:r>
          </w:p>
        </w:tc>
        <w:tc>
          <w:tcPr>
            <w:tcW w:w="609" w:type="pct"/>
            <w:tcBorders>
              <w:top w:val="nil"/>
              <w:left w:val="nil"/>
              <w:bottom w:val="single" w:sz="4" w:space="0" w:color="auto"/>
              <w:right w:val="single" w:sz="8" w:space="0" w:color="auto"/>
            </w:tcBorders>
            <w:vAlign w:val="center"/>
            <w:hideMark/>
          </w:tcPr>
          <w:p w:rsidR="009A6ABE" w:rsidRPr="00A21B5C" w:rsidRDefault="009A6ABE" w:rsidP="00A21B5C">
            <w:pPr>
              <w:contextualSpacing/>
              <w:jc w:val="center"/>
              <w:rPr>
                <w:rFonts w:ascii="Arial" w:eastAsia="Times New Roman" w:hAnsi="Arial" w:cs="Arial"/>
                <w:color w:val="FF0000"/>
                <w:sz w:val="18"/>
                <w:szCs w:val="18"/>
                <w:lang w:val="es-CO" w:eastAsia="en-US"/>
              </w:rPr>
            </w:pPr>
            <w:r w:rsidRPr="00A21B5C">
              <w:rPr>
                <w:rFonts w:ascii="Arial" w:eastAsia="Times New Roman" w:hAnsi="Arial" w:cs="Arial"/>
                <w:color w:val="FF0000"/>
                <w:sz w:val="18"/>
                <w:szCs w:val="18"/>
                <w:lang w:val="es-CO" w:eastAsia="en-US"/>
              </w:rPr>
              <w:t>No reportó</w:t>
            </w:r>
          </w:p>
        </w:tc>
        <w:tc>
          <w:tcPr>
            <w:tcW w:w="642" w:type="pct"/>
            <w:tcBorders>
              <w:top w:val="nil"/>
              <w:left w:val="nil"/>
              <w:bottom w:val="single" w:sz="4" w:space="0" w:color="auto"/>
              <w:right w:val="dashed" w:sz="8" w:space="0" w:color="D9D9D9"/>
            </w:tcBorders>
            <w:vAlign w:val="center"/>
          </w:tcPr>
          <w:p w:rsidR="009A6ABE" w:rsidRPr="00A21B5C" w:rsidRDefault="009A6ABE" w:rsidP="00A21B5C">
            <w:pPr>
              <w:contextualSpacing/>
              <w:jc w:val="center"/>
              <w:rPr>
                <w:rFonts w:ascii="Arial" w:eastAsia="Times New Roman" w:hAnsi="Arial" w:cs="Arial"/>
                <w:color w:val="000000"/>
                <w:sz w:val="18"/>
                <w:szCs w:val="18"/>
                <w:lang w:val="es-CO" w:eastAsia="en-US"/>
              </w:rPr>
            </w:pPr>
            <w:r w:rsidRPr="00A21B5C">
              <w:rPr>
                <w:rFonts w:ascii="Arial" w:eastAsia="Times New Roman" w:hAnsi="Arial" w:cs="Arial"/>
                <w:color w:val="000000"/>
                <w:sz w:val="18"/>
                <w:szCs w:val="18"/>
                <w:lang w:val="es-CO" w:eastAsia="en-US"/>
              </w:rPr>
              <w:t>$2.792.841.518</w:t>
            </w:r>
          </w:p>
        </w:tc>
        <w:tc>
          <w:tcPr>
            <w:tcW w:w="653" w:type="pct"/>
            <w:gridSpan w:val="2"/>
            <w:tcBorders>
              <w:top w:val="nil"/>
              <w:left w:val="nil"/>
              <w:bottom w:val="single" w:sz="4" w:space="0" w:color="auto"/>
              <w:right w:val="dashed" w:sz="8" w:space="0" w:color="D9D9D9"/>
            </w:tcBorders>
            <w:vAlign w:val="center"/>
            <w:hideMark/>
          </w:tcPr>
          <w:p w:rsidR="009A6ABE" w:rsidRPr="00A21B5C" w:rsidRDefault="009A6ABE" w:rsidP="00A21B5C">
            <w:pPr>
              <w:contextualSpacing/>
              <w:jc w:val="center"/>
              <w:rPr>
                <w:rFonts w:ascii="Arial" w:eastAsia="Times New Roman" w:hAnsi="Arial" w:cs="Arial"/>
                <w:color w:val="000000"/>
                <w:sz w:val="18"/>
                <w:szCs w:val="18"/>
                <w:lang w:val="es-CO" w:eastAsia="en-US"/>
              </w:rPr>
            </w:pPr>
            <w:r w:rsidRPr="00A21B5C">
              <w:rPr>
                <w:rFonts w:ascii="Arial" w:eastAsia="Times New Roman" w:hAnsi="Arial" w:cs="Arial"/>
                <w:color w:val="000000"/>
                <w:sz w:val="18"/>
                <w:szCs w:val="18"/>
                <w:lang w:val="es-CO" w:eastAsia="en-US"/>
              </w:rPr>
              <w:t>$738.916.858</w:t>
            </w:r>
          </w:p>
        </w:tc>
        <w:tc>
          <w:tcPr>
            <w:tcW w:w="704" w:type="pct"/>
            <w:gridSpan w:val="3"/>
            <w:tcBorders>
              <w:top w:val="nil"/>
              <w:left w:val="nil"/>
              <w:bottom w:val="single" w:sz="4" w:space="0" w:color="auto"/>
              <w:right w:val="single" w:sz="8" w:space="0" w:color="auto"/>
            </w:tcBorders>
            <w:vAlign w:val="center"/>
            <w:hideMark/>
          </w:tcPr>
          <w:p w:rsidR="009A6ABE" w:rsidRPr="00A21B5C" w:rsidRDefault="009A6ABE" w:rsidP="00A21B5C">
            <w:pPr>
              <w:contextualSpacing/>
              <w:jc w:val="center"/>
              <w:rPr>
                <w:rFonts w:ascii="Arial" w:eastAsia="Times New Roman" w:hAnsi="Arial" w:cs="Arial"/>
                <w:color w:val="000000"/>
                <w:sz w:val="18"/>
                <w:szCs w:val="18"/>
                <w:lang w:val="es-CO" w:eastAsia="en-US"/>
              </w:rPr>
            </w:pPr>
            <w:r w:rsidRPr="00A21B5C">
              <w:rPr>
                <w:rFonts w:ascii="Arial" w:eastAsia="Times New Roman" w:hAnsi="Arial" w:cs="Arial"/>
                <w:color w:val="000000"/>
                <w:sz w:val="18"/>
                <w:szCs w:val="18"/>
                <w:lang w:val="es-CO" w:eastAsia="en-US"/>
              </w:rPr>
              <w:t>$2.053.924.659</w:t>
            </w:r>
          </w:p>
        </w:tc>
        <w:tc>
          <w:tcPr>
            <w:tcW w:w="706" w:type="pct"/>
            <w:vMerge/>
            <w:tcBorders>
              <w:top w:val="nil"/>
              <w:left w:val="single" w:sz="8" w:space="0" w:color="auto"/>
              <w:bottom w:val="single" w:sz="4" w:space="0" w:color="auto"/>
              <w:right w:val="single" w:sz="8" w:space="0" w:color="auto"/>
            </w:tcBorders>
            <w:vAlign w:val="center"/>
            <w:hideMark/>
          </w:tcPr>
          <w:p w:rsidR="009A6ABE" w:rsidRPr="00A21B5C" w:rsidRDefault="009A6ABE" w:rsidP="00A21B5C">
            <w:pPr>
              <w:contextualSpacing/>
              <w:rPr>
                <w:rFonts w:ascii="Arial" w:eastAsia="Times New Roman" w:hAnsi="Arial" w:cs="Arial"/>
                <w:color w:val="000000"/>
                <w:sz w:val="18"/>
                <w:szCs w:val="18"/>
                <w:lang w:val="es-CO" w:eastAsia="en-US"/>
              </w:rPr>
            </w:pPr>
          </w:p>
        </w:tc>
      </w:tr>
      <w:tr w:rsidR="00947DC2" w:rsidRPr="00A21B5C" w:rsidTr="00613441">
        <w:trPr>
          <w:trHeight w:val="856"/>
          <w:jc w:val="center"/>
        </w:trPr>
        <w:tc>
          <w:tcPr>
            <w:tcW w:w="475" w:type="pct"/>
            <w:tcBorders>
              <w:top w:val="single" w:sz="4" w:space="0" w:color="auto"/>
              <w:left w:val="single" w:sz="4" w:space="0" w:color="auto"/>
              <w:bottom w:val="dashed" w:sz="4" w:space="0" w:color="BFBFBF" w:themeColor="background1" w:themeShade="BF"/>
              <w:right w:val="single" w:sz="4" w:space="0" w:color="auto"/>
            </w:tcBorders>
            <w:noWrap/>
            <w:vAlign w:val="center"/>
            <w:hideMark/>
          </w:tcPr>
          <w:p w:rsidR="009A6ABE" w:rsidRPr="00A21B5C" w:rsidRDefault="009A6ABE" w:rsidP="00A21B5C">
            <w:pPr>
              <w:contextualSpacing/>
              <w:jc w:val="center"/>
              <w:rPr>
                <w:rFonts w:ascii="Arial" w:eastAsia="Times New Roman" w:hAnsi="Arial" w:cs="Arial"/>
                <w:color w:val="000000"/>
                <w:sz w:val="18"/>
                <w:szCs w:val="18"/>
                <w:lang w:val="es-CO" w:eastAsia="en-US"/>
              </w:rPr>
            </w:pPr>
            <w:r w:rsidRPr="00A21B5C">
              <w:rPr>
                <w:rFonts w:ascii="Arial" w:eastAsia="Times New Roman" w:hAnsi="Arial" w:cs="Arial"/>
                <w:color w:val="000000"/>
                <w:sz w:val="18"/>
                <w:szCs w:val="18"/>
                <w:lang w:val="es-CO" w:eastAsia="en-US"/>
              </w:rPr>
              <w:t>2018-I</w:t>
            </w:r>
          </w:p>
        </w:tc>
        <w:tc>
          <w:tcPr>
            <w:tcW w:w="577" w:type="pct"/>
            <w:tcBorders>
              <w:top w:val="single" w:sz="4" w:space="0" w:color="auto"/>
              <w:left w:val="single" w:sz="4" w:space="0" w:color="auto"/>
              <w:bottom w:val="dashed" w:sz="8" w:space="0" w:color="D9D9D9"/>
              <w:right w:val="dashed" w:sz="8" w:space="0" w:color="D9D9D9"/>
            </w:tcBorders>
            <w:noWrap/>
            <w:vAlign w:val="center"/>
            <w:hideMark/>
          </w:tcPr>
          <w:p w:rsidR="009A6ABE" w:rsidRPr="00A21B5C" w:rsidRDefault="009A6ABE" w:rsidP="00A21B5C">
            <w:pPr>
              <w:contextualSpacing/>
              <w:jc w:val="center"/>
              <w:rPr>
                <w:rFonts w:ascii="Arial" w:eastAsia="Times New Roman" w:hAnsi="Arial" w:cs="Arial"/>
                <w:color w:val="000000"/>
                <w:sz w:val="18"/>
                <w:szCs w:val="18"/>
                <w:lang w:val="es-CO" w:eastAsia="en-US"/>
              </w:rPr>
            </w:pPr>
            <w:r w:rsidRPr="00A21B5C">
              <w:rPr>
                <w:rFonts w:ascii="Arial" w:eastAsia="Times New Roman" w:hAnsi="Arial" w:cs="Arial"/>
                <w:color w:val="000000"/>
                <w:sz w:val="18"/>
                <w:szCs w:val="18"/>
                <w:lang w:val="es-CO" w:eastAsia="en-US"/>
              </w:rPr>
              <w:t>$0</w:t>
            </w:r>
          </w:p>
        </w:tc>
        <w:tc>
          <w:tcPr>
            <w:tcW w:w="634" w:type="pct"/>
            <w:tcBorders>
              <w:top w:val="single" w:sz="4" w:space="0" w:color="auto"/>
              <w:left w:val="dashed" w:sz="8" w:space="0" w:color="D9D9D9"/>
              <w:bottom w:val="dashed" w:sz="8" w:space="0" w:color="D9D9D9"/>
              <w:right w:val="dashed" w:sz="8" w:space="0" w:color="D9D9D9"/>
            </w:tcBorders>
            <w:vAlign w:val="center"/>
            <w:hideMark/>
          </w:tcPr>
          <w:p w:rsidR="009A6ABE" w:rsidRPr="00A21B5C" w:rsidRDefault="009A6ABE" w:rsidP="00A21B5C">
            <w:pPr>
              <w:contextualSpacing/>
              <w:jc w:val="center"/>
              <w:rPr>
                <w:rFonts w:ascii="Arial" w:eastAsia="Times New Roman" w:hAnsi="Arial" w:cs="Arial"/>
                <w:color w:val="000000"/>
                <w:sz w:val="18"/>
                <w:szCs w:val="18"/>
                <w:lang w:val="es-CO" w:eastAsia="en-US"/>
              </w:rPr>
            </w:pPr>
            <w:r w:rsidRPr="00A21B5C">
              <w:rPr>
                <w:rFonts w:ascii="Arial" w:eastAsia="Times New Roman" w:hAnsi="Arial" w:cs="Arial"/>
                <w:color w:val="000000"/>
                <w:sz w:val="18"/>
                <w:szCs w:val="18"/>
                <w:lang w:val="es-CO" w:eastAsia="en-US"/>
              </w:rPr>
              <w:t>$0</w:t>
            </w:r>
          </w:p>
        </w:tc>
        <w:tc>
          <w:tcPr>
            <w:tcW w:w="609" w:type="pct"/>
            <w:tcBorders>
              <w:top w:val="single" w:sz="4" w:space="0" w:color="auto"/>
              <w:left w:val="dashed" w:sz="8" w:space="0" w:color="D9D9D9"/>
              <w:bottom w:val="dashed" w:sz="8" w:space="0" w:color="D9D9D9"/>
              <w:right w:val="single" w:sz="8" w:space="0" w:color="auto"/>
            </w:tcBorders>
            <w:vAlign w:val="center"/>
            <w:hideMark/>
          </w:tcPr>
          <w:p w:rsidR="009A6ABE" w:rsidRPr="00A21B5C" w:rsidRDefault="009A6ABE" w:rsidP="00A21B5C">
            <w:pPr>
              <w:contextualSpacing/>
              <w:jc w:val="center"/>
              <w:rPr>
                <w:rFonts w:ascii="Arial" w:eastAsia="Times New Roman" w:hAnsi="Arial" w:cs="Arial"/>
                <w:color w:val="000000"/>
                <w:sz w:val="18"/>
                <w:szCs w:val="18"/>
                <w:lang w:val="es-CO" w:eastAsia="en-US"/>
              </w:rPr>
            </w:pPr>
            <w:r w:rsidRPr="00A21B5C">
              <w:rPr>
                <w:rFonts w:ascii="Arial" w:eastAsia="Times New Roman" w:hAnsi="Arial" w:cs="Arial"/>
                <w:color w:val="000000"/>
                <w:sz w:val="18"/>
                <w:szCs w:val="18"/>
                <w:lang w:val="es-CO" w:eastAsia="en-US"/>
              </w:rPr>
              <w:t>$0</w:t>
            </w:r>
          </w:p>
        </w:tc>
        <w:tc>
          <w:tcPr>
            <w:tcW w:w="642" w:type="pct"/>
            <w:tcBorders>
              <w:top w:val="single" w:sz="4" w:space="0" w:color="auto"/>
              <w:left w:val="single" w:sz="8" w:space="0" w:color="auto"/>
              <w:bottom w:val="dashed" w:sz="8" w:space="0" w:color="D9D9D9"/>
              <w:right w:val="dashed" w:sz="8" w:space="0" w:color="D9D9D9"/>
            </w:tcBorders>
            <w:vAlign w:val="center"/>
          </w:tcPr>
          <w:p w:rsidR="009A6ABE" w:rsidRPr="00A21B5C" w:rsidRDefault="009A6ABE" w:rsidP="00A21B5C">
            <w:pPr>
              <w:contextualSpacing/>
              <w:jc w:val="center"/>
              <w:rPr>
                <w:rFonts w:ascii="Arial" w:eastAsia="Times New Roman" w:hAnsi="Arial" w:cs="Arial"/>
                <w:color w:val="000000"/>
                <w:sz w:val="18"/>
                <w:szCs w:val="18"/>
                <w:lang w:val="es-CO" w:eastAsia="en-US"/>
              </w:rPr>
            </w:pPr>
            <w:r w:rsidRPr="00A21B5C">
              <w:rPr>
                <w:rFonts w:ascii="Arial" w:eastAsia="Times New Roman" w:hAnsi="Arial" w:cs="Arial"/>
                <w:color w:val="000000"/>
                <w:sz w:val="18"/>
                <w:szCs w:val="18"/>
                <w:lang w:val="es-CO" w:eastAsia="en-US"/>
              </w:rPr>
              <w:t>-</w:t>
            </w:r>
          </w:p>
        </w:tc>
        <w:tc>
          <w:tcPr>
            <w:tcW w:w="653" w:type="pct"/>
            <w:gridSpan w:val="2"/>
            <w:tcBorders>
              <w:top w:val="single" w:sz="4" w:space="0" w:color="auto"/>
              <w:left w:val="dashed" w:sz="8" w:space="0" w:color="D9D9D9"/>
              <w:bottom w:val="dashed" w:sz="8" w:space="0" w:color="D9D9D9"/>
              <w:right w:val="dashed" w:sz="8" w:space="0" w:color="D9D9D9"/>
            </w:tcBorders>
            <w:vAlign w:val="center"/>
            <w:hideMark/>
          </w:tcPr>
          <w:p w:rsidR="009A6ABE" w:rsidRPr="00A21B5C" w:rsidRDefault="009A6ABE" w:rsidP="00A21B5C">
            <w:pPr>
              <w:contextualSpacing/>
              <w:jc w:val="center"/>
              <w:rPr>
                <w:rFonts w:ascii="Arial" w:eastAsia="Times New Roman" w:hAnsi="Arial" w:cs="Arial"/>
                <w:color w:val="000000"/>
                <w:sz w:val="18"/>
                <w:szCs w:val="18"/>
                <w:lang w:val="es-CO" w:eastAsia="en-US"/>
              </w:rPr>
            </w:pPr>
            <w:r w:rsidRPr="00A21B5C">
              <w:rPr>
                <w:rFonts w:ascii="Arial" w:eastAsia="Times New Roman" w:hAnsi="Arial" w:cs="Arial"/>
                <w:color w:val="000000"/>
                <w:sz w:val="18"/>
                <w:szCs w:val="18"/>
                <w:lang w:val="es-CO" w:eastAsia="en-US"/>
              </w:rPr>
              <w:t>-</w:t>
            </w:r>
          </w:p>
        </w:tc>
        <w:tc>
          <w:tcPr>
            <w:tcW w:w="704" w:type="pct"/>
            <w:gridSpan w:val="3"/>
            <w:tcBorders>
              <w:top w:val="single" w:sz="4" w:space="0" w:color="auto"/>
              <w:left w:val="dashed" w:sz="8" w:space="0" w:color="D9D9D9"/>
              <w:bottom w:val="dashed" w:sz="8" w:space="0" w:color="D9D9D9"/>
              <w:right w:val="single" w:sz="8" w:space="0" w:color="auto"/>
            </w:tcBorders>
            <w:vAlign w:val="center"/>
            <w:hideMark/>
          </w:tcPr>
          <w:p w:rsidR="009A6ABE" w:rsidRPr="00A21B5C" w:rsidRDefault="009A6ABE" w:rsidP="00A21B5C">
            <w:pPr>
              <w:contextualSpacing/>
              <w:jc w:val="center"/>
              <w:rPr>
                <w:rFonts w:ascii="Arial" w:eastAsia="Times New Roman" w:hAnsi="Arial" w:cs="Arial"/>
                <w:color w:val="000000"/>
                <w:sz w:val="18"/>
                <w:szCs w:val="18"/>
                <w:lang w:val="es-CO" w:eastAsia="en-US"/>
              </w:rPr>
            </w:pPr>
            <w:r w:rsidRPr="00A21B5C">
              <w:rPr>
                <w:rFonts w:ascii="Arial" w:eastAsia="Times New Roman" w:hAnsi="Arial" w:cs="Arial"/>
                <w:color w:val="000000"/>
                <w:sz w:val="18"/>
                <w:szCs w:val="18"/>
                <w:lang w:val="es-CO" w:eastAsia="en-US"/>
              </w:rPr>
              <w:t>-</w:t>
            </w:r>
          </w:p>
        </w:tc>
        <w:tc>
          <w:tcPr>
            <w:tcW w:w="706" w:type="pct"/>
            <w:tcBorders>
              <w:top w:val="single" w:sz="4" w:space="0" w:color="auto"/>
              <w:left w:val="single" w:sz="8" w:space="0" w:color="auto"/>
              <w:bottom w:val="single" w:sz="8" w:space="0" w:color="000000"/>
              <w:right w:val="single" w:sz="8" w:space="0" w:color="auto"/>
            </w:tcBorders>
            <w:vAlign w:val="center"/>
            <w:hideMark/>
          </w:tcPr>
          <w:p w:rsidR="009A6ABE" w:rsidRPr="00A21B5C" w:rsidRDefault="009A6ABE" w:rsidP="00A21B5C">
            <w:pPr>
              <w:spacing w:before="40" w:after="40"/>
              <w:contextualSpacing/>
              <w:jc w:val="center"/>
              <w:rPr>
                <w:rFonts w:ascii="Arial" w:eastAsia="Times New Roman" w:hAnsi="Arial" w:cs="Arial"/>
                <w:color w:val="000000"/>
                <w:sz w:val="18"/>
                <w:szCs w:val="18"/>
                <w:lang w:val="es-CO" w:eastAsia="en-US"/>
              </w:rPr>
            </w:pPr>
            <w:r w:rsidRPr="00A21B5C">
              <w:rPr>
                <w:rFonts w:ascii="Arial" w:eastAsia="Times New Roman" w:hAnsi="Arial" w:cs="Arial"/>
                <w:color w:val="000000"/>
                <w:sz w:val="18"/>
                <w:szCs w:val="18"/>
                <w:lang w:val="es-CO" w:eastAsia="en-US"/>
              </w:rPr>
              <w:t>El reporte de FUT, para 2018-I presenta un Excel con ceros.</w:t>
            </w:r>
          </w:p>
        </w:tc>
      </w:tr>
      <w:tr w:rsidR="00947DC2" w:rsidRPr="00A21B5C" w:rsidTr="009805C8">
        <w:trPr>
          <w:trHeight w:val="668"/>
          <w:jc w:val="center"/>
        </w:trPr>
        <w:tc>
          <w:tcPr>
            <w:tcW w:w="475" w:type="pct"/>
            <w:tcBorders>
              <w:top w:val="dashed" w:sz="4" w:space="0" w:color="BFBFBF" w:themeColor="background1" w:themeShade="BF"/>
              <w:left w:val="single" w:sz="4" w:space="0" w:color="auto"/>
              <w:bottom w:val="single" w:sz="4" w:space="0" w:color="auto"/>
              <w:right w:val="single" w:sz="4" w:space="0" w:color="auto"/>
            </w:tcBorders>
            <w:noWrap/>
            <w:vAlign w:val="center"/>
            <w:hideMark/>
          </w:tcPr>
          <w:p w:rsidR="009A6ABE" w:rsidRPr="00A21B5C" w:rsidRDefault="009A6ABE" w:rsidP="00A21B5C">
            <w:pPr>
              <w:contextualSpacing/>
              <w:jc w:val="center"/>
              <w:rPr>
                <w:rFonts w:ascii="Arial" w:eastAsia="Times New Roman" w:hAnsi="Arial" w:cs="Arial"/>
                <w:color w:val="000000"/>
                <w:sz w:val="18"/>
                <w:szCs w:val="18"/>
                <w:lang w:val="es-CO" w:eastAsia="en-US"/>
              </w:rPr>
            </w:pPr>
            <w:bookmarkStart w:id="2" w:name="_Hlk52872475"/>
            <w:r w:rsidRPr="00A21B5C">
              <w:rPr>
                <w:rFonts w:ascii="Arial" w:eastAsia="Times New Roman" w:hAnsi="Arial" w:cs="Arial"/>
                <w:color w:val="000000"/>
                <w:sz w:val="18"/>
                <w:szCs w:val="18"/>
                <w:lang w:val="es-CO" w:eastAsia="en-US"/>
              </w:rPr>
              <w:t>2018-II</w:t>
            </w:r>
          </w:p>
        </w:tc>
        <w:tc>
          <w:tcPr>
            <w:tcW w:w="577" w:type="pct"/>
            <w:tcBorders>
              <w:top w:val="nil"/>
              <w:left w:val="single" w:sz="4" w:space="0" w:color="auto"/>
              <w:bottom w:val="single" w:sz="8" w:space="0" w:color="000000"/>
              <w:right w:val="dashed" w:sz="8" w:space="0" w:color="D9D9D9"/>
            </w:tcBorders>
            <w:noWrap/>
            <w:vAlign w:val="center"/>
            <w:hideMark/>
          </w:tcPr>
          <w:p w:rsidR="009A6ABE" w:rsidRPr="00A21B5C" w:rsidRDefault="009A6ABE" w:rsidP="00A21B5C">
            <w:pPr>
              <w:contextualSpacing/>
              <w:jc w:val="center"/>
              <w:rPr>
                <w:rFonts w:ascii="Arial" w:eastAsia="Times New Roman" w:hAnsi="Arial" w:cs="Arial"/>
                <w:color w:val="000000"/>
                <w:sz w:val="18"/>
                <w:szCs w:val="18"/>
                <w:lang w:val="es-CO" w:eastAsia="en-US"/>
              </w:rPr>
            </w:pPr>
            <w:r w:rsidRPr="00A21B5C">
              <w:rPr>
                <w:rFonts w:ascii="Arial" w:eastAsia="Times New Roman" w:hAnsi="Arial" w:cs="Arial"/>
                <w:color w:val="000000"/>
                <w:sz w:val="18"/>
                <w:szCs w:val="18"/>
                <w:lang w:val="es-CO" w:eastAsia="en-US"/>
              </w:rPr>
              <w:t>$368.794.347</w:t>
            </w:r>
          </w:p>
        </w:tc>
        <w:tc>
          <w:tcPr>
            <w:tcW w:w="634" w:type="pct"/>
            <w:tcBorders>
              <w:top w:val="nil"/>
              <w:left w:val="nil"/>
              <w:bottom w:val="single" w:sz="8" w:space="0" w:color="000000"/>
              <w:right w:val="dashed" w:sz="8" w:space="0" w:color="D9D9D9"/>
            </w:tcBorders>
            <w:vAlign w:val="center"/>
            <w:hideMark/>
          </w:tcPr>
          <w:p w:rsidR="009A6ABE" w:rsidRPr="00A21B5C" w:rsidRDefault="009A6ABE" w:rsidP="00A21B5C">
            <w:pPr>
              <w:contextualSpacing/>
              <w:jc w:val="center"/>
              <w:rPr>
                <w:rFonts w:ascii="Arial" w:eastAsia="Times New Roman" w:hAnsi="Arial" w:cs="Arial"/>
                <w:color w:val="000000"/>
                <w:sz w:val="18"/>
                <w:szCs w:val="18"/>
                <w:lang w:val="es-CO" w:eastAsia="en-US"/>
              </w:rPr>
            </w:pPr>
            <w:r w:rsidRPr="00A21B5C">
              <w:rPr>
                <w:rFonts w:ascii="Arial" w:eastAsia="Times New Roman" w:hAnsi="Arial" w:cs="Arial"/>
                <w:color w:val="000000"/>
                <w:sz w:val="18"/>
                <w:szCs w:val="18"/>
                <w:lang w:val="es-CO" w:eastAsia="en-US"/>
              </w:rPr>
              <w:t>$368.794.347</w:t>
            </w:r>
          </w:p>
        </w:tc>
        <w:tc>
          <w:tcPr>
            <w:tcW w:w="609" w:type="pct"/>
            <w:tcBorders>
              <w:top w:val="nil"/>
              <w:left w:val="nil"/>
              <w:bottom w:val="single" w:sz="8" w:space="0" w:color="000000"/>
              <w:right w:val="single" w:sz="8" w:space="0" w:color="auto"/>
            </w:tcBorders>
            <w:vAlign w:val="center"/>
            <w:hideMark/>
          </w:tcPr>
          <w:p w:rsidR="009A6ABE" w:rsidRPr="00A21B5C" w:rsidRDefault="009A6ABE" w:rsidP="00A21B5C">
            <w:pPr>
              <w:contextualSpacing/>
              <w:jc w:val="center"/>
              <w:rPr>
                <w:rFonts w:ascii="Arial" w:eastAsia="Times New Roman" w:hAnsi="Arial" w:cs="Arial"/>
                <w:color w:val="000000"/>
                <w:sz w:val="18"/>
                <w:szCs w:val="18"/>
                <w:lang w:val="es-CO" w:eastAsia="en-US"/>
              </w:rPr>
            </w:pPr>
            <w:r w:rsidRPr="00A21B5C">
              <w:rPr>
                <w:rFonts w:ascii="Arial" w:eastAsia="Times New Roman" w:hAnsi="Arial" w:cs="Arial"/>
                <w:color w:val="000000"/>
                <w:sz w:val="18"/>
                <w:szCs w:val="18"/>
                <w:lang w:val="es-CO" w:eastAsia="en-US"/>
              </w:rPr>
              <w:t>$0</w:t>
            </w:r>
          </w:p>
        </w:tc>
        <w:tc>
          <w:tcPr>
            <w:tcW w:w="642" w:type="pct"/>
            <w:tcBorders>
              <w:top w:val="nil"/>
              <w:left w:val="nil"/>
              <w:bottom w:val="single" w:sz="8" w:space="0" w:color="000000"/>
              <w:right w:val="dashed" w:sz="8" w:space="0" w:color="D9D9D9"/>
            </w:tcBorders>
            <w:vAlign w:val="center"/>
          </w:tcPr>
          <w:p w:rsidR="009A6ABE" w:rsidRPr="00A21B5C" w:rsidRDefault="009A6ABE" w:rsidP="00A21B5C">
            <w:pPr>
              <w:contextualSpacing/>
              <w:jc w:val="center"/>
              <w:rPr>
                <w:rFonts w:ascii="Arial" w:eastAsia="Times New Roman" w:hAnsi="Arial" w:cs="Arial"/>
                <w:color w:val="000000"/>
                <w:sz w:val="18"/>
                <w:szCs w:val="18"/>
                <w:lang w:val="es-CO" w:eastAsia="en-US"/>
              </w:rPr>
            </w:pPr>
            <w:r w:rsidRPr="00A21B5C">
              <w:rPr>
                <w:rFonts w:ascii="Arial" w:eastAsia="Times New Roman" w:hAnsi="Arial" w:cs="Arial"/>
                <w:color w:val="000000"/>
                <w:sz w:val="18"/>
                <w:szCs w:val="18"/>
                <w:lang w:val="es-CO" w:eastAsia="en-US"/>
              </w:rPr>
              <w:t>$368.794.347</w:t>
            </w:r>
          </w:p>
        </w:tc>
        <w:tc>
          <w:tcPr>
            <w:tcW w:w="653" w:type="pct"/>
            <w:gridSpan w:val="2"/>
            <w:tcBorders>
              <w:top w:val="nil"/>
              <w:left w:val="nil"/>
              <w:bottom w:val="single" w:sz="8" w:space="0" w:color="000000"/>
              <w:right w:val="dashed" w:sz="8" w:space="0" w:color="D9D9D9"/>
            </w:tcBorders>
            <w:vAlign w:val="center"/>
            <w:hideMark/>
          </w:tcPr>
          <w:p w:rsidR="009A6ABE" w:rsidRPr="00A21B5C" w:rsidRDefault="005131A9" w:rsidP="00A21B5C">
            <w:pPr>
              <w:contextualSpacing/>
              <w:jc w:val="center"/>
              <w:rPr>
                <w:rFonts w:ascii="Arial" w:eastAsia="Times New Roman" w:hAnsi="Arial" w:cs="Arial"/>
                <w:color w:val="000000"/>
                <w:sz w:val="18"/>
                <w:szCs w:val="18"/>
                <w:lang w:val="es-CO" w:eastAsia="en-US"/>
              </w:rPr>
            </w:pPr>
            <w:r w:rsidRPr="00A21B5C">
              <w:rPr>
                <w:rFonts w:ascii="Arial" w:eastAsia="Times New Roman" w:hAnsi="Arial" w:cs="Arial"/>
                <w:color w:val="000000"/>
                <w:sz w:val="18"/>
                <w:szCs w:val="18"/>
                <w:lang w:val="es-CO" w:eastAsia="en-US"/>
              </w:rPr>
              <w:t>$368.794.347</w:t>
            </w:r>
          </w:p>
        </w:tc>
        <w:tc>
          <w:tcPr>
            <w:tcW w:w="704" w:type="pct"/>
            <w:gridSpan w:val="3"/>
            <w:tcBorders>
              <w:top w:val="nil"/>
              <w:left w:val="nil"/>
              <w:bottom w:val="single" w:sz="8" w:space="0" w:color="000000"/>
              <w:right w:val="single" w:sz="8" w:space="0" w:color="auto"/>
            </w:tcBorders>
            <w:vAlign w:val="center"/>
            <w:hideMark/>
          </w:tcPr>
          <w:p w:rsidR="009A6ABE" w:rsidRPr="00A21B5C" w:rsidRDefault="005131A9" w:rsidP="00A21B5C">
            <w:pPr>
              <w:contextualSpacing/>
              <w:jc w:val="center"/>
              <w:rPr>
                <w:rFonts w:ascii="Arial" w:eastAsia="Times New Roman" w:hAnsi="Arial" w:cs="Arial"/>
                <w:color w:val="000000"/>
                <w:sz w:val="18"/>
                <w:szCs w:val="18"/>
                <w:lang w:val="es-CO" w:eastAsia="en-US"/>
              </w:rPr>
            </w:pPr>
            <w:r w:rsidRPr="00A21B5C">
              <w:rPr>
                <w:rFonts w:ascii="Arial" w:eastAsia="Times New Roman" w:hAnsi="Arial" w:cs="Arial"/>
                <w:color w:val="000000"/>
                <w:sz w:val="18"/>
                <w:szCs w:val="18"/>
                <w:lang w:val="es-CO" w:eastAsia="en-US"/>
              </w:rPr>
              <w:t>$368.794.347</w:t>
            </w:r>
          </w:p>
        </w:tc>
        <w:tc>
          <w:tcPr>
            <w:tcW w:w="706" w:type="pct"/>
            <w:tcBorders>
              <w:top w:val="nil"/>
              <w:left w:val="single" w:sz="8" w:space="0" w:color="auto"/>
              <w:bottom w:val="single" w:sz="8" w:space="0" w:color="000000"/>
              <w:right w:val="single" w:sz="8" w:space="0" w:color="auto"/>
            </w:tcBorders>
            <w:vAlign w:val="center"/>
            <w:hideMark/>
          </w:tcPr>
          <w:p w:rsidR="009A6ABE" w:rsidRPr="00A21B5C" w:rsidRDefault="004A57A1" w:rsidP="00A21B5C">
            <w:pPr>
              <w:spacing w:before="40" w:after="40"/>
              <w:contextualSpacing/>
              <w:jc w:val="center"/>
              <w:rPr>
                <w:rFonts w:ascii="Arial" w:eastAsia="Times New Roman" w:hAnsi="Arial" w:cs="Arial"/>
                <w:color w:val="000000"/>
                <w:sz w:val="18"/>
                <w:szCs w:val="18"/>
                <w:lang w:val="es-CO" w:eastAsia="en-US"/>
              </w:rPr>
            </w:pPr>
            <w:r w:rsidRPr="00A21B5C">
              <w:rPr>
                <w:rFonts w:ascii="Arial" w:eastAsia="Times New Roman" w:hAnsi="Arial" w:cs="Arial"/>
                <w:color w:val="000000"/>
                <w:sz w:val="18"/>
                <w:szCs w:val="18"/>
                <w:lang w:val="es-CO" w:eastAsia="en-US"/>
              </w:rPr>
              <w:t>N</w:t>
            </w:r>
            <w:r w:rsidR="009A6ABE" w:rsidRPr="00A21B5C">
              <w:rPr>
                <w:rFonts w:ascii="Arial" w:eastAsia="Times New Roman" w:hAnsi="Arial" w:cs="Arial"/>
                <w:color w:val="000000"/>
                <w:sz w:val="18"/>
                <w:szCs w:val="18"/>
                <w:lang w:val="es-CO" w:eastAsia="en-US"/>
              </w:rPr>
              <w:t>o fueron reportaron los pagos realizados.</w:t>
            </w:r>
          </w:p>
        </w:tc>
      </w:tr>
    </w:tbl>
    <w:bookmarkEnd w:id="2"/>
    <w:p w:rsidR="008C2E4A" w:rsidRPr="00A21B5C" w:rsidRDefault="008C2E4A" w:rsidP="00A21B5C">
      <w:pPr>
        <w:contextualSpacing/>
        <w:jc w:val="center"/>
        <w:rPr>
          <w:rFonts w:ascii="Arial" w:hAnsi="Arial" w:cs="Arial"/>
          <w:sz w:val="20"/>
          <w:szCs w:val="20"/>
          <w:lang w:val="es-CO"/>
        </w:rPr>
      </w:pPr>
      <w:r w:rsidRPr="00A21B5C">
        <w:rPr>
          <w:rFonts w:ascii="Arial" w:hAnsi="Arial" w:cs="Arial"/>
          <w:b/>
          <w:sz w:val="20"/>
          <w:szCs w:val="20"/>
          <w:lang w:val="es-CO"/>
        </w:rPr>
        <w:t>Fuente:</w:t>
      </w:r>
      <w:r w:rsidRPr="00A21B5C">
        <w:rPr>
          <w:rFonts w:ascii="Arial" w:hAnsi="Arial" w:cs="Arial"/>
          <w:sz w:val="20"/>
          <w:szCs w:val="20"/>
          <w:lang w:val="es-CO"/>
        </w:rPr>
        <w:t xml:space="preserve"> Información Presupuestal aportada por el Municipio de Dibulla – La Guajira e información del FUT.</w:t>
      </w:r>
    </w:p>
    <w:p w:rsidR="008C2E4A" w:rsidRPr="00A21B5C" w:rsidRDefault="008C2E4A" w:rsidP="00A21B5C">
      <w:pPr>
        <w:contextualSpacing/>
        <w:rPr>
          <w:rFonts w:ascii="Arial" w:hAnsi="Arial" w:cs="Arial"/>
          <w:sz w:val="22"/>
          <w:szCs w:val="22"/>
          <w:lang w:val="es-CO"/>
        </w:rPr>
      </w:pPr>
    </w:p>
    <w:p w:rsidR="00822EE1" w:rsidRPr="00A21B5C" w:rsidRDefault="00D82D9A" w:rsidP="00A21B5C">
      <w:pPr>
        <w:tabs>
          <w:tab w:val="left" w:pos="8460"/>
        </w:tabs>
        <w:contextualSpacing/>
        <w:jc w:val="both"/>
        <w:rPr>
          <w:rFonts w:ascii="Arial" w:eastAsia="Calibri" w:hAnsi="Arial" w:cs="Arial"/>
          <w:bCs/>
          <w:sz w:val="22"/>
          <w:szCs w:val="22"/>
          <w:lang w:val="es-CO" w:eastAsia="en-US"/>
        </w:rPr>
      </w:pPr>
      <w:r w:rsidRPr="00A21B5C">
        <w:rPr>
          <w:rFonts w:ascii="Arial" w:eastAsia="Calibri" w:hAnsi="Arial" w:cs="Arial"/>
          <w:bCs/>
          <w:sz w:val="22"/>
          <w:szCs w:val="22"/>
          <w:lang w:val="es-CO" w:eastAsia="en-US"/>
        </w:rPr>
        <w:t xml:space="preserve">Como se </w:t>
      </w:r>
      <w:r w:rsidR="00B73DAD" w:rsidRPr="00A21B5C">
        <w:rPr>
          <w:rFonts w:ascii="Arial" w:eastAsia="Calibri" w:hAnsi="Arial" w:cs="Arial"/>
          <w:bCs/>
          <w:sz w:val="22"/>
          <w:szCs w:val="22"/>
          <w:lang w:val="es-CO" w:eastAsia="en-US"/>
        </w:rPr>
        <w:t>evidencia</w:t>
      </w:r>
      <w:r w:rsidRPr="00A21B5C">
        <w:rPr>
          <w:rFonts w:ascii="Arial" w:eastAsia="Calibri" w:hAnsi="Arial" w:cs="Arial"/>
          <w:bCs/>
          <w:sz w:val="22"/>
          <w:szCs w:val="22"/>
          <w:lang w:val="es-CO" w:eastAsia="en-US"/>
        </w:rPr>
        <w:t xml:space="preserve">, </w:t>
      </w:r>
      <w:r w:rsidR="006205B7" w:rsidRPr="00A21B5C">
        <w:rPr>
          <w:rFonts w:ascii="Arial" w:eastAsia="Calibri" w:hAnsi="Arial" w:cs="Arial"/>
          <w:bCs/>
          <w:sz w:val="22"/>
          <w:szCs w:val="22"/>
          <w:lang w:val="es-CO" w:eastAsia="en-US"/>
        </w:rPr>
        <w:t xml:space="preserve">no es posible cotejar </w:t>
      </w:r>
      <w:r w:rsidR="00547A8E" w:rsidRPr="00A21B5C">
        <w:rPr>
          <w:rFonts w:ascii="Arial" w:eastAsia="Calibri" w:hAnsi="Arial" w:cs="Arial"/>
          <w:bCs/>
          <w:sz w:val="22"/>
          <w:szCs w:val="22"/>
          <w:lang w:val="es-CO" w:eastAsia="en-US"/>
        </w:rPr>
        <w:t xml:space="preserve">a cabalidad </w:t>
      </w:r>
      <w:r w:rsidR="006205B7" w:rsidRPr="00A21B5C">
        <w:rPr>
          <w:rFonts w:ascii="Arial" w:eastAsia="Calibri" w:hAnsi="Arial" w:cs="Arial"/>
          <w:bCs/>
          <w:sz w:val="22"/>
          <w:szCs w:val="22"/>
          <w:lang w:val="es-CO" w:eastAsia="en-US"/>
        </w:rPr>
        <w:t xml:space="preserve">la correspondencia </w:t>
      </w:r>
      <w:r w:rsidR="00547A8E" w:rsidRPr="00A21B5C">
        <w:rPr>
          <w:rFonts w:ascii="Arial" w:eastAsia="Calibri" w:hAnsi="Arial" w:cs="Arial"/>
          <w:bCs/>
          <w:sz w:val="22"/>
          <w:szCs w:val="22"/>
          <w:lang w:val="es-CO" w:eastAsia="en-US"/>
        </w:rPr>
        <w:t>entre</w:t>
      </w:r>
      <w:r w:rsidR="009C174B" w:rsidRPr="00A21B5C">
        <w:rPr>
          <w:rFonts w:ascii="Arial" w:eastAsia="Calibri" w:hAnsi="Arial" w:cs="Arial"/>
          <w:bCs/>
          <w:sz w:val="22"/>
          <w:szCs w:val="22"/>
          <w:lang w:val="es-CO" w:eastAsia="en-US"/>
        </w:rPr>
        <w:t xml:space="preserve"> </w:t>
      </w:r>
      <w:r w:rsidR="006205B7" w:rsidRPr="00A21B5C">
        <w:rPr>
          <w:rFonts w:ascii="Arial" w:eastAsia="Calibri" w:hAnsi="Arial" w:cs="Arial"/>
          <w:bCs/>
          <w:sz w:val="22"/>
          <w:szCs w:val="22"/>
          <w:lang w:val="es-CO" w:eastAsia="en-US"/>
        </w:rPr>
        <w:t>la in</w:t>
      </w:r>
      <w:r w:rsidR="009C174B" w:rsidRPr="00A21B5C">
        <w:rPr>
          <w:rFonts w:ascii="Arial" w:eastAsia="Calibri" w:hAnsi="Arial" w:cs="Arial"/>
          <w:bCs/>
          <w:sz w:val="22"/>
          <w:szCs w:val="22"/>
          <w:lang w:val="es-CO" w:eastAsia="en-US"/>
        </w:rPr>
        <w:t>formación</w:t>
      </w:r>
      <w:r w:rsidR="00547A8E" w:rsidRPr="00A21B5C">
        <w:rPr>
          <w:rFonts w:ascii="Arial" w:eastAsia="Calibri" w:hAnsi="Arial" w:cs="Arial"/>
          <w:bCs/>
          <w:sz w:val="22"/>
          <w:szCs w:val="22"/>
          <w:lang w:val="es-CO" w:eastAsia="en-US"/>
        </w:rPr>
        <w:t xml:space="preserve"> presupuestal</w:t>
      </w:r>
      <w:r w:rsidR="009C174B" w:rsidRPr="00A21B5C">
        <w:rPr>
          <w:rFonts w:ascii="Arial" w:eastAsia="Calibri" w:hAnsi="Arial" w:cs="Arial"/>
          <w:bCs/>
          <w:sz w:val="22"/>
          <w:szCs w:val="22"/>
          <w:lang w:val="es-CO" w:eastAsia="en-US"/>
        </w:rPr>
        <w:t xml:space="preserve"> reportada </w:t>
      </w:r>
      <w:r w:rsidR="00547A8E" w:rsidRPr="00A21B5C">
        <w:rPr>
          <w:rFonts w:ascii="Arial" w:eastAsia="Calibri" w:hAnsi="Arial" w:cs="Arial"/>
          <w:bCs/>
          <w:sz w:val="22"/>
          <w:szCs w:val="22"/>
          <w:lang w:val="es-CO" w:eastAsia="en-US"/>
        </w:rPr>
        <w:t>y</w:t>
      </w:r>
      <w:r w:rsidR="009C174B" w:rsidRPr="00A21B5C">
        <w:rPr>
          <w:rFonts w:ascii="Arial" w:eastAsia="Calibri" w:hAnsi="Arial" w:cs="Arial"/>
          <w:bCs/>
          <w:sz w:val="22"/>
          <w:szCs w:val="22"/>
          <w:lang w:val="es-CO" w:eastAsia="en-US"/>
        </w:rPr>
        <w:t xml:space="preserve"> la información que la Entidad Territorial maneja en sus ejecuciones presupuestales, ya que de manera reiterada </w:t>
      </w:r>
      <w:r w:rsidR="003E6A9B" w:rsidRPr="00A21B5C">
        <w:rPr>
          <w:rFonts w:ascii="Arial" w:eastAsia="Calibri" w:hAnsi="Arial" w:cs="Arial"/>
          <w:bCs/>
          <w:sz w:val="22"/>
          <w:szCs w:val="22"/>
          <w:lang w:val="es-CO" w:eastAsia="en-US"/>
        </w:rPr>
        <w:t>el Municipio no reporta información de ingresos o gastos</w:t>
      </w:r>
      <w:r w:rsidR="00FA1FB2" w:rsidRPr="00A21B5C">
        <w:rPr>
          <w:rFonts w:ascii="Arial" w:eastAsia="Calibri" w:hAnsi="Arial" w:cs="Arial"/>
          <w:bCs/>
          <w:sz w:val="22"/>
          <w:szCs w:val="22"/>
          <w:lang w:val="es-CO" w:eastAsia="en-US"/>
        </w:rPr>
        <w:t xml:space="preserve"> al cierre de las vigencias</w:t>
      </w:r>
      <w:r w:rsidR="00822623" w:rsidRPr="00A21B5C">
        <w:rPr>
          <w:rFonts w:ascii="Arial" w:eastAsia="Calibri" w:hAnsi="Arial" w:cs="Arial"/>
          <w:bCs/>
          <w:sz w:val="22"/>
          <w:szCs w:val="22"/>
          <w:lang w:val="es-CO" w:eastAsia="en-US"/>
        </w:rPr>
        <w:t>,</w:t>
      </w:r>
      <w:r w:rsidR="003E6A9B" w:rsidRPr="00A21B5C">
        <w:rPr>
          <w:rFonts w:ascii="Arial" w:eastAsia="Calibri" w:hAnsi="Arial" w:cs="Arial"/>
          <w:bCs/>
          <w:sz w:val="22"/>
          <w:szCs w:val="22"/>
          <w:lang w:val="es-CO" w:eastAsia="en-US"/>
        </w:rPr>
        <w:t xml:space="preserve"> </w:t>
      </w:r>
      <w:r w:rsidR="00D91BC6" w:rsidRPr="00A21B5C">
        <w:rPr>
          <w:rFonts w:ascii="Arial" w:eastAsia="Calibri" w:hAnsi="Arial" w:cs="Arial"/>
          <w:bCs/>
          <w:sz w:val="22"/>
          <w:szCs w:val="22"/>
          <w:lang w:val="es-CO" w:eastAsia="en-US"/>
        </w:rPr>
        <w:t>en las Categorías Resguardos 1 y Resguardos 2</w:t>
      </w:r>
      <w:r w:rsidR="002F3E8D" w:rsidRPr="00A21B5C">
        <w:rPr>
          <w:rFonts w:ascii="Arial" w:eastAsia="Calibri" w:hAnsi="Arial" w:cs="Arial"/>
          <w:bCs/>
          <w:sz w:val="22"/>
          <w:szCs w:val="22"/>
          <w:lang w:val="es-CO" w:eastAsia="en-US"/>
        </w:rPr>
        <w:t xml:space="preserve"> respectivamente.</w:t>
      </w:r>
      <w:r w:rsidR="00666D68" w:rsidRPr="00A21B5C">
        <w:rPr>
          <w:rFonts w:ascii="Arial" w:eastAsia="Calibri" w:hAnsi="Arial" w:cs="Arial"/>
          <w:bCs/>
          <w:sz w:val="22"/>
          <w:szCs w:val="22"/>
          <w:lang w:val="es-CO" w:eastAsia="en-US"/>
        </w:rPr>
        <w:t xml:space="preserve"> Ahora, a</w:t>
      </w:r>
      <w:r w:rsidR="00D71CE3" w:rsidRPr="00A21B5C">
        <w:rPr>
          <w:rFonts w:ascii="Arial" w:eastAsia="Calibri" w:hAnsi="Arial" w:cs="Arial"/>
          <w:bCs/>
          <w:sz w:val="22"/>
          <w:szCs w:val="22"/>
          <w:lang w:val="es-CO" w:eastAsia="en-US"/>
        </w:rPr>
        <w:t xml:space="preserve">unque no se cuenta con información </w:t>
      </w:r>
      <w:r w:rsidR="00AB585A" w:rsidRPr="00A21B5C">
        <w:rPr>
          <w:rFonts w:ascii="Arial" w:eastAsia="Calibri" w:hAnsi="Arial" w:cs="Arial"/>
          <w:bCs/>
          <w:sz w:val="22"/>
          <w:szCs w:val="22"/>
          <w:lang w:val="es-CO" w:eastAsia="en-US"/>
        </w:rPr>
        <w:t>presupuestal</w:t>
      </w:r>
      <w:r w:rsidR="00D71CE3" w:rsidRPr="00A21B5C">
        <w:rPr>
          <w:rFonts w:ascii="Arial" w:eastAsia="Calibri" w:hAnsi="Arial" w:cs="Arial"/>
          <w:bCs/>
          <w:sz w:val="22"/>
          <w:szCs w:val="22"/>
          <w:lang w:val="es-CO" w:eastAsia="en-US"/>
        </w:rPr>
        <w:t xml:space="preserve"> </w:t>
      </w:r>
      <w:r w:rsidR="00AB585A" w:rsidRPr="00A21B5C">
        <w:rPr>
          <w:rFonts w:ascii="Arial" w:eastAsia="Calibri" w:hAnsi="Arial" w:cs="Arial"/>
          <w:bCs/>
          <w:sz w:val="22"/>
          <w:szCs w:val="22"/>
          <w:lang w:val="es-CO" w:eastAsia="en-US"/>
        </w:rPr>
        <w:t xml:space="preserve">del Municipio para realizar el contraste con la información reportada </w:t>
      </w:r>
      <w:r w:rsidR="00E47B59" w:rsidRPr="00A21B5C">
        <w:rPr>
          <w:rFonts w:ascii="Arial" w:eastAsia="Calibri" w:hAnsi="Arial" w:cs="Arial"/>
          <w:bCs/>
          <w:sz w:val="22"/>
          <w:szCs w:val="22"/>
          <w:lang w:val="es-CO" w:eastAsia="en-US"/>
        </w:rPr>
        <w:t>en las vigencias posteriores al periodo de análisis</w:t>
      </w:r>
      <w:r w:rsidR="0035586F" w:rsidRPr="00A21B5C">
        <w:rPr>
          <w:rFonts w:ascii="Arial" w:eastAsia="Calibri" w:hAnsi="Arial" w:cs="Arial"/>
          <w:bCs/>
          <w:sz w:val="22"/>
          <w:szCs w:val="22"/>
          <w:lang w:val="es-CO" w:eastAsia="en-US"/>
        </w:rPr>
        <w:t xml:space="preserve">, al verificar el reporte de la Entidad en el Formulario Único Territorial, </w:t>
      </w:r>
      <w:r w:rsidR="006B76C1" w:rsidRPr="00A21B5C">
        <w:rPr>
          <w:rFonts w:ascii="Arial" w:eastAsia="Calibri" w:hAnsi="Arial" w:cs="Arial"/>
          <w:bCs/>
          <w:sz w:val="22"/>
          <w:szCs w:val="22"/>
          <w:lang w:val="es-CO" w:eastAsia="en-US"/>
        </w:rPr>
        <w:t xml:space="preserve">fue posible evidenciar que el Municipio realizo </w:t>
      </w:r>
      <w:r w:rsidR="00E47B59" w:rsidRPr="00A21B5C">
        <w:rPr>
          <w:rFonts w:ascii="Arial" w:eastAsia="Calibri" w:hAnsi="Arial" w:cs="Arial"/>
          <w:bCs/>
          <w:sz w:val="22"/>
          <w:szCs w:val="22"/>
          <w:lang w:val="es-CO" w:eastAsia="en-US"/>
        </w:rPr>
        <w:t xml:space="preserve">el reporte de información para </w:t>
      </w:r>
      <w:r w:rsidR="007F6FF1" w:rsidRPr="00A21B5C">
        <w:rPr>
          <w:rFonts w:ascii="Arial" w:eastAsia="Calibri" w:hAnsi="Arial" w:cs="Arial"/>
          <w:bCs/>
          <w:sz w:val="22"/>
          <w:szCs w:val="22"/>
          <w:lang w:val="es-CO" w:eastAsia="en-US"/>
        </w:rPr>
        <w:t>e</w:t>
      </w:r>
      <w:r w:rsidR="0072501A" w:rsidRPr="00A21B5C">
        <w:rPr>
          <w:rFonts w:ascii="Arial" w:eastAsia="Calibri" w:hAnsi="Arial" w:cs="Arial"/>
          <w:bCs/>
          <w:sz w:val="22"/>
          <w:szCs w:val="22"/>
          <w:lang w:val="es-CO" w:eastAsia="en-US"/>
        </w:rPr>
        <w:t xml:space="preserve">l cierre de las vigencias 2019 y </w:t>
      </w:r>
      <w:r w:rsidR="00E47B59" w:rsidRPr="00A21B5C">
        <w:rPr>
          <w:rFonts w:ascii="Arial" w:eastAsia="Calibri" w:hAnsi="Arial" w:cs="Arial"/>
          <w:bCs/>
          <w:sz w:val="22"/>
          <w:szCs w:val="22"/>
          <w:lang w:val="es-CO" w:eastAsia="en-US"/>
        </w:rPr>
        <w:t>2020.</w:t>
      </w:r>
    </w:p>
    <w:p w:rsidR="00822EE1" w:rsidRPr="00A21B5C" w:rsidRDefault="00822EE1" w:rsidP="00A21B5C">
      <w:pPr>
        <w:tabs>
          <w:tab w:val="left" w:pos="8460"/>
        </w:tabs>
        <w:contextualSpacing/>
        <w:jc w:val="both"/>
        <w:rPr>
          <w:rFonts w:ascii="Arial" w:eastAsia="Calibri" w:hAnsi="Arial" w:cs="Arial"/>
          <w:bCs/>
          <w:sz w:val="22"/>
          <w:szCs w:val="22"/>
          <w:lang w:val="es-CO" w:eastAsia="en-US"/>
        </w:rPr>
      </w:pPr>
    </w:p>
    <w:p w:rsidR="00F47EE7" w:rsidRPr="00A21B5C" w:rsidRDefault="00822EE1" w:rsidP="00A21B5C">
      <w:pPr>
        <w:tabs>
          <w:tab w:val="left" w:pos="8460"/>
        </w:tabs>
        <w:contextualSpacing/>
        <w:jc w:val="both"/>
        <w:rPr>
          <w:rFonts w:ascii="Arial" w:eastAsia="Calibri" w:hAnsi="Arial" w:cs="Arial"/>
          <w:bCs/>
          <w:sz w:val="22"/>
          <w:szCs w:val="22"/>
          <w:lang w:val="es-CO" w:eastAsia="en-US"/>
        </w:rPr>
      </w:pPr>
      <w:r w:rsidRPr="00A21B5C">
        <w:rPr>
          <w:rFonts w:ascii="Arial" w:eastAsia="Calibri" w:hAnsi="Arial" w:cs="Arial"/>
          <w:bCs/>
          <w:sz w:val="22"/>
          <w:szCs w:val="22"/>
          <w:lang w:val="es-CO" w:eastAsia="en-US"/>
        </w:rPr>
        <w:t xml:space="preserve">Al respecto, vale la pena mencionar que el hecho de que la Entidad Territorial haya </w:t>
      </w:r>
      <w:r w:rsidR="007F6FF1" w:rsidRPr="00A21B5C">
        <w:rPr>
          <w:rFonts w:ascii="Arial" w:eastAsia="Calibri" w:hAnsi="Arial" w:cs="Arial"/>
          <w:bCs/>
          <w:sz w:val="22"/>
          <w:szCs w:val="22"/>
          <w:lang w:val="es-CO" w:eastAsia="en-US"/>
        </w:rPr>
        <w:t>cumplido con</w:t>
      </w:r>
      <w:r w:rsidRPr="00A21B5C">
        <w:rPr>
          <w:rFonts w:ascii="Arial" w:eastAsia="Calibri" w:hAnsi="Arial" w:cs="Arial"/>
          <w:bCs/>
          <w:sz w:val="22"/>
          <w:szCs w:val="22"/>
          <w:lang w:val="es-CO" w:eastAsia="en-US"/>
        </w:rPr>
        <w:t xml:space="preserve"> el reporte periódico de su información presupuestal en el FUT incidió positivamente en el nivel de riesgo calculado en la etapa de monitoreo, ya que en el último</w:t>
      </w:r>
      <w:r w:rsidRPr="00A21B5C">
        <w:rPr>
          <w:rFonts w:ascii="Arial" w:hAnsi="Arial" w:cs="Arial"/>
        </w:rPr>
        <w:t xml:space="preserve"> </w:t>
      </w:r>
      <w:r w:rsidRPr="00A21B5C">
        <w:rPr>
          <w:rFonts w:ascii="Arial" w:eastAsia="Calibri" w:hAnsi="Arial" w:cs="Arial"/>
          <w:bCs/>
          <w:sz w:val="22"/>
          <w:szCs w:val="22"/>
          <w:lang w:val="es-CO" w:eastAsia="en-US"/>
        </w:rPr>
        <w:t xml:space="preserve">Informe de Monitoreo General SGP de Propósito General y Asignaciones Especiales </w:t>
      </w:r>
      <w:r w:rsidR="00186BA9" w:rsidRPr="00A21B5C">
        <w:rPr>
          <w:rFonts w:ascii="Arial" w:eastAsia="Calibri" w:hAnsi="Arial" w:cs="Arial"/>
          <w:bCs/>
          <w:sz w:val="22"/>
          <w:szCs w:val="22"/>
          <w:lang w:val="es-CO" w:eastAsia="en-US"/>
        </w:rPr>
        <w:t xml:space="preserve">elaborado por el Departamento Nacional de Planeación, </w:t>
      </w:r>
      <w:r w:rsidRPr="00A21B5C">
        <w:rPr>
          <w:rFonts w:ascii="Arial" w:eastAsia="Calibri" w:hAnsi="Arial" w:cs="Arial"/>
          <w:bCs/>
          <w:sz w:val="22"/>
          <w:szCs w:val="22"/>
          <w:lang w:val="es-CO" w:eastAsia="en-US"/>
        </w:rPr>
        <w:t>cor</w:t>
      </w:r>
      <w:r w:rsidR="00186BA9" w:rsidRPr="00A21B5C">
        <w:rPr>
          <w:rFonts w:ascii="Arial" w:eastAsia="Calibri" w:hAnsi="Arial" w:cs="Arial"/>
          <w:bCs/>
          <w:sz w:val="22"/>
          <w:szCs w:val="22"/>
          <w:lang w:val="es-CO" w:eastAsia="en-US"/>
        </w:rPr>
        <w:t xml:space="preserve">respondiente a la vigencia 2019, </w:t>
      </w:r>
      <w:r w:rsidRPr="00A21B5C">
        <w:rPr>
          <w:rFonts w:ascii="Arial" w:eastAsia="Calibri" w:hAnsi="Arial" w:cs="Arial"/>
          <w:bCs/>
          <w:sz w:val="22"/>
          <w:szCs w:val="22"/>
          <w:lang w:val="es-CO" w:eastAsia="en-US"/>
        </w:rPr>
        <w:t>el Municipio prese</w:t>
      </w:r>
      <w:r w:rsidR="00186BA9" w:rsidRPr="00A21B5C">
        <w:rPr>
          <w:rFonts w:ascii="Arial" w:eastAsia="Calibri" w:hAnsi="Arial" w:cs="Arial"/>
          <w:bCs/>
          <w:sz w:val="22"/>
          <w:szCs w:val="22"/>
          <w:lang w:val="es-CO" w:eastAsia="en-US"/>
        </w:rPr>
        <w:t>ntó un nivel de riesgo Critico b</w:t>
      </w:r>
      <w:r w:rsidRPr="00A21B5C">
        <w:rPr>
          <w:rFonts w:ascii="Arial" w:eastAsia="Calibri" w:hAnsi="Arial" w:cs="Arial"/>
          <w:bCs/>
          <w:sz w:val="22"/>
          <w:szCs w:val="22"/>
          <w:lang w:val="es-CO" w:eastAsia="en-US"/>
        </w:rPr>
        <w:t>ajo.</w:t>
      </w:r>
    </w:p>
    <w:p w:rsidR="0072501A" w:rsidRPr="00A21B5C" w:rsidRDefault="0072501A" w:rsidP="00A21B5C">
      <w:pPr>
        <w:tabs>
          <w:tab w:val="left" w:pos="8460"/>
        </w:tabs>
        <w:contextualSpacing/>
        <w:jc w:val="both"/>
        <w:rPr>
          <w:rFonts w:ascii="Arial" w:eastAsia="Calibri" w:hAnsi="Arial" w:cs="Arial"/>
          <w:bCs/>
          <w:sz w:val="22"/>
          <w:szCs w:val="22"/>
          <w:lang w:val="es-CO" w:eastAsia="en-US"/>
        </w:rPr>
      </w:pPr>
    </w:p>
    <w:p w:rsidR="00144055" w:rsidRPr="00A21B5C" w:rsidRDefault="00144055" w:rsidP="00A21B5C">
      <w:pPr>
        <w:pStyle w:val="Prrafodelista"/>
        <w:numPr>
          <w:ilvl w:val="1"/>
          <w:numId w:val="1"/>
        </w:numPr>
        <w:tabs>
          <w:tab w:val="clear" w:pos="360"/>
          <w:tab w:val="num" w:pos="142"/>
        </w:tabs>
        <w:ind w:left="284" w:hanging="284"/>
        <w:rPr>
          <w:rFonts w:ascii="Arial" w:hAnsi="Arial" w:cs="Arial"/>
          <w:sz w:val="22"/>
          <w:szCs w:val="22"/>
          <w:lang w:val="es-CO" w:eastAsia="en-US"/>
        </w:rPr>
      </w:pPr>
      <w:r w:rsidRPr="00A21B5C">
        <w:rPr>
          <w:rFonts w:ascii="Arial" w:hAnsi="Arial" w:cs="Arial"/>
          <w:b/>
          <w:sz w:val="22"/>
          <w:szCs w:val="22"/>
          <w:lang w:val="es-CO" w:eastAsia="en-US"/>
        </w:rPr>
        <w:t>MANEJO CONTABLE</w:t>
      </w:r>
      <w:r w:rsidR="00B47EF5" w:rsidRPr="00A21B5C">
        <w:rPr>
          <w:rFonts w:ascii="Arial" w:hAnsi="Arial" w:cs="Arial"/>
          <w:b/>
          <w:sz w:val="22"/>
          <w:szCs w:val="22"/>
          <w:lang w:val="es-CO" w:eastAsia="en-US"/>
        </w:rPr>
        <w:t>.</w:t>
      </w:r>
    </w:p>
    <w:p w:rsidR="00A21B5C" w:rsidRPr="00A21B5C" w:rsidRDefault="00A21B5C" w:rsidP="00A21B5C">
      <w:pPr>
        <w:contextualSpacing/>
        <w:jc w:val="both"/>
        <w:rPr>
          <w:rFonts w:ascii="Arial" w:hAnsi="Arial" w:cs="Arial"/>
          <w:sz w:val="22"/>
          <w:szCs w:val="22"/>
          <w:lang w:val="es-CO"/>
        </w:rPr>
      </w:pPr>
    </w:p>
    <w:p w:rsidR="008C2E4A" w:rsidRPr="00A21B5C" w:rsidRDefault="008C2E4A" w:rsidP="00A21B5C">
      <w:pPr>
        <w:contextualSpacing/>
        <w:jc w:val="both"/>
        <w:rPr>
          <w:rFonts w:ascii="Arial" w:hAnsi="Arial" w:cs="Arial"/>
          <w:sz w:val="22"/>
          <w:szCs w:val="22"/>
          <w:lang w:val="es-CO"/>
        </w:rPr>
      </w:pPr>
      <w:r w:rsidRPr="00A21B5C">
        <w:rPr>
          <w:rFonts w:ascii="Arial" w:hAnsi="Arial" w:cs="Arial"/>
          <w:sz w:val="22"/>
          <w:szCs w:val="22"/>
          <w:lang w:val="es-CO"/>
        </w:rPr>
        <w:t>Teniendo en cuenta los lineamientos dados por el Departamento Nacional Planeación</w:t>
      </w:r>
      <w:r w:rsidR="002156AE" w:rsidRPr="00A21B5C">
        <w:rPr>
          <w:rFonts w:ascii="Arial" w:hAnsi="Arial" w:cs="Arial"/>
          <w:sz w:val="22"/>
          <w:szCs w:val="22"/>
          <w:lang w:val="es-CO"/>
        </w:rPr>
        <w:t>,</w:t>
      </w:r>
      <w:r w:rsidRPr="00A21B5C">
        <w:rPr>
          <w:rFonts w:ascii="Arial" w:hAnsi="Arial" w:cs="Arial"/>
          <w:sz w:val="22"/>
          <w:szCs w:val="22"/>
          <w:lang w:val="es-CO"/>
        </w:rPr>
        <w:t xml:space="preserve"> quien expresa que </w:t>
      </w:r>
      <w:r w:rsidRPr="00A21B5C">
        <w:rPr>
          <w:rFonts w:ascii="Arial" w:hAnsi="Arial" w:cs="Arial"/>
          <w:i/>
          <w:sz w:val="22"/>
          <w:szCs w:val="22"/>
          <w:lang w:val="es-CO"/>
        </w:rPr>
        <w:t xml:space="preserve">“Para la administración de los recursos, el municipio o departamento, según sea el caso, debe tener una cuenta a nombre de cada resguardo indígena, la cual debe ser independiente a las cuentas del municipio y para su ejecución se deberán cumplir las normas y procedimientos y llevar los libros presupuestales y </w:t>
      </w:r>
      <w:r w:rsidRPr="00A21B5C">
        <w:rPr>
          <w:rFonts w:ascii="Arial" w:hAnsi="Arial" w:cs="Arial"/>
          <w:i/>
          <w:sz w:val="22"/>
          <w:szCs w:val="22"/>
          <w:u w:val="single"/>
          <w:lang w:val="es-CO"/>
        </w:rPr>
        <w:t>contables aplicados por la entidad</w:t>
      </w:r>
      <w:r w:rsidRPr="00A21B5C">
        <w:rPr>
          <w:rFonts w:ascii="Arial" w:hAnsi="Arial" w:cs="Arial"/>
          <w:i/>
          <w:sz w:val="22"/>
          <w:szCs w:val="22"/>
          <w:lang w:val="es-CO"/>
        </w:rPr>
        <w:t>”</w:t>
      </w:r>
      <w:r w:rsidR="00C14EDD" w:rsidRPr="00A21B5C">
        <w:rPr>
          <w:rStyle w:val="Refdenotaalpie"/>
          <w:rFonts w:ascii="Arial" w:hAnsi="Arial" w:cs="Arial"/>
          <w:i/>
          <w:sz w:val="22"/>
          <w:szCs w:val="22"/>
          <w:lang w:val="es-CO"/>
        </w:rPr>
        <w:footnoteReference w:id="22"/>
      </w:r>
      <w:r w:rsidRPr="00A21B5C">
        <w:rPr>
          <w:rFonts w:ascii="Arial" w:hAnsi="Arial" w:cs="Arial"/>
          <w:i/>
          <w:sz w:val="22"/>
          <w:szCs w:val="22"/>
          <w:lang w:val="es-CO"/>
        </w:rPr>
        <w:t xml:space="preserve">, </w:t>
      </w:r>
      <w:r w:rsidRPr="00A21B5C">
        <w:rPr>
          <w:rFonts w:ascii="Arial" w:hAnsi="Arial" w:cs="Arial"/>
          <w:sz w:val="22"/>
          <w:szCs w:val="22"/>
          <w:lang w:val="es-CO"/>
        </w:rPr>
        <w:t>fueron inspeccionados los asientos contables proporcionados por la Entidad Territorial para el reconocimiento contable de los recursos de la AESGPRI en observancia a las normas contables vigen</w:t>
      </w:r>
      <w:r w:rsidR="009F4B5E" w:rsidRPr="00A21B5C">
        <w:rPr>
          <w:rFonts w:ascii="Arial" w:hAnsi="Arial" w:cs="Arial"/>
          <w:sz w:val="22"/>
          <w:szCs w:val="22"/>
          <w:lang w:val="es-CO"/>
        </w:rPr>
        <w:t>tes</w:t>
      </w:r>
      <w:r w:rsidRPr="00A21B5C">
        <w:rPr>
          <w:rFonts w:ascii="Arial" w:hAnsi="Arial" w:cs="Arial"/>
          <w:sz w:val="22"/>
          <w:szCs w:val="22"/>
          <w:lang w:val="es-CO"/>
        </w:rPr>
        <w:t xml:space="preserve"> para las Entidades Territoriales, particularmente </w:t>
      </w:r>
      <w:r w:rsidR="00F60FB1" w:rsidRPr="00A21B5C">
        <w:rPr>
          <w:rFonts w:ascii="Arial" w:hAnsi="Arial" w:cs="Arial"/>
          <w:sz w:val="22"/>
          <w:szCs w:val="22"/>
          <w:lang w:val="es-CO"/>
        </w:rPr>
        <w:t>de la</w:t>
      </w:r>
      <w:r w:rsidRPr="00A21B5C">
        <w:rPr>
          <w:rFonts w:ascii="Arial" w:hAnsi="Arial" w:cs="Arial"/>
          <w:sz w:val="22"/>
          <w:szCs w:val="22"/>
          <w:lang w:val="es-CO"/>
        </w:rPr>
        <w:t xml:space="preserve"> Resolución 533 de 2015 de la Contaduría General de la Nación - CGN, </w:t>
      </w:r>
      <w:r w:rsidRPr="00A21B5C">
        <w:rPr>
          <w:rFonts w:ascii="Arial" w:hAnsi="Arial" w:cs="Arial"/>
          <w:i/>
          <w:sz w:val="22"/>
          <w:szCs w:val="22"/>
          <w:lang w:val="es-CO"/>
        </w:rPr>
        <w:t>“Por medio de la cual se incorpora, en el Régimen de Contabilidad Pública, el marco normativo aplicable a entidades de gobierno y se dictan otras disposiciones”</w:t>
      </w:r>
      <w:r w:rsidRPr="00A21B5C">
        <w:rPr>
          <w:rFonts w:ascii="Arial" w:hAnsi="Arial" w:cs="Arial"/>
          <w:sz w:val="22"/>
          <w:szCs w:val="22"/>
          <w:lang w:val="es-CO"/>
        </w:rPr>
        <w:t>, el cual está conformado por</w:t>
      </w:r>
      <w:r w:rsidRPr="00A21B5C">
        <w:rPr>
          <w:rFonts w:ascii="Arial" w:hAnsi="Arial" w:cs="Arial"/>
          <w:i/>
          <w:sz w:val="22"/>
          <w:szCs w:val="22"/>
          <w:lang w:val="es-CO"/>
        </w:rPr>
        <w:t xml:space="preserve"> </w:t>
      </w:r>
      <w:r w:rsidRPr="00A21B5C">
        <w:rPr>
          <w:rFonts w:ascii="Arial" w:hAnsi="Arial" w:cs="Arial"/>
          <w:sz w:val="22"/>
          <w:szCs w:val="22"/>
          <w:lang w:val="es-CO"/>
        </w:rPr>
        <w:t xml:space="preserve">el Marco Conceptual para la Preparación y Presentación de Información Financiera; las Normas para el Reconocimiento, Medición, Revelación y Presentación de los Hechos Económicos; los </w:t>
      </w:r>
      <w:r w:rsidRPr="00A21B5C">
        <w:rPr>
          <w:rFonts w:ascii="Arial" w:hAnsi="Arial" w:cs="Arial"/>
          <w:sz w:val="22"/>
          <w:szCs w:val="22"/>
          <w:lang w:val="es-CO"/>
        </w:rPr>
        <w:lastRenderedPageBreak/>
        <w:t>Procedimientos Contables; las Guías de Aplicación; el Catálogo General de Cuentas; y la Doctrina Contable Pública.</w:t>
      </w:r>
    </w:p>
    <w:p w:rsidR="008C2E4A" w:rsidRPr="00A21B5C" w:rsidRDefault="008C2E4A" w:rsidP="00A21B5C">
      <w:pPr>
        <w:contextualSpacing/>
        <w:jc w:val="both"/>
        <w:rPr>
          <w:rFonts w:ascii="Arial" w:hAnsi="Arial" w:cs="Arial"/>
          <w:i/>
          <w:sz w:val="22"/>
          <w:szCs w:val="22"/>
          <w:lang w:val="es-CO"/>
        </w:rPr>
      </w:pPr>
    </w:p>
    <w:p w:rsidR="008C2E4A" w:rsidRPr="00A21B5C" w:rsidRDefault="008C2E4A" w:rsidP="00A21B5C">
      <w:pPr>
        <w:contextualSpacing/>
        <w:jc w:val="both"/>
        <w:rPr>
          <w:rFonts w:ascii="Arial" w:hAnsi="Arial" w:cs="Arial"/>
          <w:sz w:val="22"/>
          <w:szCs w:val="22"/>
          <w:lang w:val="es-CO"/>
        </w:rPr>
      </w:pPr>
      <w:r w:rsidRPr="00A21B5C">
        <w:rPr>
          <w:rFonts w:ascii="Arial" w:hAnsi="Arial" w:cs="Arial"/>
          <w:sz w:val="22"/>
          <w:szCs w:val="22"/>
          <w:lang w:val="es-CO"/>
        </w:rPr>
        <w:t>Con base en este marco normativo, se revisaron los asientos contables del reconocimiento de las transferencias distribuidas y del giro efectivo de los recursos para la vigencia 2018, así como los asientos contables del reconocimiento de pagos por concepto de ejecución de los contratos en administración de los recursos de la AESGPRI, hallándose las siguientes deficiencias:</w:t>
      </w:r>
    </w:p>
    <w:p w:rsidR="008C2E4A" w:rsidRPr="00A21B5C" w:rsidRDefault="008C2E4A" w:rsidP="00A21B5C">
      <w:pPr>
        <w:contextualSpacing/>
        <w:jc w:val="both"/>
        <w:rPr>
          <w:rFonts w:ascii="Arial" w:hAnsi="Arial" w:cs="Arial"/>
          <w:i/>
          <w:sz w:val="22"/>
          <w:szCs w:val="22"/>
          <w:lang w:val="es-CO"/>
        </w:rPr>
      </w:pPr>
    </w:p>
    <w:p w:rsidR="008C2E4A" w:rsidRPr="00A21B5C" w:rsidRDefault="008C2E4A" w:rsidP="00A21B5C">
      <w:pPr>
        <w:contextualSpacing/>
        <w:jc w:val="both"/>
        <w:rPr>
          <w:rFonts w:ascii="Arial" w:hAnsi="Arial" w:cs="Arial"/>
          <w:b/>
          <w:iCs/>
          <w:sz w:val="22"/>
          <w:szCs w:val="22"/>
          <w:lang w:val="es-CO"/>
        </w:rPr>
      </w:pPr>
      <w:r w:rsidRPr="00A21B5C">
        <w:rPr>
          <w:rFonts w:ascii="Arial" w:hAnsi="Arial" w:cs="Arial"/>
          <w:b/>
          <w:iCs/>
          <w:sz w:val="22"/>
          <w:szCs w:val="22"/>
          <w:lang w:val="es-CO"/>
        </w:rPr>
        <w:t>Reconocimiento inicial de las transferencias</w:t>
      </w:r>
      <w:r w:rsidR="00B47EF5" w:rsidRPr="00A21B5C">
        <w:rPr>
          <w:rFonts w:ascii="Arial" w:hAnsi="Arial" w:cs="Arial"/>
          <w:b/>
          <w:iCs/>
          <w:sz w:val="22"/>
          <w:szCs w:val="22"/>
          <w:lang w:val="es-CO"/>
        </w:rPr>
        <w:t>.</w:t>
      </w:r>
    </w:p>
    <w:p w:rsidR="008C2E4A" w:rsidRPr="00A21B5C" w:rsidRDefault="008C2E4A" w:rsidP="00A21B5C">
      <w:pPr>
        <w:contextualSpacing/>
        <w:jc w:val="both"/>
        <w:rPr>
          <w:rFonts w:ascii="Arial" w:hAnsi="Arial" w:cs="Arial"/>
          <w:b/>
          <w:sz w:val="22"/>
          <w:szCs w:val="22"/>
          <w:lang w:val="es-CO"/>
        </w:rPr>
      </w:pPr>
    </w:p>
    <w:p w:rsidR="008C2E4A" w:rsidRPr="00A21B5C" w:rsidRDefault="008C2E4A">
      <w:pPr>
        <w:pStyle w:val="Prrafodelista"/>
        <w:numPr>
          <w:ilvl w:val="0"/>
          <w:numId w:val="4"/>
        </w:numPr>
        <w:jc w:val="both"/>
        <w:rPr>
          <w:rFonts w:ascii="Arial" w:hAnsi="Arial" w:cs="Arial"/>
          <w:sz w:val="22"/>
          <w:szCs w:val="22"/>
          <w:lang w:val="es-CO"/>
        </w:rPr>
      </w:pPr>
      <w:r w:rsidRPr="00A21B5C">
        <w:rPr>
          <w:rFonts w:ascii="Arial" w:hAnsi="Arial" w:cs="Arial"/>
          <w:sz w:val="22"/>
          <w:szCs w:val="22"/>
          <w:lang w:val="es-CO"/>
        </w:rPr>
        <w:t xml:space="preserve">Las primeras 5 doceavas fueron reconocidas hasta el 6 de junio de 2018 y las doceavas 7 a 11 fueron reconocidas hasta el 31 de diciembre de 2018, omitiéndose con ello el </w:t>
      </w:r>
      <w:r w:rsidR="00B47EF5" w:rsidRPr="00A21B5C">
        <w:rPr>
          <w:rFonts w:ascii="Arial" w:hAnsi="Arial" w:cs="Arial"/>
          <w:iCs/>
          <w:sz w:val="22"/>
          <w:szCs w:val="22"/>
          <w:lang w:val="es-CO"/>
        </w:rPr>
        <w:t>P</w:t>
      </w:r>
      <w:r w:rsidRPr="00A21B5C">
        <w:rPr>
          <w:rFonts w:ascii="Arial" w:hAnsi="Arial" w:cs="Arial"/>
          <w:iCs/>
          <w:sz w:val="22"/>
          <w:szCs w:val="22"/>
          <w:lang w:val="es-CO"/>
        </w:rPr>
        <w:t xml:space="preserve">rincipio de </w:t>
      </w:r>
      <w:r w:rsidR="00B47EF5" w:rsidRPr="00A21B5C">
        <w:rPr>
          <w:rFonts w:ascii="Arial" w:hAnsi="Arial" w:cs="Arial"/>
          <w:iCs/>
          <w:sz w:val="22"/>
          <w:szCs w:val="22"/>
          <w:lang w:val="es-CO"/>
        </w:rPr>
        <w:t>D</w:t>
      </w:r>
      <w:r w:rsidRPr="00A21B5C">
        <w:rPr>
          <w:rFonts w:ascii="Arial" w:hAnsi="Arial" w:cs="Arial"/>
          <w:iCs/>
          <w:sz w:val="22"/>
          <w:szCs w:val="22"/>
          <w:lang w:val="es-CO"/>
        </w:rPr>
        <w:t>evengo</w:t>
      </w:r>
      <w:r w:rsidRPr="00A21B5C">
        <w:rPr>
          <w:rFonts w:ascii="Arial" w:hAnsi="Arial" w:cs="Arial"/>
          <w:i/>
          <w:sz w:val="22"/>
          <w:szCs w:val="22"/>
          <w:lang w:val="es-CO"/>
        </w:rPr>
        <w:t xml:space="preserve"> </w:t>
      </w:r>
      <w:r w:rsidRPr="00A21B5C">
        <w:rPr>
          <w:rFonts w:ascii="Arial" w:hAnsi="Arial" w:cs="Arial"/>
          <w:sz w:val="22"/>
          <w:szCs w:val="22"/>
          <w:lang w:val="es-CO"/>
        </w:rPr>
        <w:t xml:space="preserve">establecido en el Marco Conceptual para la preparación de información financiera </w:t>
      </w:r>
      <w:r w:rsidRPr="00A21B5C">
        <w:rPr>
          <w:rStyle w:val="Refdenotaalpie"/>
          <w:rFonts w:ascii="Arial" w:hAnsi="Arial" w:cs="Arial"/>
          <w:sz w:val="22"/>
          <w:szCs w:val="22"/>
          <w:lang w:val="es-CO"/>
        </w:rPr>
        <w:footnoteReference w:id="23"/>
      </w:r>
      <w:r w:rsidRPr="00A21B5C">
        <w:rPr>
          <w:rFonts w:ascii="Arial" w:hAnsi="Arial" w:cs="Arial"/>
          <w:sz w:val="22"/>
          <w:szCs w:val="22"/>
          <w:lang w:val="es-CO"/>
        </w:rPr>
        <w:t xml:space="preserve">. De acuerdo con este </w:t>
      </w:r>
      <w:r w:rsidR="00B47EF5" w:rsidRPr="00A21B5C">
        <w:rPr>
          <w:rFonts w:ascii="Arial" w:hAnsi="Arial" w:cs="Arial"/>
          <w:sz w:val="22"/>
          <w:szCs w:val="22"/>
          <w:lang w:val="es-CO"/>
        </w:rPr>
        <w:t>P</w:t>
      </w:r>
      <w:r w:rsidRPr="00A21B5C">
        <w:rPr>
          <w:rFonts w:ascii="Arial" w:hAnsi="Arial" w:cs="Arial"/>
          <w:sz w:val="22"/>
          <w:szCs w:val="22"/>
          <w:lang w:val="es-CO"/>
        </w:rPr>
        <w:t>rincipio, las once doceavas debieron ser reconocidas contablemente en un único momento, al momento en que se emitió el documento de distribución de los recursos en donde ya se tiene certeza sobre los recursos exigibles para la vigencia por concepto de la AESGPRI, indistintamente del giro del mismo desde el Gobierno Central.</w:t>
      </w:r>
    </w:p>
    <w:p w:rsidR="008C2E4A" w:rsidRPr="00A21B5C" w:rsidRDefault="008C2E4A" w:rsidP="00A21B5C">
      <w:pPr>
        <w:contextualSpacing/>
        <w:jc w:val="both"/>
        <w:rPr>
          <w:rFonts w:ascii="Arial" w:hAnsi="Arial" w:cs="Arial"/>
          <w:sz w:val="22"/>
          <w:szCs w:val="22"/>
          <w:lang w:val="es-CO"/>
        </w:rPr>
      </w:pPr>
    </w:p>
    <w:p w:rsidR="008C2E4A" w:rsidRPr="00A21B5C" w:rsidRDefault="008C2E4A">
      <w:pPr>
        <w:pStyle w:val="Prrafodelista"/>
        <w:numPr>
          <w:ilvl w:val="0"/>
          <w:numId w:val="4"/>
        </w:numPr>
        <w:ind w:left="708"/>
        <w:jc w:val="both"/>
        <w:rPr>
          <w:rFonts w:ascii="Arial" w:hAnsi="Arial" w:cs="Arial"/>
          <w:sz w:val="22"/>
          <w:szCs w:val="22"/>
          <w:lang w:val="es-CO"/>
        </w:rPr>
      </w:pPr>
      <w:r w:rsidRPr="00A21B5C">
        <w:rPr>
          <w:rFonts w:ascii="Arial" w:hAnsi="Arial" w:cs="Arial"/>
          <w:sz w:val="22"/>
          <w:szCs w:val="22"/>
          <w:lang w:val="es-CO"/>
        </w:rPr>
        <w:t>El reconocimiento de las doceavas distribuidas fue registrad</w:t>
      </w:r>
      <w:r w:rsidR="001D5C65" w:rsidRPr="00A21B5C">
        <w:rPr>
          <w:rFonts w:ascii="Arial" w:hAnsi="Arial" w:cs="Arial"/>
          <w:sz w:val="22"/>
          <w:szCs w:val="22"/>
          <w:lang w:val="es-CO"/>
        </w:rPr>
        <w:t>o</w:t>
      </w:r>
      <w:r w:rsidRPr="00A21B5C">
        <w:rPr>
          <w:rFonts w:ascii="Arial" w:hAnsi="Arial" w:cs="Arial"/>
          <w:sz w:val="22"/>
          <w:szCs w:val="22"/>
          <w:lang w:val="es-CO"/>
        </w:rPr>
        <w:t xml:space="preserve"> en la </w:t>
      </w:r>
      <w:r w:rsidR="00B47EF5" w:rsidRPr="00A21B5C">
        <w:rPr>
          <w:rFonts w:ascii="Arial" w:hAnsi="Arial" w:cs="Arial"/>
          <w:sz w:val="22"/>
          <w:szCs w:val="22"/>
          <w:lang w:val="es-CO"/>
        </w:rPr>
        <w:t>C</w:t>
      </w:r>
      <w:r w:rsidRPr="00A21B5C">
        <w:rPr>
          <w:rFonts w:ascii="Arial" w:hAnsi="Arial" w:cs="Arial"/>
          <w:sz w:val="22"/>
          <w:szCs w:val="22"/>
          <w:lang w:val="es-CO"/>
        </w:rPr>
        <w:t>uenta 440823-01, siendo</w:t>
      </w:r>
      <w:r w:rsidR="00EA4B05" w:rsidRPr="00A21B5C">
        <w:rPr>
          <w:rFonts w:ascii="Arial" w:hAnsi="Arial" w:cs="Arial"/>
          <w:sz w:val="22"/>
          <w:szCs w:val="22"/>
          <w:lang w:val="es-CO"/>
        </w:rPr>
        <w:t xml:space="preserve"> estas</w:t>
      </w:r>
      <w:r w:rsidRPr="00A21B5C">
        <w:rPr>
          <w:rFonts w:ascii="Arial" w:hAnsi="Arial" w:cs="Arial"/>
          <w:sz w:val="22"/>
          <w:szCs w:val="22"/>
          <w:lang w:val="es-CO"/>
        </w:rPr>
        <w:t xml:space="preserve"> reconocidas como un </w:t>
      </w:r>
      <w:r w:rsidR="00B47EF5" w:rsidRPr="00A21B5C">
        <w:rPr>
          <w:rFonts w:ascii="Arial" w:hAnsi="Arial" w:cs="Arial"/>
          <w:iCs/>
          <w:sz w:val="22"/>
          <w:szCs w:val="22"/>
          <w:lang w:val="es-CO"/>
        </w:rPr>
        <w:t>i</w:t>
      </w:r>
      <w:r w:rsidRPr="00A21B5C">
        <w:rPr>
          <w:rFonts w:ascii="Arial" w:hAnsi="Arial" w:cs="Arial"/>
          <w:iCs/>
          <w:sz w:val="22"/>
          <w:szCs w:val="22"/>
          <w:lang w:val="es-CO"/>
        </w:rPr>
        <w:t>ngreso</w:t>
      </w:r>
      <w:r w:rsidRPr="00A21B5C">
        <w:rPr>
          <w:rFonts w:ascii="Arial" w:hAnsi="Arial" w:cs="Arial"/>
          <w:i/>
          <w:sz w:val="22"/>
          <w:szCs w:val="22"/>
          <w:lang w:val="es-CO"/>
        </w:rPr>
        <w:t xml:space="preserve"> </w:t>
      </w:r>
      <w:r w:rsidRPr="00A21B5C">
        <w:rPr>
          <w:rFonts w:ascii="Arial" w:hAnsi="Arial" w:cs="Arial"/>
          <w:sz w:val="22"/>
          <w:szCs w:val="22"/>
          <w:lang w:val="es-CO"/>
        </w:rPr>
        <w:t>para la Entidad Territorial, lo cual es indebido</w:t>
      </w:r>
      <w:r w:rsidR="008E4D08" w:rsidRPr="00A21B5C">
        <w:rPr>
          <w:rFonts w:ascii="Arial" w:hAnsi="Arial" w:cs="Arial"/>
          <w:sz w:val="22"/>
          <w:szCs w:val="22"/>
          <w:lang w:val="es-CO"/>
        </w:rPr>
        <w:t xml:space="preserve">, dado </w:t>
      </w:r>
      <w:r w:rsidRPr="00A21B5C">
        <w:rPr>
          <w:rFonts w:ascii="Arial" w:hAnsi="Arial" w:cs="Arial"/>
          <w:sz w:val="22"/>
          <w:szCs w:val="22"/>
          <w:lang w:val="es-CO"/>
        </w:rPr>
        <w:t>que las “</w:t>
      </w:r>
      <w:r w:rsidRPr="00A21B5C">
        <w:rPr>
          <w:rFonts w:ascii="Arial" w:hAnsi="Arial" w:cs="Arial"/>
          <w:i/>
          <w:sz w:val="22"/>
          <w:szCs w:val="22"/>
          <w:lang w:val="es-CO"/>
        </w:rPr>
        <w:t xml:space="preserve">Normas para el reconocimiento, medición, revelación y presentación de los hechos económicos”, </w:t>
      </w:r>
      <w:r w:rsidRPr="00A21B5C">
        <w:rPr>
          <w:rFonts w:ascii="Arial" w:hAnsi="Arial" w:cs="Arial"/>
          <w:sz w:val="22"/>
          <w:szCs w:val="22"/>
          <w:lang w:val="es-CO"/>
        </w:rPr>
        <w:t xml:space="preserve">indican en el numeral 4 del Capítulo IV. Ingreso, que: </w:t>
      </w:r>
    </w:p>
    <w:p w:rsidR="008C2E4A" w:rsidRPr="00A21B5C" w:rsidRDefault="008C2E4A">
      <w:pPr>
        <w:pStyle w:val="Prrafodelista"/>
        <w:ind w:left="708"/>
        <w:jc w:val="both"/>
        <w:rPr>
          <w:rFonts w:ascii="Arial" w:hAnsi="Arial" w:cs="Arial"/>
          <w:i/>
          <w:sz w:val="22"/>
          <w:szCs w:val="22"/>
          <w:lang w:val="es-CO"/>
        </w:rPr>
      </w:pPr>
    </w:p>
    <w:p w:rsidR="008C2E4A" w:rsidRPr="00A21B5C" w:rsidRDefault="008C2E4A" w:rsidP="00A21B5C">
      <w:pPr>
        <w:ind w:left="2124"/>
        <w:contextualSpacing/>
        <w:jc w:val="both"/>
        <w:rPr>
          <w:rFonts w:ascii="Arial" w:hAnsi="Arial" w:cs="Arial"/>
          <w:i/>
          <w:sz w:val="18"/>
          <w:szCs w:val="18"/>
          <w:lang w:val="es-CO"/>
        </w:rPr>
      </w:pPr>
      <w:r w:rsidRPr="00A21B5C">
        <w:rPr>
          <w:rFonts w:ascii="Arial" w:hAnsi="Arial" w:cs="Arial"/>
          <w:i/>
          <w:sz w:val="18"/>
          <w:szCs w:val="18"/>
          <w:lang w:val="es-CO"/>
        </w:rPr>
        <w:t>“Los recursos que reciba la entidad a favor de terceros no se reconocerán como ingresos de transacciones sin contraprestación, sino como pasivos”</w:t>
      </w:r>
      <w:r w:rsidR="009F4B5E" w:rsidRPr="00A21B5C">
        <w:rPr>
          <w:rFonts w:ascii="Arial" w:hAnsi="Arial" w:cs="Arial"/>
          <w:i/>
          <w:sz w:val="18"/>
          <w:szCs w:val="18"/>
          <w:lang w:val="es-CO"/>
        </w:rPr>
        <w:t>.</w:t>
      </w:r>
    </w:p>
    <w:p w:rsidR="007405B3" w:rsidRPr="00A21B5C" w:rsidRDefault="007405B3">
      <w:pPr>
        <w:pStyle w:val="Prrafodelista"/>
        <w:ind w:left="708"/>
        <w:jc w:val="both"/>
        <w:rPr>
          <w:rFonts w:ascii="Arial" w:hAnsi="Arial" w:cs="Arial"/>
          <w:sz w:val="22"/>
          <w:szCs w:val="22"/>
          <w:lang w:val="es-CO"/>
        </w:rPr>
      </w:pPr>
    </w:p>
    <w:p w:rsidR="008C2E4A" w:rsidRPr="00A21B5C" w:rsidRDefault="008C2E4A">
      <w:pPr>
        <w:pStyle w:val="Prrafodelista"/>
        <w:ind w:left="708"/>
        <w:jc w:val="both"/>
        <w:rPr>
          <w:rFonts w:ascii="Arial" w:hAnsi="Arial" w:cs="Arial"/>
          <w:sz w:val="22"/>
          <w:szCs w:val="22"/>
          <w:lang w:val="es-CO"/>
        </w:rPr>
      </w:pPr>
      <w:r w:rsidRPr="00A21B5C">
        <w:rPr>
          <w:rFonts w:ascii="Arial" w:hAnsi="Arial" w:cs="Arial"/>
          <w:sz w:val="22"/>
          <w:szCs w:val="22"/>
          <w:lang w:val="es-CO"/>
        </w:rPr>
        <w:t xml:space="preserve">En efecto, dada la particularidad de la </w:t>
      </w:r>
      <w:r w:rsidR="009F4B5E" w:rsidRPr="00A21B5C">
        <w:rPr>
          <w:rFonts w:ascii="Arial" w:hAnsi="Arial" w:cs="Arial"/>
          <w:sz w:val="22"/>
          <w:szCs w:val="22"/>
          <w:lang w:val="es-CO"/>
        </w:rPr>
        <w:t>A</w:t>
      </w:r>
      <w:r w:rsidRPr="00A21B5C">
        <w:rPr>
          <w:rFonts w:ascii="Arial" w:hAnsi="Arial" w:cs="Arial"/>
          <w:sz w:val="22"/>
          <w:szCs w:val="22"/>
          <w:lang w:val="es-CO"/>
        </w:rPr>
        <w:t xml:space="preserve">signación Especial para Resguardos Indígenas, estos recursos encajan con la definición de </w:t>
      </w:r>
      <w:r w:rsidRPr="00A21B5C">
        <w:rPr>
          <w:rFonts w:ascii="Arial" w:hAnsi="Arial" w:cs="Arial"/>
          <w:iCs/>
          <w:sz w:val="22"/>
          <w:szCs w:val="22"/>
          <w:lang w:val="es-CO"/>
        </w:rPr>
        <w:t>pasivo del Marco Conceptual</w:t>
      </w:r>
      <w:r w:rsidRPr="00A21B5C">
        <w:rPr>
          <w:rFonts w:ascii="Arial" w:hAnsi="Arial" w:cs="Arial"/>
          <w:sz w:val="22"/>
          <w:szCs w:val="22"/>
          <w:lang w:val="es-CO"/>
        </w:rPr>
        <w:t>, en cuanto que, al momento de la evaluación de una partida como pasivo, la Entidad deberá fijarse en que:</w:t>
      </w:r>
    </w:p>
    <w:p w:rsidR="008C2E4A" w:rsidRPr="00A21B5C" w:rsidRDefault="008C2E4A" w:rsidP="00A21B5C">
      <w:pPr>
        <w:contextualSpacing/>
        <w:jc w:val="both"/>
        <w:rPr>
          <w:rFonts w:ascii="Arial" w:hAnsi="Arial" w:cs="Arial"/>
          <w:sz w:val="22"/>
          <w:szCs w:val="22"/>
          <w:lang w:val="es-CO"/>
        </w:rPr>
      </w:pPr>
    </w:p>
    <w:p w:rsidR="008C2E4A" w:rsidRPr="00A21B5C" w:rsidRDefault="008C2E4A" w:rsidP="00A21B5C">
      <w:pPr>
        <w:pStyle w:val="Prrafodelista"/>
        <w:ind w:left="2124"/>
        <w:jc w:val="both"/>
        <w:rPr>
          <w:rFonts w:ascii="Arial" w:hAnsi="Arial" w:cs="Arial"/>
          <w:i/>
          <w:sz w:val="18"/>
          <w:szCs w:val="18"/>
          <w:lang w:val="es-CO"/>
        </w:rPr>
      </w:pPr>
      <w:r w:rsidRPr="00A21B5C">
        <w:rPr>
          <w:rFonts w:ascii="Arial" w:hAnsi="Arial" w:cs="Arial"/>
          <w:i/>
          <w:sz w:val="18"/>
          <w:szCs w:val="18"/>
          <w:lang w:val="es-CO"/>
        </w:rPr>
        <w:t>“</w:t>
      </w:r>
      <w:r w:rsidR="00B47EF5" w:rsidRPr="00A21B5C">
        <w:rPr>
          <w:rFonts w:ascii="Arial" w:hAnsi="Arial" w:cs="Arial"/>
          <w:i/>
          <w:sz w:val="18"/>
          <w:szCs w:val="18"/>
          <w:lang w:val="es-CO"/>
        </w:rPr>
        <w:t>[</w:t>
      </w:r>
      <w:r w:rsidRPr="00A21B5C">
        <w:rPr>
          <w:rFonts w:ascii="Arial" w:hAnsi="Arial" w:cs="Arial"/>
          <w:i/>
          <w:sz w:val="18"/>
          <w:szCs w:val="18"/>
          <w:lang w:val="es-CO"/>
        </w:rPr>
        <w:t>…</w:t>
      </w:r>
      <w:r w:rsidR="00B47EF5" w:rsidRPr="00A21B5C">
        <w:rPr>
          <w:rFonts w:ascii="Arial" w:hAnsi="Arial" w:cs="Arial"/>
          <w:i/>
          <w:sz w:val="18"/>
          <w:szCs w:val="18"/>
          <w:lang w:val="es-CO"/>
        </w:rPr>
        <w:t xml:space="preserve">] </w:t>
      </w:r>
      <w:r w:rsidRPr="00A21B5C">
        <w:rPr>
          <w:rFonts w:ascii="Arial" w:hAnsi="Arial" w:cs="Arial"/>
          <w:i/>
          <w:sz w:val="18"/>
          <w:szCs w:val="18"/>
          <w:lang w:val="es-CO"/>
        </w:rPr>
        <w:t xml:space="preserve">Las obligaciones pueden ser exigibles legalmente como consecuencia de la ejecución de un contrato o de </w:t>
      </w:r>
      <w:r w:rsidRPr="00A21B5C">
        <w:rPr>
          <w:rFonts w:ascii="Arial" w:hAnsi="Arial" w:cs="Arial"/>
          <w:i/>
          <w:sz w:val="18"/>
          <w:szCs w:val="18"/>
          <w:u w:val="single"/>
          <w:lang w:val="es-CO"/>
        </w:rPr>
        <w:t>un mandato contenido en una norma legal; también pueden ser producto de acuerdos formales que, aunque no son exigibles legalmente, crean una expectativa válida de que la entidad está dispuesta a asumir ciertas responsabilidades frente a terceros</w:t>
      </w:r>
      <w:r w:rsidRPr="00A21B5C">
        <w:rPr>
          <w:rFonts w:ascii="Arial" w:hAnsi="Arial" w:cs="Arial"/>
          <w:i/>
          <w:sz w:val="18"/>
          <w:szCs w:val="18"/>
          <w:lang w:val="es-CO"/>
        </w:rPr>
        <w:t>”</w:t>
      </w:r>
      <w:r w:rsidR="00B47EF5" w:rsidRPr="00A21B5C">
        <w:rPr>
          <w:rFonts w:ascii="Arial" w:hAnsi="Arial" w:cs="Arial"/>
          <w:iCs/>
          <w:sz w:val="18"/>
          <w:szCs w:val="18"/>
          <w:lang w:val="es-CO"/>
        </w:rPr>
        <w:t>.</w:t>
      </w:r>
      <w:r w:rsidR="00100DED" w:rsidRPr="00A21B5C">
        <w:rPr>
          <w:rFonts w:ascii="Arial" w:hAnsi="Arial" w:cs="Arial"/>
          <w:iCs/>
          <w:sz w:val="18"/>
          <w:szCs w:val="18"/>
          <w:lang w:val="es-CO"/>
        </w:rPr>
        <w:t xml:space="preserve"> </w:t>
      </w:r>
      <w:r w:rsidR="00100DED" w:rsidRPr="00A21B5C">
        <w:rPr>
          <w:rFonts w:ascii="Arial" w:hAnsi="Arial" w:cs="Arial"/>
          <w:b/>
          <w:bCs/>
          <w:iCs/>
          <w:sz w:val="18"/>
          <w:szCs w:val="18"/>
          <w:lang w:val="es-CO"/>
        </w:rPr>
        <w:t>(Énfasis por fuera de texto)</w:t>
      </w:r>
    </w:p>
    <w:p w:rsidR="00A21B5C" w:rsidRPr="00A21B5C" w:rsidRDefault="00A21B5C">
      <w:pPr>
        <w:pStyle w:val="Prrafodelista"/>
        <w:ind w:left="708"/>
        <w:jc w:val="both"/>
        <w:rPr>
          <w:rFonts w:ascii="Arial" w:hAnsi="Arial" w:cs="Arial"/>
          <w:sz w:val="22"/>
          <w:szCs w:val="22"/>
          <w:lang w:val="es-CO"/>
        </w:rPr>
      </w:pPr>
    </w:p>
    <w:p w:rsidR="008C2E4A" w:rsidRPr="00A21B5C" w:rsidRDefault="008C2E4A">
      <w:pPr>
        <w:pStyle w:val="Prrafodelista"/>
        <w:ind w:left="708"/>
        <w:jc w:val="both"/>
        <w:rPr>
          <w:rFonts w:ascii="Arial" w:hAnsi="Arial" w:cs="Arial"/>
          <w:sz w:val="22"/>
          <w:szCs w:val="22"/>
          <w:lang w:val="es-CO"/>
        </w:rPr>
      </w:pPr>
      <w:r w:rsidRPr="00A21B5C">
        <w:rPr>
          <w:rFonts w:ascii="Arial" w:hAnsi="Arial" w:cs="Arial"/>
          <w:sz w:val="22"/>
          <w:szCs w:val="22"/>
          <w:lang w:val="es-CO"/>
        </w:rPr>
        <w:t xml:space="preserve">Lo anterior, </w:t>
      </w:r>
      <w:r w:rsidR="00164CB5" w:rsidRPr="00A21B5C">
        <w:rPr>
          <w:rFonts w:ascii="Arial" w:hAnsi="Arial" w:cs="Arial"/>
          <w:sz w:val="22"/>
          <w:szCs w:val="22"/>
          <w:lang w:val="es-CO"/>
        </w:rPr>
        <w:t>análogo</w:t>
      </w:r>
      <w:r w:rsidRPr="00A21B5C">
        <w:rPr>
          <w:rFonts w:ascii="Arial" w:hAnsi="Arial" w:cs="Arial"/>
          <w:sz w:val="22"/>
          <w:szCs w:val="22"/>
          <w:lang w:val="es-CO"/>
        </w:rPr>
        <w:t xml:space="preserve"> a la figura formal que media para la administración de los recursos de la AESGPRI entre la </w:t>
      </w:r>
      <w:r w:rsidR="00B47EF5" w:rsidRPr="00A21B5C">
        <w:rPr>
          <w:rFonts w:ascii="Arial" w:hAnsi="Arial" w:cs="Arial"/>
          <w:sz w:val="22"/>
          <w:szCs w:val="22"/>
          <w:lang w:val="es-CO"/>
        </w:rPr>
        <w:t>e</w:t>
      </w:r>
      <w:r w:rsidRPr="00A21B5C">
        <w:rPr>
          <w:rFonts w:ascii="Arial" w:hAnsi="Arial" w:cs="Arial"/>
          <w:sz w:val="22"/>
          <w:szCs w:val="22"/>
          <w:lang w:val="es-CO"/>
        </w:rPr>
        <w:t xml:space="preserve">ntidad </w:t>
      </w:r>
      <w:r w:rsidR="00B47EF5" w:rsidRPr="00A21B5C">
        <w:rPr>
          <w:rFonts w:ascii="Arial" w:hAnsi="Arial" w:cs="Arial"/>
          <w:sz w:val="22"/>
          <w:szCs w:val="22"/>
          <w:lang w:val="es-CO"/>
        </w:rPr>
        <w:t>t</w:t>
      </w:r>
      <w:r w:rsidRPr="00A21B5C">
        <w:rPr>
          <w:rFonts w:ascii="Arial" w:hAnsi="Arial" w:cs="Arial"/>
          <w:sz w:val="22"/>
          <w:szCs w:val="22"/>
          <w:lang w:val="es-CO"/>
        </w:rPr>
        <w:t xml:space="preserve">erritorial y el </w:t>
      </w:r>
      <w:r w:rsidR="00B47EF5" w:rsidRPr="00A21B5C">
        <w:rPr>
          <w:rFonts w:ascii="Arial" w:hAnsi="Arial" w:cs="Arial"/>
          <w:sz w:val="22"/>
          <w:szCs w:val="22"/>
          <w:lang w:val="es-CO"/>
        </w:rPr>
        <w:t>r</w:t>
      </w:r>
      <w:r w:rsidRPr="00A21B5C">
        <w:rPr>
          <w:rFonts w:ascii="Arial" w:hAnsi="Arial" w:cs="Arial"/>
          <w:sz w:val="22"/>
          <w:szCs w:val="22"/>
          <w:lang w:val="es-CO"/>
        </w:rPr>
        <w:t xml:space="preserve">esguardo </w:t>
      </w:r>
      <w:r w:rsidR="00B47EF5" w:rsidRPr="00A21B5C">
        <w:rPr>
          <w:rFonts w:ascii="Arial" w:hAnsi="Arial" w:cs="Arial"/>
          <w:sz w:val="22"/>
          <w:szCs w:val="22"/>
          <w:lang w:val="es-CO"/>
        </w:rPr>
        <w:t>i</w:t>
      </w:r>
      <w:r w:rsidRPr="00A21B5C">
        <w:rPr>
          <w:rFonts w:ascii="Arial" w:hAnsi="Arial" w:cs="Arial"/>
          <w:sz w:val="22"/>
          <w:szCs w:val="22"/>
          <w:lang w:val="es-CO"/>
        </w:rPr>
        <w:t xml:space="preserve">ndígena, el </w:t>
      </w:r>
      <w:r w:rsidR="00B47EF5" w:rsidRPr="00A21B5C">
        <w:rPr>
          <w:rFonts w:ascii="Arial" w:hAnsi="Arial" w:cs="Arial"/>
          <w:sz w:val="22"/>
          <w:szCs w:val="22"/>
          <w:lang w:val="es-CO"/>
        </w:rPr>
        <w:t xml:space="preserve">convenio </w:t>
      </w:r>
      <w:r w:rsidRPr="00A21B5C">
        <w:rPr>
          <w:rFonts w:ascii="Arial" w:hAnsi="Arial" w:cs="Arial"/>
          <w:sz w:val="22"/>
          <w:szCs w:val="22"/>
          <w:lang w:val="es-CO"/>
        </w:rPr>
        <w:t xml:space="preserve">de </w:t>
      </w:r>
      <w:r w:rsidR="00B47EF5" w:rsidRPr="00A21B5C">
        <w:rPr>
          <w:rFonts w:ascii="Arial" w:hAnsi="Arial" w:cs="Arial"/>
          <w:sz w:val="22"/>
          <w:szCs w:val="22"/>
          <w:lang w:val="es-CO"/>
        </w:rPr>
        <w:t>a</w:t>
      </w:r>
      <w:r w:rsidRPr="00A21B5C">
        <w:rPr>
          <w:rFonts w:ascii="Arial" w:hAnsi="Arial" w:cs="Arial"/>
          <w:sz w:val="22"/>
          <w:szCs w:val="22"/>
          <w:lang w:val="es-CO"/>
        </w:rPr>
        <w:t xml:space="preserve">dministración, o aun en ausencia de este, de la mera expectativa de responsabilidades frente al </w:t>
      </w:r>
      <w:r w:rsidR="00B47EF5" w:rsidRPr="00A21B5C">
        <w:rPr>
          <w:rFonts w:ascii="Arial" w:hAnsi="Arial" w:cs="Arial"/>
          <w:sz w:val="22"/>
          <w:szCs w:val="22"/>
          <w:lang w:val="es-CO"/>
        </w:rPr>
        <w:t>r</w:t>
      </w:r>
      <w:r w:rsidRPr="00A21B5C">
        <w:rPr>
          <w:rFonts w:ascii="Arial" w:hAnsi="Arial" w:cs="Arial"/>
          <w:sz w:val="22"/>
          <w:szCs w:val="22"/>
          <w:lang w:val="es-CO"/>
        </w:rPr>
        <w:t xml:space="preserve">esguardo </w:t>
      </w:r>
      <w:r w:rsidR="00B47EF5" w:rsidRPr="00A21B5C">
        <w:rPr>
          <w:rFonts w:ascii="Arial" w:hAnsi="Arial" w:cs="Arial"/>
          <w:sz w:val="22"/>
          <w:szCs w:val="22"/>
          <w:lang w:val="es-CO"/>
        </w:rPr>
        <w:t>i</w:t>
      </w:r>
      <w:r w:rsidRPr="00A21B5C">
        <w:rPr>
          <w:rFonts w:ascii="Arial" w:hAnsi="Arial" w:cs="Arial"/>
          <w:sz w:val="22"/>
          <w:szCs w:val="22"/>
          <w:lang w:val="es-CO"/>
        </w:rPr>
        <w:t xml:space="preserve">ndígena con la sola recepción de la </w:t>
      </w:r>
      <w:r w:rsidRPr="00A21B5C">
        <w:rPr>
          <w:rFonts w:ascii="Arial" w:hAnsi="Arial" w:cs="Arial"/>
          <w:sz w:val="22"/>
          <w:szCs w:val="22"/>
          <w:lang w:val="es-CO"/>
        </w:rPr>
        <w:lastRenderedPageBreak/>
        <w:t xml:space="preserve">transferencia de la AESGPRI en las cuentas bancarias administradas por el </w:t>
      </w:r>
      <w:r w:rsidR="00B47EF5" w:rsidRPr="00A21B5C">
        <w:rPr>
          <w:rFonts w:ascii="Arial" w:hAnsi="Arial" w:cs="Arial"/>
          <w:sz w:val="22"/>
          <w:szCs w:val="22"/>
          <w:lang w:val="es-CO"/>
        </w:rPr>
        <w:t>m</w:t>
      </w:r>
      <w:r w:rsidRPr="00A21B5C">
        <w:rPr>
          <w:rFonts w:ascii="Arial" w:hAnsi="Arial" w:cs="Arial"/>
          <w:sz w:val="22"/>
          <w:szCs w:val="22"/>
          <w:lang w:val="es-CO"/>
        </w:rPr>
        <w:t>unicipio. De esta manera, y en fijación del Catálogo Contable</w:t>
      </w:r>
      <w:r w:rsidRPr="00A21B5C">
        <w:rPr>
          <w:rStyle w:val="Refdenotaalpie"/>
          <w:rFonts w:ascii="Arial" w:hAnsi="Arial" w:cs="Arial"/>
          <w:sz w:val="22"/>
          <w:szCs w:val="22"/>
          <w:lang w:val="es-CO"/>
        </w:rPr>
        <w:footnoteReference w:id="24"/>
      </w:r>
      <w:r w:rsidRPr="00A21B5C">
        <w:rPr>
          <w:rFonts w:ascii="Arial" w:hAnsi="Arial" w:cs="Arial"/>
          <w:sz w:val="22"/>
          <w:szCs w:val="22"/>
          <w:lang w:val="es-CO"/>
        </w:rPr>
        <w:t>, es apropiado que los recursos AESGPRI sean reconocidos en la cuenta 240708 “</w:t>
      </w:r>
      <w:r w:rsidRPr="00A21B5C">
        <w:rPr>
          <w:rFonts w:ascii="Arial" w:hAnsi="Arial" w:cs="Arial"/>
          <w:i/>
          <w:sz w:val="22"/>
          <w:szCs w:val="22"/>
          <w:lang w:val="es-CO"/>
        </w:rPr>
        <w:t xml:space="preserve">Recursos a favor de tercero – Sistema General de Participaciones para los Resguardos Indígenas”, </w:t>
      </w:r>
      <w:r w:rsidRPr="00A21B5C">
        <w:rPr>
          <w:rFonts w:ascii="Arial" w:hAnsi="Arial" w:cs="Arial"/>
          <w:sz w:val="22"/>
          <w:szCs w:val="22"/>
          <w:lang w:val="es-CO"/>
        </w:rPr>
        <w:t xml:space="preserve">la cual </w:t>
      </w:r>
      <w:r w:rsidRPr="00A21B5C">
        <w:rPr>
          <w:rFonts w:ascii="Arial" w:hAnsi="Arial" w:cs="Arial"/>
          <w:i/>
          <w:sz w:val="22"/>
          <w:szCs w:val="22"/>
          <w:lang w:val="es-CO"/>
        </w:rPr>
        <w:t>“representa el valor de los recursos recaudados en efectivo, que son de propiedad de otras entidades públicas, entidades privadas o personas naturales, según la descripción dada”</w:t>
      </w:r>
      <w:r w:rsidR="00FA330F" w:rsidRPr="00A21B5C">
        <w:rPr>
          <w:rFonts w:ascii="Arial" w:hAnsi="Arial" w:cs="Arial"/>
          <w:i/>
          <w:sz w:val="22"/>
          <w:szCs w:val="22"/>
          <w:lang w:val="es-CO"/>
        </w:rPr>
        <w:t>.</w:t>
      </w:r>
    </w:p>
    <w:p w:rsidR="008C2E4A" w:rsidRPr="00A21B5C" w:rsidRDefault="008C2E4A" w:rsidP="00A21B5C">
      <w:pPr>
        <w:contextualSpacing/>
        <w:jc w:val="both"/>
        <w:rPr>
          <w:rFonts w:ascii="Arial" w:hAnsi="Arial" w:cs="Arial"/>
          <w:sz w:val="22"/>
          <w:szCs w:val="22"/>
          <w:lang w:val="es-CO"/>
        </w:rPr>
      </w:pPr>
    </w:p>
    <w:p w:rsidR="008C2E4A" w:rsidRPr="00A21B5C" w:rsidRDefault="008C2E4A">
      <w:pPr>
        <w:pStyle w:val="Prrafodelista"/>
        <w:numPr>
          <w:ilvl w:val="0"/>
          <w:numId w:val="5"/>
        </w:numPr>
        <w:ind w:left="709"/>
        <w:jc w:val="both"/>
        <w:rPr>
          <w:rFonts w:ascii="Arial" w:hAnsi="Arial" w:cs="Arial"/>
          <w:sz w:val="22"/>
          <w:szCs w:val="22"/>
          <w:lang w:val="es-CO"/>
        </w:rPr>
      </w:pPr>
      <w:r w:rsidRPr="00A21B5C">
        <w:rPr>
          <w:rFonts w:ascii="Arial" w:hAnsi="Arial" w:cs="Arial"/>
          <w:sz w:val="22"/>
          <w:szCs w:val="22"/>
          <w:lang w:val="es-CO"/>
        </w:rPr>
        <w:t>El reconocimiento contable debe ser realizado con base en el Catálogo General de Cuentas para Entidades de Gobierno aplicable y vigente</w:t>
      </w:r>
      <w:r w:rsidR="009F4B5E" w:rsidRPr="00A21B5C">
        <w:rPr>
          <w:rFonts w:ascii="Arial" w:hAnsi="Arial" w:cs="Arial"/>
          <w:sz w:val="22"/>
          <w:szCs w:val="22"/>
          <w:lang w:val="es-CO"/>
        </w:rPr>
        <w:t>,</w:t>
      </w:r>
      <w:r w:rsidRPr="00A21B5C">
        <w:rPr>
          <w:rFonts w:ascii="Arial" w:hAnsi="Arial" w:cs="Arial"/>
          <w:sz w:val="22"/>
          <w:szCs w:val="20"/>
          <w:lang w:val="es-CO"/>
        </w:rPr>
        <w:t xml:space="preserve"> el cual se incorporó a través de la Resolución 620 de 2015 y sus modificatorias,</w:t>
      </w:r>
      <w:r w:rsidRPr="00A21B5C">
        <w:rPr>
          <w:rFonts w:ascii="Arial" w:hAnsi="Arial" w:cs="Arial"/>
          <w:sz w:val="22"/>
          <w:szCs w:val="22"/>
          <w:lang w:val="es-CO"/>
        </w:rPr>
        <w:t xml:space="preserve"> de la Contaduría General de la Nación; de manera que deben ser revisadas las cuentas </w:t>
      </w:r>
      <w:r w:rsidR="009316D1" w:rsidRPr="00A21B5C">
        <w:rPr>
          <w:rFonts w:ascii="Arial" w:hAnsi="Arial" w:cs="Arial"/>
          <w:sz w:val="22"/>
          <w:szCs w:val="22"/>
          <w:lang w:val="es-CO"/>
        </w:rPr>
        <w:t xml:space="preserve">en las que el </w:t>
      </w:r>
      <w:r w:rsidR="00B47EF5" w:rsidRPr="00A21B5C">
        <w:rPr>
          <w:rFonts w:ascii="Arial" w:hAnsi="Arial" w:cs="Arial"/>
          <w:sz w:val="22"/>
          <w:szCs w:val="22"/>
          <w:lang w:val="es-CO"/>
        </w:rPr>
        <w:t>M</w:t>
      </w:r>
      <w:r w:rsidR="009316D1" w:rsidRPr="00A21B5C">
        <w:rPr>
          <w:rFonts w:ascii="Arial" w:hAnsi="Arial" w:cs="Arial"/>
          <w:sz w:val="22"/>
          <w:szCs w:val="22"/>
          <w:lang w:val="es-CO"/>
        </w:rPr>
        <w:t xml:space="preserve">unicipio registra </w:t>
      </w:r>
      <w:r w:rsidRPr="00A21B5C">
        <w:rPr>
          <w:rFonts w:ascii="Arial" w:hAnsi="Arial" w:cs="Arial"/>
          <w:sz w:val="22"/>
          <w:szCs w:val="22"/>
          <w:lang w:val="es-CO"/>
        </w:rPr>
        <w:t xml:space="preserve">de las contrapartidas en el reconocimiento inicial de las transferencias AESGPRI, </w:t>
      </w:r>
      <w:r w:rsidR="009316D1" w:rsidRPr="00A21B5C">
        <w:rPr>
          <w:rFonts w:ascii="Arial" w:hAnsi="Arial" w:cs="Arial"/>
          <w:sz w:val="22"/>
          <w:szCs w:val="22"/>
          <w:lang w:val="es-CO"/>
        </w:rPr>
        <w:t xml:space="preserve">específicamente la </w:t>
      </w:r>
      <w:r w:rsidR="00B47EF5" w:rsidRPr="00A21B5C">
        <w:rPr>
          <w:rFonts w:ascii="Arial" w:hAnsi="Arial" w:cs="Arial"/>
          <w:sz w:val="22"/>
          <w:szCs w:val="22"/>
          <w:lang w:val="es-CO"/>
        </w:rPr>
        <w:t>C</w:t>
      </w:r>
      <w:r w:rsidRPr="00A21B5C">
        <w:rPr>
          <w:rFonts w:ascii="Arial" w:hAnsi="Arial" w:cs="Arial"/>
          <w:sz w:val="22"/>
          <w:szCs w:val="22"/>
          <w:lang w:val="es-CO"/>
        </w:rPr>
        <w:t>uenta 1413, la cual no está establecida en dicho Catálogo.</w:t>
      </w:r>
    </w:p>
    <w:p w:rsidR="008C2E4A" w:rsidRPr="00A21B5C" w:rsidRDefault="008C2E4A" w:rsidP="00A21B5C">
      <w:pPr>
        <w:contextualSpacing/>
        <w:jc w:val="both"/>
        <w:rPr>
          <w:rFonts w:ascii="Arial" w:hAnsi="Arial" w:cs="Arial"/>
          <w:sz w:val="22"/>
          <w:szCs w:val="22"/>
          <w:lang w:val="es-CO"/>
        </w:rPr>
      </w:pPr>
    </w:p>
    <w:p w:rsidR="008C2E4A" w:rsidRPr="00A21B5C" w:rsidRDefault="008C2E4A" w:rsidP="00A21B5C">
      <w:pPr>
        <w:contextualSpacing/>
        <w:jc w:val="both"/>
        <w:rPr>
          <w:rFonts w:ascii="Arial" w:hAnsi="Arial" w:cs="Arial"/>
          <w:sz w:val="22"/>
          <w:szCs w:val="22"/>
          <w:lang w:val="es-CO"/>
        </w:rPr>
      </w:pPr>
      <w:r w:rsidRPr="00A21B5C">
        <w:rPr>
          <w:rFonts w:ascii="Arial" w:hAnsi="Arial" w:cs="Arial"/>
          <w:sz w:val="22"/>
          <w:szCs w:val="22"/>
          <w:lang w:val="es-CO"/>
        </w:rPr>
        <w:t>A partir de todo lo anterior, se concluye que este reconocimiento contable equ</w:t>
      </w:r>
      <w:r w:rsidR="00FA330F" w:rsidRPr="00A21B5C">
        <w:rPr>
          <w:rFonts w:ascii="Arial" w:hAnsi="Arial" w:cs="Arial"/>
          <w:sz w:val="22"/>
          <w:szCs w:val="22"/>
          <w:lang w:val="es-CO"/>
        </w:rPr>
        <w:t>í</w:t>
      </w:r>
      <w:r w:rsidRPr="00A21B5C">
        <w:rPr>
          <w:rFonts w:ascii="Arial" w:hAnsi="Arial" w:cs="Arial"/>
          <w:sz w:val="22"/>
          <w:szCs w:val="22"/>
          <w:lang w:val="es-CO"/>
        </w:rPr>
        <w:t xml:space="preserve">voco de las transferencias de la AESGPRI que administra el Municipio de Dibulla – La Guajira, contablemente atenta contra la </w:t>
      </w:r>
      <w:r w:rsidRPr="00A21B5C">
        <w:rPr>
          <w:rFonts w:ascii="Arial" w:hAnsi="Arial" w:cs="Arial"/>
          <w:iCs/>
          <w:sz w:val="22"/>
          <w:szCs w:val="22"/>
          <w:lang w:val="es-CO"/>
        </w:rPr>
        <w:t>representación fiel</w:t>
      </w:r>
      <w:r w:rsidRPr="00A21B5C">
        <w:rPr>
          <w:rStyle w:val="Refdenotaalpie"/>
          <w:rFonts w:ascii="Arial" w:hAnsi="Arial" w:cs="Arial"/>
          <w:sz w:val="22"/>
          <w:szCs w:val="22"/>
          <w:lang w:val="es-CO"/>
        </w:rPr>
        <w:footnoteReference w:id="25"/>
      </w:r>
      <w:r w:rsidRPr="00A21B5C">
        <w:rPr>
          <w:rFonts w:ascii="Arial" w:hAnsi="Arial" w:cs="Arial"/>
          <w:i/>
          <w:sz w:val="22"/>
          <w:szCs w:val="22"/>
          <w:lang w:val="es-CO"/>
        </w:rPr>
        <w:t xml:space="preserve"> </w:t>
      </w:r>
      <w:r w:rsidRPr="00A21B5C">
        <w:rPr>
          <w:rFonts w:ascii="Arial" w:hAnsi="Arial" w:cs="Arial"/>
          <w:sz w:val="22"/>
          <w:szCs w:val="22"/>
          <w:lang w:val="es-CO"/>
        </w:rPr>
        <w:t xml:space="preserve">de la Información Financiera, en cuanto que, la Entidad Territorial sobrestima </w:t>
      </w:r>
      <w:r w:rsidR="009316D1" w:rsidRPr="00A21B5C">
        <w:rPr>
          <w:rFonts w:ascii="Arial" w:hAnsi="Arial" w:cs="Arial"/>
          <w:sz w:val="22"/>
          <w:szCs w:val="22"/>
          <w:lang w:val="es-CO"/>
        </w:rPr>
        <w:t>su</w:t>
      </w:r>
      <w:r w:rsidRPr="00A21B5C">
        <w:rPr>
          <w:rFonts w:ascii="Arial" w:hAnsi="Arial" w:cs="Arial"/>
          <w:sz w:val="22"/>
          <w:szCs w:val="22"/>
          <w:lang w:val="es-CO"/>
        </w:rPr>
        <w:t xml:space="preserve">s ingresos y subestima el pasivo. Así mismo, la Entidad Territorial omite el </w:t>
      </w:r>
      <w:r w:rsidR="001B23D6" w:rsidRPr="00A21B5C">
        <w:rPr>
          <w:rFonts w:ascii="Arial" w:hAnsi="Arial" w:cs="Arial"/>
          <w:iCs/>
          <w:sz w:val="22"/>
          <w:szCs w:val="22"/>
          <w:lang w:val="es-CO"/>
        </w:rPr>
        <w:t>P</w:t>
      </w:r>
      <w:r w:rsidRPr="00A21B5C">
        <w:rPr>
          <w:rFonts w:ascii="Arial" w:hAnsi="Arial" w:cs="Arial"/>
          <w:iCs/>
          <w:sz w:val="22"/>
          <w:szCs w:val="22"/>
          <w:lang w:val="es-CO"/>
        </w:rPr>
        <w:t xml:space="preserve">rincipio de </w:t>
      </w:r>
      <w:r w:rsidR="001B23D6" w:rsidRPr="00A21B5C">
        <w:rPr>
          <w:rFonts w:ascii="Arial" w:hAnsi="Arial" w:cs="Arial"/>
          <w:iCs/>
          <w:sz w:val="22"/>
          <w:szCs w:val="22"/>
          <w:lang w:val="es-CO"/>
        </w:rPr>
        <w:t>D</w:t>
      </w:r>
      <w:r w:rsidRPr="00A21B5C">
        <w:rPr>
          <w:rFonts w:ascii="Arial" w:hAnsi="Arial" w:cs="Arial"/>
          <w:iCs/>
          <w:sz w:val="22"/>
          <w:szCs w:val="22"/>
          <w:lang w:val="es-CO"/>
        </w:rPr>
        <w:t>evengo</w:t>
      </w:r>
      <w:r w:rsidRPr="00A21B5C">
        <w:rPr>
          <w:rFonts w:ascii="Arial" w:hAnsi="Arial" w:cs="Arial"/>
          <w:i/>
          <w:sz w:val="22"/>
          <w:szCs w:val="22"/>
          <w:lang w:val="es-CO"/>
        </w:rPr>
        <w:t xml:space="preserve"> </w:t>
      </w:r>
      <w:r w:rsidRPr="00A21B5C">
        <w:rPr>
          <w:rFonts w:ascii="Arial" w:hAnsi="Arial" w:cs="Arial"/>
          <w:sz w:val="22"/>
          <w:szCs w:val="22"/>
          <w:lang w:val="es-CO"/>
        </w:rPr>
        <w:t>como principio de la Contabilidad Pública</w:t>
      </w:r>
      <w:r w:rsidRPr="00A21B5C">
        <w:rPr>
          <w:rStyle w:val="Refdenotaalpie"/>
          <w:rFonts w:ascii="Arial" w:hAnsi="Arial" w:cs="Arial"/>
          <w:i/>
          <w:sz w:val="22"/>
          <w:szCs w:val="22"/>
          <w:lang w:val="es-CO"/>
        </w:rPr>
        <w:footnoteReference w:id="26"/>
      </w:r>
      <w:r w:rsidRPr="00A21B5C">
        <w:rPr>
          <w:rFonts w:ascii="Arial" w:hAnsi="Arial" w:cs="Arial"/>
          <w:sz w:val="22"/>
          <w:szCs w:val="22"/>
          <w:lang w:val="es-CO"/>
        </w:rPr>
        <w:t xml:space="preserve"> y omite la aplicación del Catálogo General de Cuentas</w:t>
      </w:r>
      <w:r w:rsidR="001B23D6" w:rsidRPr="00A21B5C">
        <w:rPr>
          <w:rFonts w:ascii="Arial" w:hAnsi="Arial" w:cs="Arial"/>
          <w:sz w:val="22"/>
          <w:szCs w:val="22"/>
          <w:lang w:val="es-CO"/>
        </w:rPr>
        <w:t xml:space="preserve"> - </w:t>
      </w:r>
      <w:r w:rsidRPr="00A21B5C">
        <w:rPr>
          <w:rFonts w:ascii="Arial" w:hAnsi="Arial" w:cs="Arial"/>
          <w:sz w:val="22"/>
          <w:szCs w:val="22"/>
          <w:lang w:val="es-CO"/>
        </w:rPr>
        <w:t xml:space="preserve">CGC que </w:t>
      </w:r>
      <w:r w:rsidR="009F4B5E" w:rsidRPr="00A21B5C">
        <w:rPr>
          <w:rFonts w:ascii="Arial" w:hAnsi="Arial" w:cs="Arial"/>
          <w:sz w:val="22"/>
          <w:szCs w:val="22"/>
          <w:lang w:val="es-CO"/>
        </w:rPr>
        <w:t xml:space="preserve">es </w:t>
      </w:r>
      <w:r w:rsidRPr="00A21B5C">
        <w:rPr>
          <w:rFonts w:ascii="Arial" w:hAnsi="Arial" w:cs="Arial"/>
          <w:sz w:val="22"/>
          <w:szCs w:val="22"/>
          <w:lang w:val="es-CO"/>
        </w:rPr>
        <w:t>utilizado por las Entidades de Gobierno para efectos de registro y reporte de información financiera a la C</w:t>
      </w:r>
      <w:r w:rsidR="001B23D6" w:rsidRPr="00A21B5C">
        <w:rPr>
          <w:rFonts w:ascii="Arial" w:hAnsi="Arial" w:cs="Arial"/>
          <w:sz w:val="22"/>
          <w:szCs w:val="22"/>
          <w:lang w:val="es-CO"/>
        </w:rPr>
        <w:t xml:space="preserve">ontaduría </w:t>
      </w:r>
      <w:r w:rsidRPr="00A21B5C">
        <w:rPr>
          <w:rFonts w:ascii="Arial" w:hAnsi="Arial" w:cs="Arial"/>
          <w:sz w:val="22"/>
          <w:szCs w:val="22"/>
          <w:lang w:val="es-CO"/>
        </w:rPr>
        <w:t>G</w:t>
      </w:r>
      <w:r w:rsidR="001B23D6" w:rsidRPr="00A21B5C">
        <w:rPr>
          <w:rFonts w:ascii="Arial" w:hAnsi="Arial" w:cs="Arial"/>
          <w:sz w:val="22"/>
          <w:szCs w:val="22"/>
          <w:lang w:val="es-CO"/>
        </w:rPr>
        <w:t xml:space="preserve">eneral de la </w:t>
      </w:r>
      <w:r w:rsidRPr="00A21B5C">
        <w:rPr>
          <w:rFonts w:ascii="Arial" w:hAnsi="Arial" w:cs="Arial"/>
          <w:sz w:val="22"/>
          <w:szCs w:val="22"/>
          <w:lang w:val="es-CO"/>
        </w:rPr>
        <w:t>N</w:t>
      </w:r>
      <w:r w:rsidR="001B23D6" w:rsidRPr="00A21B5C">
        <w:rPr>
          <w:rFonts w:ascii="Arial" w:hAnsi="Arial" w:cs="Arial"/>
          <w:sz w:val="22"/>
          <w:szCs w:val="22"/>
          <w:lang w:val="es-CO"/>
        </w:rPr>
        <w:t>ación - CGN</w:t>
      </w:r>
      <w:r w:rsidRPr="00A21B5C">
        <w:rPr>
          <w:rFonts w:ascii="Arial" w:hAnsi="Arial" w:cs="Arial"/>
          <w:sz w:val="22"/>
          <w:szCs w:val="22"/>
          <w:lang w:val="es-CO"/>
        </w:rPr>
        <w:t>, incorporado mediante la</w:t>
      </w:r>
      <w:r w:rsidR="001B23D6" w:rsidRPr="00A21B5C">
        <w:rPr>
          <w:rFonts w:ascii="Arial" w:hAnsi="Arial" w:cs="Arial"/>
          <w:sz w:val="22"/>
          <w:szCs w:val="22"/>
          <w:lang w:val="es-CO"/>
        </w:rPr>
        <w:t xml:space="preserve"> Resolución 620 de 2015</w:t>
      </w:r>
      <w:r w:rsidRPr="00A21B5C">
        <w:rPr>
          <w:rFonts w:ascii="Arial" w:hAnsi="Arial" w:cs="Arial"/>
          <w:sz w:val="22"/>
          <w:szCs w:val="22"/>
          <w:lang w:val="es-CO"/>
        </w:rPr>
        <w:t>.</w:t>
      </w:r>
    </w:p>
    <w:p w:rsidR="008C2E4A" w:rsidRPr="00A21B5C" w:rsidRDefault="008C2E4A" w:rsidP="00A21B5C">
      <w:pPr>
        <w:ind w:left="696"/>
        <w:contextualSpacing/>
        <w:jc w:val="both"/>
        <w:rPr>
          <w:rFonts w:ascii="Arial" w:hAnsi="Arial" w:cs="Arial"/>
          <w:sz w:val="22"/>
          <w:szCs w:val="22"/>
          <w:lang w:val="es-CO"/>
        </w:rPr>
      </w:pPr>
    </w:p>
    <w:p w:rsidR="008C2E4A" w:rsidRPr="00A21B5C" w:rsidRDefault="008C2E4A" w:rsidP="00A21B5C">
      <w:pPr>
        <w:pStyle w:val="Textonotapie"/>
        <w:contextualSpacing/>
        <w:jc w:val="both"/>
        <w:rPr>
          <w:rFonts w:ascii="Arial" w:hAnsi="Arial" w:cs="Arial"/>
          <w:sz w:val="22"/>
          <w:szCs w:val="22"/>
          <w:lang w:val="es-CO"/>
        </w:rPr>
      </w:pPr>
      <w:r w:rsidRPr="00A21B5C">
        <w:rPr>
          <w:rFonts w:ascii="Arial" w:hAnsi="Arial" w:cs="Arial"/>
          <w:sz w:val="22"/>
          <w:szCs w:val="22"/>
          <w:lang w:val="es-CO"/>
        </w:rPr>
        <w:t xml:space="preserve">Así mismo, de cara a la administración de los recursos de la </w:t>
      </w:r>
      <w:r w:rsidR="001B23D6" w:rsidRPr="00A21B5C">
        <w:rPr>
          <w:rFonts w:ascii="Arial" w:hAnsi="Arial" w:cs="Arial"/>
          <w:sz w:val="22"/>
          <w:szCs w:val="22"/>
          <w:lang w:val="es-CO"/>
        </w:rPr>
        <w:t xml:space="preserve">Asignación Especial del Sistema General de Participaciones para Resguardos Indígenas - </w:t>
      </w:r>
      <w:r w:rsidRPr="00A21B5C">
        <w:rPr>
          <w:rFonts w:ascii="Arial" w:hAnsi="Arial" w:cs="Arial"/>
          <w:sz w:val="22"/>
          <w:szCs w:val="22"/>
          <w:lang w:val="es-CO"/>
        </w:rPr>
        <w:t>AESGPRI, e</w:t>
      </w:r>
      <w:r w:rsidR="00D46D31" w:rsidRPr="00A21B5C">
        <w:rPr>
          <w:rFonts w:ascii="Arial" w:hAnsi="Arial" w:cs="Arial"/>
          <w:sz w:val="22"/>
          <w:szCs w:val="22"/>
          <w:lang w:val="es-CO"/>
        </w:rPr>
        <w:t>l</w:t>
      </w:r>
      <w:r w:rsidRPr="00A21B5C">
        <w:rPr>
          <w:rFonts w:ascii="Arial" w:hAnsi="Arial" w:cs="Arial"/>
          <w:sz w:val="22"/>
          <w:szCs w:val="22"/>
          <w:lang w:val="es-CO"/>
        </w:rPr>
        <w:t xml:space="preserve"> inadecuado reconocimiento de </w:t>
      </w:r>
      <w:r w:rsidR="00D46D31" w:rsidRPr="00A21B5C">
        <w:rPr>
          <w:rFonts w:ascii="Arial" w:hAnsi="Arial" w:cs="Arial"/>
          <w:sz w:val="22"/>
          <w:szCs w:val="22"/>
          <w:lang w:val="es-CO"/>
        </w:rPr>
        <w:t xml:space="preserve">estos </w:t>
      </w:r>
      <w:r w:rsidRPr="00A21B5C">
        <w:rPr>
          <w:rFonts w:ascii="Arial" w:hAnsi="Arial" w:cs="Arial"/>
          <w:sz w:val="22"/>
          <w:szCs w:val="22"/>
          <w:lang w:val="es-CO"/>
        </w:rPr>
        <w:t>como ingresos propios de</w:t>
      </w:r>
      <w:r w:rsidR="0060445A" w:rsidRPr="00A21B5C">
        <w:rPr>
          <w:rFonts w:ascii="Arial" w:hAnsi="Arial" w:cs="Arial"/>
          <w:sz w:val="22"/>
          <w:szCs w:val="22"/>
          <w:lang w:val="es-CO"/>
        </w:rPr>
        <w:t>l Municipio</w:t>
      </w:r>
      <w:r w:rsidRPr="00A21B5C">
        <w:rPr>
          <w:rFonts w:ascii="Arial" w:hAnsi="Arial" w:cs="Arial"/>
          <w:sz w:val="22"/>
          <w:szCs w:val="22"/>
          <w:lang w:val="es-CO"/>
        </w:rPr>
        <w:t>, contraviene el espíritu de llevar un control presupuestal y contable de los recursos de la AESGPRI separado de los recursos propios de la Entidad Territorial, que como bien destaca el</w:t>
      </w:r>
      <w:r w:rsidR="001B23D6" w:rsidRPr="00A21B5C">
        <w:rPr>
          <w:rFonts w:ascii="Arial" w:hAnsi="Arial" w:cs="Arial"/>
          <w:sz w:val="22"/>
          <w:szCs w:val="22"/>
          <w:lang w:val="es-CO"/>
        </w:rPr>
        <w:t xml:space="preserve"> Departamento Nacional de Planeación -</w:t>
      </w:r>
      <w:r w:rsidRPr="00A21B5C">
        <w:rPr>
          <w:rFonts w:ascii="Arial" w:hAnsi="Arial" w:cs="Arial"/>
          <w:sz w:val="22"/>
          <w:szCs w:val="22"/>
          <w:lang w:val="es-CO"/>
        </w:rPr>
        <w:t xml:space="preserve"> DNP en el documento de </w:t>
      </w:r>
      <w:r w:rsidR="00D65DC1" w:rsidRPr="00A21B5C">
        <w:rPr>
          <w:rFonts w:ascii="Arial" w:hAnsi="Arial" w:cs="Arial"/>
          <w:sz w:val="22"/>
          <w:szCs w:val="22"/>
          <w:lang w:val="es-CO"/>
        </w:rPr>
        <w:t>o</w:t>
      </w:r>
      <w:r w:rsidRPr="00A21B5C">
        <w:rPr>
          <w:rFonts w:ascii="Arial" w:hAnsi="Arial" w:cs="Arial"/>
          <w:sz w:val="22"/>
          <w:szCs w:val="22"/>
          <w:lang w:val="es-CO"/>
        </w:rPr>
        <w:t xml:space="preserve">rientaciones para la programación de los recursos AESGPRI </w:t>
      </w:r>
      <w:r w:rsidR="004E7E20" w:rsidRPr="00A21B5C">
        <w:rPr>
          <w:rFonts w:ascii="Arial" w:hAnsi="Arial" w:cs="Arial"/>
          <w:sz w:val="22"/>
          <w:szCs w:val="22"/>
          <w:lang w:val="es-CO"/>
        </w:rPr>
        <w:t>(</w:t>
      </w:r>
      <w:r w:rsidRPr="00A21B5C">
        <w:rPr>
          <w:rFonts w:ascii="Arial" w:hAnsi="Arial" w:cs="Arial"/>
          <w:sz w:val="22"/>
          <w:szCs w:val="22"/>
          <w:lang w:val="es-CO"/>
        </w:rPr>
        <w:t>2012</w:t>
      </w:r>
      <w:r w:rsidR="004E7E20" w:rsidRPr="00A21B5C">
        <w:rPr>
          <w:rFonts w:ascii="Arial" w:hAnsi="Arial" w:cs="Arial"/>
          <w:sz w:val="22"/>
          <w:szCs w:val="22"/>
          <w:lang w:val="es-CO"/>
        </w:rPr>
        <w:t xml:space="preserve">) </w:t>
      </w:r>
      <w:r w:rsidRPr="00A21B5C">
        <w:rPr>
          <w:rFonts w:ascii="Arial" w:hAnsi="Arial" w:cs="Arial"/>
          <w:sz w:val="22"/>
          <w:szCs w:val="22"/>
          <w:lang w:val="es-CO"/>
        </w:rPr>
        <w:t xml:space="preserve">es el de </w:t>
      </w:r>
      <w:r w:rsidRPr="00A21B5C">
        <w:rPr>
          <w:rFonts w:ascii="Arial" w:hAnsi="Arial" w:cs="Arial"/>
          <w:i/>
          <w:sz w:val="22"/>
          <w:szCs w:val="22"/>
          <w:lang w:val="es-CO"/>
        </w:rPr>
        <w:t>“</w:t>
      </w:r>
      <w:r w:rsidR="00D65DC1" w:rsidRPr="00A21B5C">
        <w:rPr>
          <w:rFonts w:ascii="Arial" w:hAnsi="Arial" w:cs="Arial"/>
          <w:i/>
          <w:sz w:val="22"/>
          <w:szCs w:val="22"/>
          <w:lang w:val="es-CO"/>
        </w:rPr>
        <w:t>[</w:t>
      </w:r>
      <w:r w:rsidRPr="00A21B5C">
        <w:rPr>
          <w:rFonts w:ascii="Arial" w:hAnsi="Arial" w:cs="Arial"/>
          <w:i/>
          <w:sz w:val="22"/>
          <w:szCs w:val="22"/>
          <w:lang w:val="es-CO"/>
        </w:rPr>
        <w:t>…</w:t>
      </w:r>
      <w:r w:rsidR="00D65DC1" w:rsidRPr="00A21B5C">
        <w:rPr>
          <w:rFonts w:ascii="Arial" w:hAnsi="Arial" w:cs="Arial"/>
          <w:i/>
          <w:sz w:val="22"/>
          <w:szCs w:val="22"/>
          <w:lang w:val="es-CO"/>
        </w:rPr>
        <w:t xml:space="preserve">] </w:t>
      </w:r>
      <w:r w:rsidRPr="00A21B5C">
        <w:rPr>
          <w:rFonts w:ascii="Arial" w:hAnsi="Arial" w:cs="Arial"/>
          <w:i/>
          <w:sz w:val="22"/>
          <w:szCs w:val="22"/>
          <w:lang w:val="es-CO"/>
        </w:rPr>
        <w:t>proteger a los recursos de la AESGPRI de las medidas cautelares que se decreten contra los recursos del municipio. En ese sentido, dado que los recursos de la AESGPRI no son del municipio y por lo tanto no están incorporados en el presupuesto municipal, no pueden ser embargados como si se tratara de recursos del municipio”</w:t>
      </w:r>
      <w:r w:rsidR="00906020" w:rsidRPr="00A21B5C">
        <w:rPr>
          <w:rFonts w:ascii="Arial" w:hAnsi="Arial" w:cs="Arial"/>
          <w:i/>
          <w:sz w:val="22"/>
          <w:szCs w:val="22"/>
          <w:lang w:val="es-CO"/>
        </w:rPr>
        <w:t>.</w:t>
      </w:r>
    </w:p>
    <w:p w:rsidR="008C2E4A" w:rsidRPr="00A21B5C" w:rsidRDefault="008C2E4A" w:rsidP="00A21B5C">
      <w:pPr>
        <w:contextualSpacing/>
        <w:jc w:val="both"/>
        <w:rPr>
          <w:rFonts w:ascii="Arial" w:hAnsi="Arial" w:cs="Arial"/>
          <w:i/>
          <w:sz w:val="22"/>
          <w:szCs w:val="22"/>
          <w:lang w:val="es-CO"/>
        </w:rPr>
      </w:pPr>
    </w:p>
    <w:p w:rsidR="008C2E4A" w:rsidRPr="00A21B5C" w:rsidRDefault="008C2E4A" w:rsidP="00A21B5C">
      <w:pPr>
        <w:contextualSpacing/>
        <w:jc w:val="both"/>
        <w:rPr>
          <w:rFonts w:ascii="Arial" w:hAnsi="Arial" w:cs="Arial"/>
          <w:b/>
          <w:iCs/>
          <w:sz w:val="22"/>
          <w:szCs w:val="22"/>
          <w:lang w:val="es-CO"/>
        </w:rPr>
      </w:pPr>
      <w:r w:rsidRPr="00A21B5C">
        <w:rPr>
          <w:rFonts w:ascii="Arial" w:hAnsi="Arial" w:cs="Arial"/>
          <w:b/>
          <w:iCs/>
          <w:sz w:val="22"/>
          <w:szCs w:val="22"/>
          <w:lang w:val="es-CO"/>
        </w:rPr>
        <w:t>Reconocimiento en la ejecución de los recursos</w:t>
      </w:r>
      <w:r w:rsidR="00D65DC1" w:rsidRPr="00A21B5C">
        <w:rPr>
          <w:rFonts w:ascii="Arial" w:hAnsi="Arial" w:cs="Arial"/>
          <w:b/>
          <w:iCs/>
          <w:sz w:val="22"/>
          <w:szCs w:val="22"/>
          <w:lang w:val="es-CO"/>
        </w:rPr>
        <w:t>.</w:t>
      </w:r>
    </w:p>
    <w:p w:rsidR="008C2E4A" w:rsidRPr="00A21B5C" w:rsidRDefault="008C2E4A" w:rsidP="00A21B5C">
      <w:pPr>
        <w:contextualSpacing/>
        <w:jc w:val="both"/>
        <w:rPr>
          <w:rFonts w:ascii="Arial" w:hAnsi="Arial" w:cs="Arial"/>
          <w:i/>
          <w:sz w:val="22"/>
          <w:szCs w:val="22"/>
          <w:lang w:val="es-CO"/>
        </w:rPr>
      </w:pPr>
    </w:p>
    <w:p w:rsidR="008C2E4A" w:rsidRPr="00A21B5C" w:rsidRDefault="00677331" w:rsidP="00100DED">
      <w:pPr>
        <w:pStyle w:val="Prrafodelista"/>
        <w:numPr>
          <w:ilvl w:val="0"/>
          <w:numId w:val="5"/>
        </w:numPr>
        <w:ind w:left="709"/>
        <w:jc w:val="both"/>
        <w:rPr>
          <w:rFonts w:ascii="Arial" w:hAnsi="Arial" w:cs="Arial"/>
          <w:sz w:val="22"/>
          <w:szCs w:val="22"/>
          <w:lang w:val="es-CO"/>
        </w:rPr>
      </w:pPr>
      <w:r w:rsidRPr="00A21B5C">
        <w:rPr>
          <w:rFonts w:ascii="Arial" w:hAnsi="Arial" w:cs="Arial"/>
          <w:sz w:val="22"/>
          <w:szCs w:val="22"/>
          <w:lang w:val="es-CO"/>
        </w:rPr>
        <w:t>Dado que no fueron remitidos por la Entidad, n</w:t>
      </w:r>
      <w:r w:rsidR="008C2E4A" w:rsidRPr="00A21B5C">
        <w:rPr>
          <w:rFonts w:ascii="Arial" w:hAnsi="Arial" w:cs="Arial"/>
          <w:sz w:val="22"/>
          <w:szCs w:val="22"/>
          <w:lang w:val="es-CO"/>
        </w:rPr>
        <w:t xml:space="preserve">o </w:t>
      </w:r>
      <w:r w:rsidR="00A534AB" w:rsidRPr="00A21B5C">
        <w:rPr>
          <w:rFonts w:ascii="Arial" w:hAnsi="Arial" w:cs="Arial"/>
          <w:sz w:val="22"/>
          <w:szCs w:val="22"/>
          <w:lang w:val="es-CO"/>
        </w:rPr>
        <w:t>se tuvo acceso a lo</w:t>
      </w:r>
      <w:r w:rsidR="008C2E4A" w:rsidRPr="00A21B5C">
        <w:rPr>
          <w:rFonts w:ascii="Arial" w:hAnsi="Arial" w:cs="Arial"/>
          <w:sz w:val="22"/>
          <w:szCs w:val="22"/>
          <w:lang w:val="es-CO"/>
        </w:rPr>
        <w:t xml:space="preserve">s asientos contables del reconocimiento de las obligaciones asumidas con la ejecución parcial o total de los </w:t>
      </w:r>
      <w:r w:rsidR="004F2CF0" w:rsidRPr="00A21B5C">
        <w:rPr>
          <w:rFonts w:ascii="Arial" w:hAnsi="Arial" w:cs="Arial"/>
          <w:sz w:val="22"/>
          <w:szCs w:val="22"/>
          <w:lang w:val="es-CO"/>
        </w:rPr>
        <w:t>c</w:t>
      </w:r>
      <w:r w:rsidR="008C2E4A" w:rsidRPr="00A21B5C">
        <w:rPr>
          <w:rFonts w:ascii="Arial" w:hAnsi="Arial" w:cs="Arial"/>
          <w:sz w:val="22"/>
          <w:szCs w:val="22"/>
          <w:lang w:val="es-CO"/>
        </w:rPr>
        <w:t>ontrato</w:t>
      </w:r>
      <w:r w:rsidR="00906020" w:rsidRPr="00A21B5C">
        <w:rPr>
          <w:rFonts w:ascii="Arial" w:hAnsi="Arial" w:cs="Arial"/>
          <w:sz w:val="22"/>
          <w:szCs w:val="22"/>
          <w:lang w:val="es-CO"/>
        </w:rPr>
        <w:t>s</w:t>
      </w:r>
      <w:r w:rsidR="008C2E4A" w:rsidRPr="00A21B5C">
        <w:rPr>
          <w:rFonts w:ascii="Arial" w:hAnsi="Arial" w:cs="Arial"/>
          <w:sz w:val="22"/>
          <w:szCs w:val="22"/>
          <w:lang w:val="es-CO"/>
        </w:rPr>
        <w:t xml:space="preserve"> de ejecución celebrados con recursos de la AESGPRI contra </w:t>
      </w:r>
      <w:r w:rsidR="008C2E4A" w:rsidRPr="00A21B5C">
        <w:rPr>
          <w:rFonts w:ascii="Arial" w:hAnsi="Arial" w:cs="Arial"/>
          <w:sz w:val="22"/>
          <w:szCs w:val="22"/>
          <w:lang w:val="es-CO"/>
        </w:rPr>
        <w:lastRenderedPageBreak/>
        <w:t xml:space="preserve">las cuentas por pagar que se crean con la ejecución de </w:t>
      </w:r>
      <w:r w:rsidR="001B7165" w:rsidRPr="00A21B5C">
        <w:rPr>
          <w:rFonts w:ascii="Arial" w:hAnsi="Arial" w:cs="Arial"/>
          <w:sz w:val="22"/>
          <w:szCs w:val="22"/>
          <w:lang w:val="es-CO"/>
        </w:rPr>
        <w:t>estos</w:t>
      </w:r>
      <w:r w:rsidR="008C2E4A" w:rsidRPr="00A21B5C">
        <w:rPr>
          <w:rFonts w:ascii="Arial" w:hAnsi="Arial" w:cs="Arial"/>
          <w:sz w:val="22"/>
          <w:szCs w:val="22"/>
          <w:lang w:val="es-CO"/>
        </w:rPr>
        <w:t xml:space="preserve">, en línea con el </w:t>
      </w:r>
      <w:r w:rsidR="00D65DC1" w:rsidRPr="00A21B5C">
        <w:rPr>
          <w:rFonts w:ascii="Arial" w:hAnsi="Arial" w:cs="Arial"/>
          <w:sz w:val="22"/>
          <w:szCs w:val="22"/>
          <w:lang w:val="es-CO"/>
        </w:rPr>
        <w:t>P</w:t>
      </w:r>
      <w:r w:rsidR="008C2E4A" w:rsidRPr="00A21B5C">
        <w:rPr>
          <w:rFonts w:ascii="Arial" w:hAnsi="Arial" w:cs="Arial"/>
          <w:sz w:val="22"/>
          <w:szCs w:val="22"/>
          <w:lang w:val="es-CO"/>
        </w:rPr>
        <w:t xml:space="preserve">rincipio de </w:t>
      </w:r>
      <w:r w:rsidR="00D65DC1" w:rsidRPr="00A21B5C">
        <w:rPr>
          <w:rFonts w:ascii="Arial" w:hAnsi="Arial" w:cs="Arial"/>
          <w:sz w:val="22"/>
          <w:szCs w:val="22"/>
          <w:lang w:val="es-CO"/>
        </w:rPr>
        <w:t>D</w:t>
      </w:r>
      <w:r w:rsidR="008C2E4A" w:rsidRPr="00A21B5C">
        <w:rPr>
          <w:rFonts w:ascii="Arial" w:hAnsi="Arial" w:cs="Arial"/>
          <w:sz w:val="22"/>
          <w:szCs w:val="22"/>
          <w:lang w:val="es-CO"/>
        </w:rPr>
        <w:t>evengo.</w:t>
      </w:r>
    </w:p>
    <w:p w:rsidR="00100DED" w:rsidRPr="00A21B5C" w:rsidRDefault="00100DED" w:rsidP="00A21B5C">
      <w:pPr>
        <w:pStyle w:val="Prrafodelista"/>
        <w:ind w:left="709"/>
        <w:jc w:val="both"/>
        <w:rPr>
          <w:rFonts w:ascii="Arial" w:hAnsi="Arial" w:cs="Arial"/>
          <w:sz w:val="22"/>
          <w:szCs w:val="22"/>
          <w:lang w:val="es-CO"/>
        </w:rPr>
      </w:pPr>
    </w:p>
    <w:p w:rsidR="00D02624" w:rsidRPr="00A21B5C" w:rsidRDefault="008C2E4A">
      <w:pPr>
        <w:pStyle w:val="Prrafodelista"/>
        <w:numPr>
          <w:ilvl w:val="0"/>
          <w:numId w:val="5"/>
        </w:numPr>
        <w:spacing w:after="120"/>
        <w:ind w:left="709"/>
        <w:jc w:val="both"/>
        <w:rPr>
          <w:rFonts w:ascii="Arial" w:hAnsi="Arial" w:cs="Arial"/>
          <w:sz w:val="22"/>
          <w:szCs w:val="22"/>
          <w:lang w:val="es-CO"/>
        </w:rPr>
      </w:pPr>
      <w:r w:rsidRPr="00A21B5C">
        <w:rPr>
          <w:rFonts w:ascii="Arial" w:hAnsi="Arial" w:cs="Arial"/>
          <w:sz w:val="22"/>
          <w:szCs w:val="22"/>
          <w:lang w:val="es-CO"/>
        </w:rPr>
        <w:t xml:space="preserve">Solo fueron conocidos los asientos del reconocimiento de los pagos realizados a los </w:t>
      </w:r>
      <w:r w:rsidR="00D65DC1" w:rsidRPr="00A21B5C">
        <w:rPr>
          <w:rFonts w:ascii="Arial" w:hAnsi="Arial" w:cs="Arial"/>
          <w:sz w:val="22"/>
          <w:szCs w:val="22"/>
          <w:lang w:val="es-CO"/>
        </w:rPr>
        <w:t>c</w:t>
      </w:r>
      <w:r w:rsidRPr="00A21B5C">
        <w:rPr>
          <w:rFonts w:ascii="Arial" w:hAnsi="Arial" w:cs="Arial"/>
          <w:sz w:val="22"/>
          <w:szCs w:val="22"/>
          <w:lang w:val="es-CO"/>
        </w:rPr>
        <w:t xml:space="preserve">ontratistas con quienes se </w:t>
      </w:r>
      <w:r w:rsidR="001F1F78" w:rsidRPr="00A21B5C">
        <w:rPr>
          <w:rFonts w:ascii="Arial" w:hAnsi="Arial" w:cs="Arial"/>
          <w:sz w:val="22"/>
          <w:szCs w:val="22"/>
          <w:lang w:val="es-CO"/>
        </w:rPr>
        <w:t>celebraron</w:t>
      </w:r>
      <w:r w:rsidRPr="00A21B5C">
        <w:rPr>
          <w:rFonts w:ascii="Arial" w:hAnsi="Arial" w:cs="Arial"/>
          <w:sz w:val="22"/>
          <w:szCs w:val="22"/>
          <w:lang w:val="es-CO"/>
        </w:rPr>
        <w:t xml:space="preserve"> los </w:t>
      </w:r>
      <w:r w:rsidR="00D02624" w:rsidRPr="00A21B5C">
        <w:rPr>
          <w:rFonts w:ascii="Arial" w:hAnsi="Arial" w:cs="Arial"/>
          <w:sz w:val="22"/>
          <w:szCs w:val="22"/>
          <w:lang w:val="es-CO"/>
        </w:rPr>
        <w:t>c</w:t>
      </w:r>
      <w:r w:rsidRPr="00A21B5C">
        <w:rPr>
          <w:rFonts w:ascii="Arial" w:hAnsi="Arial" w:cs="Arial"/>
          <w:sz w:val="22"/>
          <w:szCs w:val="22"/>
          <w:lang w:val="es-CO"/>
        </w:rPr>
        <w:t>ontratos de ejecución con</w:t>
      </w:r>
      <w:r w:rsidR="001F1F78" w:rsidRPr="00A21B5C">
        <w:rPr>
          <w:rFonts w:ascii="Arial" w:hAnsi="Arial" w:cs="Arial"/>
          <w:sz w:val="22"/>
          <w:szCs w:val="22"/>
          <w:lang w:val="es-CO"/>
        </w:rPr>
        <w:t xml:space="preserve"> cargo a los</w:t>
      </w:r>
      <w:r w:rsidRPr="00A21B5C">
        <w:rPr>
          <w:rFonts w:ascii="Arial" w:hAnsi="Arial" w:cs="Arial"/>
          <w:sz w:val="22"/>
          <w:szCs w:val="22"/>
          <w:lang w:val="es-CO"/>
        </w:rPr>
        <w:t xml:space="preserve"> recursos de la AESGPRI, evidenciándose que</w:t>
      </w:r>
      <w:r w:rsidR="00250967" w:rsidRPr="00A21B5C">
        <w:rPr>
          <w:rFonts w:ascii="Arial" w:hAnsi="Arial" w:cs="Arial"/>
          <w:sz w:val="22"/>
          <w:szCs w:val="22"/>
          <w:lang w:val="es-CO"/>
        </w:rPr>
        <w:t>,</w:t>
      </w:r>
      <w:r w:rsidRPr="00A21B5C">
        <w:rPr>
          <w:rFonts w:ascii="Arial" w:hAnsi="Arial" w:cs="Arial"/>
          <w:sz w:val="22"/>
          <w:szCs w:val="22"/>
          <w:lang w:val="es-CO"/>
        </w:rPr>
        <w:t xml:space="preserve"> </w:t>
      </w:r>
      <w:r w:rsidR="00C538F2" w:rsidRPr="00A21B5C">
        <w:rPr>
          <w:rFonts w:ascii="Arial" w:hAnsi="Arial" w:cs="Arial"/>
          <w:sz w:val="22"/>
          <w:szCs w:val="22"/>
          <w:lang w:val="es-CO"/>
        </w:rPr>
        <w:t>por un lado</w:t>
      </w:r>
      <w:r w:rsidRPr="00A21B5C">
        <w:rPr>
          <w:rFonts w:ascii="Arial" w:hAnsi="Arial" w:cs="Arial"/>
          <w:sz w:val="22"/>
          <w:szCs w:val="22"/>
          <w:lang w:val="es-CO"/>
        </w:rPr>
        <w:t xml:space="preserve"> se afecta </w:t>
      </w:r>
      <w:r w:rsidR="00C538F2" w:rsidRPr="00A21B5C">
        <w:rPr>
          <w:rFonts w:ascii="Arial" w:hAnsi="Arial" w:cs="Arial"/>
          <w:sz w:val="22"/>
          <w:szCs w:val="22"/>
          <w:lang w:val="es-CO"/>
        </w:rPr>
        <w:t xml:space="preserve">el </w:t>
      </w:r>
      <w:r w:rsidR="00D65DC1" w:rsidRPr="00A21B5C">
        <w:rPr>
          <w:rFonts w:ascii="Arial" w:hAnsi="Arial" w:cs="Arial"/>
          <w:sz w:val="22"/>
          <w:szCs w:val="22"/>
          <w:lang w:val="es-CO"/>
        </w:rPr>
        <w:t>A</w:t>
      </w:r>
      <w:r w:rsidR="00C538F2" w:rsidRPr="00A21B5C">
        <w:rPr>
          <w:rFonts w:ascii="Arial" w:hAnsi="Arial" w:cs="Arial"/>
          <w:sz w:val="22"/>
          <w:szCs w:val="22"/>
          <w:lang w:val="es-CO"/>
        </w:rPr>
        <w:t>ctivo</w:t>
      </w:r>
      <w:r w:rsidRPr="00A21B5C">
        <w:rPr>
          <w:rFonts w:ascii="Arial" w:hAnsi="Arial" w:cs="Arial"/>
          <w:sz w:val="22"/>
          <w:szCs w:val="22"/>
          <w:lang w:val="es-CO"/>
        </w:rPr>
        <w:t xml:space="preserve"> 110</w:t>
      </w:r>
      <w:r w:rsidR="00CE66A8" w:rsidRPr="00A21B5C">
        <w:rPr>
          <w:rFonts w:ascii="Arial" w:hAnsi="Arial" w:cs="Arial"/>
          <w:sz w:val="22"/>
          <w:szCs w:val="22"/>
          <w:lang w:val="es-CO"/>
        </w:rPr>
        <w:t>5</w:t>
      </w:r>
      <w:r w:rsidRPr="00A21B5C">
        <w:rPr>
          <w:rFonts w:ascii="Arial" w:hAnsi="Arial" w:cs="Arial"/>
          <w:sz w:val="22"/>
          <w:szCs w:val="22"/>
          <w:lang w:val="es-CO"/>
        </w:rPr>
        <w:t>05-01 de la</w:t>
      </w:r>
      <w:r w:rsidR="00C538F2" w:rsidRPr="00A21B5C">
        <w:rPr>
          <w:rFonts w:ascii="Arial" w:hAnsi="Arial" w:cs="Arial"/>
          <w:sz w:val="22"/>
          <w:szCs w:val="22"/>
          <w:lang w:val="es-CO"/>
        </w:rPr>
        <w:t xml:space="preserve"> </w:t>
      </w:r>
      <w:r w:rsidR="00D65DC1" w:rsidRPr="00A21B5C">
        <w:rPr>
          <w:rFonts w:ascii="Arial" w:hAnsi="Arial" w:cs="Arial"/>
          <w:sz w:val="22"/>
          <w:szCs w:val="22"/>
          <w:lang w:val="es-CO"/>
        </w:rPr>
        <w:t>C</w:t>
      </w:r>
      <w:r w:rsidR="00C538F2" w:rsidRPr="00A21B5C">
        <w:rPr>
          <w:rFonts w:ascii="Arial" w:hAnsi="Arial" w:cs="Arial"/>
          <w:sz w:val="22"/>
          <w:szCs w:val="22"/>
          <w:lang w:val="es-CO"/>
        </w:rPr>
        <w:t>uenta</w:t>
      </w:r>
      <w:r w:rsidRPr="00A21B5C">
        <w:rPr>
          <w:rFonts w:ascii="Arial" w:hAnsi="Arial" w:cs="Arial"/>
          <w:sz w:val="22"/>
          <w:szCs w:val="22"/>
          <w:lang w:val="es-CO"/>
        </w:rPr>
        <w:t xml:space="preserve"> 1105 - Caja, </w:t>
      </w:r>
      <w:r w:rsidR="00C538F2" w:rsidRPr="00A21B5C">
        <w:rPr>
          <w:rFonts w:ascii="Arial" w:hAnsi="Arial" w:cs="Arial"/>
          <w:sz w:val="22"/>
          <w:szCs w:val="22"/>
          <w:lang w:val="es-CO"/>
        </w:rPr>
        <w:t xml:space="preserve">cuando debido a la naturaleza de los recursos el manejo de estos debería darse en la </w:t>
      </w:r>
      <w:r w:rsidR="00D65DC1" w:rsidRPr="00A21B5C">
        <w:rPr>
          <w:rFonts w:ascii="Arial" w:hAnsi="Arial" w:cs="Arial"/>
          <w:sz w:val="22"/>
          <w:szCs w:val="22"/>
          <w:lang w:val="es-CO"/>
        </w:rPr>
        <w:t>C</w:t>
      </w:r>
      <w:r w:rsidR="00C538F2" w:rsidRPr="00A21B5C">
        <w:rPr>
          <w:rFonts w:ascii="Arial" w:hAnsi="Arial" w:cs="Arial"/>
          <w:sz w:val="22"/>
          <w:szCs w:val="22"/>
          <w:lang w:val="es-CO"/>
        </w:rPr>
        <w:t xml:space="preserve">uenta 1132 – Efectivo de uso restringido; y por otro lado </w:t>
      </w:r>
      <w:r w:rsidRPr="00A21B5C">
        <w:rPr>
          <w:rFonts w:ascii="Arial" w:hAnsi="Arial" w:cs="Arial"/>
          <w:sz w:val="22"/>
          <w:szCs w:val="22"/>
          <w:lang w:val="es-CO"/>
        </w:rPr>
        <w:t xml:space="preserve">no se contracredita la </w:t>
      </w:r>
      <w:r w:rsidR="00D65DC1" w:rsidRPr="00A21B5C">
        <w:rPr>
          <w:rFonts w:ascii="Arial" w:hAnsi="Arial" w:cs="Arial"/>
          <w:sz w:val="22"/>
          <w:szCs w:val="22"/>
          <w:lang w:val="es-CO"/>
        </w:rPr>
        <w:t>c</w:t>
      </w:r>
      <w:r w:rsidRPr="00A21B5C">
        <w:rPr>
          <w:rFonts w:ascii="Arial" w:hAnsi="Arial" w:cs="Arial"/>
          <w:sz w:val="22"/>
          <w:szCs w:val="22"/>
          <w:lang w:val="es-CO"/>
        </w:rPr>
        <w:t xml:space="preserve">uenta por pagar en la causación de la obligación que debió darse a la ejecución del recurso, sino que se debita el </w:t>
      </w:r>
      <w:r w:rsidR="00D65DC1" w:rsidRPr="00A21B5C">
        <w:rPr>
          <w:rFonts w:ascii="Arial" w:hAnsi="Arial" w:cs="Arial"/>
          <w:sz w:val="22"/>
          <w:szCs w:val="22"/>
          <w:lang w:val="es-CO"/>
        </w:rPr>
        <w:t>P</w:t>
      </w:r>
      <w:r w:rsidRPr="00A21B5C">
        <w:rPr>
          <w:rFonts w:ascii="Arial" w:hAnsi="Arial" w:cs="Arial"/>
          <w:sz w:val="22"/>
          <w:szCs w:val="22"/>
          <w:lang w:val="es-CO"/>
        </w:rPr>
        <w:t xml:space="preserve">asivo 290507-01 de la </w:t>
      </w:r>
      <w:r w:rsidR="00D65DC1" w:rsidRPr="00A21B5C">
        <w:rPr>
          <w:rFonts w:ascii="Arial" w:hAnsi="Arial" w:cs="Arial"/>
          <w:sz w:val="22"/>
          <w:szCs w:val="22"/>
          <w:lang w:val="es-CO"/>
        </w:rPr>
        <w:t>C</w:t>
      </w:r>
      <w:r w:rsidRPr="00A21B5C">
        <w:rPr>
          <w:rFonts w:ascii="Arial" w:hAnsi="Arial" w:cs="Arial"/>
          <w:sz w:val="22"/>
          <w:szCs w:val="22"/>
          <w:lang w:val="es-CO"/>
        </w:rPr>
        <w:t xml:space="preserve">uenta 2905 - Recaudos a </w:t>
      </w:r>
      <w:r w:rsidR="00D65DC1" w:rsidRPr="00A21B5C">
        <w:rPr>
          <w:rFonts w:ascii="Arial" w:hAnsi="Arial" w:cs="Arial"/>
          <w:sz w:val="22"/>
          <w:szCs w:val="22"/>
          <w:lang w:val="es-CO"/>
        </w:rPr>
        <w:t>F</w:t>
      </w:r>
      <w:r w:rsidRPr="00A21B5C">
        <w:rPr>
          <w:rFonts w:ascii="Arial" w:hAnsi="Arial" w:cs="Arial"/>
          <w:sz w:val="22"/>
          <w:szCs w:val="22"/>
          <w:lang w:val="es-CO"/>
        </w:rPr>
        <w:t xml:space="preserve">avor de </w:t>
      </w:r>
      <w:r w:rsidR="00D65DC1" w:rsidRPr="00A21B5C">
        <w:rPr>
          <w:rFonts w:ascii="Arial" w:hAnsi="Arial" w:cs="Arial"/>
          <w:sz w:val="22"/>
          <w:szCs w:val="22"/>
          <w:lang w:val="es-CO"/>
        </w:rPr>
        <w:t>T</w:t>
      </w:r>
      <w:r w:rsidRPr="00A21B5C">
        <w:rPr>
          <w:rFonts w:ascii="Arial" w:hAnsi="Arial" w:cs="Arial"/>
          <w:sz w:val="22"/>
          <w:szCs w:val="22"/>
          <w:lang w:val="es-CO"/>
        </w:rPr>
        <w:t xml:space="preserve">erceros, </w:t>
      </w:r>
      <w:r w:rsidR="00D65DC1" w:rsidRPr="00A21B5C">
        <w:rPr>
          <w:rFonts w:ascii="Arial" w:hAnsi="Arial" w:cs="Arial"/>
          <w:sz w:val="22"/>
          <w:szCs w:val="22"/>
          <w:lang w:val="es-CO"/>
        </w:rPr>
        <w:t>C</w:t>
      </w:r>
      <w:r w:rsidRPr="00A21B5C">
        <w:rPr>
          <w:rFonts w:ascii="Arial" w:hAnsi="Arial" w:cs="Arial"/>
          <w:sz w:val="22"/>
          <w:szCs w:val="22"/>
          <w:lang w:val="es-CO"/>
        </w:rPr>
        <w:t>uenta asociada a la administración del recurso.</w:t>
      </w:r>
    </w:p>
    <w:p w:rsidR="008C43B9" w:rsidRPr="00A21B5C" w:rsidRDefault="008C43B9" w:rsidP="00A21B5C">
      <w:pPr>
        <w:contextualSpacing/>
        <w:jc w:val="both"/>
        <w:rPr>
          <w:rFonts w:ascii="Arial" w:hAnsi="Arial" w:cs="Arial"/>
          <w:sz w:val="22"/>
          <w:szCs w:val="22"/>
          <w:highlight w:val="yellow"/>
          <w:lang w:val="es-CO"/>
        </w:rPr>
      </w:pPr>
    </w:p>
    <w:p w:rsidR="008C2E4A" w:rsidRPr="00A21B5C" w:rsidRDefault="008C2E4A" w:rsidP="00A21B5C">
      <w:pPr>
        <w:pBdr>
          <w:bottom w:val="single" w:sz="4" w:space="1" w:color="auto"/>
        </w:pBdr>
        <w:tabs>
          <w:tab w:val="num" w:pos="1560"/>
          <w:tab w:val="left" w:pos="8460"/>
        </w:tabs>
        <w:contextualSpacing/>
        <w:jc w:val="both"/>
        <w:rPr>
          <w:rFonts w:ascii="Arial" w:hAnsi="Arial" w:cs="Arial"/>
          <w:b/>
          <w:sz w:val="22"/>
          <w:szCs w:val="22"/>
          <w:lang w:val="es-CO"/>
        </w:rPr>
      </w:pPr>
      <w:r w:rsidRPr="00A21B5C">
        <w:rPr>
          <w:rFonts w:ascii="Arial" w:hAnsi="Arial" w:cs="Arial"/>
          <w:b/>
          <w:sz w:val="22"/>
          <w:szCs w:val="22"/>
          <w:lang w:val="es-CO"/>
        </w:rPr>
        <w:t>III.</w:t>
      </w:r>
      <w:r w:rsidRPr="00A21B5C">
        <w:rPr>
          <w:rFonts w:ascii="Arial" w:hAnsi="Arial" w:cs="Arial"/>
          <w:sz w:val="22"/>
          <w:szCs w:val="22"/>
          <w:lang w:val="es-CO"/>
        </w:rPr>
        <w:t xml:space="preserve"> </w:t>
      </w:r>
      <w:r w:rsidRPr="00A21B5C">
        <w:rPr>
          <w:rFonts w:ascii="Arial" w:hAnsi="Arial" w:cs="Arial"/>
          <w:b/>
          <w:sz w:val="22"/>
          <w:szCs w:val="22"/>
          <w:lang w:val="es-CO"/>
        </w:rPr>
        <w:t>PROGRAMACIÓN Y FORMULACIÓN DE PROYECTOS</w:t>
      </w:r>
      <w:r w:rsidR="00D65DC1" w:rsidRPr="00A21B5C">
        <w:rPr>
          <w:rFonts w:ascii="Arial" w:hAnsi="Arial" w:cs="Arial"/>
          <w:b/>
          <w:sz w:val="22"/>
          <w:szCs w:val="22"/>
          <w:lang w:val="es-CO"/>
        </w:rPr>
        <w:t>:</w:t>
      </w:r>
    </w:p>
    <w:p w:rsidR="008C2E4A" w:rsidRPr="00A21B5C" w:rsidRDefault="008C2E4A" w:rsidP="00A21B5C">
      <w:pPr>
        <w:contextualSpacing/>
        <w:jc w:val="both"/>
        <w:rPr>
          <w:rFonts w:ascii="Arial" w:hAnsi="Arial" w:cs="Arial"/>
          <w:sz w:val="22"/>
          <w:szCs w:val="22"/>
          <w:lang w:val="es-CO"/>
        </w:rPr>
      </w:pPr>
    </w:p>
    <w:p w:rsidR="008C2E4A" w:rsidRPr="00A21B5C" w:rsidRDefault="008C2E4A" w:rsidP="00A21B5C">
      <w:pPr>
        <w:contextualSpacing/>
        <w:jc w:val="both"/>
        <w:rPr>
          <w:rFonts w:ascii="Arial" w:hAnsi="Arial" w:cs="Arial"/>
          <w:sz w:val="22"/>
          <w:szCs w:val="22"/>
          <w:lang w:val="es-CO"/>
        </w:rPr>
      </w:pPr>
      <w:r w:rsidRPr="00A21B5C">
        <w:rPr>
          <w:rFonts w:ascii="Arial" w:hAnsi="Arial" w:cs="Arial"/>
          <w:sz w:val="22"/>
          <w:szCs w:val="22"/>
          <w:lang w:val="es-CO"/>
        </w:rPr>
        <w:t xml:space="preserve">Fueron inspeccionados los </w:t>
      </w:r>
      <w:r w:rsidR="009E186E" w:rsidRPr="00A21B5C">
        <w:rPr>
          <w:rFonts w:ascii="Arial" w:hAnsi="Arial" w:cs="Arial"/>
          <w:sz w:val="22"/>
          <w:szCs w:val="22"/>
          <w:lang w:val="es-CO"/>
        </w:rPr>
        <w:t xml:space="preserve">Convenios </w:t>
      </w:r>
      <w:r w:rsidRPr="00A21B5C">
        <w:rPr>
          <w:rFonts w:ascii="Arial" w:hAnsi="Arial" w:cs="Arial"/>
          <w:sz w:val="22"/>
          <w:szCs w:val="22"/>
          <w:lang w:val="es-CO"/>
        </w:rPr>
        <w:t>de Administración suscritos entre el representante legal del Resguardo Indígena Kogui – Malayo - Arhuaco y el Municipio de Dibulla en calidad de administrador de los recursos de la AESGPRI durante las vigencias 2016, 2017</w:t>
      </w:r>
      <w:r w:rsidR="00837620" w:rsidRPr="00A21B5C">
        <w:rPr>
          <w:rFonts w:ascii="Arial" w:hAnsi="Arial" w:cs="Arial"/>
          <w:sz w:val="22"/>
          <w:szCs w:val="22"/>
          <w:lang w:val="es-CO"/>
        </w:rPr>
        <w:t>,</w:t>
      </w:r>
      <w:r w:rsidRPr="00A21B5C">
        <w:rPr>
          <w:rFonts w:ascii="Arial" w:hAnsi="Arial" w:cs="Arial"/>
          <w:sz w:val="22"/>
          <w:szCs w:val="22"/>
          <w:lang w:val="es-CO"/>
        </w:rPr>
        <w:t xml:space="preserve"> 2018</w:t>
      </w:r>
      <w:r w:rsidR="00837620" w:rsidRPr="00A21B5C">
        <w:rPr>
          <w:rFonts w:ascii="Arial" w:hAnsi="Arial" w:cs="Arial"/>
          <w:sz w:val="22"/>
          <w:szCs w:val="22"/>
          <w:lang w:val="es-CO"/>
        </w:rPr>
        <w:t xml:space="preserve"> y 2019</w:t>
      </w:r>
      <w:r w:rsidRPr="00A21B5C">
        <w:rPr>
          <w:rFonts w:ascii="Arial" w:hAnsi="Arial" w:cs="Arial"/>
          <w:sz w:val="22"/>
          <w:szCs w:val="22"/>
          <w:lang w:val="es-CO"/>
        </w:rPr>
        <w:t>, los cuales fueron compartidos por la Entidad Territorial a través de la respuesta dada al requerimiento de información realizada en el oficio de anuncio de visita</w:t>
      </w:r>
      <w:r w:rsidRPr="00A21B5C">
        <w:rPr>
          <w:rStyle w:val="Refdenotaalpie"/>
          <w:rFonts w:ascii="Arial" w:hAnsi="Arial" w:cs="Arial"/>
          <w:sz w:val="22"/>
          <w:szCs w:val="22"/>
          <w:lang w:val="es-CO"/>
        </w:rPr>
        <w:footnoteReference w:id="27"/>
      </w:r>
      <w:r w:rsidRPr="00A21B5C">
        <w:rPr>
          <w:rFonts w:ascii="Arial" w:hAnsi="Arial" w:cs="Arial"/>
          <w:sz w:val="22"/>
          <w:szCs w:val="22"/>
          <w:lang w:val="es-CO"/>
        </w:rPr>
        <w:t>, junto con las actas de las reuniones realizadas por la</w:t>
      </w:r>
      <w:r w:rsidR="00931925" w:rsidRPr="00A21B5C">
        <w:rPr>
          <w:rFonts w:ascii="Arial" w:hAnsi="Arial" w:cs="Arial"/>
          <w:sz w:val="22"/>
          <w:szCs w:val="22"/>
          <w:lang w:val="es-CO"/>
        </w:rPr>
        <w:t>s</w:t>
      </w:r>
      <w:r w:rsidRPr="00A21B5C">
        <w:rPr>
          <w:rFonts w:ascii="Arial" w:hAnsi="Arial" w:cs="Arial"/>
          <w:sz w:val="22"/>
          <w:szCs w:val="22"/>
          <w:lang w:val="es-CO"/>
        </w:rPr>
        <w:t xml:space="preserve"> comunidad</w:t>
      </w:r>
      <w:r w:rsidR="00931925" w:rsidRPr="00A21B5C">
        <w:rPr>
          <w:rFonts w:ascii="Arial" w:hAnsi="Arial" w:cs="Arial"/>
          <w:sz w:val="22"/>
          <w:szCs w:val="22"/>
          <w:lang w:val="es-CO"/>
        </w:rPr>
        <w:t>es</w:t>
      </w:r>
      <w:r w:rsidRPr="00A21B5C">
        <w:rPr>
          <w:rFonts w:ascii="Arial" w:hAnsi="Arial" w:cs="Arial"/>
          <w:sz w:val="22"/>
          <w:szCs w:val="22"/>
          <w:lang w:val="es-CO"/>
        </w:rPr>
        <w:t xml:space="preserve"> indígena</w:t>
      </w:r>
      <w:r w:rsidR="00931925" w:rsidRPr="00A21B5C">
        <w:rPr>
          <w:rFonts w:ascii="Arial" w:hAnsi="Arial" w:cs="Arial"/>
          <w:sz w:val="22"/>
          <w:szCs w:val="22"/>
          <w:lang w:val="es-CO"/>
        </w:rPr>
        <w:t>s</w:t>
      </w:r>
      <w:r w:rsidRPr="00A21B5C">
        <w:rPr>
          <w:rFonts w:ascii="Arial" w:hAnsi="Arial" w:cs="Arial"/>
          <w:sz w:val="22"/>
          <w:szCs w:val="22"/>
          <w:lang w:val="es-CO"/>
        </w:rPr>
        <w:t xml:space="preserve"> para la programación previa de los recursos y los documentos de formulación de proyectos que se incluyeron en los respectivos </w:t>
      </w:r>
      <w:r w:rsidR="00771F97" w:rsidRPr="00A21B5C">
        <w:rPr>
          <w:rFonts w:ascii="Arial" w:hAnsi="Arial" w:cs="Arial"/>
          <w:sz w:val="22"/>
          <w:szCs w:val="22"/>
          <w:lang w:val="es-CO"/>
        </w:rPr>
        <w:t xml:space="preserve">Convenios </w:t>
      </w:r>
      <w:r w:rsidRPr="00A21B5C">
        <w:rPr>
          <w:rFonts w:ascii="Arial" w:hAnsi="Arial" w:cs="Arial"/>
          <w:sz w:val="22"/>
          <w:szCs w:val="22"/>
          <w:lang w:val="es-CO"/>
        </w:rPr>
        <w:t>de Administración</w:t>
      </w:r>
      <w:r w:rsidR="00102A62" w:rsidRPr="00A21B5C">
        <w:rPr>
          <w:rStyle w:val="Refdenotaalpie"/>
          <w:rFonts w:ascii="Arial" w:hAnsi="Arial" w:cs="Arial"/>
          <w:sz w:val="22"/>
          <w:szCs w:val="22"/>
          <w:lang w:val="es-CO"/>
        </w:rPr>
        <w:footnoteReference w:id="28"/>
      </w:r>
      <w:r w:rsidRPr="00A21B5C">
        <w:rPr>
          <w:rFonts w:ascii="Arial" w:hAnsi="Arial" w:cs="Arial"/>
          <w:sz w:val="22"/>
          <w:szCs w:val="22"/>
          <w:lang w:val="es-CO"/>
        </w:rPr>
        <w:t>.</w:t>
      </w:r>
    </w:p>
    <w:p w:rsidR="008C2E4A" w:rsidRPr="00A21B5C" w:rsidRDefault="008C2E4A" w:rsidP="00A21B5C">
      <w:pPr>
        <w:contextualSpacing/>
        <w:jc w:val="both"/>
        <w:rPr>
          <w:rFonts w:ascii="Arial" w:hAnsi="Arial" w:cs="Arial"/>
          <w:sz w:val="22"/>
          <w:szCs w:val="22"/>
          <w:lang w:val="es-CO"/>
        </w:rPr>
      </w:pPr>
    </w:p>
    <w:p w:rsidR="008C2E4A" w:rsidRPr="00A21B5C" w:rsidRDefault="008C2E4A" w:rsidP="00A21B5C">
      <w:pPr>
        <w:contextualSpacing/>
        <w:jc w:val="both"/>
        <w:rPr>
          <w:rFonts w:ascii="Arial" w:hAnsi="Arial" w:cs="Arial"/>
          <w:sz w:val="22"/>
          <w:szCs w:val="22"/>
          <w:lang w:val="es-CO"/>
        </w:rPr>
      </w:pPr>
      <w:r w:rsidRPr="00A21B5C">
        <w:rPr>
          <w:rFonts w:ascii="Arial" w:hAnsi="Arial" w:cs="Arial"/>
          <w:sz w:val="22"/>
          <w:szCs w:val="22"/>
          <w:lang w:val="es-CO"/>
        </w:rPr>
        <w:t xml:space="preserve">Puntualmente, en cuanto al proceso de </w:t>
      </w:r>
      <w:r w:rsidRPr="00A21B5C">
        <w:rPr>
          <w:rFonts w:ascii="Arial" w:hAnsi="Arial" w:cs="Arial"/>
          <w:bCs/>
          <w:iCs/>
          <w:sz w:val="22"/>
          <w:szCs w:val="22"/>
          <w:lang w:val="es-CO"/>
        </w:rPr>
        <w:t>programación de los recursos,</w:t>
      </w:r>
      <w:r w:rsidRPr="00A21B5C">
        <w:rPr>
          <w:rFonts w:ascii="Arial" w:hAnsi="Arial" w:cs="Arial"/>
          <w:sz w:val="22"/>
          <w:szCs w:val="22"/>
          <w:lang w:val="es-CO"/>
        </w:rPr>
        <w:t xml:space="preserve"> se conoció previamente en reunión con la Secretaría de Salud, Bienestar e Integración Social, la Secretaría de Planeación y el Asesor Jurídico del Resguardo Indígena, el día 8 de mayo de 2019</w:t>
      </w:r>
      <w:r w:rsidR="00931925" w:rsidRPr="00A21B5C">
        <w:rPr>
          <w:rFonts w:ascii="Arial" w:hAnsi="Arial" w:cs="Arial"/>
          <w:sz w:val="22"/>
          <w:szCs w:val="22"/>
          <w:lang w:val="es-CO"/>
        </w:rPr>
        <w:t xml:space="preserve"> en el marco de la visita de reconocimiento realizada por </w:t>
      </w:r>
      <w:r w:rsidR="00771F97" w:rsidRPr="00A21B5C">
        <w:rPr>
          <w:rFonts w:ascii="Arial" w:hAnsi="Arial" w:cs="Arial"/>
          <w:sz w:val="22"/>
          <w:szCs w:val="22"/>
          <w:lang w:val="es-CO"/>
        </w:rPr>
        <w:t>esta Dirección</w:t>
      </w:r>
      <w:r w:rsidRPr="00A21B5C">
        <w:rPr>
          <w:rFonts w:ascii="Arial" w:hAnsi="Arial" w:cs="Arial"/>
          <w:sz w:val="22"/>
          <w:szCs w:val="22"/>
          <w:lang w:val="es-CO"/>
        </w:rPr>
        <w:t xml:space="preserve">, que el Resguardo Indígena acordó realizar el proceso de programación y formulación de proyectos por </w:t>
      </w:r>
      <w:r w:rsidR="00771F97" w:rsidRPr="00A21B5C">
        <w:rPr>
          <w:rFonts w:ascii="Arial" w:hAnsi="Arial" w:cs="Arial"/>
          <w:sz w:val="22"/>
          <w:szCs w:val="22"/>
          <w:lang w:val="es-CO"/>
        </w:rPr>
        <w:t>P</w:t>
      </w:r>
      <w:r w:rsidR="00931925" w:rsidRPr="00A21B5C">
        <w:rPr>
          <w:rFonts w:ascii="Arial" w:hAnsi="Arial" w:cs="Arial"/>
          <w:sz w:val="22"/>
          <w:szCs w:val="22"/>
          <w:lang w:val="es-CO"/>
        </w:rPr>
        <w:t xml:space="preserve">ueblo </w:t>
      </w:r>
      <w:r w:rsidR="00771F97" w:rsidRPr="00A21B5C">
        <w:rPr>
          <w:rFonts w:ascii="Arial" w:hAnsi="Arial" w:cs="Arial"/>
          <w:sz w:val="22"/>
          <w:szCs w:val="22"/>
          <w:lang w:val="es-CO"/>
        </w:rPr>
        <w:t>I</w:t>
      </w:r>
      <w:r w:rsidRPr="00A21B5C">
        <w:rPr>
          <w:rFonts w:ascii="Arial" w:hAnsi="Arial" w:cs="Arial"/>
          <w:sz w:val="22"/>
          <w:szCs w:val="22"/>
          <w:lang w:val="es-CO"/>
        </w:rPr>
        <w:t>ndígena, estipulando internamente la distribución de los recursos de la siguiente manera: 10</w:t>
      </w:r>
      <w:r w:rsidR="00771F97" w:rsidRPr="00A21B5C">
        <w:rPr>
          <w:rFonts w:ascii="Arial" w:hAnsi="Arial" w:cs="Arial"/>
          <w:sz w:val="22"/>
          <w:szCs w:val="22"/>
          <w:lang w:val="es-CO"/>
        </w:rPr>
        <w:t xml:space="preserve"> </w:t>
      </w:r>
      <w:r w:rsidRPr="00A21B5C">
        <w:rPr>
          <w:rFonts w:ascii="Arial" w:hAnsi="Arial" w:cs="Arial"/>
          <w:sz w:val="22"/>
          <w:szCs w:val="22"/>
          <w:lang w:val="es-CO"/>
        </w:rPr>
        <w:t>% para la</w:t>
      </w:r>
      <w:r w:rsidR="00931925" w:rsidRPr="00A21B5C">
        <w:rPr>
          <w:rFonts w:ascii="Arial" w:hAnsi="Arial" w:cs="Arial"/>
          <w:sz w:val="22"/>
          <w:szCs w:val="22"/>
          <w:lang w:val="es-CO"/>
        </w:rPr>
        <w:t>s</w:t>
      </w:r>
      <w:r w:rsidRPr="00A21B5C">
        <w:rPr>
          <w:rFonts w:ascii="Arial" w:hAnsi="Arial" w:cs="Arial"/>
          <w:sz w:val="22"/>
          <w:szCs w:val="22"/>
          <w:lang w:val="es-CO"/>
        </w:rPr>
        <w:t xml:space="preserve"> </w:t>
      </w:r>
      <w:r w:rsidR="00771F97" w:rsidRPr="00A21B5C">
        <w:rPr>
          <w:rFonts w:ascii="Arial" w:hAnsi="Arial" w:cs="Arial"/>
          <w:sz w:val="22"/>
          <w:szCs w:val="22"/>
          <w:lang w:val="es-CO"/>
        </w:rPr>
        <w:t>C</w:t>
      </w:r>
      <w:r w:rsidRPr="00A21B5C">
        <w:rPr>
          <w:rFonts w:ascii="Arial" w:hAnsi="Arial" w:cs="Arial"/>
          <w:sz w:val="22"/>
          <w:szCs w:val="22"/>
          <w:lang w:val="es-CO"/>
        </w:rPr>
        <w:t>omunidad</w:t>
      </w:r>
      <w:r w:rsidR="00931925" w:rsidRPr="00A21B5C">
        <w:rPr>
          <w:rFonts w:ascii="Arial" w:hAnsi="Arial" w:cs="Arial"/>
          <w:sz w:val="22"/>
          <w:szCs w:val="22"/>
          <w:lang w:val="es-CO"/>
        </w:rPr>
        <w:t xml:space="preserve">es del </w:t>
      </w:r>
      <w:r w:rsidR="00771F97" w:rsidRPr="00A21B5C">
        <w:rPr>
          <w:rFonts w:ascii="Arial" w:hAnsi="Arial" w:cs="Arial"/>
          <w:sz w:val="22"/>
          <w:szCs w:val="22"/>
          <w:lang w:val="es-CO"/>
        </w:rPr>
        <w:t>P</w:t>
      </w:r>
      <w:r w:rsidR="00931925" w:rsidRPr="00A21B5C">
        <w:rPr>
          <w:rFonts w:ascii="Arial" w:hAnsi="Arial" w:cs="Arial"/>
          <w:sz w:val="22"/>
          <w:szCs w:val="22"/>
          <w:lang w:val="es-CO"/>
        </w:rPr>
        <w:t>ueblo</w:t>
      </w:r>
      <w:r w:rsidRPr="00A21B5C">
        <w:rPr>
          <w:rFonts w:ascii="Arial" w:hAnsi="Arial" w:cs="Arial"/>
          <w:sz w:val="22"/>
          <w:szCs w:val="22"/>
          <w:lang w:val="es-CO"/>
        </w:rPr>
        <w:t xml:space="preserve"> Arhuaco, 20</w:t>
      </w:r>
      <w:r w:rsidR="00771F97" w:rsidRPr="00A21B5C">
        <w:rPr>
          <w:rFonts w:ascii="Arial" w:hAnsi="Arial" w:cs="Arial"/>
          <w:sz w:val="22"/>
          <w:szCs w:val="22"/>
          <w:lang w:val="es-CO"/>
        </w:rPr>
        <w:t xml:space="preserve"> </w:t>
      </w:r>
      <w:r w:rsidRPr="00A21B5C">
        <w:rPr>
          <w:rFonts w:ascii="Arial" w:hAnsi="Arial" w:cs="Arial"/>
          <w:sz w:val="22"/>
          <w:szCs w:val="22"/>
          <w:lang w:val="es-CO"/>
        </w:rPr>
        <w:t>% para la</w:t>
      </w:r>
      <w:r w:rsidR="00931925" w:rsidRPr="00A21B5C">
        <w:rPr>
          <w:rFonts w:ascii="Arial" w:hAnsi="Arial" w:cs="Arial"/>
          <w:sz w:val="22"/>
          <w:szCs w:val="22"/>
          <w:lang w:val="es-CO"/>
        </w:rPr>
        <w:t>s</w:t>
      </w:r>
      <w:r w:rsidRPr="00A21B5C">
        <w:rPr>
          <w:rFonts w:ascii="Arial" w:hAnsi="Arial" w:cs="Arial"/>
          <w:sz w:val="22"/>
          <w:szCs w:val="22"/>
          <w:lang w:val="es-CO"/>
        </w:rPr>
        <w:t xml:space="preserve"> </w:t>
      </w:r>
      <w:r w:rsidR="00771F97" w:rsidRPr="00A21B5C">
        <w:rPr>
          <w:rFonts w:ascii="Arial" w:hAnsi="Arial" w:cs="Arial"/>
          <w:sz w:val="22"/>
          <w:szCs w:val="22"/>
          <w:lang w:val="es-CO"/>
        </w:rPr>
        <w:t>C</w:t>
      </w:r>
      <w:r w:rsidRPr="00A21B5C">
        <w:rPr>
          <w:rFonts w:ascii="Arial" w:hAnsi="Arial" w:cs="Arial"/>
          <w:sz w:val="22"/>
          <w:szCs w:val="22"/>
          <w:lang w:val="es-CO"/>
        </w:rPr>
        <w:t>omunidad</w:t>
      </w:r>
      <w:r w:rsidR="00931925" w:rsidRPr="00A21B5C">
        <w:rPr>
          <w:rFonts w:ascii="Arial" w:hAnsi="Arial" w:cs="Arial"/>
          <w:sz w:val="22"/>
          <w:szCs w:val="22"/>
          <w:lang w:val="es-CO"/>
        </w:rPr>
        <w:t>es</w:t>
      </w:r>
      <w:r w:rsidRPr="00A21B5C">
        <w:rPr>
          <w:rFonts w:ascii="Arial" w:hAnsi="Arial" w:cs="Arial"/>
          <w:sz w:val="22"/>
          <w:szCs w:val="22"/>
          <w:lang w:val="es-CO"/>
        </w:rPr>
        <w:t xml:space="preserve"> Wiwa y 70</w:t>
      </w:r>
      <w:r w:rsidR="00771F97" w:rsidRPr="00A21B5C">
        <w:rPr>
          <w:rFonts w:ascii="Arial" w:hAnsi="Arial" w:cs="Arial"/>
          <w:sz w:val="22"/>
          <w:szCs w:val="22"/>
          <w:lang w:val="es-CO"/>
        </w:rPr>
        <w:t xml:space="preserve"> </w:t>
      </w:r>
      <w:r w:rsidRPr="00A21B5C">
        <w:rPr>
          <w:rFonts w:ascii="Arial" w:hAnsi="Arial" w:cs="Arial"/>
          <w:sz w:val="22"/>
          <w:szCs w:val="22"/>
          <w:lang w:val="es-CO"/>
        </w:rPr>
        <w:t>% restantes de la asignación para la</w:t>
      </w:r>
      <w:r w:rsidR="00931925" w:rsidRPr="00A21B5C">
        <w:rPr>
          <w:rFonts w:ascii="Arial" w:hAnsi="Arial" w:cs="Arial"/>
          <w:sz w:val="22"/>
          <w:szCs w:val="22"/>
          <w:lang w:val="es-CO"/>
        </w:rPr>
        <w:t>s</w:t>
      </w:r>
      <w:r w:rsidRPr="00A21B5C">
        <w:rPr>
          <w:rFonts w:ascii="Arial" w:hAnsi="Arial" w:cs="Arial"/>
          <w:sz w:val="22"/>
          <w:szCs w:val="22"/>
          <w:lang w:val="es-CO"/>
        </w:rPr>
        <w:t xml:space="preserve"> </w:t>
      </w:r>
      <w:r w:rsidR="00771F97" w:rsidRPr="00A21B5C">
        <w:rPr>
          <w:rFonts w:ascii="Arial" w:hAnsi="Arial" w:cs="Arial"/>
          <w:sz w:val="22"/>
          <w:szCs w:val="22"/>
          <w:lang w:val="es-CO"/>
        </w:rPr>
        <w:t>C</w:t>
      </w:r>
      <w:r w:rsidRPr="00A21B5C">
        <w:rPr>
          <w:rFonts w:ascii="Arial" w:hAnsi="Arial" w:cs="Arial"/>
          <w:sz w:val="22"/>
          <w:szCs w:val="22"/>
          <w:lang w:val="es-CO"/>
        </w:rPr>
        <w:t>omunidad</w:t>
      </w:r>
      <w:r w:rsidR="00931925" w:rsidRPr="00A21B5C">
        <w:rPr>
          <w:rFonts w:ascii="Arial" w:hAnsi="Arial" w:cs="Arial"/>
          <w:sz w:val="22"/>
          <w:szCs w:val="22"/>
          <w:lang w:val="es-CO"/>
        </w:rPr>
        <w:t xml:space="preserve">es del </w:t>
      </w:r>
      <w:r w:rsidR="00771F97" w:rsidRPr="00A21B5C">
        <w:rPr>
          <w:rFonts w:ascii="Arial" w:hAnsi="Arial" w:cs="Arial"/>
          <w:sz w:val="22"/>
          <w:szCs w:val="22"/>
          <w:lang w:val="es-CO"/>
        </w:rPr>
        <w:t>P</w:t>
      </w:r>
      <w:r w:rsidR="00931925" w:rsidRPr="00A21B5C">
        <w:rPr>
          <w:rFonts w:ascii="Arial" w:hAnsi="Arial" w:cs="Arial"/>
          <w:sz w:val="22"/>
          <w:szCs w:val="22"/>
          <w:lang w:val="es-CO"/>
        </w:rPr>
        <w:t>ueblo</w:t>
      </w:r>
      <w:r w:rsidRPr="00A21B5C">
        <w:rPr>
          <w:rFonts w:ascii="Arial" w:hAnsi="Arial" w:cs="Arial"/>
          <w:sz w:val="22"/>
          <w:szCs w:val="22"/>
          <w:lang w:val="es-CO"/>
        </w:rPr>
        <w:t xml:space="preserve"> Kogui. Estos acuerdos</w:t>
      </w:r>
      <w:r w:rsidR="00931925" w:rsidRPr="00A21B5C">
        <w:rPr>
          <w:rFonts w:ascii="Arial" w:hAnsi="Arial" w:cs="Arial"/>
          <w:sz w:val="22"/>
          <w:szCs w:val="22"/>
          <w:lang w:val="es-CO"/>
        </w:rPr>
        <w:t xml:space="preserve"> se lograron en el marco del </w:t>
      </w:r>
      <w:r w:rsidRPr="00A21B5C">
        <w:rPr>
          <w:rFonts w:ascii="Arial" w:hAnsi="Arial" w:cs="Arial"/>
          <w:sz w:val="22"/>
          <w:szCs w:val="22"/>
          <w:lang w:val="es-CO"/>
        </w:rPr>
        <w:t xml:space="preserve">acompañamiento del Ministerio del Interior, quien adelantó una serie de talleres con </w:t>
      </w:r>
      <w:r w:rsidR="00931925" w:rsidRPr="00A21B5C">
        <w:rPr>
          <w:rFonts w:ascii="Arial" w:hAnsi="Arial" w:cs="Arial"/>
          <w:sz w:val="22"/>
          <w:szCs w:val="22"/>
          <w:lang w:val="es-CO"/>
        </w:rPr>
        <w:t xml:space="preserve">los tres </w:t>
      </w:r>
      <w:r w:rsidR="00771F97" w:rsidRPr="00A21B5C">
        <w:rPr>
          <w:rFonts w:ascii="Arial" w:hAnsi="Arial" w:cs="Arial"/>
          <w:sz w:val="22"/>
          <w:szCs w:val="22"/>
          <w:lang w:val="es-CO"/>
        </w:rPr>
        <w:t>P</w:t>
      </w:r>
      <w:r w:rsidR="00931925" w:rsidRPr="00A21B5C">
        <w:rPr>
          <w:rFonts w:ascii="Arial" w:hAnsi="Arial" w:cs="Arial"/>
          <w:sz w:val="22"/>
          <w:szCs w:val="22"/>
          <w:lang w:val="es-CO"/>
        </w:rPr>
        <w:t>ueblos</w:t>
      </w:r>
      <w:r w:rsidRPr="00A21B5C">
        <w:rPr>
          <w:rFonts w:ascii="Arial" w:hAnsi="Arial" w:cs="Arial"/>
          <w:sz w:val="22"/>
          <w:szCs w:val="22"/>
          <w:lang w:val="es-CO"/>
        </w:rPr>
        <w:t xml:space="preserve"> </w:t>
      </w:r>
      <w:r w:rsidR="00771F97" w:rsidRPr="00A21B5C">
        <w:rPr>
          <w:rFonts w:ascii="Arial" w:hAnsi="Arial" w:cs="Arial"/>
          <w:sz w:val="22"/>
          <w:szCs w:val="22"/>
          <w:lang w:val="es-CO"/>
        </w:rPr>
        <w:t>I</w:t>
      </w:r>
      <w:r w:rsidRPr="00A21B5C">
        <w:rPr>
          <w:rFonts w:ascii="Arial" w:hAnsi="Arial" w:cs="Arial"/>
          <w:sz w:val="22"/>
          <w:szCs w:val="22"/>
          <w:lang w:val="es-CO"/>
        </w:rPr>
        <w:t>ndígenas</w:t>
      </w:r>
      <w:r w:rsidR="00AC5356" w:rsidRPr="00A21B5C">
        <w:rPr>
          <w:rFonts w:ascii="Arial" w:hAnsi="Arial" w:cs="Arial"/>
          <w:sz w:val="22"/>
          <w:szCs w:val="22"/>
          <w:lang w:val="es-CO"/>
        </w:rPr>
        <w:t xml:space="preserve"> (Kogui, Wiwa y Arhuaco)</w:t>
      </w:r>
      <w:r w:rsidRPr="00A21B5C">
        <w:rPr>
          <w:rFonts w:ascii="Arial" w:hAnsi="Arial" w:cs="Arial"/>
          <w:sz w:val="22"/>
          <w:szCs w:val="22"/>
          <w:lang w:val="es-CO"/>
        </w:rPr>
        <w:t xml:space="preserve"> que se asientan en el Resguardo Indígena</w:t>
      </w:r>
      <w:r w:rsidR="00F00673" w:rsidRPr="00A21B5C">
        <w:rPr>
          <w:rFonts w:ascii="Arial" w:hAnsi="Arial" w:cs="Arial"/>
          <w:sz w:val="22"/>
          <w:szCs w:val="22"/>
          <w:lang w:val="es-CO"/>
        </w:rPr>
        <w:t xml:space="preserve"> Kogui – Malayo – Arhuaco,</w:t>
      </w:r>
      <w:r w:rsidRPr="00A21B5C">
        <w:rPr>
          <w:rFonts w:ascii="Arial" w:hAnsi="Arial" w:cs="Arial"/>
          <w:sz w:val="22"/>
          <w:szCs w:val="22"/>
          <w:lang w:val="es-CO"/>
        </w:rPr>
        <w:t xml:space="preserve"> con el fin de buscar solución a los problemas de representatividad al interior del Resguardo Indígena, como se pudo </w:t>
      </w:r>
      <w:r w:rsidR="002A4387" w:rsidRPr="00A21B5C">
        <w:rPr>
          <w:rFonts w:ascii="Arial" w:hAnsi="Arial" w:cs="Arial"/>
          <w:sz w:val="22"/>
          <w:szCs w:val="22"/>
          <w:lang w:val="es-CO"/>
        </w:rPr>
        <w:t xml:space="preserve">evidenciar </w:t>
      </w:r>
      <w:r w:rsidRPr="00A21B5C">
        <w:rPr>
          <w:rFonts w:ascii="Arial" w:hAnsi="Arial" w:cs="Arial"/>
          <w:sz w:val="22"/>
          <w:szCs w:val="22"/>
          <w:lang w:val="es-CO"/>
        </w:rPr>
        <w:t xml:space="preserve">en </w:t>
      </w:r>
      <w:r w:rsidR="007875FE" w:rsidRPr="00A21B5C">
        <w:rPr>
          <w:rFonts w:ascii="Arial" w:hAnsi="Arial" w:cs="Arial"/>
          <w:sz w:val="22"/>
          <w:szCs w:val="22"/>
          <w:lang w:val="es-CO"/>
        </w:rPr>
        <w:t xml:space="preserve">el </w:t>
      </w:r>
      <w:r w:rsidRPr="00A21B5C">
        <w:rPr>
          <w:rFonts w:ascii="Arial" w:hAnsi="Arial" w:cs="Arial"/>
          <w:sz w:val="22"/>
          <w:szCs w:val="22"/>
          <w:lang w:val="es-CO"/>
        </w:rPr>
        <w:t>oficio del Ministerio del Interior del 8 de mayo de 2018, dirigido al Alcalde del Municipio de Dibulla – La Guajira, mediante el cual di</w:t>
      </w:r>
      <w:r w:rsidR="00264A34" w:rsidRPr="00A21B5C">
        <w:rPr>
          <w:rFonts w:ascii="Arial" w:hAnsi="Arial" w:cs="Arial"/>
          <w:sz w:val="22"/>
          <w:szCs w:val="22"/>
          <w:lang w:val="es-CO"/>
        </w:rPr>
        <w:t>eron</w:t>
      </w:r>
      <w:r w:rsidRPr="00A21B5C">
        <w:rPr>
          <w:rFonts w:ascii="Arial" w:hAnsi="Arial" w:cs="Arial"/>
          <w:sz w:val="22"/>
          <w:szCs w:val="22"/>
          <w:lang w:val="es-CO"/>
        </w:rPr>
        <w:t xml:space="preserve"> a conocer los acuerdo pactados para la programación de los recursos y la firma de los </w:t>
      </w:r>
      <w:r w:rsidR="00771F97" w:rsidRPr="00A21B5C">
        <w:rPr>
          <w:rFonts w:ascii="Arial" w:hAnsi="Arial" w:cs="Arial"/>
          <w:sz w:val="22"/>
          <w:szCs w:val="22"/>
          <w:lang w:val="es-CO"/>
        </w:rPr>
        <w:t xml:space="preserve">Convenios </w:t>
      </w:r>
      <w:r w:rsidRPr="00A21B5C">
        <w:rPr>
          <w:rFonts w:ascii="Arial" w:hAnsi="Arial" w:cs="Arial"/>
          <w:sz w:val="22"/>
          <w:szCs w:val="22"/>
          <w:lang w:val="es-CO"/>
        </w:rPr>
        <w:t>de Administración.</w:t>
      </w:r>
    </w:p>
    <w:p w:rsidR="008C2E4A" w:rsidRPr="00A21B5C" w:rsidRDefault="008C2E4A" w:rsidP="00A21B5C">
      <w:pPr>
        <w:contextualSpacing/>
        <w:jc w:val="both"/>
        <w:rPr>
          <w:rFonts w:ascii="Arial" w:hAnsi="Arial" w:cs="Arial"/>
          <w:sz w:val="22"/>
          <w:szCs w:val="22"/>
          <w:lang w:val="es-CO"/>
        </w:rPr>
      </w:pPr>
    </w:p>
    <w:p w:rsidR="00EF371E" w:rsidRPr="00A21B5C" w:rsidRDefault="008C2E4A" w:rsidP="00A21B5C">
      <w:pPr>
        <w:contextualSpacing/>
        <w:jc w:val="both"/>
        <w:rPr>
          <w:rFonts w:ascii="Arial" w:hAnsi="Arial" w:cs="Arial"/>
          <w:sz w:val="22"/>
          <w:szCs w:val="22"/>
          <w:lang w:val="es-CO"/>
        </w:rPr>
      </w:pPr>
      <w:r w:rsidRPr="00A21B5C">
        <w:rPr>
          <w:rFonts w:ascii="Arial" w:hAnsi="Arial" w:cs="Arial"/>
          <w:sz w:val="22"/>
          <w:szCs w:val="22"/>
          <w:lang w:val="es-CO"/>
        </w:rPr>
        <w:lastRenderedPageBreak/>
        <w:t xml:space="preserve">Con este referente, en revisión a </w:t>
      </w:r>
      <w:r w:rsidR="00771F97" w:rsidRPr="00A21B5C">
        <w:rPr>
          <w:rFonts w:ascii="Arial" w:hAnsi="Arial" w:cs="Arial"/>
          <w:sz w:val="22"/>
          <w:szCs w:val="22"/>
          <w:lang w:val="es-CO"/>
        </w:rPr>
        <w:t xml:space="preserve">las </w:t>
      </w:r>
      <w:r w:rsidRPr="00A21B5C">
        <w:rPr>
          <w:rFonts w:ascii="Arial" w:hAnsi="Arial" w:cs="Arial"/>
          <w:sz w:val="22"/>
          <w:szCs w:val="22"/>
          <w:lang w:val="es-CO"/>
        </w:rPr>
        <w:t>Actas de Concertación adjunt</w:t>
      </w:r>
      <w:r w:rsidR="00771F97" w:rsidRPr="00A21B5C">
        <w:rPr>
          <w:rFonts w:ascii="Arial" w:hAnsi="Arial" w:cs="Arial"/>
          <w:sz w:val="22"/>
          <w:szCs w:val="22"/>
          <w:lang w:val="es-CO"/>
        </w:rPr>
        <w:t>a</w:t>
      </w:r>
      <w:r w:rsidRPr="00A21B5C">
        <w:rPr>
          <w:rFonts w:ascii="Arial" w:hAnsi="Arial" w:cs="Arial"/>
          <w:sz w:val="22"/>
          <w:szCs w:val="22"/>
          <w:lang w:val="es-CO"/>
        </w:rPr>
        <w:t xml:space="preserve">s en los </w:t>
      </w:r>
      <w:r w:rsidR="00771F97" w:rsidRPr="00A21B5C">
        <w:rPr>
          <w:rFonts w:ascii="Arial" w:hAnsi="Arial" w:cs="Arial"/>
          <w:sz w:val="22"/>
          <w:szCs w:val="22"/>
          <w:lang w:val="es-CO"/>
        </w:rPr>
        <w:t xml:space="preserve">Convenios </w:t>
      </w:r>
      <w:r w:rsidRPr="00A21B5C">
        <w:rPr>
          <w:rFonts w:ascii="Arial" w:hAnsi="Arial" w:cs="Arial"/>
          <w:sz w:val="22"/>
          <w:szCs w:val="22"/>
          <w:lang w:val="es-CO"/>
        </w:rPr>
        <w:t xml:space="preserve">de Administración </w:t>
      </w:r>
      <w:r w:rsidR="003F21B6" w:rsidRPr="00A21B5C">
        <w:rPr>
          <w:rFonts w:ascii="Arial" w:hAnsi="Arial" w:cs="Arial"/>
          <w:sz w:val="22"/>
          <w:szCs w:val="22"/>
          <w:lang w:val="es-CO"/>
        </w:rPr>
        <w:t xml:space="preserve">de las vigencias </w:t>
      </w:r>
      <w:r w:rsidRPr="00A21B5C">
        <w:rPr>
          <w:rFonts w:ascii="Arial" w:hAnsi="Arial" w:cs="Arial"/>
          <w:sz w:val="22"/>
          <w:szCs w:val="22"/>
          <w:lang w:val="es-CO"/>
        </w:rPr>
        <w:t>2017, 2018 y 2019, se evidenció que, en efecto, la</w:t>
      </w:r>
      <w:r w:rsidR="006F6729" w:rsidRPr="00A21B5C">
        <w:rPr>
          <w:rFonts w:ascii="Arial" w:hAnsi="Arial" w:cs="Arial"/>
          <w:sz w:val="22"/>
          <w:szCs w:val="22"/>
          <w:lang w:val="es-CO"/>
        </w:rPr>
        <w:t xml:space="preserve"> programación de los recursos se</w:t>
      </w:r>
      <w:r w:rsidRPr="00A21B5C">
        <w:rPr>
          <w:rFonts w:ascii="Arial" w:hAnsi="Arial" w:cs="Arial"/>
          <w:sz w:val="22"/>
          <w:szCs w:val="22"/>
          <w:lang w:val="es-CO"/>
        </w:rPr>
        <w:t xml:space="preserve"> realiza en un espacio </w:t>
      </w:r>
      <w:r w:rsidR="00173926" w:rsidRPr="00A21B5C">
        <w:rPr>
          <w:rFonts w:ascii="Arial" w:hAnsi="Arial" w:cs="Arial"/>
          <w:sz w:val="22"/>
          <w:szCs w:val="22"/>
          <w:lang w:val="es-CO"/>
        </w:rPr>
        <w:t xml:space="preserve">del </w:t>
      </w:r>
      <w:r w:rsidR="00771F97" w:rsidRPr="00A21B5C">
        <w:rPr>
          <w:rFonts w:ascii="Arial" w:hAnsi="Arial" w:cs="Arial"/>
          <w:sz w:val="22"/>
          <w:szCs w:val="22"/>
          <w:lang w:val="es-CO"/>
        </w:rPr>
        <w:t>P</w:t>
      </w:r>
      <w:r w:rsidR="00173926" w:rsidRPr="00A21B5C">
        <w:rPr>
          <w:rFonts w:ascii="Arial" w:hAnsi="Arial" w:cs="Arial"/>
          <w:sz w:val="22"/>
          <w:szCs w:val="22"/>
          <w:lang w:val="es-CO"/>
        </w:rPr>
        <w:t>ueblo</w:t>
      </w:r>
      <w:r w:rsidRPr="00A21B5C">
        <w:rPr>
          <w:rFonts w:ascii="Arial" w:hAnsi="Arial" w:cs="Arial"/>
          <w:sz w:val="22"/>
          <w:szCs w:val="22"/>
          <w:lang w:val="es-CO"/>
        </w:rPr>
        <w:t xml:space="preserve"> Kogui al que confluyen las Autoridades Tradicionales de cada un</w:t>
      </w:r>
      <w:r w:rsidR="00173926" w:rsidRPr="00A21B5C">
        <w:rPr>
          <w:rFonts w:ascii="Arial" w:hAnsi="Arial" w:cs="Arial"/>
          <w:sz w:val="22"/>
          <w:szCs w:val="22"/>
          <w:lang w:val="es-CO"/>
        </w:rPr>
        <w:t>o</w:t>
      </w:r>
      <w:r w:rsidRPr="00A21B5C">
        <w:rPr>
          <w:rFonts w:ascii="Arial" w:hAnsi="Arial" w:cs="Arial"/>
          <w:sz w:val="22"/>
          <w:szCs w:val="22"/>
          <w:lang w:val="es-CO"/>
        </w:rPr>
        <w:t xml:space="preserve"> de </w:t>
      </w:r>
      <w:r w:rsidR="00173926" w:rsidRPr="00A21B5C">
        <w:rPr>
          <w:rFonts w:ascii="Arial" w:hAnsi="Arial" w:cs="Arial"/>
          <w:sz w:val="22"/>
          <w:szCs w:val="22"/>
          <w:lang w:val="es-CO"/>
        </w:rPr>
        <w:t xml:space="preserve">los tres </w:t>
      </w:r>
      <w:r w:rsidR="00771F97" w:rsidRPr="00A21B5C">
        <w:rPr>
          <w:rFonts w:ascii="Arial" w:hAnsi="Arial" w:cs="Arial"/>
          <w:sz w:val="22"/>
          <w:szCs w:val="22"/>
          <w:lang w:val="es-CO"/>
        </w:rPr>
        <w:t>P</w:t>
      </w:r>
      <w:r w:rsidR="00173926" w:rsidRPr="00A21B5C">
        <w:rPr>
          <w:rFonts w:ascii="Arial" w:hAnsi="Arial" w:cs="Arial"/>
          <w:sz w:val="22"/>
          <w:szCs w:val="22"/>
          <w:lang w:val="es-CO"/>
        </w:rPr>
        <w:t>ueblos</w:t>
      </w:r>
      <w:r w:rsidRPr="00A21B5C">
        <w:rPr>
          <w:rFonts w:ascii="Arial" w:hAnsi="Arial" w:cs="Arial"/>
          <w:sz w:val="22"/>
          <w:szCs w:val="22"/>
          <w:lang w:val="es-CO"/>
        </w:rPr>
        <w:t xml:space="preserve"> </w:t>
      </w:r>
      <w:r w:rsidR="00771F97" w:rsidRPr="00A21B5C">
        <w:rPr>
          <w:rFonts w:ascii="Arial" w:hAnsi="Arial" w:cs="Arial"/>
          <w:sz w:val="22"/>
          <w:szCs w:val="22"/>
          <w:lang w:val="es-CO"/>
        </w:rPr>
        <w:t>I</w:t>
      </w:r>
      <w:r w:rsidRPr="00A21B5C">
        <w:rPr>
          <w:rFonts w:ascii="Arial" w:hAnsi="Arial" w:cs="Arial"/>
          <w:sz w:val="22"/>
          <w:szCs w:val="22"/>
          <w:lang w:val="es-CO"/>
        </w:rPr>
        <w:t xml:space="preserve">ndígenas, para socializar </w:t>
      </w:r>
      <w:r w:rsidR="00FE296C" w:rsidRPr="00A21B5C">
        <w:rPr>
          <w:rFonts w:ascii="Arial" w:hAnsi="Arial" w:cs="Arial"/>
          <w:sz w:val="22"/>
          <w:szCs w:val="22"/>
          <w:lang w:val="es-CO"/>
        </w:rPr>
        <w:t>“</w:t>
      </w:r>
      <w:r w:rsidRPr="00A21B5C">
        <w:rPr>
          <w:rFonts w:ascii="Arial" w:hAnsi="Arial" w:cs="Arial"/>
          <w:i/>
          <w:iCs/>
          <w:sz w:val="22"/>
          <w:szCs w:val="22"/>
          <w:lang w:val="es-CO"/>
        </w:rPr>
        <w:t xml:space="preserve">las necesidades y </w:t>
      </w:r>
      <w:r w:rsidR="00FE296C" w:rsidRPr="00A21B5C">
        <w:rPr>
          <w:rFonts w:ascii="Arial" w:hAnsi="Arial" w:cs="Arial"/>
          <w:i/>
          <w:iCs/>
          <w:sz w:val="22"/>
          <w:szCs w:val="22"/>
          <w:lang w:val="es-CO"/>
        </w:rPr>
        <w:t>conc</w:t>
      </w:r>
      <w:r w:rsidR="00B86303" w:rsidRPr="00A21B5C">
        <w:rPr>
          <w:rFonts w:ascii="Arial" w:hAnsi="Arial" w:cs="Arial"/>
          <w:i/>
          <w:iCs/>
          <w:sz w:val="22"/>
          <w:szCs w:val="22"/>
          <w:lang w:val="es-CO"/>
        </w:rPr>
        <w:t xml:space="preserve">ertación de </w:t>
      </w:r>
      <w:r w:rsidRPr="00A21B5C">
        <w:rPr>
          <w:rFonts w:ascii="Arial" w:hAnsi="Arial" w:cs="Arial"/>
          <w:i/>
          <w:iCs/>
          <w:sz w:val="22"/>
          <w:szCs w:val="22"/>
          <w:lang w:val="es-CO"/>
        </w:rPr>
        <w:t xml:space="preserve">los </w:t>
      </w:r>
      <w:r w:rsidR="00B86303" w:rsidRPr="00A21B5C">
        <w:rPr>
          <w:rFonts w:ascii="Arial" w:hAnsi="Arial" w:cs="Arial"/>
          <w:i/>
          <w:iCs/>
          <w:sz w:val="22"/>
          <w:szCs w:val="22"/>
          <w:lang w:val="es-CO"/>
        </w:rPr>
        <w:t>proyectos a desarrollar</w:t>
      </w:r>
      <w:r w:rsidR="00B86303" w:rsidRPr="00A21B5C">
        <w:rPr>
          <w:rFonts w:ascii="Arial" w:hAnsi="Arial" w:cs="Arial"/>
          <w:sz w:val="22"/>
          <w:szCs w:val="22"/>
          <w:lang w:val="es-CO"/>
        </w:rPr>
        <w:t xml:space="preserve">” </w:t>
      </w:r>
      <w:r w:rsidRPr="00A21B5C">
        <w:rPr>
          <w:rFonts w:ascii="Arial" w:hAnsi="Arial" w:cs="Arial"/>
          <w:sz w:val="22"/>
          <w:szCs w:val="22"/>
          <w:lang w:val="es-CO"/>
        </w:rPr>
        <w:t>que cada Autoridad Tradicional presenta en nombre de su</w:t>
      </w:r>
      <w:r w:rsidR="00A36BD2" w:rsidRPr="00A21B5C">
        <w:rPr>
          <w:rFonts w:ascii="Arial" w:hAnsi="Arial" w:cs="Arial"/>
          <w:sz w:val="22"/>
          <w:szCs w:val="22"/>
          <w:lang w:val="es-CO"/>
        </w:rPr>
        <w:t>s</w:t>
      </w:r>
      <w:r w:rsidRPr="00A21B5C">
        <w:rPr>
          <w:rFonts w:ascii="Arial" w:hAnsi="Arial" w:cs="Arial"/>
          <w:sz w:val="22"/>
          <w:szCs w:val="22"/>
          <w:lang w:val="es-CO"/>
        </w:rPr>
        <w:t xml:space="preserve"> comunidad</w:t>
      </w:r>
      <w:r w:rsidR="00A36BD2" w:rsidRPr="00A21B5C">
        <w:rPr>
          <w:rFonts w:ascii="Arial" w:hAnsi="Arial" w:cs="Arial"/>
          <w:sz w:val="22"/>
          <w:szCs w:val="22"/>
          <w:lang w:val="es-CO"/>
        </w:rPr>
        <w:t>es</w:t>
      </w:r>
      <w:r w:rsidRPr="00A21B5C">
        <w:rPr>
          <w:rFonts w:ascii="Arial" w:hAnsi="Arial" w:cs="Arial"/>
          <w:sz w:val="22"/>
          <w:szCs w:val="22"/>
          <w:lang w:val="es-CO"/>
        </w:rPr>
        <w:t>, l</w:t>
      </w:r>
      <w:r w:rsidR="000A3330" w:rsidRPr="00A21B5C">
        <w:rPr>
          <w:rFonts w:ascii="Arial" w:hAnsi="Arial" w:cs="Arial"/>
          <w:sz w:val="22"/>
          <w:szCs w:val="22"/>
          <w:lang w:val="es-CO"/>
        </w:rPr>
        <w:t>o</w:t>
      </w:r>
      <w:r w:rsidRPr="00A21B5C">
        <w:rPr>
          <w:rFonts w:ascii="Arial" w:hAnsi="Arial" w:cs="Arial"/>
          <w:sz w:val="22"/>
          <w:szCs w:val="22"/>
          <w:lang w:val="es-CO"/>
        </w:rPr>
        <w:t>s cuales quedan plasmad</w:t>
      </w:r>
      <w:r w:rsidR="009D2BAC" w:rsidRPr="00A21B5C">
        <w:rPr>
          <w:rFonts w:ascii="Arial" w:hAnsi="Arial" w:cs="Arial"/>
          <w:sz w:val="22"/>
          <w:szCs w:val="22"/>
          <w:lang w:val="es-CO"/>
        </w:rPr>
        <w:t>o</w:t>
      </w:r>
      <w:r w:rsidRPr="00A21B5C">
        <w:rPr>
          <w:rFonts w:ascii="Arial" w:hAnsi="Arial" w:cs="Arial"/>
          <w:sz w:val="22"/>
          <w:szCs w:val="22"/>
          <w:lang w:val="es-CO"/>
        </w:rPr>
        <w:t xml:space="preserve">s en acta, estructurados por programas y proyectos de forma separada y de acuerdo con el porcentaje de recursos de cada </w:t>
      </w:r>
      <w:r w:rsidR="00771F97" w:rsidRPr="00A21B5C">
        <w:rPr>
          <w:rFonts w:ascii="Arial" w:hAnsi="Arial" w:cs="Arial"/>
          <w:sz w:val="22"/>
          <w:szCs w:val="22"/>
          <w:lang w:val="es-CO"/>
        </w:rPr>
        <w:t>P</w:t>
      </w:r>
      <w:r w:rsidR="00173926" w:rsidRPr="00A21B5C">
        <w:rPr>
          <w:rFonts w:ascii="Arial" w:hAnsi="Arial" w:cs="Arial"/>
          <w:sz w:val="22"/>
          <w:szCs w:val="22"/>
          <w:lang w:val="es-CO"/>
        </w:rPr>
        <w:t>ueblo</w:t>
      </w:r>
      <w:r w:rsidRPr="00A21B5C">
        <w:rPr>
          <w:rFonts w:ascii="Arial" w:hAnsi="Arial" w:cs="Arial"/>
          <w:sz w:val="22"/>
          <w:szCs w:val="22"/>
          <w:lang w:val="es-CO"/>
        </w:rPr>
        <w:t>. No obstante,</w:t>
      </w:r>
      <w:r w:rsidR="00CD0546" w:rsidRPr="00A21B5C">
        <w:rPr>
          <w:rFonts w:ascii="Arial" w:hAnsi="Arial" w:cs="Arial"/>
          <w:sz w:val="22"/>
          <w:szCs w:val="22"/>
          <w:lang w:val="es-CO"/>
        </w:rPr>
        <w:t xml:space="preserve"> y</w:t>
      </w:r>
      <w:r w:rsidRPr="00A21B5C">
        <w:rPr>
          <w:rFonts w:ascii="Arial" w:hAnsi="Arial" w:cs="Arial"/>
          <w:sz w:val="22"/>
          <w:szCs w:val="22"/>
          <w:lang w:val="es-CO"/>
        </w:rPr>
        <w:t xml:space="preserve"> sin perjuicio de esta manera operativa de programar los recursos por parte del Resguardo, no se conoció sobre el proceso previo</w:t>
      </w:r>
      <w:r w:rsidR="009360E3" w:rsidRPr="00A21B5C">
        <w:rPr>
          <w:rFonts w:ascii="Arial" w:hAnsi="Arial" w:cs="Arial"/>
          <w:sz w:val="22"/>
          <w:szCs w:val="22"/>
          <w:lang w:val="es-CO"/>
        </w:rPr>
        <w:t xml:space="preserve"> de concertación</w:t>
      </w:r>
      <w:r w:rsidRPr="00A21B5C">
        <w:rPr>
          <w:rFonts w:ascii="Arial" w:hAnsi="Arial" w:cs="Arial"/>
          <w:sz w:val="22"/>
          <w:szCs w:val="22"/>
          <w:lang w:val="es-CO"/>
        </w:rPr>
        <w:t xml:space="preserve"> </w:t>
      </w:r>
      <w:r w:rsidR="007C55B5" w:rsidRPr="00A21B5C">
        <w:rPr>
          <w:rFonts w:ascii="Arial" w:hAnsi="Arial" w:cs="Arial"/>
          <w:sz w:val="22"/>
          <w:szCs w:val="22"/>
          <w:lang w:val="es-CO"/>
        </w:rPr>
        <w:t>que de</w:t>
      </w:r>
      <w:r w:rsidR="00A53838" w:rsidRPr="00A21B5C">
        <w:rPr>
          <w:rFonts w:ascii="Arial" w:hAnsi="Arial" w:cs="Arial"/>
          <w:sz w:val="22"/>
          <w:szCs w:val="22"/>
          <w:lang w:val="es-CO"/>
        </w:rPr>
        <w:t>bió darse al</w:t>
      </w:r>
      <w:r w:rsidR="007C55B5" w:rsidRPr="00A21B5C">
        <w:rPr>
          <w:rFonts w:ascii="Arial" w:hAnsi="Arial" w:cs="Arial"/>
          <w:sz w:val="22"/>
          <w:szCs w:val="22"/>
          <w:lang w:val="es-CO"/>
        </w:rPr>
        <w:t xml:space="preserve"> </w:t>
      </w:r>
      <w:r w:rsidRPr="00A21B5C">
        <w:rPr>
          <w:rFonts w:ascii="Arial" w:hAnsi="Arial" w:cs="Arial"/>
          <w:sz w:val="22"/>
          <w:szCs w:val="22"/>
          <w:lang w:val="es-CO"/>
        </w:rPr>
        <w:t xml:space="preserve">interior de cada </w:t>
      </w:r>
      <w:r w:rsidR="00771F97" w:rsidRPr="00A21B5C">
        <w:rPr>
          <w:rFonts w:ascii="Arial" w:hAnsi="Arial" w:cs="Arial"/>
          <w:sz w:val="22"/>
          <w:szCs w:val="22"/>
          <w:lang w:val="es-CO"/>
        </w:rPr>
        <w:t>P</w:t>
      </w:r>
      <w:r w:rsidR="008110F2" w:rsidRPr="00A21B5C">
        <w:rPr>
          <w:rFonts w:ascii="Arial" w:hAnsi="Arial" w:cs="Arial"/>
          <w:sz w:val="22"/>
          <w:szCs w:val="22"/>
          <w:lang w:val="es-CO"/>
        </w:rPr>
        <w:t>ueblo</w:t>
      </w:r>
      <w:r w:rsidR="00A53838" w:rsidRPr="00A21B5C">
        <w:rPr>
          <w:rFonts w:ascii="Arial" w:hAnsi="Arial" w:cs="Arial"/>
          <w:sz w:val="22"/>
          <w:szCs w:val="22"/>
          <w:lang w:val="es-CO"/>
        </w:rPr>
        <w:t xml:space="preserve"> con la participación de miembros de sus respectivas </w:t>
      </w:r>
      <w:r w:rsidR="0008672F" w:rsidRPr="00A21B5C">
        <w:rPr>
          <w:rFonts w:ascii="Arial" w:hAnsi="Arial" w:cs="Arial"/>
          <w:sz w:val="22"/>
          <w:szCs w:val="22"/>
          <w:lang w:val="es-CO"/>
        </w:rPr>
        <w:t>comunidades</w:t>
      </w:r>
      <w:r w:rsidRPr="00A21B5C">
        <w:rPr>
          <w:rFonts w:ascii="Arial" w:hAnsi="Arial" w:cs="Arial"/>
          <w:sz w:val="22"/>
          <w:szCs w:val="22"/>
          <w:lang w:val="es-CO"/>
        </w:rPr>
        <w:t xml:space="preserve">, dado que no se encontraron adjuntos a los </w:t>
      </w:r>
      <w:r w:rsidR="00771F97" w:rsidRPr="00A21B5C">
        <w:rPr>
          <w:rFonts w:ascii="Arial" w:hAnsi="Arial" w:cs="Arial"/>
          <w:sz w:val="22"/>
          <w:szCs w:val="22"/>
          <w:lang w:val="es-CO"/>
        </w:rPr>
        <w:t>Convenios</w:t>
      </w:r>
      <w:r w:rsidR="00D13C0F" w:rsidRPr="00A21B5C">
        <w:rPr>
          <w:rFonts w:ascii="Arial" w:hAnsi="Arial" w:cs="Arial"/>
          <w:sz w:val="22"/>
          <w:szCs w:val="22"/>
          <w:lang w:val="es-CO"/>
        </w:rPr>
        <w:t xml:space="preserve"> </w:t>
      </w:r>
      <w:r w:rsidRPr="00A21B5C">
        <w:rPr>
          <w:rFonts w:ascii="Arial" w:hAnsi="Arial" w:cs="Arial"/>
          <w:sz w:val="22"/>
          <w:szCs w:val="22"/>
          <w:lang w:val="es-CO"/>
        </w:rPr>
        <w:t xml:space="preserve">soportes </w:t>
      </w:r>
      <w:r w:rsidR="0054491A" w:rsidRPr="00A21B5C">
        <w:rPr>
          <w:rFonts w:ascii="Arial" w:hAnsi="Arial" w:cs="Arial"/>
          <w:sz w:val="22"/>
          <w:szCs w:val="22"/>
          <w:lang w:val="es-CO"/>
        </w:rPr>
        <w:t xml:space="preserve">documentales </w:t>
      </w:r>
      <w:r w:rsidRPr="00A21B5C">
        <w:rPr>
          <w:rFonts w:ascii="Arial" w:hAnsi="Arial" w:cs="Arial"/>
          <w:sz w:val="22"/>
          <w:szCs w:val="22"/>
          <w:lang w:val="es-CO"/>
        </w:rPr>
        <w:t>distinto</w:t>
      </w:r>
      <w:r w:rsidR="0054491A" w:rsidRPr="00A21B5C">
        <w:rPr>
          <w:rFonts w:ascii="Arial" w:hAnsi="Arial" w:cs="Arial"/>
          <w:sz w:val="22"/>
          <w:szCs w:val="22"/>
          <w:lang w:val="es-CO"/>
        </w:rPr>
        <w:t>s</w:t>
      </w:r>
      <w:r w:rsidRPr="00A21B5C">
        <w:rPr>
          <w:rFonts w:ascii="Arial" w:hAnsi="Arial" w:cs="Arial"/>
          <w:sz w:val="22"/>
          <w:szCs w:val="22"/>
          <w:lang w:val="es-CO"/>
        </w:rPr>
        <w:t xml:space="preserve"> a las Actas de Concertación en referencia</w:t>
      </w:r>
      <w:r w:rsidR="001D15AA" w:rsidRPr="00A21B5C">
        <w:rPr>
          <w:rFonts w:ascii="Arial" w:hAnsi="Arial" w:cs="Arial"/>
          <w:sz w:val="22"/>
          <w:szCs w:val="22"/>
          <w:lang w:val="es-CO"/>
        </w:rPr>
        <w:t>,</w:t>
      </w:r>
      <w:r w:rsidR="00221750" w:rsidRPr="00A21B5C">
        <w:rPr>
          <w:rFonts w:ascii="Arial" w:hAnsi="Arial" w:cs="Arial"/>
          <w:sz w:val="22"/>
          <w:szCs w:val="22"/>
          <w:lang w:val="es-CO"/>
        </w:rPr>
        <w:t xml:space="preserve"> </w:t>
      </w:r>
      <w:r w:rsidR="00EF371E" w:rsidRPr="00A21B5C">
        <w:rPr>
          <w:rFonts w:ascii="Arial" w:hAnsi="Arial" w:cs="Arial"/>
          <w:sz w:val="22"/>
          <w:szCs w:val="22"/>
          <w:lang w:val="es-CO"/>
        </w:rPr>
        <w:t>suscrita</w:t>
      </w:r>
      <w:r w:rsidR="00221750" w:rsidRPr="00A21B5C">
        <w:rPr>
          <w:rFonts w:ascii="Arial" w:hAnsi="Arial" w:cs="Arial"/>
          <w:sz w:val="22"/>
          <w:szCs w:val="22"/>
          <w:lang w:val="es-CO"/>
        </w:rPr>
        <w:t>s</w:t>
      </w:r>
      <w:r w:rsidR="00EF371E" w:rsidRPr="00A21B5C">
        <w:rPr>
          <w:rFonts w:ascii="Arial" w:hAnsi="Arial" w:cs="Arial"/>
          <w:sz w:val="22"/>
          <w:szCs w:val="22"/>
          <w:lang w:val="es-CO"/>
        </w:rPr>
        <w:t xml:space="preserve"> exclusivamente por las </w:t>
      </w:r>
      <w:r w:rsidR="00771F97" w:rsidRPr="00A21B5C">
        <w:rPr>
          <w:rFonts w:ascii="Arial" w:hAnsi="Arial" w:cs="Arial"/>
          <w:sz w:val="22"/>
          <w:szCs w:val="22"/>
          <w:lang w:val="es-CO"/>
        </w:rPr>
        <w:t>A</w:t>
      </w:r>
      <w:r w:rsidR="00EF371E" w:rsidRPr="00A21B5C">
        <w:rPr>
          <w:rFonts w:ascii="Arial" w:hAnsi="Arial" w:cs="Arial"/>
          <w:sz w:val="22"/>
          <w:szCs w:val="22"/>
          <w:lang w:val="es-CO"/>
        </w:rPr>
        <w:t xml:space="preserve">utoridades </w:t>
      </w:r>
      <w:r w:rsidR="00771F97" w:rsidRPr="00A21B5C">
        <w:rPr>
          <w:rFonts w:ascii="Arial" w:hAnsi="Arial" w:cs="Arial"/>
          <w:sz w:val="22"/>
          <w:szCs w:val="22"/>
          <w:lang w:val="es-CO"/>
        </w:rPr>
        <w:t>T</w:t>
      </w:r>
      <w:r w:rsidR="00EF371E" w:rsidRPr="00A21B5C">
        <w:rPr>
          <w:rFonts w:ascii="Arial" w:hAnsi="Arial" w:cs="Arial"/>
          <w:sz w:val="22"/>
          <w:szCs w:val="22"/>
          <w:lang w:val="es-CO"/>
        </w:rPr>
        <w:t>radicionales y demás órganos que conforman el gobierno propio</w:t>
      </w:r>
      <w:r w:rsidR="00221750" w:rsidRPr="00A21B5C">
        <w:rPr>
          <w:rFonts w:ascii="Arial" w:hAnsi="Arial" w:cs="Arial"/>
          <w:sz w:val="22"/>
          <w:szCs w:val="22"/>
          <w:lang w:val="es-CO"/>
        </w:rPr>
        <w:t xml:space="preserve"> del Resguardo</w:t>
      </w:r>
      <w:r w:rsidR="00A53838" w:rsidRPr="00A21B5C">
        <w:rPr>
          <w:rFonts w:ascii="Arial" w:hAnsi="Arial" w:cs="Arial"/>
          <w:sz w:val="22"/>
          <w:szCs w:val="22"/>
          <w:lang w:val="es-CO"/>
        </w:rPr>
        <w:t>.</w:t>
      </w:r>
    </w:p>
    <w:p w:rsidR="008C2E4A" w:rsidRPr="00A21B5C" w:rsidRDefault="008C2E4A" w:rsidP="00A21B5C">
      <w:pPr>
        <w:contextualSpacing/>
        <w:jc w:val="both"/>
        <w:rPr>
          <w:rFonts w:ascii="Arial" w:hAnsi="Arial" w:cs="Arial"/>
          <w:sz w:val="22"/>
          <w:szCs w:val="22"/>
          <w:lang w:val="es-CO"/>
        </w:rPr>
      </w:pPr>
    </w:p>
    <w:p w:rsidR="008C2E4A" w:rsidRPr="00A21B5C" w:rsidRDefault="00815D51" w:rsidP="00A21B5C">
      <w:pPr>
        <w:contextualSpacing/>
        <w:jc w:val="both"/>
        <w:rPr>
          <w:rFonts w:ascii="Arial" w:hAnsi="Arial" w:cs="Arial"/>
          <w:sz w:val="22"/>
          <w:szCs w:val="22"/>
          <w:lang w:val="es-CO"/>
        </w:rPr>
      </w:pPr>
      <w:r w:rsidRPr="00A21B5C">
        <w:rPr>
          <w:rFonts w:ascii="Arial" w:hAnsi="Arial" w:cs="Arial"/>
          <w:sz w:val="22"/>
          <w:szCs w:val="22"/>
          <w:lang w:val="es-CO"/>
        </w:rPr>
        <w:t>Ahora</w:t>
      </w:r>
      <w:r w:rsidR="00AF5FF0" w:rsidRPr="00A21B5C">
        <w:rPr>
          <w:rFonts w:ascii="Arial" w:hAnsi="Arial" w:cs="Arial"/>
          <w:sz w:val="22"/>
          <w:szCs w:val="22"/>
          <w:lang w:val="es-CO"/>
        </w:rPr>
        <w:t xml:space="preserve"> bien,</w:t>
      </w:r>
      <w:r w:rsidR="00EB3A1F" w:rsidRPr="00A21B5C">
        <w:rPr>
          <w:rFonts w:ascii="Arial" w:hAnsi="Arial" w:cs="Arial"/>
          <w:sz w:val="22"/>
          <w:szCs w:val="22"/>
          <w:lang w:val="es-CO"/>
        </w:rPr>
        <w:t xml:space="preserve"> se </w:t>
      </w:r>
      <w:r w:rsidR="007166CC" w:rsidRPr="00A21B5C">
        <w:rPr>
          <w:rFonts w:ascii="Arial" w:hAnsi="Arial" w:cs="Arial"/>
          <w:sz w:val="22"/>
          <w:szCs w:val="22"/>
          <w:lang w:val="es-CO"/>
        </w:rPr>
        <w:t>corroboró</w:t>
      </w:r>
      <w:r w:rsidR="00EB3A1F" w:rsidRPr="00A21B5C">
        <w:rPr>
          <w:rFonts w:ascii="Arial" w:hAnsi="Arial" w:cs="Arial"/>
          <w:sz w:val="22"/>
          <w:szCs w:val="22"/>
          <w:lang w:val="es-CO"/>
        </w:rPr>
        <w:t xml:space="preserve"> que, para las </w:t>
      </w:r>
      <w:r w:rsidR="004B0244" w:rsidRPr="00A21B5C">
        <w:rPr>
          <w:rFonts w:ascii="Arial" w:hAnsi="Arial" w:cs="Arial"/>
          <w:sz w:val="22"/>
          <w:szCs w:val="22"/>
          <w:lang w:val="es-CO"/>
        </w:rPr>
        <w:t>tres</w:t>
      </w:r>
      <w:r w:rsidR="00EB3A1F" w:rsidRPr="00A21B5C">
        <w:rPr>
          <w:rFonts w:ascii="Arial" w:hAnsi="Arial" w:cs="Arial"/>
          <w:sz w:val="22"/>
          <w:szCs w:val="22"/>
          <w:lang w:val="es-CO"/>
        </w:rPr>
        <w:t xml:space="preserve"> vigencias en cuestión la información </w:t>
      </w:r>
      <w:r w:rsidR="00282A90" w:rsidRPr="00A21B5C">
        <w:rPr>
          <w:rFonts w:ascii="Arial" w:hAnsi="Arial" w:cs="Arial"/>
          <w:sz w:val="22"/>
          <w:szCs w:val="22"/>
          <w:lang w:val="es-CO"/>
        </w:rPr>
        <w:t xml:space="preserve">asociada a la programación de los recursos </w:t>
      </w:r>
      <w:r w:rsidR="00EB3A1F" w:rsidRPr="00A21B5C">
        <w:rPr>
          <w:rFonts w:ascii="Arial" w:hAnsi="Arial" w:cs="Arial"/>
          <w:sz w:val="22"/>
          <w:szCs w:val="22"/>
          <w:lang w:val="es-CO"/>
        </w:rPr>
        <w:t xml:space="preserve">consignada en </w:t>
      </w:r>
      <w:r w:rsidR="00D14B2E" w:rsidRPr="00A21B5C">
        <w:rPr>
          <w:rFonts w:ascii="Arial" w:hAnsi="Arial" w:cs="Arial"/>
          <w:sz w:val="22"/>
          <w:szCs w:val="22"/>
          <w:lang w:val="es-CO"/>
        </w:rPr>
        <w:t>los documentos de concertación</w:t>
      </w:r>
      <w:r w:rsidR="00D14B2E" w:rsidRPr="00A21B5C">
        <w:rPr>
          <w:rStyle w:val="Refdenotaalpie"/>
          <w:rFonts w:ascii="Arial" w:hAnsi="Arial" w:cs="Arial"/>
          <w:sz w:val="22"/>
          <w:szCs w:val="22"/>
          <w:lang w:val="es-CO"/>
        </w:rPr>
        <w:footnoteReference w:id="29"/>
      </w:r>
      <w:r w:rsidR="00506890" w:rsidRPr="00A21B5C">
        <w:rPr>
          <w:rFonts w:ascii="Arial" w:hAnsi="Arial" w:cs="Arial"/>
          <w:sz w:val="22"/>
          <w:szCs w:val="22"/>
          <w:lang w:val="es-CO"/>
        </w:rPr>
        <w:t xml:space="preserve"> </w:t>
      </w:r>
      <w:r w:rsidR="00EB3A1F" w:rsidRPr="00A21B5C">
        <w:rPr>
          <w:rFonts w:ascii="Arial" w:hAnsi="Arial" w:cs="Arial"/>
          <w:sz w:val="22"/>
          <w:szCs w:val="22"/>
          <w:lang w:val="es-CO"/>
        </w:rPr>
        <w:t>corresponde a cabalidad con lo</w:t>
      </w:r>
      <w:r w:rsidR="00282A90" w:rsidRPr="00A21B5C">
        <w:rPr>
          <w:rFonts w:ascii="Arial" w:hAnsi="Arial" w:cs="Arial"/>
          <w:sz w:val="22"/>
          <w:szCs w:val="22"/>
          <w:lang w:val="es-CO"/>
        </w:rPr>
        <w:t xml:space="preserve"> estipulado en los respectivos </w:t>
      </w:r>
      <w:r w:rsidR="00771F97" w:rsidRPr="00A21B5C">
        <w:rPr>
          <w:rFonts w:ascii="Arial" w:hAnsi="Arial" w:cs="Arial"/>
          <w:sz w:val="22"/>
          <w:szCs w:val="22"/>
          <w:lang w:val="es-CO"/>
        </w:rPr>
        <w:t xml:space="preserve">Convenios </w:t>
      </w:r>
      <w:r w:rsidR="00724B50" w:rsidRPr="00A21B5C">
        <w:rPr>
          <w:rFonts w:ascii="Arial" w:hAnsi="Arial" w:cs="Arial"/>
          <w:sz w:val="22"/>
          <w:szCs w:val="22"/>
          <w:lang w:val="es-CO"/>
        </w:rPr>
        <w:t>de Administración</w:t>
      </w:r>
      <w:r w:rsidR="00E457DF" w:rsidRPr="00A21B5C">
        <w:rPr>
          <w:rFonts w:ascii="Arial" w:hAnsi="Arial" w:cs="Arial"/>
          <w:sz w:val="22"/>
          <w:szCs w:val="22"/>
          <w:lang w:val="es-CO"/>
        </w:rPr>
        <w:t xml:space="preserve"> y sus </w:t>
      </w:r>
      <w:r w:rsidR="00771F97" w:rsidRPr="00A21B5C">
        <w:rPr>
          <w:rFonts w:ascii="Arial" w:hAnsi="Arial" w:cs="Arial"/>
          <w:sz w:val="22"/>
          <w:szCs w:val="22"/>
          <w:lang w:val="es-CO"/>
        </w:rPr>
        <w:t>O</w:t>
      </w:r>
      <w:r w:rsidR="00E457DF" w:rsidRPr="00A21B5C">
        <w:rPr>
          <w:rFonts w:ascii="Arial" w:hAnsi="Arial" w:cs="Arial"/>
          <w:sz w:val="22"/>
          <w:szCs w:val="22"/>
          <w:lang w:val="es-CO"/>
        </w:rPr>
        <w:t>trosí asociados</w:t>
      </w:r>
      <w:r w:rsidR="00F061D4" w:rsidRPr="00A21B5C">
        <w:rPr>
          <w:rFonts w:ascii="Arial" w:hAnsi="Arial" w:cs="Arial"/>
          <w:sz w:val="22"/>
          <w:szCs w:val="22"/>
          <w:lang w:val="es-CO"/>
        </w:rPr>
        <w:t>.</w:t>
      </w:r>
      <w:r w:rsidR="00724B50" w:rsidRPr="00A21B5C">
        <w:rPr>
          <w:rFonts w:ascii="Arial" w:hAnsi="Arial" w:cs="Arial"/>
          <w:sz w:val="22"/>
          <w:szCs w:val="22"/>
          <w:lang w:val="es-CO"/>
        </w:rPr>
        <w:t xml:space="preserve"> </w:t>
      </w:r>
      <w:r w:rsidR="00F061D4" w:rsidRPr="00A21B5C">
        <w:rPr>
          <w:rFonts w:ascii="Arial" w:hAnsi="Arial" w:cs="Arial"/>
          <w:sz w:val="22"/>
          <w:szCs w:val="22"/>
          <w:lang w:val="es-CO"/>
        </w:rPr>
        <w:t xml:space="preserve">No obstante, </w:t>
      </w:r>
      <w:r w:rsidR="00724B50" w:rsidRPr="00A21B5C">
        <w:rPr>
          <w:rFonts w:ascii="Arial" w:hAnsi="Arial" w:cs="Arial"/>
          <w:sz w:val="22"/>
          <w:szCs w:val="22"/>
          <w:lang w:val="es-CO"/>
        </w:rPr>
        <w:t>en</w:t>
      </w:r>
      <w:r w:rsidR="007166CC" w:rsidRPr="00A21B5C">
        <w:rPr>
          <w:rFonts w:ascii="Arial" w:hAnsi="Arial" w:cs="Arial"/>
          <w:sz w:val="22"/>
          <w:szCs w:val="22"/>
          <w:lang w:val="es-CO"/>
        </w:rPr>
        <w:t xml:space="preserve"> </w:t>
      </w:r>
      <w:r w:rsidR="00D14B2E" w:rsidRPr="00A21B5C">
        <w:rPr>
          <w:rFonts w:ascii="Arial" w:hAnsi="Arial" w:cs="Arial"/>
          <w:sz w:val="22"/>
          <w:szCs w:val="22"/>
          <w:lang w:val="es-CO"/>
        </w:rPr>
        <w:t>cuanto a la oportunidad del proceso de programación</w:t>
      </w:r>
      <w:r w:rsidR="00506890" w:rsidRPr="00A21B5C">
        <w:rPr>
          <w:rFonts w:ascii="Arial" w:hAnsi="Arial" w:cs="Arial"/>
          <w:sz w:val="22"/>
          <w:szCs w:val="22"/>
          <w:lang w:val="es-CO"/>
        </w:rPr>
        <w:t xml:space="preserve"> </w:t>
      </w:r>
      <w:r w:rsidR="00921E08" w:rsidRPr="00A21B5C">
        <w:rPr>
          <w:rFonts w:ascii="Arial" w:hAnsi="Arial" w:cs="Arial"/>
          <w:sz w:val="22"/>
          <w:szCs w:val="22"/>
          <w:lang w:val="es-CO"/>
        </w:rPr>
        <w:t>se evidencia que</w:t>
      </w:r>
      <w:r w:rsidR="00506890" w:rsidRPr="00A21B5C">
        <w:rPr>
          <w:rFonts w:ascii="Arial" w:hAnsi="Arial" w:cs="Arial"/>
          <w:sz w:val="22"/>
          <w:szCs w:val="22"/>
          <w:lang w:val="es-CO"/>
        </w:rPr>
        <w:t>,</w:t>
      </w:r>
      <w:r w:rsidR="00921E08" w:rsidRPr="00A21B5C">
        <w:rPr>
          <w:rFonts w:ascii="Arial" w:hAnsi="Arial" w:cs="Arial"/>
          <w:sz w:val="22"/>
          <w:szCs w:val="22"/>
          <w:lang w:val="es-CO"/>
        </w:rPr>
        <w:t xml:space="preserve"> este se realizó sobre el mes de enero para las vigencias 2017 y 2018, y no de manera previa al inicio de la vigencia en la cual se pretendían ejecutar los recursos de la AESGPPRI</w:t>
      </w:r>
      <w:r w:rsidR="005938A8" w:rsidRPr="00A21B5C">
        <w:rPr>
          <w:rFonts w:ascii="Arial" w:hAnsi="Arial" w:cs="Arial"/>
          <w:sz w:val="22"/>
          <w:szCs w:val="22"/>
          <w:lang w:val="es-CO"/>
        </w:rPr>
        <w:t xml:space="preserve">, </w:t>
      </w:r>
      <w:r w:rsidR="00056B52" w:rsidRPr="00A21B5C">
        <w:rPr>
          <w:rFonts w:ascii="Arial" w:hAnsi="Arial" w:cs="Arial"/>
          <w:sz w:val="22"/>
          <w:szCs w:val="22"/>
          <w:lang w:val="es-CO"/>
        </w:rPr>
        <w:t xml:space="preserve">y </w:t>
      </w:r>
      <w:r w:rsidR="00A41E29" w:rsidRPr="00A21B5C">
        <w:rPr>
          <w:rFonts w:ascii="Arial" w:hAnsi="Arial" w:cs="Arial"/>
          <w:sz w:val="22"/>
          <w:szCs w:val="22"/>
          <w:lang w:val="es-CO"/>
        </w:rPr>
        <w:t>s</w:t>
      </w:r>
      <w:r w:rsidR="00FC1459" w:rsidRPr="00A21B5C">
        <w:rPr>
          <w:rFonts w:ascii="Arial" w:hAnsi="Arial" w:cs="Arial"/>
          <w:sz w:val="22"/>
          <w:szCs w:val="22"/>
          <w:lang w:val="es-CO"/>
        </w:rPr>
        <w:t>i bien para la vigencia 2019 el esp</w:t>
      </w:r>
      <w:r w:rsidR="00E82E90" w:rsidRPr="00A21B5C">
        <w:rPr>
          <w:rFonts w:ascii="Arial" w:hAnsi="Arial" w:cs="Arial"/>
          <w:sz w:val="22"/>
          <w:szCs w:val="22"/>
          <w:lang w:val="es-CO"/>
        </w:rPr>
        <w:t>a</w:t>
      </w:r>
      <w:r w:rsidR="00FC1459" w:rsidRPr="00A21B5C">
        <w:rPr>
          <w:rFonts w:ascii="Arial" w:hAnsi="Arial" w:cs="Arial"/>
          <w:sz w:val="22"/>
          <w:szCs w:val="22"/>
          <w:lang w:val="es-CO"/>
        </w:rPr>
        <w:t xml:space="preserve">cio de concertación se </w:t>
      </w:r>
      <w:r w:rsidR="00051EB3" w:rsidRPr="00A21B5C">
        <w:rPr>
          <w:rFonts w:ascii="Arial" w:hAnsi="Arial" w:cs="Arial"/>
          <w:sz w:val="22"/>
          <w:szCs w:val="22"/>
          <w:lang w:val="es-CO"/>
        </w:rPr>
        <w:t>desarrolló</w:t>
      </w:r>
      <w:r w:rsidR="00FC1459" w:rsidRPr="00A21B5C">
        <w:rPr>
          <w:rFonts w:ascii="Arial" w:hAnsi="Arial" w:cs="Arial"/>
          <w:sz w:val="22"/>
          <w:szCs w:val="22"/>
          <w:lang w:val="es-CO"/>
        </w:rPr>
        <w:t xml:space="preserve"> </w:t>
      </w:r>
      <w:r w:rsidR="00B32C81" w:rsidRPr="00A21B5C">
        <w:rPr>
          <w:rFonts w:ascii="Arial" w:hAnsi="Arial" w:cs="Arial"/>
          <w:sz w:val="22"/>
          <w:szCs w:val="22"/>
          <w:lang w:val="es-CO"/>
        </w:rPr>
        <w:t xml:space="preserve">el 21 de diciembre </w:t>
      </w:r>
      <w:r w:rsidR="00051EB3" w:rsidRPr="00A21B5C">
        <w:rPr>
          <w:rFonts w:ascii="Arial" w:hAnsi="Arial" w:cs="Arial"/>
          <w:sz w:val="22"/>
          <w:szCs w:val="22"/>
          <w:lang w:val="es-CO"/>
        </w:rPr>
        <w:t>de 2018</w:t>
      </w:r>
      <w:r w:rsidR="00E82E90" w:rsidRPr="00A21B5C">
        <w:rPr>
          <w:rFonts w:ascii="Arial" w:hAnsi="Arial" w:cs="Arial"/>
          <w:sz w:val="22"/>
          <w:szCs w:val="22"/>
          <w:lang w:val="es-CO"/>
        </w:rPr>
        <w:t>;</w:t>
      </w:r>
      <w:r w:rsidR="00051EB3" w:rsidRPr="00A21B5C">
        <w:rPr>
          <w:rFonts w:ascii="Arial" w:hAnsi="Arial" w:cs="Arial"/>
          <w:sz w:val="22"/>
          <w:szCs w:val="22"/>
          <w:lang w:val="es-CO"/>
        </w:rPr>
        <w:t xml:space="preserve"> </w:t>
      </w:r>
      <w:r w:rsidR="008C2E4A" w:rsidRPr="00A21B5C">
        <w:rPr>
          <w:rFonts w:ascii="Arial" w:hAnsi="Arial" w:cs="Arial"/>
          <w:sz w:val="22"/>
          <w:szCs w:val="22"/>
          <w:lang w:val="es-CO"/>
        </w:rPr>
        <w:t>la firma de</w:t>
      </w:r>
      <w:r w:rsidR="00051EB3" w:rsidRPr="00A21B5C">
        <w:rPr>
          <w:rFonts w:ascii="Arial" w:hAnsi="Arial" w:cs="Arial"/>
          <w:sz w:val="22"/>
          <w:szCs w:val="22"/>
          <w:lang w:val="es-CO"/>
        </w:rPr>
        <w:t xml:space="preserve"> los</w:t>
      </w:r>
      <w:r w:rsidR="008C2E4A" w:rsidRPr="00A21B5C">
        <w:rPr>
          <w:rFonts w:ascii="Arial" w:hAnsi="Arial" w:cs="Arial"/>
          <w:sz w:val="22"/>
          <w:szCs w:val="22"/>
          <w:lang w:val="es-CO"/>
        </w:rPr>
        <w:t xml:space="preserve"> </w:t>
      </w:r>
      <w:r w:rsidR="00771F97" w:rsidRPr="00A21B5C">
        <w:rPr>
          <w:rFonts w:ascii="Arial" w:hAnsi="Arial" w:cs="Arial"/>
          <w:sz w:val="22"/>
          <w:szCs w:val="22"/>
          <w:lang w:val="es-CO"/>
        </w:rPr>
        <w:t xml:space="preserve">Convenios </w:t>
      </w:r>
      <w:r w:rsidR="008C2E4A" w:rsidRPr="00A21B5C">
        <w:rPr>
          <w:rFonts w:ascii="Arial" w:hAnsi="Arial" w:cs="Arial"/>
          <w:sz w:val="22"/>
          <w:szCs w:val="22"/>
          <w:lang w:val="es-CO"/>
        </w:rPr>
        <w:t>de Administración</w:t>
      </w:r>
      <w:r w:rsidR="00051EB3" w:rsidRPr="00A21B5C">
        <w:rPr>
          <w:rFonts w:ascii="Arial" w:hAnsi="Arial" w:cs="Arial"/>
          <w:sz w:val="22"/>
          <w:szCs w:val="22"/>
          <w:lang w:val="es-CO"/>
        </w:rPr>
        <w:t xml:space="preserve"> para las </w:t>
      </w:r>
      <w:r w:rsidR="008E7EB7" w:rsidRPr="00A21B5C">
        <w:rPr>
          <w:rFonts w:ascii="Arial" w:hAnsi="Arial" w:cs="Arial"/>
          <w:sz w:val="22"/>
          <w:szCs w:val="22"/>
          <w:lang w:val="es-CO"/>
        </w:rPr>
        <w:t xml:space="preserve">tres vigencias no se </w:t>
      </w:r>
      <w:r w:rsidR="00F24DF2" w:rsidRPr="00A21B5C">
        <w:rPr>
          <w:rFonts w:ascii="Arial" w:hAnsi="Arial" w:cs="Arial"/>
          <w:sz w:val="22"/>
          <w:szCs w:val="22"/>
          <w:lang w:val="es-CO"/>
        </w:rPr>
        <w:t xml:space="preserve">llevó a cabo </w:t>
      </w:r>
      <w:r w:rsidR="008C2E4A" w:rsidRPr="00A21B5C">
        <w:rPr>
          <w:rFonts w:ascii="Arial" w:hAnsi="Arial" w:cs="Arial"/>
          <w:sz w:val="22"/>
          <w:szCs w:val="22"/>
          <w:lang w:val="es-CO"/>
        </w:rPr>
        <w:t>antes del 31 de diciembre de la vigencia anterior, como lo demanda el artículo 83 de la Ley 715 de 2001, y como se detalla en el apartado</w:t>
      </w:r>
      <w:r w:rsidR="009A6811" w:rsidRPr="00A21B5C">
        <w:rPr>
          <w:rFonts w:ascii="Arial" w:hAnsi="Arial" w:cs="Arial"/>
          <w:sz w:val="22"/>
          <w:szCs w:val="22"/>
          <w:lang w:val="es-CO"/>
        </w:rPr>
        <w:t xml:space="preserve"> </w:t>
      </w:r>
      <w:r w:rsidR="00771F97" w:rsidRPr="00A21B5C">
        <w:rPr>
          <w:rFonts w:ascii="Arial" w:hAnsi="Arial" w:cs="Arial"/>
          <w:sz w:val="22"/>
          <w:szCs w:val="22"/>
          <w:lang w:val="es-CO"/>
        </w:rPr>
        <w:t>Contratación y Ejecución</w:t>
      </w:r>
      <w:r w:rsidR="00FE1C28" w:rsidRPr="00A21B5C">
        <w:rPr>
          <w:rFonts w:ascii="Arial" w:hAnsi="Arial" w:cs="Arial"/>
          <w:sz w:val="22"/>
          <w:szCs w:val="22"/>
          <w:lang w:val="es-CO"/>
        </w:rPr>
        <w:t xml:space="preserve"> del presente </w:t>
      </w:r>
      <w:r w:rsidR="00771F97" w:rsidRPr="00A21B5C">
        <w:rPr>
          <w:rFonts w:ascii="Arial" w:hAnsi="Arial" w:cs="Arial"/>
          <w:sz w:val="22"/>
          <w:szCs w:val="22"/>
          <w:lang w:val="es-CO"/>
        </w:rPr>
        <w:t>I</w:t>
      </w:r>
      <w:r w:rsidR="00FE1C28" w:rsidRPr="00A21B5C">
        <w:rPr>
          <w:rFonts w:ascii="Arial" w:hAnsi="Arial" w:cs="Arial"/>
          <w:sz w:val="22"/>
          <w:szCs w:val="22"/>
          <w:lang w:val="es-CO"/>
        </w:rPr>
        <w:t xml:space="preserve">nforme. </w:t>
      </w:r>
      <w:r w:rsidR="00EC4AB9" w:rsidRPr="00A21B5C">
        <w:rPr>
          <w:rFonts w:ascii="Arial" w:hAnsi="Arial" w:cs="Arial"/>
          <w:sz w:val="22"/>
          <w:szCs w:val="22"/>
          <w:lang w:val="es-CO"/>
        </w:rPr>
        <w:t>Así</w:t>
      </w:r>
      <w:r w:rsidR="003221D2" w:rsidRPr="00A21B5C">
        <w:rPr>
          <w:rFonts w:ascii="Arial" w:hAnsi="Arial" w:cs="Arial"/>
          <w:sz w:val="22"/>
          <w:szCs w:val="22"/>
          <w:lang w:val="es-CO"/>
        </w:rPr>
        <w:t xml:space="preserve">, es posible </w:t>
      </w:r>
      <w:r w:rsidR="00EC4AB9" w:rsidRPr="00A21B5C">
        <w:rPr>
          <w:rFonts w:ascii="Arial" w:hAnsi="Arial" w:cs="Arial"/>
          <w:sz w:val="22"/>
          <w:szCs w:val="22"/>
          <w:lang w:val="es-CO"/>
        </w:rPr>
        <w:t>colegir</w:t>
      </w:r>
      <w:r w:rsidR="003221D2" w:rsidRPr="00A21B5C">
        <w:rPr>
          <w:rFonts w:ascii="Arial" w:hAnsi="Arial" w:cs="Arial"/>
          <w:sz w:val="22"/>
          <w:szCs w:val="22"/>
          <w:lang w:val="es-CO"/>
        </w:rPr>
        <w:t xml:space="preserve"> que la realización tardía del proceso de programación de los recursos </w:t>
      </w:r>
      <w:r w:rsidR="00EC4AB9" w:rsidRPr="00A21B5C">
        <w:rPr>
          <w:rFonts w:ascii="Arial" w:hAnsi="Arial" w:cs="Arial"/>
          <w:sz w:val="22"/>
          <w:szCs w:val="22"/>
          <w:lang w:val="es-CO"/>
        </w:rPr>
        <w:t>por parte de las comunidades</w:t>
      </w:r>
      <w:r w:rsidR="000E6143" w:rsidRPr="00A21B5C">
        <w:rPr>
          <w:rFonts w:ascii="Arial" w:hAnsi="Arial" w:cs="Arial"/>
          <w:sz w:val="22"/>
          <w:szCs w:val="22"/>
          <w:lang w:val="es-CO"/>
        </w:rPr>
        <w:t>,</w:t>
      </w:r>
      <w:r w:rsidR="00EC4AB9" w:rsidRPr="00A21B5C">
        <w:rPr>
          <w:rFonts w:ascii="Arial" w:hAnsi="Arial" w:cs="Arial"/>
          <w:sz w:val="22"/>
          <w:szCs w:val="22"/>
          <w:lang w:val="es-CO"/>
        </w:rPr>
        <w:t xml:space="preserve"> </w:t>
      </w:r>
      <w:r w:rsidR="00B73193" w:rsidRPr="00A21B5C">
        <w:rPr>
          <w:rFonts w:ascii="Arial" w:hAnsi="Arial" w:cs="Arial"/>
          <w:sz w:val="22"/>
          <w:szCs w:val="22"/>
          <w:lang w:val="es-CO"/>
        </w:rPr>
        <w:t>conlleva a</w:t>
      </w:r>
      <w:r w:rsidR="00325955" w:rsidRPr="00A21B5C">
        <w:rPr>
          <w:rFonts w:ascii="Arial" w:hAnsi="Arial" w:cs="Arial"/>
          <w:sz w:val="22"/>
          <w:szCs w:val="22"/>
          <w:lang w:val="es-CO"/>
        </w:rPr>
        <w:t xml:space="preserve"> </w:t>
      </w:r>
      <w:r w:rsidR="00B73193" w:rsidRPr="00A21B5C">
        <w:rPr>
          <w:rFonts w:ascii="Arial" w:hAnsi="Arial" w:cs="Arial"/>
          <w:sz w:val="22"/>
          <w:szCs w:val="22"/>
          <w:lang w:val="es-CO"/>
        </w:rPr>
        <w:t xml:space="preserve">que </w:t>
      </w:r>
      <w:r w:rsidR="00333927" w:rsidRPr="00A21B5C">
        <w:rPr>
          <w:rFonts w:ascii="Arial" w:hAnsi="Arial" w:cs="Arial"/>
          <w:sz w:val="22"/>
          <w:szCs w:val="22"/>
          <w:lang w:val="es-CO"/>
        </w:rPr>
        <w:t xml:space="preserve">el </w:t>
      </w:r>
      <w:r w:rsidR="00771F97" w:rsidRPr="00A21B5C">
        <w:rPr>
          <w:rFonts w:ascii="Arial" w:hAnsi="Arial" w:cs="Arial"/>
          <w:sz w:val="22"/>
          <w:szCs w:val="22"/>
          <w:lang w:val="es-CO"/>
        </w:rPr>
        <w:t xml:space="preserve">Convenio </w:t>
      </w:r>
      <w:r w:rsidR="00333927" w:rsidRPr="00A21B5C">
        <w:rPr>
          <w:rFonts w:ascii="Arial" w:hAnsi="Arial" w:cs="Arial"/>
          <w:sz w:val="22"/>
          <w:szCs w:val="22"/>
          <w:lang w:val="es-CO"/>
        </w:rPr>
        <w:t xml:space="preserve">de Administración </w:t>
      </w:r>
      <w:r w:rsidR="00B73193" w:rsidRPr="00A21B5C">
        <w:rPr>
          <w:rFonts w:ascii="Arial" w:hAnsi="Arial" w:cs="Arial"/>
          <w:sz w:val="22"/>
          <w:szCs w:val="22"/>
          <w:lang w:val="es-CO"/>
        </w:rPr>
        <w:t xml:space="preserve">se suscriba </w:t>
      </w:r>
      <w:r w:rsidR="00333927" w:rsidRPr="00A21B5C">
        <w:rPr>
          <w:rFonts w:ascii="Arial" w:hAnsi="Arial" w:cs="Arial"/>
          <w:sz w:val="22"/>
          <w:szCs w:val="22"/>
          <w:lang w:val="es-CO"/>
        </w:rPr>
        <w:t xml:space="preserve">por fuera de los </w:t>
      </w:r>
      <w:r w:rsidR="00F37B16" w:rsidRPr="00A21B5C">
        <w:rPr>
          <w:rFonts w:ascii="Arial" w:hAnsi="Arial" w:cs="Arial"/>
          <w:sz w:val="22"/>
          <w:szCs w:val="22"/>
          <w:lang w:val="es-CO"/>
        </w:rPr>
        <w:t>plazos establecidos por la normativa vigente.</w:t>
      </w:r>
    </w:p>
    <w:p w:rsidR="008C2E4A" w:rsidRPr="00A21B5C" w:rsidRDefault="008C2E4A" w:rsidP="00A21B5C">
      <w:pPr>
        <w:contextualSpacing/>
        <w:jc w:val="both"/>
        <w:rPr>
          <w:rFonts w:ascii="Arial" w:hAnsi="Arial" w:cs="Arial"/>
          <w:sz w:val="22"/>
          <w:szCs w:val="22"/>
          <w:lang w:val="es-CO"/>
        </w:rPr>
      </w:pPr>
    </w:p>
    <w:p w:rsidR="008C2E4A" w:rsidRPr="00A21B5C" w:rsidRDefault="008C2E4A" w:rsidP="00A21B5C">
      <w:pPr>
        <w:contextualSpacing/>
        <w:jc w:val="both"/>
        <w:rPr>
          <w:rFonts w:ascii="Arial" w:hAnsi="Arial" w:cs="Arial"/>
          <w:lang w:val="es-CO"/>
        </w:rPr>
      </w:pPr>
      <w:r w:rsidRPr="00A21B5C">
        <w:rPr>
          <w:rFonts w:ascii="Arial" w:hAnsi="Arial" w:cs="Arial"/>
          <w:sz w:val="22"/>
          <w:szCs w:val="22"/>
          <w:lang w:val="es-CO"/>
        </w:rPr>
        <w:t>Sin perjuicio de todo lo anterior, se revisaron las</w:t>
      </w:r>
      <w:r w:rsidR="004D661E" w:rsidRPr="00A21B5C">
        <w:rPr>
          <w:rFonts w:ascii="Arial" w:hAnsi="Arial" w:cs="Arial"/>
          <w:sz w:val="22"/>
          <w:szCs w:val="22"/>
          <w:lang w:val="es-CO"/>
        </w:rPr>
        <w:t xml:space="preserve"> </w:t>
      </w:r>
      <w:r w:rsidR="00657A7F" w:rsidRPr="00A21B5C">
        <w:rPr>
          <w:rFonts w:ascii="Arial" w:hAnsi="Arial" w:cs="Arial"/>
          <w:sz w:val="22"/>
          <w:szCs w:val="22"/>
          <w:lang w:val="es-CO"/>
        </w:rPr>
        <w:t>a</w:t>
      </w:r>
      <w:r w:rsidRPr="00A21B5C">
        <w:rPr>
          <w:rFonts w:ascii="Arial" w:hAnsi="Arial" w:cs="Arial"/>
          <w:sz w:val="22"/>
          <w:szCs w:val="22"/>
          <w:lang w:val="es-CO"/>
        </w:rPr>
        <w:t xml:space="preserve">ctas de las reuniones </w:t>
      </w:r>
      <w:r w:rsidR="004D5AD7" w:rsidRPr="00A21B5C">
        <w:rPr>
          <w:rFonts w:ascii="Arial" w:hAnsi="Arial" w:cs="Arial"/>
          <w:sz w:val="22"/>
          <w:szCs w:val="22"/>
          <w:lang w:val="es-CO"/>
        </w:rPr>
        <w:t xml:space="preserve">que dan cuenta del ejercicio de programación </w:t>
      </w:r>
      <w:r w:rsidRPr="00A21B5C">
        <w:rPr>
          <w:rFonts w:ascii="Arial" w:hAnsi="Arial" w:cs="Arial"/>
          <w:sz w:val="22"/>
          <w:szCs w:val="22"/>
          <w:lang w:val="es-CO"/>
        </w:rPr>
        <w:t xml:space="preserve">de </w:t>
      </w:r>
      <w:r w:rsidR="00797AB5" w:rsidRPr="00A21B5C">
        <w:rPr>
          <w:rFonts w:ascii="Arial" w:hAnsi="Arial" w:cs="Arial"/>
          <w:sz w:val="22"/>
          <w:szCs w:val="22"/>
          <w:lang w:val="es-CO"/>
        </w:rPr>
        <w:t xml:space="preserve">los </w:t>
      </w:r>
      <w:r w:rsidR="00771F97" w:rsidRPr="00A21B5C">
        <w:rPr>
          <w:rFonts w:ascii="Arial" w:hAnsi="Arial" w:cs="Arial"/>
          <w:sz w:val="22"/>
          <w:szCs w:val="22"/>
          <w:lang w:val="es-CO"/>
        </w:rPr>
        <w:t>P</w:t>
      </w:r>
      <w:r w:rsidR="00797AB5" w:rsidRPr="00A21B5C">
        <w:rPr>
          <w:rFonts w:ascii="Arial" w:hAnsi="Arial" w:cs="Arial"/>
          <w:sz w:val="22"/>
          <w:szCs w:val="22"/>
          <w:lang w:val="es-CO"/>
        </w:rPr>
        <w:t>ueblos</w:t>
      </w:r>
      <w:r w:rsidRPr="00A21B5C">
        <w:rPr>
          <w:rFonts w:ascii="Arial" w:hAnsi="Arial" w:cs="Arial"/>
          <w:sz w:val="22"/>
          <w:szCs w:val="22"/>
          <w:lang w:val="es-CO"/>
        </w:rPr>
        <w:t xml:space="preserve"> </w:t>
      </w:r>
      <w:r w:rsidR="00771F97" w:rsidRPr="00A21B5C">
        <w:rPr>
          <w:rFonts w:ascii="Arial" w:hAnsi="Arial" w:cs="Arial"/>
          <w:sz w:val="22"/>
          <w:szCs w:val="22"/>
          <w:lang w:val="es-CO"/>
        </w:rPr>
        <w:t>I</w:t>
      </w:r>
      <w:r w:rsidRPr="00A21B5C">
        <w:rPr>
          <w:rFonts w:ascii="Arial" w:hAnsi="Arial" w:cs="Arial"/>
          <w:sz w:val="22"/>
          <w:szCs w:val="22"/>
          <w:lang w:val="es-CO"/>
        </w:rPr>
        <w:t>ndígenas</w:t>
      </w:r>
      <w:r w:rsidR="00964CD2" w:rsidRPr="00A21B5C">
        <w:rPr>
          <w:rFonts w:ascii="Arial" w:hAnsi="Arial" w:cs="Arial"/>
          <w:sz w:val="22"/>
          <w:szCs w:val="22"/>
          <w:lang w:val="es-CO"/>
        </w:rPr>
        <w:t xml:space="preserve"> del Resguardo Kogui </w:t>
      </w:r>
      <w:r w:rsidR="00545C2F" w:rsidRPr="00A21B5C">
        <w:rPr>
          <w:rFonts w:ascii="Arial" w:hAnsi="Arial" w:cs="Arial"/>
          <w:sz w:val="22"/>
          <w:szCs w:val="22"/>
          <w:lang w:val="es-CO"/>
        </w:rPr>
        <w:t>-</w:t>
      </w:r>
      <w:r w:rsidR="00964CD2" w:rsidRPr="00A21B5C">
        <w:rPr>
          <w:rFonts w:ascii="Arial" w:hAnsi="Arial" w:cs="Arial"/>
          <w:sz w:val="22"/>
          <w:szCs w:val="22"/>
          <w:lang w:val="es-CO"/>
        </w:rPr>
        <w:t xml:space="preserve"> Malayo -</w:t>
      </w:r>
      <w:r w:rsidR="00545C2F" w:rsidRPr="00A21B5C">
        <w:rPr>
          <w:rFonts w:ascii="Arial" w:hAnsi="Arial" w:cs="Arial"/>
          <w:sz w:val="22"/>
          <w:szCs w:val="22"/>
          <w:lang w:val="es-CO"/>
        </w:rPr>
        <w:t xml:space="preserve"> </w:t>
      </w:r>
      <w:r w:rsidR="00964CD2" w:rsidRPr="00A21B5C">
        <w:rPr>
          <w:rFonts w:ascii="Arial" w:hAnsi="Arial" w:cs="Arial"/>
          <w:sz w:val="22"/>
          <w:szCs w:val="22"/>
          <w:lang w:val="es-CO"/>
        </w:rPr>
        <w:t>Arhuaco</w:t>
      </w:r>
      <w:r w:rsidRPr="00A21B5C">
        <w:rPr>
          <w:rFonts w:ascii="Arial" w:hAnsi="Arial" w:cs="Arial"/>
          <w:sz w:val="22"/>
          <w:szCs w:val="22"/>
          <w:lang w:val="es-CO"/>
        </w:rPr>
        <w:t xml:space="preserve"> </w:t>
      </w:r>
      <w:r w:rsidR="004D5AD7" w:rsidRPr="00A21B5C">
        <w:rPr>
          <w:rFonts w:ascii="Arial" w:hAnsi="Arial" w:cs="Arial"/>
          <w:sz w:val="22"/>
          <w:szCs w:val="22"/>
          <w:lang w:val="es-CO"/>
        </w:rPr>
        <w:t xml:space="preserve">para </w:t>
      </w:r>
      <w:r w:rsidRPr="00A21B5C">
        <w:rPr>
          <w:rFonts w:ascii="Arial" w:hAnsi="Arial" w:cs="Arial"/>
          <w:sz w:val="22"/>
          <w:szCs w:val="22"/>
          <w:lang w:val="es-CO"/>
        </w:rPr>
        <w:t>las vigencias 2017, 2018 y 2019,</w:t>
      </w:r>
      <w:r w:rsidR="004509C2" w:rsidRPr="00A21B5C">
        <w:rPr>
          <w:rFonts w:ascii="Arial" w:hAnsi="Arial" w:cs="Arial"/>
          <w:sz w:val="22"/>
          <w:szCs w:val="22"/>
          <w:lang w:val="es-CO"/>
        </w:rPr>
        <w:t xml:space="preserve"> </w:t>
      </w:r>
      <w:r w:rsidRPr="00A21B5C">
        <w:rPr>
          <w:rFonts w:ascii="Arial" w:hAnsi="Arial" w:cs="Arial"/>
          <w:sz w:val="22"/>
          <w:szCs w:val="22"/>
          <w:lang w:val="es-CO"/>
        </w:rPr>
        <w:t>evidenciándose que</w:t>
      </w:r>
      <w:r w:rsidR="00DF2382" w:rsidRPr="00A21B5C">
        <w:rPr>
          <w:rFonts w:ascii="Arial" w:hAnsi="Arial" w:cs="Arial"/>
          <w:sz w:val="22"/>
          <w:szCs w:val="22"/>
          <w:lang w:val="es-CO"/>
        </w:rPr>
        <w:t xml:space="preserve">, en conjunto </w:t>
      </w:r>
      <w:r w:rsidR="00797AB5" w:rsidRPr="00A21B5C">
        <w:rPr>
          <w:rFonts w:ascii="Arial" w:hAnsi="Arial" w:cs="Arial"/>
          <w:sz w:val="22"/>
          <w:szCs w:val="22"/>
          <w:lang w:val="es-CO"/>
        </w:rPr>
        <w:t xml:space="preserve">los tres </w:t>
      </w:r>
      <w:r w:rsidR="00771F97" w:rsidRPr="00A21B5C">
        <w:rPr>
          <w:rFonts w:ascii="Arial" w:hAnsi="Arial" w:cs="Arial"/>
          <w:sz w:val="22"/>
          <w:szCs w:val="22"/>
          <w:lang w:val="es-CO"/>
        </w:rPr>
        <w:t>P</w:t>
      </w:r>
      <w:r w:rsidR="00797AB5" w:rsidRPr="00A21B5C">
        <w:rPr>
          <w:rFonts w:ascii="Arial" w:hAnsi="Arial" w:cs="Arial"/>
          <w:sz w:val="22"/>
          <w:szCs w:val="22"/>
          <w:lang w:val="es-CO"/>
        </w:rPr>
        <w:t>ueblos</w:t>
      </w:r>
      <w:r w:rsidRPr="00A21B5C">
        <w:rPr>
          <w:rFonts w:ascii="Arial" w:hAnsi="Arial" w:cs="Arial"/>
          <w:sz w:val="22"/>
          <w:szCs w:val="22"/>
          <w:lang w:val="es-CO"/>
        </w:rPr>
        <w:t xml:space="preserve"> identificaron una serie de necesidades</w:t>
      </w:r>
      <w:r w:rsidR="00A73EE1" w:rsidRPr="00A21B5C">
        <w:rPr>
          <w:rFonts w:ascii="Arial" w:hAnsi="Arial" w:cs="Arial"/>
          <w:sz w:val="22"/>
          <w:szCs w:val="22"/>
          <w:lang w:val="es-CO"/>
        </w:rPr>
        <w:t xml:space="preserve"> </w:t>
      </w:r>
      <w:r w:rsidRPr="00A21B5C">
        <w:rPr>
          <w:rFonts w:ascii="Arial" w:hAnsi="Arial" w:cs="Arial"/>
          <w:sz w:val="22"/>
          <w:szCs w:val="22"/>
          <w:lang w:val="es-CO"/>
        </w:rPr>
        <w:t>y alternativas</w:t>
      </w:r>
      <w:r w:rsidR="00CD1DF6" w:rsidRPr="00A21B5C">
        <w:rPr>
          <w:rFonts w:ascii="Arial" w:hAnsi="Arial" w:cs="Arial"/>
          <w:sz w:val="22"/>
          <w:szCs w:val="22"/>
          <w:lang w:val="es-CO"/>
        </w:rPr>
        <w:t xml:space="preserve"> </w:t>
      </w:r>
      <w:r w:rsidRPr="00A21B5C">
        <w:rPr>
          <w:rFonts w:ascii="Arial" w:hAnsi="Arial" w:cs="Arial"/>
          <w:sz w:val="22"/>
          <w:szCs w:val="22"/>
          <w:lang w:val="es-CO"/>
        </w:rPr>
        <w:t>de solución</w:t>
      </w:r>
      <w:r w:rsidR="00E8575D" w:rsidRPr="00A21B5C">
        <w:rPr>
          <w:rFonts w:ascii="Arial" w:hAnsi="Arial" w:cs="Arial"/>
          <w:sz w:val="22"/>
          <w:szCs w:val="22"/>
        </w:rPr>
        <w:t xml:space="preserve"> a </w:t>
      </w:r>
      <w:r w:rsidR="00E8575D" w:rsidRPr="00A21B5C">
        <w:rPr>
          <w:rFonts w:ascii="Arial" w:hAnsi="Arial" w:cs="Arial"/>
          <w:sz w:val="22"/>
          <w:szCs w:val="22"/>
          <w:lang w:val="es-CO"/>
        </w:rPr>
        <w:t>financiar con los recursos de la AESGPRI</w:t>
      </w:r>
      <w:r w:rsidR="00267961" w:rsidRPr="00A21B5C">
        <w:rPr>
          <w:rFonts w:ascii="Arial" w:hAnsi="Arial" w:cs="Arial"/>
          <w:sz w:val="22"/>
          <w:szCs w:val="22"/>
          <w:lang w:val="es-CO"/>
        </w:rPr>
        <w:t xml:space="preserve"> </w:t>
      </w:r>
      <w:r w:rsidRPr="00A21B5C">
        <w:rPr>
          <w:rFonts w:ascii="Arial" w:hAnsi="Arial" w:cs="Arial"/>
          <w:sz w:val="22"/>
          <w:szCs w:val="22"/>
          <w:lang w:val="es-CO"/>
        </w:rPr>
        <w:t xml:space="preserve">en </w:t>
      </w:r>
      <w:r w:rsidR="00DA4271" w:rsidRPr="00A21B5C">
        <w:rPr>
          <w:rFonts w:ascii="Arial" w:hAnsi="Arial" w:cs="Arial"/>
          <w:sz w:val="22"/>
          <w:szCs w:val="22"/>
          <w:lang w:val="es-CO"/>
        </w:rPr>
        <w:t xml:space="preserve">diferentes </w:t>
      </w:r>
      <w:r w:rsidRPr="00A21B5C">
        <w:rPr>
          <w:rFonts w:ascii="Arial" w:hAnsi="Arial" w:cs="Arial"/>
          <w:sz w:val="22"/>
          <w:szCs w:val="22"/>
          <w:lang w:val="es-CO"/>
        </w:rPr>
        <w:t xml:space="preserve">ámbitos </w:t>
      </w:r>
      <w:r w:rsidR="00DA4271" w:rsidRPr="00A21B5C">
        <w:rPr>
          <w:rFonts w:ascii="Arial" w:hAnsi="Arial" w:cs="Arial"/>
          <w:sz w:val="22"/>
          <w:szCs w:val="22"/>
          <w:lang w:val="es-CO"/>
        </w:rPr>
        <w:t xml:space="preserve">o sectores que figuran como </w:t>
      </w:r>
      <w:r w:rsidRPr="00A21B5C">
        <w:rPr>
          <w:rFonts w:ascii="Arial" w:hAnsi="Arial" w:cs="Arial"/>
          <w:sz w:val="22"/>
          <w:szCs w:val="22"/>
          <w:lang w:val="es-CO"/>
        </w:rPr>
        <w:t>programas</w:t>
      </w:r>
      <w:r w:rsidR="00035C03" w:rsidRPr="00A21B5C">
        <w:rPr>
          <w:rFonts w:ascii="Arial" w:hAnsi="Arial" w:cs="Arial"/>
          <w:sz w:val="22"/>
          <w:szCs w:val="22"/>
          <w:lang w:val="es-CO"/>
        </w:rPr>
        <w:t>,</w:t>
      </w:r>
      <w:r w:rsidRPr="00A21B5C">
        <w:rPr>
          <w:rFonts w:ascii="Arial" w:hAnsi="Arial" w:cs="Arial"/>
          <w:sz w:val="22"/>
          <w:szCs w:val="22"/>
          <w:lang w:val="es-CO"/>
        </w:rPr>
        <w:t xml:space="preserve"> y dentro de los cuales se plantean una serie de proyectos específicos</w:t>
      </w:r>
      <w:r w:rsidR="00851D88" w:rsidRPr="00A21B5C">
        <w:rPr>
          <w:rFonts w:ascii="Arial" w:hAnsi="Arial" w:cs="Arial"/>
          <w:sz w:val="22"/>
          <w:szCs w:val="22"/>
          <w:lang w:val="es-CO"/>
        </w:rPr>
        <w:t xml:space="preserve"> agrupados así:</w:t>
      </w:r>
    </w:p>
    <w:p w:rsidR="00100DED" w:rsidRPr="00A21B5C" w:rsidRDefault="00100DED">
      <w:pPr>
        <w:rPr>
          <w:rFonts w:ascii="Arial" w:hAnsi="Arial" w:cs="Arial"/>
          <w:sz w:val="22"/>
          <w:szCs w:val="22"/>
          <w:lang w:val="es-CO"/>
        </w:rPr>
      </w:pPr>
      <w:r w:rsidRPr="00A21B5C">
        <w:rPr>
          <w:rFonts w:ascii="Arial" w:hAnsi="Arial" w:cs="Arial"/>
          <w:sz w:val="22"/>
          <w:szCs w:val="22"/>
          <w:lang w:val="es-CO"/>
        </w:rPr>
        <w:br w:type="page"/>
      </w:r>
    </w:p>
    <w:p w:rsidR="00F07784" w:rsidRPr="00A21B5C" w:rsidRDefault="00F07784" w:rsidP="00A21B5C">
      <w:pPr>
        <w:contextualSpacing/>
        <w:jc w:val="both"/>
        <w:rPr>
          <w:rFonts w:ascii="Arial" w:hAnsi="Arial" w:cs="Arial"/>
          <w:sz w:val="22"/>
          <w:szCs w:val="22"/>
          <w:lang w:val="es-CO"/>
        </w:rPr>
      </w:pPr>
    </w:p>
    <w:p w:rsidR="007405B3" w:rsidRPr="00A21B5C" w:rsidRDefault="00A53495" w:rsidP="00A21B5C">
      <w:pPr>
        <w:ind w:left="644"/>
        <w:contextualSpacing/>
        <w:jc w:val="center"/>
        <w:rPr>
          <w:rFonts w:ascii="Arial" w:hAnsi="Arial" w:cs="Arial"/>
          <w:sz w:val="22"/>
          <w:szCs w:val="22"/>
          <w:lang w:val="es-CO"/>
        </w:rPr>
      </w:pPr>
      <w:r w:rsidRPr="00A21B5C">
        <w:rPr>
          <w:rFonts w:ascii="Arial" w:hAnsi="Arial" w:cs="Arial"/>
          <w:b/>
          <w:bCs/>
          <w:sz w:val="22"/>
          <w:szCs w:val="22"/>
          <w:lang w:val="es-CO"/>
        </w:rPr>
        <w:t>Gráfico N° 1</w:t>
      </w:r>
      <w:r w:rsidRPr="00A21B5C">
        <w:rPr>
          <w:rFonts w:ascii="Arial" w:hAnsi="Arial" w:cs="Arial"/>
          <w:sz w:val="22"/>
          <w:szCs w:val="22"/>
          <w:lang w:val="es-CO"/>
        </w:rPr>
        <w:t xml:space="preserve">: </w:t>
      </w:r>
      <w:r w:rsidR="00870C50" w:rsidRPr="00A21B5C">
        <w:rPr>
          <w:rFonts w:ascii="Arial" w:hAnsi="Arial" w:cs="Arial"/>
          <w:sz w:val="22"/>
          <w:szCs w:val="22"/>
          <w:lang w:val="es-CO"/>
        </w:rPr>
        <w:t>Número de proyectos priorizados por sector</w:t>
      </w:r>
      <w:r w:rsidRPr="00A21B5C">
        <w:rPr>
          <w:rFonts w:ascii="Arial" w:hAnsi="Arial" w:cs="Arial"/>
          <w:sz w:val="22"/>
          <w:szCs w:val="22"/>
          <w:lang w:val="es-CO"/>
        </w:rPr>
        <w:t xml:space="preserve"> </w:t>
      </w:r>
      <w:r w:rsidR="00870C50" w:rsidRPr="00A21B5C">
        <w:rPr>
          <w:rFonts w:ascii="Arial" w:hAnsi="Arial" w:cs="Arial"/>
          <w:sz w:val="22"/>
          <w:szCs w:val="22"/>
          <w:lang w:val="es-CO"/>
        </w:rPr>
        <w:t>con cargo a los</w:t>
      </w:r>
      <w:r w:rsidRPr="00A21B5C">
        <w:rPr>
          <w:rFonts w:ascii="Arial" w:hAnsi="Arial" w:cs="Arial"/>
          <w:sz w:val="22"/>
          <w:szCs w:val="22"/>
          <w:lang w:val="es-CO"/>
        </w:rPr>
        <w:t xml:space="preserve"> recursos </w:t>
      </w:r>
      <w:r w:rsidR="00870C50" w:rsidRPr="00A21B5C">
        <w:rPr>
          <w:rFonts w:ascii="Arial" w:hAnsi="Arial" w:cs="Arial"/>
          <w:sz w:val="22"/>
          <w:szCs w:val="22"/>
          <w:lang w:val="es-CO"/>
        </w:rPr>
        <w:t xml:space="preserve">de la </w:t>
      </w:r>
      <w:r w:rsidRPr="00A21B5C">
        <w:rPr>
          <w:rFonts w:ascii="Arial" w:hAnsi="Arial" w:cs="Arial"/>
          <w:sz w:val="22"/>
          <w:szCs w:val="22"/>
          <w:lang w:val="es-CO"/>
        </w:rPr>
        <w:t xml:space="preserve">AESGPRI </w:t>
      </w:r>
      <w:r w:rsidR="00870C50" w:rsidRPr="00A21B5C">
        <w:rPr>
          <w:rFonts w:ascii="Arial" w:hAnsi="Arial" w:cs="Arial"/>
          <w:sz w:val="22"/>
          <w:szCs w:val="22"/>
          <w:lang w:val="es-CO"/>
        </w:rPr>
        <w:t>- V</w:t>
      </w:r>
      <w:r w:rsidRPr="00A21B5C">
        <w:rPr>
          <w:rFonts w:ascii="Arial" w:hAnsi="Arial" w:cs="Arial"/>
          <w:sz w:val="22"/>
          <w:szCs w:val="22"/>
          <w:lang w:val="es-CO"/>
        </w:rPr>
        <w:t>igencias 2017</w:t>
      </w:r>
      <w:r w:rsidR="00870C50" w:rsidRPr="00A21B5C">
        <w:rPr>
          <w:rFonts w:ascii="Arial" w:hAnsi="Arial" w:cs="Arial"/>
          <w:sz w:val="22"/>
          <w:szCs w:val="22"/>
          <w:lang w:val="es-CO"/>
        </w:rPr>
        <w:t xml:space="preserve">, </w:t>
      </w:r>
      <w:r w:rsidRPr="00A21B5C">
        <w:rPr>
          <w:rFonts w:ascii="Arial" w:hAnsi="Arial" w:cs="Arial"/>
          <w:sz w:val="22"/>
          <w:szCs w:val="22"/>
          <w:lang w:val="es-CO"/>
        </w:rPr>
        <w:t>201</w:t>
      </w:r>
      <w:r w:rsidR="00870C50" w:rsidRPr="00A21B5C">
        <w:rPr>
          <w:rFonts w:ascii="Arial" w:hAnsi="Arial" w:cs="Arial"/>
          <w:sz w:val="22"/>
          <w:szCs w:val="22"/>
          <w:lang w:val="es-CO"/>
        </w:rPr>
        <w:t>8 y 2019</w:t>
      </w:r>
    </w:p>
    <w:p w:rsidR="007405B3" w:rsidRPr="00A21B5C" w:rsidRDefault="00F30887" w:rsidP="00A21B5C">
      <w:pPr>
        <w:contextualSpacing/>
        <w:rPr>
          <w:rFonts w:ascii="Arial" w:hAnsi="Arial" w:cs="Arial"/>
          <w:noProof/>
        </w:rPr>
      </w:pPr>
      <w:r w:rsidRPr="00A21B5C">
        <w:rPr>
          <w:rFonts w:ascii="Arial" w:hAnsi="Arial" w:cs="Arial"/>
          <w:noProof/>
          <w:lang w:val="es-CO" w:eastAsia="es-CO"/>
        </w:rPr>
        <w:drawing>
          <wp:inline distT="0" distB="0" distL="0" distR="0">
            <wp:extent cx="5709684" cy="2030819"/>
            <wp:effectExtent l="0" t="0" r="5715" b="7620"/>
            <wp:docPr id="10" name="Gráfico 10">
              <a:extLst xmlns:a="http://schemas.openxmlformats.org/drawingml/2006/main">
                <a:ext uri="{FF2B5EF4-FFF2-40B4-BE49-F238E27FC236}">
                  <a16:creationId xmlns:a16="http://schemas.microsoft.com/office/drawing/2014/main" id="{837D617C-BFC8-4A99-8C15-504678CBAF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A21B5C">
        <w:rPr>
          <w:rFonts w:ascii="Arial" w:hAnsi="Arial" w:cs="Arial"/>
          <w:noProof/>
        </w:rPr>
        <w:t xml:space="preserve"> </w:t>
      </w:r>
    </w:p>
    <w:p w:rsidR="009F7E81" w:rsidRPr="00A21B5C" w:rsidRDefault="009F7E81" w:rsidP="00A21B5C">
      <w:pPr>
        <w:contextualSpacing/>
        <w:jc w:val="center"/>
        <w:rPr>
          <w:rFonts w:ascii="Arial" w:hAnsi="Arial" w:cs="Arial"/>
          <w:noProof/>
          <w:sz w:val="20"/>
          <w:szCs w:val="20"/>
        </w:rPr>
      </w:pPr>
      <w:r w:rsidRPr="00A21B5C">
        <w:rPr>
          <w:rFonts w:ascii="Arial" w:hAnsi="Arial" w:cs="Arial"/>
          <w:b/>
          <w:bCs/>
          <w:noProof/>
          <w:sz w:val="20"/>
          <w:szCs w:val="20"/>
        </w:rPr>
        <w:t xml:space="preserve">Fuente: </w:t>
      </w:r>
      <w:r w:rsidR="000E6143" w:rsidRPr="00A21B5C">
        <w:rPr>
          <w:rFonts w:ascii="Arial" w:hAnsi="Arial" w:cs="Arial"/>
          <w:noProof/>
          <w:sz w:val="20"/>
          <w:szCs w:val="20"/>
        </w:rPr>
        <w:t xml:space="preserve">Elaboración propia sobre </w:t>
      </w:r>
      <w:r w:rsidR="00D56E46" w:rsidRPr="00A21B5C">
        <w:rPr>
          <w:rFonts w:ascii="Arial" w:hAnsi="Arial" w:cs="Arial"/>
          <w:noProof/>
          <w:sz w:val="20"/>
          <w:szCs w:val="20"/>
        </w:rPr>
        <w:t xml:space="preserve">Actas de concertación del Resguardo Indígena Kogui – Malayo – Arhuaco </w:t>
      </w:r>
      <w:r w:rsidR="00B23AE4" w:rsidRPr="00A21B5C">
        <w:rPr>
          <w:rFonts w:ascii="Arial" w:hAnsi="Arial" w:cs="Arial"/>
          <w:noProof/>
          <w:sz w:val="20"/>
          <w:szCs w:val="20"/>
        </w:rPr>
        <w:t>de las vigencias 2017, 2018 y 2019</w:t>
      </w:r>
      <w:r w:rsidR="000E6143" w:rsidRPr="00A21B5C">
        <w:rPr>
          <w:rFonts w:ascii="Arial" w:hAnsi="Arial" w:cs="Arial"/>
          <w:noProof/>
          <w:sz w:val="20"/>
          <w:szCs w:val="20"/>
        </w:rPr>
        <w:t>.</w:t>
      </w:r>
    </w:p>
    <w:p w:rsidR="000E6143" w:rsidRPr="00A21B5C" w:rsidRDefault="000E6143" w:rsidP="00A21B5C">
      <w:pPr>
        <w:contextualSpacing/>
        <w:rPr>
          <w:rFonts w:ascii="Arial" w:hAnsi="Arial" w:cs="Arial"/>
          <w:sz w:val="22"/>
          <w:szCs w:val="22"/>
          <w:lang w:val="es-CO"/>
        </w:rPr>
      </w:pPr>
    </w:p>
    <w:p w:rsidR="00431491" w:rsidRPr="00A21B5C" w:rsidRDefault="002925C5" w:rsidP="00100DED">
      <w:pPr>
        <w:spacing w:after="240"/>
        <w:contextualSpacing/>
        <w:jc w:val="both"/>
        <w:rPr>
          <w:rFonts w:ascii="Arial" w:hAnsi="Arial" w:cs="Arial"/>
          <w:sz w:val="22"/>
          <w:szCs w:val="22"/>
          <w:lang w:val="es-CO"/>
        </w:rPr>
      </w:pPr>
      <w:r w:rsidRPr="00A21B5C">
        <w:rPr>
          <w:rFonts w:ascii="Arial" w:hAnsi="Arial" w:cs="Arial"/>
          <w:sz w:val="22"/>
          <w:szCs w:val="22"/>
          <w:lang w:val="es-CO"/>
        </w:rPr>
        <w:t>Ahora bien, v</w:t>
      </w:r>
      <w:r w:rsidR="00431491" w:rsidRPr="00A21B5C">
        <w:rPr>
          <w:rFonts w:ascii="Arial" w:hAnsi="Arial" w:cs="Arial"/>
          <w:sz w:val="22"/>
          <w:szCs w:val="22"/>
          <w:lang w:val="es-CO"/>
        </w:rPr>
        <w:t xml:space="preserve">ale la pena mencionar que debido a que la programación se realiza y presenta por </w:t>
      </w:r>
      <w:r w:rsidR="00771F97" w:rsidRPr="00A21B5C">
        <w:rPr>
          <w:rFonts w:ascii="Arial" w:hAnsi="Arial" w:cs="Arial"/>
          <w:sz w:val="22"/>
          <w:szCs w:val="22"/>
          <w:lang w:val="es-CO"/>
        </w:rPr>
        <w:t>P</w:t>
      </w:r>
      <w:r w:rsidR="00431491" w:rsidRPr="00A21B5C">
        <w:rPr>
          <w:rFonts w:ascii="Arial" w:hAnsi="Arial" w:cs="Arial"/>
          <w:sz w:val="22"/>
          <w:szCs w:val="22"/>
          <w:lang w:val="es-CO"/>
        </w:rPr>
        <w:t xml:space="preserve">ueblos y no de manera consolidada como Resguardo, al analizar </w:t>
      </w:r>
      <w:r w:rsidR="00EE3A3C" w:rsidRPr="00A21B5C">
        <w:rPr>
          <w:rFonts w:ascii="Arial" w:hAnsi="Arial" w:cs="Arial"/>
          <w:sz w:val="22"/>
          <w:szCs w:val="22"/>
          <w:lang w:val="es-CO"/>
        </w:rPr>
        <w:t>el perfil de</w:t>
      </w:r>
      <w:r w:rsidR="00431491" w:rsidRPr="00A21B5C">
        <w:rPr>
          <w:rFonts w:ascii="Arial" w:hAnsi="Arial" w:cs="Arial"/>
          <w:sz w:val="22"/>
          <w:szCs w:val="22"/>
          <w:lang w:val="es-CO"/>
        </w:rPr>
        <w:t xml:space="preserve"> cada uno de los proyectos priorizados, se observa duplicidad en algunos de estos, por ejemplo, el proyecto “</w:t>
      </w:r>
      <w:r w:rsidR="00431491" w:rsidRPr="00A21B5C">
        <w:rPr>
          <w:rFonts w:ascii="Arial" w:hAnsi="Arial" w:cs="Arial"/>
          <w:i/>
          <w:iCs/>
          <w:sz w:val="22"/>
          <w:szCs w:val="22"/>
          <w:lang w:val="es-CO"/>
        </w:rPr>
        <w:t>Ampliación y/o Saneamiento del Resguardo Kogui – Malayo – Arhuaco</w:t>
      </w:r>
      <w:r w:rsidR="00431491" w:rsidRPr="00A21B5C">
        <w:rPr>
          <w:rFonts w:ascii="Arial" w:hAnsi="Arial" w:cs="Arial"/>
          <w:sz w:val="22"/>
          <w:szCs w:val="22"/>
          <w:lang w:val="es-CO"/>
        </w:rPr>
        <w:t>” fue priorizado para la vigencia 2017 por el pueblo Kogui y por el pueblo Wiwa de manera independiente, sin embargo, ambos proyectos obedecen al mismo objeto</w:t>
      </w:r>
      <w:r w:rsidR="00EE3A3C" w:rsidRPr="00A21B5C">
        <w:rPr>
          <w:rFonts w:ascii="Arial" w:hAnsi="Arial" w:cs="Arial"/>
          <w:sz w:val="22"/>
          <w:szCs w:val="22"/>
          <w:lang w:val="es-CO"/>
        </w:rPr>
        <w:t>. T</w:t>
      </w:r>
      <w:r w:rsidR="00431491" w:rsidRPr="00A21B5C">
        <w:rPr>
          <w:rFonts w:ascii="Arial" w:hAnsi="Arial" w:cs="Arial"/>
          <w:sz w:val="22"/>
          <w:szCs w:val="22"/>
          <w:lang w:val="es-CO"/>
        </w:rPr>
        <w:t>eniendo en cuenta esta consideración</w:t>
      </w:r>
      <w:r w:rsidR="00EE3A3C" w:rsidRPr="00A21B5C">
        <w:rPr>
          <w:rFonts w:ascii="Arial" w:hAnsi="Arial" w:cs="Arial"/>
          <w:sz w:val="22"/>
          <w:szCs w:val="22"/>
          <w:lang w:val="es-CO"/>
        </w:rPr>
        <w:t xml:space="preserve">, </w:t>
      </w:r>
      <w:r w:rsidRPr="00A21B5C">
        <w:rPr>
          <w:rFonts w:ascii="Arial" w:hAnsi="Arial" w:cs="Arial"/>
          <w:sz w:val="22"/>
          <w:szCs w:val="22"/>
          <w:lang w:val="es-CO"/>
        </w:rPr>
        <w:t xml:space="preserve">y </w:t>
      </w:r>
      <w:r w:rsidR="00C066EA" w:rsidRPr="00A21B5C">
        <w:rPr>
          <w:rFonts w:ascii="Arial" w:eastAsia="Calibri" w:hAnsi="Arial" w:cs="Arial"/>
          <w:sz w:val="22"/>
          <w:szCs w:val="22"/>
          <w:lang w:val="es-CO" w:eastAsia="en-US"/>
        </w:rPr>
        <w:t>c</w:t>
      </w:r>
      <w:r w:rsidR="00D957D9" w:rsidRPr="00A21B5C">
        <w:rPr>
          <w:rFonts w:ascii="Arial" w:eastAsia="Calibri" w:hAnsi="Arial" w:cs="Arial"/>
          <w:sz w:val="22"/>
          <w:szCs w:val="22"/>
          <w:lang w:val="es-CO" w:eastAsia="en-US"/>
        </w:rPr>
        <w:t xml:space="preserve">on el fin de </w:t>
      </w:r>
      <w:r w:rsidR="00FC38E7" w:rsidRPr="00A21B5C">
        <w:rPr>
          <w:rFonts w:ascii="Arial" w:eastAsia="Calibri" w:hAnsi="Arial" w:cs="Arial"/>
          <w:sz w:val="22"/>
          <w:szCs w:val="22"/>
          <w:lang w:val="es-CO" w:eastAsia="en-US"/>
        </w:rPr>
        <w:t xml:space="preserve">profundizar en </w:t>
      </w:r>
      <w:r w:rsidR="00C066EA" w:rsidRPr="00A21B5C">
        <w:rPr>
          <w:rFonts w:ascii="Arial" w:eastAsia="Calibri" w:hAnsi="Arial" w:cs="Arial"/>
          <w:sz w:val="22"/>
          <w:szCs w:val="22"/>
          <w:lang w:val="es-CO" w:eastAsia="en-US"/>
        </w:rPr>
        <w:t>las particularidades asociadas a</w:t>
      </w:r>
      <w:r w:rsidR="006A7EE0" w:rsidRPr="00A21B5C">
        <w:rPr>
          <w:rFonts w:ascii="Arial" w:eastAsia="Calibri" w:hAnsi="Arial" w:cs="Arial"/>
          <w:sz w:val="22"/>
          <w:szCs w:val="22"/>
          <w:lang w:val="es-CO" w:eastAsia="en-US"/>
        </w:rPr>
        <w:t>l ejercicio</w:t>
      </w:r>
      <w:r w:rsidR="00FC38E7" w:rsidRPr="00A21B5C">
        <w:rPr>
          <w:rFonts w:ascii="Arial" w:eastAsia="Calibri" w:hAnsi="Arial" w:cs="Arial"/>
          <w:sz w:val="22"/>
          <w:szCs w:val="22"/>
          <w:lang w:val="es-CO" w:eastAsia="en-US"/>
        </w:rPr>
        <w:t xml:space="preserve"> de programación de los recursos</w:t>
      </w:r>
      <w:r w:rsidR="00B8064A" w:rsidRPr="00A21B5C">
        <w:rPr>
          <w:rFonts w:ascii="Arial" w:eastAsia="Calibri" w:hAnsi="Arial" w:cs="Arial"/>
          <w:sz w:val="22"/>
          <w:szCs w:val="22"/>
          <w:lang w:val="es-CO" w:eastAsia="en-US"/>
        </w:rPr>
        <w:t>,</w:t>
      </w:r>
      <w:r w:rsidR="00FC38E7" w:rsidRPr="00A21B5C">
        <w:rPr>
          <w:rFonts w:ascii="Arial" w:eastAsia="Calibri" w:hAnsi="Arial" w:cs="Arial"/>
          <w:sz w:val="22"/>
          <w:szCs w:val="22"/>
          <w:lang w:val="es-CO" w:eastAsia="en-US"/>
        </w:rPr>
        <w:t xml:space="preserve"> </w:t>
      </w:r>
      <w:r w:rsidR="005427BF" w:rsidRPr="00A21B5C">
        <w:rPr>
          <w:rFonts w:ascii="Arial" w:eastAsia="Calibri" w:hAnsi="Arial" w:cs="Arial"/>
          <w:sz w:val="22"/>
          <w:szCs w:val="22"/>
          <w:lang w:val="es-CO" w:eastAsia="en-US"/>
        </w:rPr>
        <w:t xml:space="preserve">a </w:t>
      </w:r>
      <w:r w:rsidR="00064B10" w:rsidRPr="00A21B5C">
        <w:rPr>
          <w:rFonts w:ascii="Arial" w:eastAsia="Calibri" w:hAnsi="Arial" w:cs="Arial"/>
          <w:sz w:val="22"/>
          <w:szCs w:val="22"/>
          <w:lang w:val="es-CO" w:eastAsia="en-US"/>
        </w:rPr>
        <w:t>continuación</w:t>
      </w:r>
      <w:r w:rsidR="005427BF" w:rsidRPr="00A21B5C">
        <w:rPr>
          <w:rFonts w:ascii="Arial" w:eastAsia="Calibri" w:hAnsi="Arial" w:cs="Arial"/>
          <w:sz w:val="22"/>
          <w:szCs w:val="22"/>
          <w:lang w:val="es-CO" w:eastAsia="en-US"/>
        </w:rPr>
        <w:t xml:space="preserve"> </w:t>
      </w:r>
      <w:r w:rsidR="002330D9" w:rsidRPr="00A21B5C">
        <w:rPr>
          <w:rFonts w:ascii="Arial" w:eastAsia="Calibri" w:hAnsi="Arial" w:cs="Arial"/>
          <w:sz w:val="22"/>
          <w:szCs w:val="22"/>
          <w:lang w:val="es-CO" w:eastAsia="en-US"/>
        </w:rPr>
        <w:t xml:space="preserve">se presenta una relación detallada de los proyectos de inversión priorizados por </w:t>
      </w:r>
      <w:r w:rsidR="005D3E46" w:rsidRPr="00A21B5C">
        <w:rPr>
          <w:rFonts w:ascii="Arial" w:eastAsia="Calibri" w:hAnsi="Arial" w:cs="Arial"/>
          <w:sz w:val="22"/>
          <w:szCs w:val="22"/>
          <w:lang w:val="es-CO" w:eastAsia="en-US"/>
        </w:rPr>
        <w:t xml:space="preserve">los </w:t>
      </w:r>
      <w:r w:rsidR="00771F97" w:rsidRPr="00A21B5C">
        <w:rPr>
          <w:rFonts w:ascii="Arial" w:eastAsia="Calibri" w:hAnsi="Arial" w:cs="Arial"/>
          <w:sz w:val="22"/>
          <w:szCs w:val="22"/>
          <w:lang w:val="es-CO" w:eastAsia="en-US"/>
        </w:rPr>
        <w:t>P</w:t>
      </w:r>
      <w:r w:rsidR="005D3E46" w:rsidRPr="00A21B5C">
        <w:rPr>
          <w:rFonts w:ascii="Arial" w:eastAsia="Calibri" w:hAnsi="Arial" w:cs="Arial"/>
          <w:sz w:val="22"/>
          <w:szCs w:val="22"/>
          <w:lang w:val="es-CO" w:eastAsia="en-US"/>
        </w:rPr>
        <w:t xml:space="preserve">ueblos </w:t>
      </w:r>
      <w:r w:rsidR="00771F97" w:rsidRPr="00A21B5C">
        <w:rPr>
          <w:rFonts w:ascii="Arial" w:eastAsia="Calibri" w:hAnsi="Arial" w:cs="Arial"/>
          <w:sz w:val="22"/>
          <w:szCs w:val="22"/>
          <w:lang w:val="es-CO" w:eastAsia="en-US"/>
        </w:rPr>
        <w:t>I</w:t>
      </w:r>
      <w:r w:rsidR="005D3E46" w:rsidRPr="00A21B5C">
        <w:rPr>
          <w:rFonts w:ascii="Arial" w:eastAsia="Calibri" w:hAnsi="Arial" w:cs="Arial"/>
          <w:sz w:val="22"/>
          <w:szCs w:val="22"/>
          <w:lang w:val="es-CO" w:eastAsia="en-US"/>
        </w:rPr>
        <w:t>ndígenas d</w:t>
      </w:r>
      <w:r w:rsidR="002330D9" w:rsidRPr="00A21B5C">
        <w:rPr>
          <w:rFonts w:ascii="Arial" w:eastAsia="Calibri" w:hAnsi="Arial" w:cs="Arial"/>
          <w:sz w:val="22"/>
          <w:szCs w:val="22"/>
          <w:lang w:val="es-CO" w:eastAsia="en-US"/>
        </w:rPr>
        <w:t>el Resguardo Kogui – Malayo – Arhuaco en las vigencias 2017</w:t>
      </w:r>
      <w:r w:rsidR="00C066EA" w:rsidRPr="00A21B5C">
        <w:rPr>
          <w:rFonts w:ascii="Arial" w:eastAsia="Calibri" w:hAnsi="Arial" w:cs="Arial"/>
          <w:sz w:val="22"/>
          <w:szCs w:val="22"/>
          <w:lang w:val="es-CO" w:eastAsia="en-US"/>
        </w:rPr>
        <w:t>,</w:t>
      </w:r>
      <w:r w:rsidR="002330D9" w:rsidRPr="00A21B5C">
        <w:rPr>
          <w:rFonts w:ascii="Arial" w:eastAsia="Calibri" w:hAnsi="Arial" w:cs="Arial"/>
          <w:sz w:val="22"/>
          <w:szCs w:val="22"/>
          <w:lang w:val="es-CO" w:eastAsia="en-US"/>
        </w:rPr>
        <w:t xml:space="preserve"> 2018</w:t>
      </w:r>
      <w:r w:rsidR="00C066EA" w:rsidRPr="00A21B5C">
        <w:rPr>
          <w:rFonts w:ascii="Arial" w:eastAsia="Calibri" w:hAnsi="Arial" w:cs="Arial"/>
          <w:sz w:val="22"/>
          <w:szCs w:val="22"/>
          <w:lang w:val="es-CO" w:eastAsia="en-US"/>
        </w:rPr>
        <w:t xml:space="preserve"> y 2019, </w:t>
      </w:r>
      <w:r w:rsidR="00BF61B3" w:rsidRPr="00A21B5C">
        <w:rPr>
          <w:rFonts w:ascii="Arial" w:eastAsia="Calibri" w:hAnsi="Arial" w:cs="Arial"/>
          <w:sz w:val="22"/>
          <w:szCs w:val="22"/>
          <w:lang w:val="es-CO" w:eastAsia="en-US"/>
        </w:rPr>
        <w:t>cuya formulac</w:t>
      </w:r>
      <w:r w:rsidR="002D4B66" w:rsidRPr="00A21B5C">
        <w:rPr>
          <w:rFonts w:ascii="Arial" w:eastAsia="Calibri" w:hAnsi="Arial" w:cs="Arial"/>
          <w:sz w:val="22"/>
          <w:szCs w:val="22"/>
          <w:lang w:val="es-CO" w:eastAsia="en-US"/>
        </w:rPr>
        <w:t>ión se analizó t</w:t>
      </w:r>
      <w:r w:rsidR="00C066EA" w:rsidRPr="00A21B5C">
        <w:rPr>
          <w:rFonts w:ascii="Arial" w:hAnsi="Arial" w:cs="Arial"/>
          <w:sz w:val="22"/>
          <w:szCs w:val="22"/>
          <w:lang w:val="es-CO"/>
        </w:rPr>
        <w:t>eniendo como línea base de evaluación, las etapas de identificación de necesidades, planteamiento de alternativas de solución y configuración de dichas alternativas en perfiles de proyecto, de acuerdo a las orientaciones del Departamento Nacional de Planeación</w:t>
      </w:r>
      <w:r w:rsidR="00C066EA" w:rsidRPr="00A21B5C">
        <w:rPr>
          <w:rStyle w:val="Refdenotaalpie"/>
          <w:rFonts w:ascii="Arial" w:hAnsi="Arial" w:cs="Arial"/>
          <w:sz w:val="22"/>
          <w:szCs w:val="22"/>
          <w:lang w:val="es-CO"/>
        </w:rPr>
        <w:footnoteReference w:id="30"/>
      </w:r>
      <w:r w:rsidR="004E1369" w:rsidRPr="00A21B5C">
        <w:rPr>
          <w:rFonts w:ascii="Arial" w:hAnsi="Arial" w:cs="Arial"/>
          <w:sz w:val="22"/>
          <w:szCs w:val="22"/>
          <w:lang w:val="es-CO"/>
        </w:rPr>
        <w:t>:</w:t>
      </w:r>
    </w:p>
    <w:p w:rsidR="00100DED" w:rsidRPr="00A21B5C" w:rsidRDefault="00100DED" w:rsidP="00A21B5C">
      <w:pPr>
        <w:spacing w:after="240"/>
        <w:contextualSpacing/>
        <w:jc w:val="both"/>
        <w:rPr>
          <w:rFonts w:ascii="Arial" w:hAnsi="Arial" w:cs="Arial"/>
          <w:sz w:val="22"/>
          <w:szCs w:val="22"/>
          <w:lang w:val="es-CO"/>
        </w:rPr>
      </w:pPr>
    </w:p>
    <w:p w:rsidR="00091AAC" w:rsidRPr="00A21B5C" w:rsidRDefault="008C2E4A" w:rsidP="00A21B5C">
      <w:pPr>
        <w:ind w:left="644"/>
        <w:contextualSpacing/>
        <w:jc w:val="center"/>
        <w:rPr>
          <w:rFonts w:ascii="Arial" w:hAnsi="Arial" w:cs="Arial"/>
          <w:sz w:val="22"/>
          <w:szCs w:val="22"/>
          <w:lang w:val="es-CO"/>
        </w:rPr>
      </w:pPr>
      <w:r w:rsidRPr="00A21B5C">
        <w:rPr>
          <w:rFonts w:ascii="Arial" w:eastAsia="Calibri" w:hAnsi="Arial" w:cs="Arial"/>
          <w:sz w:val="22"/>
          <w:szCs w:val="22"/>
          <w:lang w:val="es-CO" w:eastAsia="en-US"/>
        </w:rPr>
        <w:t xml:space="preserve"> </w:t>
      </w:r>
      <w:r w:rsidR="00175643" w:rsidRPr="00A21B5C">
        <w:rPr>
          <w:rFonts w:ascii="Arial" w:hAnsi="Arial" w:cs="Arial"/>
          <w:b/>
          <w:sz w:val="22"/>
          <w:szCs w:val="22"/>
          <w:lang w:val="es-CO"/>
        </w:rPr>
        <w:t xml:space="preserve">Tabla N° </w:t>
      </w:r>
      <w:r w:rsidR="00F172DB" w:rsidRPr="00A21B5C">
        <w:rPr>
          <w:rFonts w:ascii="Arial" w:hAnsi="Arial" w:cs="Arial"/>
          <w:b/>
          <w:sz w:val="22"/>
          <w:szCs w:val="22"/>
          <w:lang w:val="es-CO"/>
        </w:rPr>
        <w:t>5</w:t>
      </w:r>
      <w:r w:rsidRPr="00A21B5C">
        <w:rPr>
          <w:rFonts w:ascii="Arial" w:hAnsi="Arial" w:cs="Arial"/>
          <w:sz w:val="22"/>
          <w:szCs w:val="22"/>
          <w:lang w:val="es-CO"/>
        </w:rPr>
        <w:t xml:space="preserve">: Relación de los objetos de los proyectos </w:t>
      </w:r>
      <w:r w:rsidR="00064B10" w:rsidRPr="00A21B5C">
        <w:rPr>
          <w:rFonts w:ascii="Arial" w:hAnsi="Arial" w:cs="Arial"/>
          <w:sz w:val="22"/>
          <w:szCs w:val="22"/>
          <w:lang w:val="es-CO"/>
        </w:rPr>
        <w:t>priorizados</w:t>
      </w:r>
      <w:r w:rsidRPr="00A21B5C">
        <w:rPr>
          <w:rFonts w:ascii="Arial" w:hAnsi="Arial" w:cs="Arial"/>
          <w:sz w:val="22"/>
          <w:szCs w:val="22"/>
          <w:lang w:val="es-CO"/>
        </w:rPr>
        <w:t xml:space="preserve"> en </w:t>
      </w:r>
      <w:r w:rsidR="00064B10" w:rsidRPr="00A21B5C">
        <w:rPr>
          <w:rFonts w:ascii="Arial" w:hAnsi="Arial" w:cs="Arial"/>
          <w:sz w:val="22"/>
          <w:szCs w:val="22"/>
          <w:lang w:val="es-CO"/>
        </w:rPr>
        <w:t>el</w:t>
      </w:r>
      <w:r w:rsidRPr="00A21B5C">
        <w:rPr>
          <w:rFonts w:ascii="Arial" w:hAnsi="Arial" w:cs="Arial"/>
          <w:sz w:val="22"/>
          <w:szCs w:val="22"/>
          <w:lang w:val="es-CO"/>
        </w:rPr>
        <w:t xml:space="preserve"> </w:t>
      </w:r>
    </w:p>
    <w:p w:rsidR="008C2E4A" w:rsidRPr="00A21B5C" w:rsidRDefault="008C2E4A" w:rsidP="00A21B5C">
      <w:pPr>
        <w:spacing w:after="120"/>
        <w:ind w:left="644"/>
        <w:contextualSpacing/>
        <w:jc w:val="center"/>
        <w:rPr>
          <w:rFonts w:ascii="Arial" w:hAnsi="Arial" w:cs="Arial"/>
          <w:sz w:val="22"/>
          <w:szCs w:val="22"/>
          <w:lang w:val="es-CO"/>
        </w:rPr>
      </w:pPr>
      <w:r w:rsidRPr="00A21B5C">
        <w:rPr>
          <w:rFonts w:ascii="Arial" w:hAnsi="Arial" w:cs="Arial"/>
          <w:sz w:val="22"/>
          <w:szCs w:val="22"/>
          <w:lang w:val="es-CO"/>
        </w:rPr>
        <w:t>Resguardo Indígena para las vigencias 2017 y 2018.</w:t>
      </w:r>
    </w:p>
    <w:tbl>
      <w:tblPr>
        <w:tblW w:w="10113" w:type="dxa"/>
        <w:tblInd w:w="-714" w:type="dxa"/>
        <w:tblCellMar>
          <w:left w:w="70" w:type="dxa"/>
          <w:right w:w="70" w:type="dxa"/>
        </w:tblCellMar>
        <w:tblLook w:val="04A0" w:firstRow="1" w:lastRow="0" w:firstColumn="1" w:lastColumn="0" w:noHBand="0" w:noVBand="1"/>
      </w:tblPr>
      <w:tblGrid>
        <w:gridCol w:w="1930"/>
        <w:gridCol w:w="2835"/>
        <w:gridCol w:w="2835"/>
        <w:gridCol w:w="2513"/>
      </w:tblGrid>
      <w:tr w:rsidR="00AE6718" w:rsidRPr="00A21B5C" w:rsidTr="00A21B5C">
        <w:trPr>
          <w:trHeight w:val="330"/>
          <w:tblHeader/>
        </w:trPr>
        <w:tc>
          <w:tcPr>
            <w:tcW w:w="1608" w:type="dxa"/>
            <w:tcBorders>
              <w:top w:val="single" w:sz="4" w:space="0" w:color="000000"/>
              <w:left w:val="single" w:sz="4" w:space="0" w:color="000000"/>
              <w:bottom w:val="single" w:sz="4" w:space="0" w:color="D9D9D9"/>
              <w:right w:val="dashSmallGap" w:sz="4" w:space="0" w:color="A6A6A6" w:themeColor="background1" w:themeShade="A6"/>
            </w:tcBorders>
            <w:shd w:val="clear" w:color="auto" w:fill="215868" w:themeFill="accent5" w:themeFillShade="80"/>
            <w:noWrap/>
            <w:vAlign w:val="center"/>
            <w:hideMark/>
          </w:tcPr>
          <w:p w:rsidR="005F1458" w:rsidRPr="00A21B5C" w:rsidRDefault="005F1458" w:rsidP="00A21B5C">
            <w:pPr>
              <w:contextualSpacing/>
              <w:jc w:val="center"/>
              <w:rPr>
                <w:rFonts w:ascii="Arial" w:eastAsia="Times New Roman" w:hAnsi="Arial" w:cs="Arial"/>
                <w:b/>
                <w:bCs/>
                <w:color w:val="FFFFFF"/>
                <w:sz w:val="18"/>
                <w:szCs w:val="18"/>
                <w:lang w:val="es-CO" w:eastAsia="es-CO"/>
              </w:rPr>
            </w:pPr>
            <w:r w:rsidRPr="00A21B5C">
              <w:rPr>
                <w:rFonts w:ascii="Arial" w:eastAsia="Times New Roman" w:hAnsi="Arial" w:cs="Arial"/>
                <w:b/>
                <w:bCs/>
                <w:color w:val="FFFFFF"/>
                <w:sz w:val="18"/>
                <w:szCs w:val="18"/>
                <w:lang w:val="es-CO" w:eastAsia="es-CO"/>
              </w:rPr>
              <w:t>SECTOR DE INVERSIÓN</w:t>
            </w:r>
          </w:p>
        </w:tc>
        <w:tc>
          <w:tcPr>
            <w:tcW w:w="2835" w:type="dxa"/>
            <w:tcBorders>
              <w:top w:val="single" w:sz="4" w:space="0" w:color="000000"/>
              <w:left w:val="dashSmallGap" w:sz="4" w:space="0" w:color="A6A6A6" w:themeColor="background1" w:themeShade="A6"/>
              <w:bottom w:val="single" w:sz="4" w:space="0" w:color="D9D9D9"/>
              <w:right w:val="dashSmallGap" w:sz="4" w:space="0" w:color="A6A6A6" w:themeColor="background1" w:themeShade="A6"/>
            </w:tcBorders>
            <w:shd w:val="clear" w:color="auto" w:fill="215868" w:themeFill="accent5" w:themeFillShade="80"/>
            <w:noWrap/>
            <w:vAlign w:val="center"/>
            <w:hideMark/>
          </w:tcPr>
          <w:p w:rsidR="005F1458" w:rsidRPr="00A21B5C" w:rsidRDefault="005F1458" w:rsidP="00A21B5C">
            <w:pPr>
              <w:contextualSpacing/>
              <w:jc w:val="center"/>
              <w:rPr>
                <w:rFonts w:ascii="Arial" w:eastAsia="Times New Roman" w:hAnsi="Arial" w:cs="Arial"/>
                <w:b/>
                <w:bCs/>
                <w:color w:val="FFFFFF"/>
                <w:sz w:val="22"/>
                <w:szCs w:val="22"/>
                <w:lang w:val="es-CO" w:eastAsia="es-CO"/>
              </w:rPr>
            </w:pPr>
            <w:r w:rsidRPr="00A21B5C">
              <w:rPr>
                <w:rFonts w:ascii="Arial" w:eastAsia="Times New Roman" w:hAnsi="Arial" w:cs="Arial"/>
                <w:b/>
                <w:bCs/>
                <w:color w:val="FFFFFF"/>
                <w:sz w:val="22"/>
                <w:szCs w:val="22"/>
                <w:lang w:val="es-CO" w:eastAsia="es-CO"/>
              </w:rPr>
              <w:t>2017</w:t>
            </w:r>
          </w:p>
        </w:tc>
        <w:tc>
          <w:tcPr>
            <w:tcW w:w="2835" w:type="dxa"/>
            <w:tcBorders>
              <w:top w:val="single" w:sz="4" w:space="0" w:color="000000"/>
              <w:left w:val="dashSmallGap" w:sz="4" w:space="0" w:color="A6A6A6" w:themeColor="background1" w:themeShade="A6"/>
              <w:bottom w:val="single" w:sz="4" w:space="0" w:color="D9D9D9"/>
              <w:right w:val="single" w:sz="4" w:space="0" w:color="000000" w:themeColor="text1"/>
            </w:tcBorders>
            <w:shd w:val="clear" w:color="auto" w:fill="215868" w:themeFill="accent5" w:themeFillShade="80"/>
            <w:noWrap/>
            <w:vAlign w:val="center"/>
            <w:hideMark/>
          </w:tcPr>
          <w:p w:rsidR="005F1458" w:rsidRPr="00A21B5C" w:rsidRDefault="005F1458" w:rsidP="00A21B5C">
            <w:pPr>
              <w:contextualSpacing/>
              <w:jc w:val="center"/>
              <w:rPr>
                <w:rFonts w:ascii="Arial" w:eastAsia="Times New Roman" w:hAnsi="Arial" w:cs="Arial"/>
                <w:b/>
                <w:bCs/>
                <w:color w:val="FFFFFF"/>
                <w:sz w:val="22"/>
                <w:szCs w:val="22"/>
                <w:lang w:val="es-CO" w:eastAsia="es-CO"/>
              </w:rPr>
            </w:pPr>
            <w:r w:rsidRPr="00A21B5C">
              <w:rPr>
                <w:rFonts w:ascii="Arial" w:eastAsia="Times New Roman" w:hAnsi="Arial" w:cs="Arial"/>
                <w:b/>
                <w:bCs/>
                <w:color w:val="FFFFFF"/>
                <w:sz w:val="22"/>
                <w:szCs w:val="22"/>
                <w:lang w:val="es-CO" w:eastAsia="es-CO"/>
              </w:rPr>
              <w:t>2018</w:t>
            </w:r>
          </w:p>
        </w:tc>
        <w:tc>
          <w:tcPr>
            <w:tcW w:w="2835" w:type="dxa"/>
            <w:tcBorders>
              <w:top w:val="single" w:sz="4" w:space="0" w:color="000000"/>
              <w:left w:val="dashSmallGap" w:sz="4" w:space="0" w:color="A6A6A6" w:themeColor="background1" w:themeShade="A6"/>
              <w:bottom w:val="single" w:sz="4" w:space="0" w:color="D9D9D9"/>
              <w:right w:val="single" w:sz="4" w:space="0" w:color="000000" w:themeColor="text1"/>
            </w:tcBorders>
            <w:shd w:val="clear" w:color="auto" w:fill="215868" w:themeFill="accent5" w:themeFillShade="80"/>
            <w:vAlign w:val="center"/>
          </w:tcPr>
          <w:p w:rsidR="005F1458" w:rsidRPr="00A21B5C" w:rsidRDefault="005F1458" w:rsidP="00A21B5C">
            <w:pPr>
              <w:contextualSpacing/>
              <w:jc w:val="center"/>
              <w:rPr>
                <w:rFonts w:ascii="Arial" w:eastAsia="Times New Roman" w:hAnsi="Arial" w:cs="Arial"/>
                <w:b/>
                <w:bCs/>
                <w:color w:val="FFFFFF"/>
                <w:sz w:val="22"/>
                <w:szCs w:val="22"/>
                <w:lang w:val="es-CO" w:eastAsia="es-CO"/>
              </w:rPr>
            </w:pPr>
            <w:r w:rsidRPr="00A21B5C">
              <w:rPr>
                <w:rFonts w:ascii="Arial" w:eastAsia="Times New Roman" w:hAnsi="Arial" w:cs="Arial"/>
                <w:b/>
                <w:bCs/>
                <w:color w:val="FFFFFF"/>
                <w:sz w:val="22"/>
                <w:szCs w:val="22"/>
                <w:lang w:val="es-CO" w:eastAsia="es-CO"/>
              </w:rPr>
              <w:t>2019</w:t>
            </w:r>
          </w:p>
        </w:tc>
      </w:tr>
      <w:tr w:rsidR="004208C6" w:rsidRPr="00A21B5C" w:rsidTr="00DC14B4">
        <w:trPr>
          <w:trHeight w:val="303"/>
        </w:trPr>
        <w:tc>
          <w:tcPr>
            <w:tcW w:w="1608" w:type="dxa"/>
            <w:vMerge w:val="restart"/>
            <w:tcBorders>
              <w:top w:val="single" w:sz="4" w:space="0" w:color="000000"/>
              <w:left w:val="single" w:sz="4" w:space="0" w:color="000000"/>
              <w:right w:val="dashSmallGap" w:sz="4" w:space="0" w:color="A6A6A6" w:themeColor="background1" w:themeShade="A6"/>
            </w:tcBorders>
            <w:shd w:val="clear" w:color="auto" w:fill="D9E1F2"/>
            <w:vAlign w:val="center"/>
            <w:hideMark/>
          </w:tcPr>
          <w:p w:rsidR="008A34B5" w:rsidRPr="00A21B5C" w:rsidRDefault="008A34B5" w:rsidP="00A21B5C">
            <w:pPr>
              <w:contextualSpacing/>
              <w:jc w:val="center"/>
              <w:rPr>
                <w:rFonts w:ascii="Arial" w:eastAsia="Times New Roman" w:hAnsi="Arial" w:cs="Arial"/>
                <w:b/>
                <w:bCs/>
                <w:color w:val="000000"/>
                <w:sz w:val="18"/>
                <w:szCs w:val="18"/>
                <w:lang w:val="es-CO" w:eastAsia="es-CO"/>
              </w:rPr>
            </w:pPr>
            <w:r w:rsidRPr="00A21B5C">
              <w:rPr>
                <w:rFonts w:ascii="Arial" w:eastAsia="Times New Roman" w:hAnsi="Arial" w:cs="Arial"/>
                <w:b/>
                <w:bCs/>
                <w:color w:val="000000"/>
                <w:sz w:val="18"/>
                <w:szCs w:val="18"/>
                <w:lang w:val="es-CO" w:eastAsia="es-CO"/>
              </w:rPr>
              <w:t>DESARROLLO AGROPECUARIO</w:t>
            </w:r>
          </w:p>
        </w:tc>
        <w:tc>
          <w:tcPr>
            <w:tcW w:w="2835" w:type="dxa"/>
            <w:tcBorders>
              <w:top w:val="single" w:sz="4" w:space="0" w:color="000000"/>
              <w:left w:val="dashSmallGap" w:sz="4" w:space="0" w:color="A6A6A6" w:themeColor="background1" w:themeShade="A6"/>
              <w:bottom w:val="single" w:sz="4" w:space="0" w:color="D9D9D9"/>
              <w:right w:val="dashSmallGap" w:sz="4" w:space="0" w:color="A6A6A6" w:themeColor="background1" w:themeShade="A6"/>
            </w:tcBorders>
            <w:vAlign w:val="center"/>
            <w:hideMark/>
          </w:tcPr>
          <w:p w:rsidR="008A34B5" w:rsidRPr="00A21B5C" w:rsidRDefault="008A34B5" w:rsidP="00A21B5C">
            <w:pPr>
              <w:contextualSpacing/>
              <w:jc w:val="both"/>
              <w:rPr>
                <w:rFonts w:ascii="Arial" w:eastAsia="Times New Roman" w:hAnsi="Arial" w:cs="Arial"/>
                <w:color w:val="000000"/>
                <w:sz w:val="16"/>
                <w:szCs w:val="18"/>
                <w:lang w:val="es-CO" w:eastAsia="es-CO"/>
              </w:rPr>
            </w:pPr>
            <w:r w:rsidRPr="00A21B5C">
              <w:rPr>
                <w:rFonts w:ascii="Arial" w:eastAsia="Times New Roman" w:hAnsi="Arial" w:cs="Arial"/>
                <w:color w:val="000000"/>
                <w:sz w:val="16"/>
                <w:szCs w:val="18"/>
                <w:lang w:val="es-CO" w:eastAsia="es-CO"/>
              </w:rPr>
              <w:t>Ampliación y saneamiento del Resguardo (Kogui y Wiwa)</w:t>
            </w:r>
          </w:p>
        </w:tc>
        <w:tc>
          <w:tcPr>
            <w:tcW w:w="2835" w:type="dxa"/>
            <w:tcBorders>
              <w:top w:val="single" w:sz="4" w:space="0" w:color="000000"/>
              <w:left w:val="dashSmallGap" w:sz="4" w:space="0" w:color="A6A6A6" w:themeColor="background1" w:themeShade="A6"/>
              <w:bottom w:val="single" w:sz="4" w:space="0" w:color="D9D9D9"/>
              <w:right w:val="single" w:sz="4" w:space="0" w:color="000000" w:themeColor="text1"/>
            </w:tcBorders>
            <w:vAlign w:val="center"/>
            <w:hideMark/>
          </w:tcPr>
          <w:p w:rsidR="008A34B5" w:rsidRPr="00A21B5C" w:rsidRDefault="008A34B5" w:rsidP="00A21B5C">
            <w:pPr>
              <w:contextualSpacing/>
              <w:jc w:val="both"/>
              <w:rPr>
                <w:rFonts w:ascii="Arial" w:eastAsia="Times New Roman" w:hAnsi="Arial" w:cs="Arial"/>
                <w:color w:val="000000"/>
                <w:sz w:val="16"/>
                <w:szCs w:val="18"/>
                <w:lang w:val="es-CO" w:eastAsia="es-CO"/>
              </w:rPr>
            </w:pPr>
            <w:r w:rsidRPr="00A21B5C">
              <w:rPr>
                <w:rFonts w:ascii="Arial" w:eastAsia="Times New Roman" w:hAnsi="Arial" w:cs="Arial"/>
                <w:color w:val="000000"/>
                <w:sz w:val="16"/>
                <w:szCs w:val="18"/>
                <w:lang w:val="es-CO" w:eastAsia="es-CO"/>
              </w:rPr>
              <w:t>Ampliación y saneamiento del Resguardo (Kogui, Wiwa y Arhuaco)</w:t>
            </w:r>
          </w:p>
        </w:tc>
        <w:tc>
          <w:tcPr>
            <w:tcW w:w="2835" w:type="dxa"/>
            <w:tcBorders>
              <w:top w:val="single" w:sz="4" w:space="0" w:color="000000"/>
              <w:left w:val="dashSmallGap" w:sz="4" w:space="0" w:color="A6A6A6" w:themeColor="background1" w:themeShade="A6"/>
              <w:bottom w:val="single" w:sz="4" w:space="0" w:color="D9D9D9"/>
              <w:right w:val="single" w:sz="4" w:space="0" w:color="000000" w:themeColor="text1"/>
            </w:tcBorders>
            <w:vAlign w:val="center"/>
          </w:tcPr>
          <w:p w:rsidR="008A34B5" w:rsidRPr="00A21B5C" w:rsidRDefault="008A34B5" w:rsidP="00A21B5C">
            <w:pPr>
              <w:contextualSpacing/>
              <w:jc w:val="both"/>
              <w:rPr>
                <w:rFonts w:ascii="Arial" w:eastAsia="Times New Roman" w:hAnsi="Arial" w:cs="Arial"/>
                <w:color w:val="000000"/>
                <w:sz w:val="16"/>
                <w:szCs w:val="18"/>
                <w:lang w:val="es-CO" w:eastAsia="es-CO"/>
              </w:rPr>
            </w:pPr>
            <w:r w:rsidRPr="00A21B5C">
              <w:rPr>
                <w:rFonts w:ascii="Arial" w:eastAsia="Times New Roman" w:hAnsi="Arial" w:cs="Arial"/>
                <w:color w:val="000000"/>
                <w:sz w:val="16"/>
                <w:szCs w:val="18"/>
                <w:lang w:val="es-CO" w:eastAsia="es-CO"/>
              </w:rPr>
              <w:t>Ampliación y saneamiento del Resguardo (Kogui)</w:t>
            </w:r>
          </w:p>
        </w:tc>
      </w:tr>
      <w:tr w:rsidR="00EE5BCC" w:rsidRPr="00A21B5C" w:rsidTr="00DC14B4">
        <w:trPr>
          <w:trHeight w:val="705"/>
        </w:trPr>
        <w:tc>
          <w:tcPr>
            <w:tcW w:w="1608" w:type="dxa"/>
            <w:vMerge/>
            <w:tcBorders>
              <w:left w:val="single" w:sz="4" w:space="0" w:color="000000"/>
              <w:right w:val="dashSmallGap" w:sz="4" w:space="0" w:color="A6A6A6" w:themeColor="background1" w:themeShade="A6"/>
            </w:tcBorders>
            <w:vAlign w:val="center"/>
            <w:hideMark/>
          </w:tcPr>
          <w:p w:rsidR="008A34B5" w:rsidRPr="00A21B5C" w:rsidRDefault="008A34B5" w:rsidP="00A21B5C">
            <w:pPr>
              <w:contextualSpacing/>
              <w:rPr>
                <w:rFonts w:ascii="Arial" w:eastAsia="Times New Roman" w:hAnsi="Arial" w:cs="Arial"/>
                <w:b/>
                <w:bCs/>
                <w:color w:val="000000"/>
                <w:sz w:val="18"/>
                <w:szCs w:val="18"/>
                <w:lang w:val="es-CO" w:eastAsia="es-CO"/>
              </w:rPr>
            </w:pPr>
          </w:p>
        </w:tc>
        <w:tc>
          <w:tcPr>
            <w:tcW w:w="2835" w:type="dxa"/>
            <w:tcBorders>
              <w:top w:val="nil"/>
              <w:left w:val="dashSmallGap" w:sz="4" w:space="0" w:color="A6A6A6" w:themeColor="background1" w:themeShade="A6"/>
              <w:bottom w:val="single" w:sz="4" w:space="0" w:color="D9D9D9"/>
              <w:right w:val="dashSmallGap" w:sz="4" w:space="0" w:color="A6A6A6" w:themeColor="background1" w:themeShade="A6"/>
            </w:tcBorders>
            <w:vAlign w:val="center"/>
            <w:hideMark/>
          </w:tcPr>
          <w:p w:rsidR="008A34B5" w:rsidRPr="00A21B5C" w:rsidRDefault="008A34B5" w:rsidP="00A21B5C">
            <w:pPr>
              <w:contextualSpacing/>
              <w:jc w:val="both"/>
              <w:rPr>
                <w:rFonts w:ascii="Arial" w:eastAsia="Times New Roman" w:hAnsi="Arial" w:cs="Arial"/>
                <w:color w:val="000000"/>
                <w:sz w:val="16"/>
                <w:szCs w:val="18"/>
                <w:lang w:val="es-CO" w:eastAsia="es-CO"/>
              </w:rPr>
            </w:pPr>
            <w:r w:rsidRPr="00A21B5C">
              <w:rPr>
                <w:rFonts w:ascii="Arial" w:eastAsia="Times New Roman" w:hAnsi="Arial" w:cs="Arial"/>
                <w:color w:val="000000"/>
                <w:sz w:val="16"/>
                <w:szCs w:val="18"/>
                <w:lang w:val="es-CO" w:eastAsia="es-CO"/>
              </w:rPr>
              <w:t>Compra de herramientas, materiales e insumos para el fortalecimiento del sistema de producción (Kogui y Arhuaco)</w:t>
            </w:r>
          </w:p>
        </w:tc>
        <w:tc>
          <w:tcPr>
            <w:tcW w:w="2835" w:type="dxa"/>
            <w:tcBorders>
              <w:top w:val="nil"/>
              <w:left w:val="dashSmallGap" w:sz="4" w:space="0" w:color="A6A6A6" w:themeColor="background1" w:themeShade="A6"/>
              <w:bottom w:val="single" w:sz="4" w:space="0" w:color="D9D9D9"/>
              <w:right w:val="single" w:sz="4" w:space="0" w:color="000000" w:themeColor="text1"/>
            </w:tcBorders>
            <w:vAlign w:val="center"/>
            <w:hideMark/>
          </w:tcPr>
          <w:p w:rsidR="008A34B5" w:rsidRPr="00A21B5C" w:rsidRDefault="008A34B5" w:rsidP="00A21B5C">
            <w:pPr>
              <w:contextualSpacing/>
              <w:jc w:val="both"/>
              <w:rPr>
                <w:rFonts w:ascii="Arial" w:eastAsia="Times New Roman" w:hAnsi="Arial" w:cs="Arial"/>
                <w:color w:val="000000"/>
                <w:sz w:val="16"/>
                <w:szCs w:val="18"/>
                <w:lang w:val="es-CO" w:eastAsia="es-CO"/>
              </w:rPr>
            </w:pPr>
            <w:r w:rsidRPr="00A21B5C">
              <w:rPr>
                <w:rFonts w:ascii="Arial" w:eastAsia="Times New Roman" w:hAnsi="Arial" w:cs="Arial"/>
                <w:color w:val="000000"/>
                <w:sz w:val="16"/>
                <w:szCs w:val="18"/>
                <w:lang w:val="es-CO" w:eastAsia="es-CO"/>
              </w:rPr>
              <w:t>Compra de herramientas, materiales e insumos para el fortalecimiento del sistema de producción (Arhuaco)</w:t>
            </w:r>
          </w:p>
        </w:tc>
        <w:tc>
          <w:tcPr>
            <w:tcW w:w="2835" w:type="dxa"/>
            <w:tcBorders>
              <w:top w:val="nil"/>
              <w:left w:val="dashSmallGap" w:sz="4" w:space="0" w:color="A6A6A6" w:themeColor="background1" w:themeShade="A6"/>
              <w:bottom w:val="single" w:sz="4" w:space="0" w:color="D9D9D9"/>
              <w:right w:val="single" w:sz="4" w:space="0" w:color="000000" w:themeColor="text1"/>
            </w:tcBorders>
            <w:vAlign w:val="center"/>
          </w:tcPr>
          <w:p w:rsidR="008A34B5" w:rsidRPr="00A21B5C" w:rsidRDefault="008A34B5" w:rsidP="00A21B5C">
            <w:pPr>
              <w:contextualSpacing/>
              <w:jc w:val="both"/>
              <w:rPr>
                <w:rFonts w:ascii="Arial" w:eastAsia="Times New Roman" w:hAnsi="Arial" w:cs="Arial"/>
                <w:color w:val="000000"/>
                <w:sz w:val="16"/>
                <w:szCs w:val="18"/>
                <w:lang w:val="es-CO" w:eastAsia="es-CO"/>
              </w:rPr>
            </w:pPr>
          </w:p>
        </w:tc>
      </w:tr>
      <w:tr w:rsidR="00EE5BCC" w:rsidRPr="00A21B5C" w:rsidTr="00DC14B4">
        <w:trPr>
          <w:trHeight w:val="559"/>
        </w:trPr>
        <w:tc>
          <w:tcPr>
            <w:tcW w:w="1608" w:type="dxa"/>
            <w:vMerge/>
            <w:tcBorders>
              <w:left w:val="single" w:sz="4" w:space="0" w:color="000000"/>
              <w:right w:val="dashSmallGap" w:sz="4" w:space="0" w:color="A6A6A6" w:themeColor="background1" w:themeShade="A6"/>
            </w:tcBorders>
            <w:vAlign w:val="center"/>
            <w:hideMark/>
          </w:tcPr>
          <w:p w:rsidR="008A34B5" w:rsidRPr="00A21B5C" w:rsidRDefault="008A34B5" w:rsidP="00A21B5C">
            <w:pPr>
              <w:contextualSpacing/>
              <w:rPr>
                <w:rFonts w:ascii="Arial" w:eastAsia="Times New Roman" w:hAnsi="Arial" w:cs="Arial"/>
                <w:b/>
                <w:bCs/>
                <w:color w:val="000000"/>
                <w:sz w:val="18"/>
                <w:szCs w:val="18"/>
                <w:lang w:val="es-CO" w:eastAsia="es-CO"/>
              </w:rPr>
            </w:pPr>
          </w:p>
        </w:tc>
        <w:tc>
          <w:tcPr>
            <w:tcW w:w="2835" w:type="dxa"/>
            <w:tcBorders>
              <w:top w:val="nil"/>
              <w:left w:val="dashSmallGap" w:sz="4" w:space="0" w:color="A6A6A6" w:themeColor="background1" w:themeShade="A6"/>
              <w:bottom w:val="single" w:sz="4" w:space="0" w:color="D9D9D9"/>
              <w:right w:val="dashSmallGap" w:sz="4" w:space="0" w:color="A6A6A6" w:themeColor="background1" w:themeShade="A6"/>
            </w:tcBorders>
            <w:vAlign w:val="center"/>
            <w:hideMark/>
          </w:tcPr>
          <w:p w:rsidR="008A34B5" w:rsidRPr="00A21B5C" w:rsidRDefault="008A34B5" w:rsidP="00A21B5C">
            <w:pPr>
              <w:contextualSpacing/>
              <w:jc w:val="both"/>
              <w:rPr>
                <w:rFonts w:ascii="Arial" w:eastAsia="Times New Roman" w:hAnsi="Arial" w:cs="Arial"/>
                <w:color w:val="000000"/>
                <w:sz w:val="16"/>
                <w:szCs w:val="18"/>
                <w:lang w:val="es-CO" w:eastAsia="es-CO"/>
              </w:rPr>
            </w:pPr>
            <w:r w:rsidRPr="00A21B5C">
              <w:rPr>
                <w:rFonts w:ascii="Arial" w:eastAsia="Times New Roman" w:hAnsi="Arial" w:cs="Arial"/>
                <w:color w:val="000000"/>
                <w:sz w:val="16"/>
                <w:szCs w:val="18"/>
                <w:lang w:val="es-CO" w:eastAsia="es-CO"/>
              </w:rPr>
              <w:t xml:space="preserve">Pago de levantamiento topográfico, diseño de planos, estudios de títulos, realización de avalúos, notariado y registro de predios y mejoras para saneamiento y ampliación del </w:t>
            </w:r>
            <w:r w:rsidRPr="00A21B5C">
              <w:rPr>
                <w:rFonts w:ascii="Arial" w:eastAsia="Times New Roman" w:hAnsi="Arial" w:cs="Arial"/>
                <w:color w:val="000000"/>
                <w:sz w:val="16"/>
                <w:szCs w:val="18"/>
                <w:lang w:val="es-CO" w:eastAsia="es-CO"/>
              </w:rPr>
              <w:lastRenderedPageBreak/>
              <w:t>Resguardo Kogui-Malayo-Arhuaco (Kogui)</w:t>
            </w:r>
          </w:p>
        </w:tc>
        <w:tc>
          <w:tcPr>
            <w:tcW w:w="2835" w:type="dxa"/>
            <w:tcBorders>
              <w:top w:val="nil"/>
              <w:left w:val="dashSmallGap" w:sz="4" w:space="0" w:color="A6A6A6" w:themeColor="background1" w:themeShade="A6"/>
              <w:bottom w:val="single" w:sz="4" w:space="0" w:color="D9D9D9"/>
              <w:right w:val="single" w:sz="4" w:space="0" w:color="000000" w:themeColor="text1"/>
            </w:tcBorders>
            <w:vAlign w:val="center"/>
            <w:hideMark/>
          </w:tcPr>
          <w:p w:rsidR="008A34B5" w:rsidRPr="00A21B5C" w:rsidRDefault="008A34B5" w:rsidP="00A21B5C">
            <w:pPr>
              <w:contextualSpacing/>
              <w:jc w:val="both"/>
              <w:rPr>
                <w:rFonts w:ascii="Arial" w:eastAsia="Times New Roman" w:hAnsi="Arial" w:cs="Arial"/>
                <w:color w:val="000000"/>
                <w:sz w:val="16"/>
                <w:szCs w:val="18"/>
                <w:lang w:val="es-CO" w:eastAsia="es-CO"/>
              </w:rPr>
            </w:pPr>
            <w:r w:rsidRPr="00A21B5C">
              <w:rPr>
                <w:rFonts w:ascii="Arial" w:eastAsia="Times New Roman" w:hAnsi="Arial" w:cs="Arial"/>
                <w:color w:val="000000"/>
                <w:sz w:val="16"/>
                <w:szCs w:val="18"/>
                <w:lang w:val="es-CO" w:eastAsia="es-CO"/>
              </w:rPr>
              <w:lastRenderedPageBreak/>
              <w:t xml:space="preserve">Pago de levantamiento topográfico, diseño de planos, estudios de títulos, realización de avalúos, notariado y registro de predios y mejoras para saneamiento y ampliación del </w:t>
            </w:r>
            <w:r w:rsidRPr="00A21B5C">
              <w:rPr>
                <w:rFonts w:ascii="Arial" w:eastAsia="Times New Roman" w:hAnsi="Arial" w:cs="Arial"/>
                <w:color w:val="000000"/>
                <w:sz w:val="16"/>
                <w:szCs w:val="18"/>
                <w:lang w:val="es-CO" w:eastAsia="es-CO"/>
              </w:rPr>
              <w:lastRenderedPageBreak/>
              <w:t>Resguardo Kogui-Malayo-Arhuaco (Kogui)</w:t>
            </w:r>
          </w:p>
        </w:tc>
        <w:tc>
          <w:tcPr>
            <w:tcW w:w="2835" w:type="dxa"/>
            <w:tcBorders>
              <w:top w:val="nil"/>
              <w:left w:val="dashSmallGap" w:sz="4" w:space="0" w:color="A6A6A6" w:themeColor="background1" w:themeShade="A6"/>
              <w:bottom w:val="single" w:sz="4" w:space="0" w:color="D9D9D9"/>
              <w:right w:val="single" w:sz="4" w:space="0" w:color="000000" w:themeColor="text1"/>
            </w:tcBorders>
            <w:vAlign w:val="center"/>
          </w:tcPr>
          <w:p w:rsidR="008A34B5" w:rsidRPr="00A21B5C" w:rsidRDefault="008A34B5" w:rsidP="00A21B5C">
            <w:pPr>
              <w:contextualSpacing/>
              <w:jc w:val="both"/>
              <w:rPr>
                <w:rFonts w:ascii="Arial" w:eastAsia="Times New Roman" w:hAnsi="Arial" w:cs="Arial"/>
                <w:color w:val="000000"/>
                <w:sz w:val="16"/>
                <w:szCs w:val="18"/>
                <w:lang w:val="es-CO" w:eastAsia="es-CO"/>
              </w:rPr>
            </w:pPr>
            <w:r w:rsidRPr="00A21B5C">
              <w:rPr>
                <w:rFonts w:ascii="Arial" w:eastAsia="Times New Roman" w:hAnsi="Arial" w:cs="Arial"/>
                <w:color w:val="000000"/>
                <w:sz w:val="16"/>
                <w:szCs w:val="18"/>
                <w:lang w:val="es-CO" w:eastAsia="es-CO"/>
              </w:rPr>
              <w:lastRenderedPageBreak/>
              <w:t xml:space="preserve">Pago de levantamiento topográfico, diseño de planos, estudios de títulos, realización de avalúos, notariado y registro de predios y mejoras para </w:t>
            </w:r>
            <w:r w:rsidRPr="00A21B5C">
              <w:rPr>
                <w:rFonts w:ascii="Arial" w:eastAsia="Times New Roman" w:hAnsi="Arial" w:cs="Arial"/>
                <w:color w:val="000000"/>
                <w:sz w:val="16"/>
                <w:szCs w:val="18"/>
                <w:lang w:val="es-CO" w:eastAsia="es-CO"/>
              </w:rPr>
              <w:lastRenderedPageBreak/>
              <w:t>saneamiento y ampliación del Resguardo Kogui-Malayo-Arhuaco (Kogui)</w:t>
            </w:r>
          </w:p>
        </w:tc>
      </w:tr>
      <w:tr w:rsidR="00EE5BCC" w:rsidRPr="00A21B5C" w:rsidTr="00DC14B4">
        <w:trPr>
          <w:trHeight w:val="553"/>
        </w:trPr>
        <w:tc>
          <w:tcPr>
            <w:tcW w:w="1608" w:type="dxa"/>
            <w:vMerge/>
            <w:tcBorders>
              <w:left w:val="single" w:sz="4" w:space="0" w:color="000000"/>
              <w:right w:val="dashSmallGap" w:sz="4" w:space="0" w:color="A6A6A6" w:themeColor="background1" w:themeShade="A6"/>
            </w:tcBorders>
            <w:vAlign w:val="center"/>
            <w:hideMark/>
          </w:tcPr>
          <w:p w:rsidR="008A34B5" w:rsidRPr="00A21B5C" w:rsidRDefault="008A34B5" w:rsidP="00A21B5C">
            <w:pPr>
              <w:contextualSpacing/>
              <w:rPr>
                <w:rFonts w:ascii="Arial" w:eastAsia="Times New Roman" w:hAnsi="Arial" w:cs="Arial"/>
                <w:b/>
                <w:bCs/>
                <w:color w:val="000000"/>
                <w:sz w:val="18"/>
                <w:szCs w:val="18"/>
                <w:lang w:val="es-CO" w:eastAsia="es-CO"/>
              </w:rPr>
            </w:pPr>
          </w:p>
        </w:tc>
        <w:tc>
          <w:tcPr>
            <w:tcW w:w="2835" w:type="dxa"/>
            <w:tcBorders>
              <w:top w:val="nil"/>
              <w:left w:val="dashSmallGap" w:sz="4" w:space="0" w:color="A6A6A6" w:themeColor="background1" w:themeShade="A6"/>
              <w:bottom w:val="single" w:sz="4" w:space="0" w:color="D9D9D9"/>
              <w:right w:val="dashSmallGap" w:sz="4" w:space="0" w:color="A6A6A6" w:themeColor="background1" w:themeShade="A6"/>
            </w:tcBorders>
            <w:vAlign w:val="center"/>
          </w:tcPr>
          <w:p w:rsidR="008A34B5" w:rsidRPr="00A21B5C" w:rsidRDefault="008A34B5" w:rsidP="00A21B5C">
            <w:pPr>
              <w:contextualSpacing/>
              <w:jc w:val="both"/>
              <w:rPr>
                <w:rFonts w:ascii="Arial" w:eastAsia="Times New Roman" w:hAnsi="Arial" w:cs="Arial"/>
                <w:color w:val="000000"/>
                <w:sz w:val="16"/>
                <w:szCs w:val="18"/>
                <w:lang w:val="es-CO" w:eastAsia="es-CO"/>
              </w:rPr>
            </w:pPr>
            <w:r w:rsidRPr="00A21B5C">
              <w:rPr>
                <w:rFonts w:ascii="Arial" w:eastAsia="Times New Roman" w:hAnsi="Arial" w:cs="Arial"/>
                <w:color w:val="000000"/>
                <w:sz w:val="16"/>
                <w:szCs w:val="18"/>
                <w:lang w:val="es-CO" w:eastAsia="es-CO"/>
              </w:rPr>
              <w:t>Compra de ganado bovino para fortalecer la soberanía alimentaria. (Wiwa)</w:t>
            </w:r>
          </w:p>
        </w:tc>
        <w:tc>
          <w:tcPr>
            <w:tcW w:w="2835" w:type="dxa"/>
            <w:tcBorders>
              <w:top w:val="nil"/>
              <w:left w:val="dashSmallGap" w:sz="4" w:space="0" w:color="A6A6A6" w:themeColor="background1" w:themeShade="A6"/>
              <w:bottom w:val="nil"/>
              <w:right w:val="single" w:sz="4" w:space="0" w:color="000000" w:themeColor="text1"/>
            </w:tcBorders>
            <w:vAlign w:val="center"/>
            <w:hideMark/>
          </w:tcPr>
          <w:p w:rsidR="008A34B5" w:rsidRPr="00A21B5C" w:rsidRDefault="008A34B5" w:rsidP="00A21B5C">
            <w:pPr>
              <w:contextualSpacing/>
              <w:jc w:val="both"/>
              <w:rPr>
                <w:rFonts w:ascii="Arial" w:eastAsia="Times New Roman" w:hAnsi="Arial" w:cs="Arial"/>
                <w:color w:val="000000"/>
                <w:sz w:val="16"/>
                <w:szCs w:val="18"/>
                <w:lang w:val="es-CO" w:eastAsia="es-CO"/>
              </w:rPr>
            </w:pPr>
            <w:r w:rsidRPr="00A21B5C">
              <w:rPr>
                <w:rFonts w:ascii="Arial" w:eastAsia="Times New Roman" w:hAnsi="Arial" w:cs="Arial"/>
                <w:color w:val="000000"/>
                <w:sz w:val="16"/>
                <w:szCs w:val="18"/>
                <w:lang w:val="es-CO" w:eastAsia="es-CO"/>
              </w:rPr>
              <w:t xml:space="preserve">Compra de ganado bovino para fortalecer la soberanía alimentaria. (Wiwa) </w:t>
            </w:r>
          </w:p>
        </w:tc>
        <w:tc>
          <w:tcPr>
            <w:tcW w:w="2835" w:type="dxa"/>
            <w:tcBorders>
              <w:top w:val="nil"/>
              <w:left w:val="dashSmallGap" w:sz="4" w:space="0" w:color="A6A6A6" w:themeColor="background1" w:themeShade="A6"/>
              <w:bottom w:val="nil"/>
              <w:right w:val="single" w:sz="4" w:space="0" w:color="000000" w:themeColor="text1"/>
            </w:tcBorders>
            <w:vAlign w:val="center"/>
          </w:tcPr>
          <w:p w:rsidR="008A34B5" w:rsidRPr="00A21B5C" w:rsidDel="00B41949" w:rsidRDefault="008A34B5" w:rsidP="00A21B5C">
            <w:pPr>
              <w:contextualSpacing/>
              <w:jc w:val="both"/>
              <w:rPr>
                <w:rFonts w:ascii="Arial" w:eastAsia="Times New Roman" w:hAnsi="Arial" w:cs="Arial"/>
                <w:color w:val="000000"/>
                <w:sz w:val="16"/>
                <w:szCs w:val="18"/>
                <w:lang w:val="es-CO" w:eastAsia="es-CO"/>
              </w:rPr>
            </w:pPr>
          </w:p>
        </w:tc>
      </w:tr>
      <w:tr w:rsidR="00EE5BCC" w:rsidRPr="00A21B5C" w:rsidTr="00DC14B4">
        <w:trPr>
          <w:trHeight w:val="561"/>
        </w:trPr>
        <w:tc>
          <w:tcPr>
            <w:tcW w:w="1608" w:type="dxa"/>
            <w:vMerge/>
            <w:tcBorders>
              <w:left w:val="single" w:sz="4" w:space="0" w:color="000000"/>
              <w:right w:val="dashSmallGap" w:sz="4" w:space="0" w:color="A6A6A6" w:themeColor="background1" w:themeShade="A6"/>
            </w:tcBorders>
            <w:vAlign w:val="center"/>
            <w:hideMark/>
          </w:tcPr>
          <w:p w:rsidR="008A34B5" w:rsidRPr="00A21B5C" w:rsidRDefault="008A34B5" w:rsidP="00A21B5C">
            <w:pPr>
              <w:contextualSpacing/>
              <w:rPr>
                <w:rFonts w:ascii="Arial" w:eastAsia="Times New Roman" w:hAnsi="Arial" w:cs="Arial"/>
                <w:b/>
                <w:bCs/>
                <w:color w:val="000000"/>
                <w:sz w:val="18"/>
                <w:szCs w:val="18"/>
                <w:lang w:val="es-CO" w:eastAsia="es-CO"/>
              </w:rPr>
            </w:pPr>
          </w:p>
        </w:tc>
        <w:tc>
          <w:tcPr>
            <w:tcW w:w="2835" w:type="dxa"/>
            <w:tcBorders>
              <w:top w:val="nil"/>
              <w:left w:val="dashSmallGap" w:sz="4" w:space="0" w:color="A6A6A6" w:themeColor="background1" w:themeShade="A6"/>
              <w:bottom w:val="dashSmallGap" w:sz="4" w:space="0" w:color="BFBFBF" w:themeColor="background1" w:themeShade="BF"/>
              <w:right w:val="dashSmallGap" w:sz="4" w:space="0" w:color="A6A6A6" w:themeColor="background1" w:themeShade="A6"/>
            </w:tcBorders>
            <w:vAlign w:val="center"/>
            <w:hideMark/>
          </w:tcPr>
          <w:p w:rsidR="008A34B5" w:rsidRPr="00A21B5C" w:rsidRDefault="008A34B5" w:rsidP="00A21B5C">
            <w:pPr>
              <w:contextualSpacing/>
              <w:jc w:val="both"/>
              <w:rPr>
                <w:rFonts w:ascii="Arial" w:eastAsia="Times New Roman" w:hAnsi="Arial" w:cs="Arial"/>
                <w:color w:val="000000"/>
                <w:sz w:val="16"/>
                <w:szCs w:val="18"/>
                <w:lang w:val="es-CO" w:eastAsia="es-CO"/>
              </w:rPr>
            </w:pPr>
            <w:r w:rsidRPr="00A21B5C">
              <w:rPr>
                <w:rFonts w:ascii="Arial" w:eastAsia="Times New Roman" w:hAnsi="Arial" w:cs="Arial"/>
                <w:color w:val="000000"/>
                <w:sz w:val="16"/>
                <w:szCs w:val="18"/>
                <w:lang w:val="es-CO" w:eastAsia="es-CO"/>
              </w:rPr>
              <w:t xml:space="preserve">Contratación de prestación de servicios generales para la </w:t>
            </w:r>
            <w:r w:rsidR="00771F97" w:rsidRPr="00A21B5C">
              <w:rPr>
                <w:rFonts w:ascii="Arial" w:eastAsia="Times New Roman" w:hAnsi="Arial" w:cs="Arial"/>
                <w:color w:val="000000"/>
                <w:sz w:val="16"/>
                <w:szCs w:val="18"/>
                <w:lang w:val="es-CO" w:eastAsia="es-CO"/>
              </w:rPr>
              <w:t>C</w:t>
            </w:r>
            <w:r w:rsidRPr="00A21B5C">
              <w:rPr>
                <w:rFonts w:ascii="Arial" w:eastAsia="Times New Roman" w:hAnsi="Arial" w:cs="Arial"/>
                <w:color w:val="000000"/>
                <w:sz w:val="16"/>
                <w:szCs w:val="18"/>
                <w:lang w:val="es-CO" w:eastAsia="es-CO"/>
              </w:rPr>
              <w:t>asa Elda - Bodega y Jaba Taniswaska en Mingueo (Kogui).</w:t>
            </w:r>
          </w:p>
        </w:tc>
        <w:tc>
          <w:tcPr>
            <w:tcW w:w="2835" w:type="dxa"/>
            <w:tcBorders>
              <w:top w:val="single" w:sz="4" w:space="0" w:color="D9D9D9"/>
              <w:left w:val="dashSmallGap" w:sz="4" w:space="0" w:color="A6A6A6" w:themeColor="background1" w:themeShade="A6"/>
              <w:bottom w:val="dashSmallGap" w:sz="4" w:space="0" w:color="BFBFBF" w:themeColor="background1" w:themeShade="BF"/>
              <w:right w:val="single" w:sz="4" w:space="0" w:color="000000" w:themeColor="text1"/>
            </w:tcBorders>
            <w:vAlign w:val="center"/>
            <w:hideMark/>
          </w:tcPr>
          <w:p w:rsidR="008A34B5" w:rsidRPr="00A21B5C" w:rsidRDefault="008A34B5" w:rsidP="00A21B5C">
            <w:pPr>
              <w:contextualSpacing/>
              <w:jc w:val="both"/>
              <w:rPr>
                <w:rFonts w:ascii="Arial" w:eastAsia="Times New Roman" w:hAnsi="Arial" w:cs="Arial"/>
                <w:color w:val="000000"/>
                <w:sz w:val="16"/>
                <w:szCs w:val="18"/>
                <w:lang w:val="es-CO" w:eastAsia="es-CO"/>
              </w:rPr>
            </w:pPr>
            <w:r w:rsidRPr="00A21B5C">
              <w:rPr>
                <w:rFonts w:ascii="Arial" w:eastAsia="Times New Roman" w:hAnsi="Arial" w:cs="Arial"/>
                <w:color w:val="000000"/>
                <w:sz w:val="16"/>
                <w:szCs w:val="18"/>
                <w:lang w:val="es-CO" w:eastAsia="es-CO"/>
              </w:rPr>
              <w:t xml:space="preserve">Contratación de prestación de servicios generales para la </w:t>
            </w:r>
            <w:r w:rsidR="00771F97" w:rsidRPr="00A21B5C">
              <w:rPr>
                <w:rFonts w:ascii="Arial" w:eastAsia="Times New Roman" w:hAnsi="Arial" w:cs="Arial"/>
                <w:color w:val="000000"/>
                <w:sz w:val="16"/>
                <w:szCs w:val="18"/>
                <w:lang w:val="es-CO" w:eastAsia="es-CO"/>
              </w:rPr>
              <w:t>C</w:t>
            </w:r>
            <w:r w:rsidRPr="00A21B5C">
              <w:rPr>
                <w:rFonts w:ascii="Arial" w:eastAsia="Times New Roman" w:hAnsi="Arial" w:cs="Arial"/>
                <w:color w:val="000000"/>
                <w:sz w:val="16"/>
                <w:szCs w:val="18"/>
                <w:lang w:val="es-CO" w:eastAsia="es-CO"/>
              </w:rPr>
              <w:t>asa Elda - Bodega y Jaba Taniswaska en Mingueo. (Kogui)</w:t>
            </w:r>
          </w:p>
        </w:tc>
        <w:tc>
          <w:tcPr>
            <w:tcW w:w="2835" w:type="dxa"/>
            <w:tcBorders>
              <w:top w:val="single" w:sz="4" w:space="0" w:color="D9D9D9"/>
              <w:left w:val="dashSmallGap" w:sz="4" w:space="0" w:color="A6A6A6" w:themeColor="background1" w:themeShade="A6"/>
              <w:bottom w:val="dashSmallGap" w:sz="4" w:space="0" w:color="BFBFBF" w:themeColor="background1" w:themeShade="BF"/>
              <w:right w:val="single" w:sz="4" w:space="0" w:color="000000" w:themeColor="text1"/>
            </w:tcBorders>
            <w:vAlign w:val="center"/>
          </w:tcPr>
          <w:p w:rsidR="008A34B5" w:rsidRPr="00A21B5C" w:rsidRDefault="008A34B5" w:rsidP="00A21B5C">
            <w:pPr>
              <w:contextualSpacing/>
              <w:jc w:val="both"/>
              <w:rPr>
                <w:rFonts w:ascii="Arial" w:eastAsia="Times New Roman" w:hAnsi="Arial" w:cs="Arial"/>
                <w:color w:val="000000"/>
                <w:sz w:val="16"/>
                <w:szCs w:val="18"/>
                <w:lang w:val="es-CO" w:eastAsia="es-CO"/>
              </w:rPr>
            </w:pPr>
            <w:r w:rsidRPr="00A21B5C">
              <w:rPr>
                <w:rFonts w:ascii="Arial" w:eastAsia="Times New Roman" w:hAnsi="Arial" w:cs="Arial"/>
                <w:color w:val="000000"/>
                <w:sz w:val="16"/>
                <w:szCs w:val="18"/>
                <w:lang w:val="es-CO" w:eastAsia="es-CO"/>
              </w:rPr>
              <w:t xml:space="preserve">Contratación de </w:t>
            </w:r>
            <w:r w:rsidR="004E1369" w:rsidRPr="00A21B5C">
              <w:rPr>
                <w:rFonts w:ascii="Arial" w:eastAsia="Times New Roman" w:hAnsi="Arial" w:cs="Arial"/>
                <w:color w:val="000000"/>
                <w:sz w:val="16"/>
                <w:szCs w:val="18"/>
                <w:lang w:val="es-CO" w:eastAsia="es-CO"/>
              </w:rPr>
              <w:t xml:space="preserve">prestación de servicios generales </w:t>
            </w:r>
            <w:r w:rsidRPr="00A21B5C">
              <w:rPr>
                <w:rFonts w:ascii="Arial" w:eastAsia="Times New Roman" w:hAnsi="Arial" w:cs="Arial"/>
                <w:color w:val="000000"/>
                <w:sz w:val="16"/>
                <w:szCs w:val="18"/>
                <w:lang w:val="es-CO" w:eastAsia="es-CO"/>
              </w:rPr>
              <w:t xml:space="preserve">para la </w:t>
            </w:r>
            <w:r w:rsidR="00771F97" w:rsidRPr="00A21B5C">
              <w:rPr>
                <w:rFonts w:ascii="Arial" w:eastAsia="Times New Roman" w:hAnsi="Arial" w:cs="Arial"/>
                <w:color w:val="000000"/>
                <w:sz w:val="16"/>
                <w:szCs w:val="18"/>
                <w:lang w:val="es-CO" w:eastAsia="es-CO"/>
              </w:rPr>
              <w:t>C</w:t>
            </w:r>
            <w:r w:rsidRPr="00A21B5C">
              <w:rPr>
                <w:rFonts w:ascii="Arial" w:eastAsia="Times New Roman" w:hAnsi="Arial" w:cs="Arial"/>
                <w:color w:val="000000"/>
                <w:sz w:val="16"/>
                <w:szCs w:val="18"/>
                <w:lang w:val="es-CO" w:eastAsia="es-CO"/>
              </w:rPr>
              <w:t>asa Elda - Bodega y Jaba Taniswaska en Mingueo. (Kogui)</w:t>
            </w:r>
          </w:p>
        </w:tc>
      </w:tr>
      <w:tr w:rsidR="00485382" w:rsidRPr="00A21B5C" w:rsidTr="00DC14B4">
        <w:trPr>
          <w:trHeight w:val="561"/>
        </w:trPr>
        <w:tc>
          <w:tcPr>
            <w:tcW w:w="1608" w:type="dxa"/>
            <w:vMerge/>
            <w:tcBorders>
              <w:left w:val="single" w:sz="4" w:space="0" w:color="000000"/>
              <w:right w:val="dashSmallGap" w:sz="4" w:space="0" w:color="A6A6A6" w:themeColor="background1" w:themeShade="A6"/>
            </w:tcBorders>
            <w:vAlign w:val="center"/>
          </w:tcPr>
          <w:p w:rsidR="008A34B5" w:rsidRPr="00A21B5C" w:rsidRDefault="008A34B5" w:rsidP="00A21B5C">
            <w:pPr>
              <w:contextualSpacing/>
              <w:rPr>
                <w:rFonts w:ascii="Arial" w:eastAsia="Times New Roman" w:hAnsi="Arial" w:cs="Arial"/>
                <w:b/>
                <w:bCs/>
                <w:color w:val="000000"/>
                <w:sz w:val="18"/>
                <w:szCs w:val="18"/>
                <w:lang w:val="es-CO" w:eastAsia="es-CO"/>
              </w:rPr>
            </w:pPr>
          </w:p>
        </w:tc>
        <w:tc>
          <w:tcPr>
            <w:tcW w:w="2835" w:type="dxa"/>
            <w:tcBorders>
              <w:top w:val="dashSmallGap" w:sz="4" w:space="0" w:color="BFBFBF" w:themeColor="background1" w:themeShade="BF"/>
              <w:left w:val="dashSmallGap" w:sz="4" w:space="0" w:color="A6A6A6" w:themeColor="background1" w:themeShade="A6"/>
              <w:bottom w:val="dashSmallGap" w:sz="4" w:space="0" w:color="BFBFBF" w:themeColor="background1" w:themeShade="BF"/>
              <w:right w:val="dashSmallGap" w:sz="4" w:space="0" w:color="A6A6A6" w:themeColor="background1" w:themeShade="A6"/>
            </w:tcBorders>
            <w:vAlign w:val="center"/>
          </w:tcPr>
          <w:p w:rsidR="008A34B5" w:rsidRPr="00A21B5C" w:rsidRDefault="008A34B5" w:rsidP="00A21B5C">
            <w:pPr>
              <w:contextualSpacing/>
              <w:jc w:val="both"/>
              <w:rPr>
                <w:rFonts w:ascii="Arial" w:eastAsia="Times New Roman" w:hAnsi="Arial" w:cs="Arial"/>
                <w:color w:val="000000"/>
                <w:sz w:val="16"/>
                <w:szCs w:val="18"/>
                <w:lang w:val="es-CO" w:eastAsia="es-CO"/>
              </w:rPr>
            </w:pPr>
            <w:r w:rsidRPr="00A21B5C">
              <w:rPr>
                <w:rFonts w:ascii="Arial" w:eastAsia="Times New Roman" w:hAnsi="Arial" w:cs="Arial"/>
                <w:color w:val="000000"/>
                <w:sz w:val="16"/>
                <w:szCs w:val="18"/>
                <w:lang w:val="es-CO" w:eastAsia="es-CO"/>
              </w:rPr>
              <w:t>Construcción de obras adicionales en dos bodegas para acopio de café e instalación de trilladora. (Kogui)</w:t>
            </w:r>
          </w:p>
        </w:tc>
        <w:tc>
          <w:tcPr>
            <w:tcW w:w="2835" w:type="dxa"/>
            <w:tcBorders>
              <w:top w:val="dashSmallGap" w:sz="4" w:space="0" w:color="BFBFBF" w:themeColor="background1" w:themeShade="BF"/>
              <w:left w:val="dashSmallGap" w:sz="4" w:space="0" w:color="A6A6A6" w:themeColor="background1" w:themeShade="A6"/>
              <w:bottom w:val="dashSmallGap" w:sz="4" w:space="0" w:color="BFBFBF" w:themeColor="background1" w:themeShade="BF"/>
              <w:right w:val="single" w:sz="4" w:space="0" w:color="000000" w:themeColor="text1"/>
            </w:tcBorders>
            <w:vAlign w:val="center"/>
          </w:tcPr>
          <w:p w:rsidR="008A34B5" w:rsidRPr="00A21B5C" w:rsidRDefault="008A34B5" w:rsidP="00A21B5C">
            <w:pPr>
              <w:contextualSpacing/>
              <w:jc w:val="both"/>
              <w:rPr>
                <w:rFonts w:ascii="Arial" w:eastAsia="Times New Roman" w:hAnsi="Arial" w:cs="Arial"/>
                <w:color w:val="000000"/>
                <w:sz w:val="16"/>
                <w:szCs w:val="18"/>
                <w:lang w:val="es-CO" w:eastAsia="es-CO"/>
              </w:rPr>
            </w:pPr>
          </w:p>
        </w:tc>
        <w:tc>
          <w:tcPr>
            <w:tcW w:w="2835" w:type="dxa"/>
            <w:tcBorders>
              <w:top w:val="dashSmallGap" w:sz="4" w:space="0" w:color="BFBFBF" w:themeColor="background1" w:themeShade="BF"/>
              <w:left w:val="dashSmallGap" w:sz="4" w:space="0" w:color="A6A6A6" w:themeColor="background1" w:themeShade="A6"/>
              <w:bottom w:val="dashSmallGap" w:sz="4" w:space="0" w:color="BFBFBF" w:themeColor="background1" w:themeShade="BF"/>
              <w:right w:val="single" w:sz="4" w:space="0" w:color="000000" w:themeColor="text1"/>
            </w:tcBorders>
            <w:vAlign w:val="center"/>
          </w:tcPr>
          <w:p w:rsidR="008A34B5" w:rsidRPr="00A21B5C" w:rsidRDefault="008A34B5" w:rsidP="00A21B5C">
            <w:pPr>
              <w:contextualSpacing/>
              <w:jc w:val="both"/>
              <w:rPr>
                <w:rFonts w:ascii="Arial" w:eastAsia="Times New Roman" w:hAnsi="Arial" w:cs="Arial"/>
                <w:color w:val="000000"/>
                <w:sz w:val="16"/>
                <w:szCs w:val="18"/>
                <w:lang w:val="es-CO" w:eastAsia="es-CO"/>
              </w:rPr>
            </w:pPr>
          </w:p>
        </w:tc>
      </w:tr>
      <w:tr w:rsidR="00EE5BCC" w:rsidRPr="00A21B5C" w:rsidTr="00DC14B4">
        <w:trPr>
          <w:trHeight w:val="561"/>
        </w:trPr>
        <w:tc>
          <w:tcPr>
            <w:tcW w:w="1608" w:type="dxa"/>
            <w:vMerge/>
            <w:tcBorders>
              <w:left w:val="single" w:sz="4" w:space="0" w:color="000000"/>
              <w:right w:val="dashSmallGap" w:sz="4" w:space="0" w:color="A6A6A6" w:themeColor="background1" w:themeShade="A6"/>
            </w:tcBorders>
            <w:vAlign w:val="center"/>
          </w:tcPr>
          <w:p w:rsidR="008A34B5" w:rsidRPr="00A21B5C" w:rsidRDefault="008A34B5" w:rsidP="00A21B5C">
            <w:pPr>
              <w:contextualSpacing/>
              <w:rPr>
                <w:rFonts w:ascii="Arial" w:eastAsia="Times New Roman" w:hAnsi="Arial" w:cs="Arial"/>
                <w:b/>
                <w:bCs/>
                <w:color w:val="000000"/>
                <w:sz w:val="18"/>
                <w:szCs w:val="18"/>
                <w:lang w:val="es-CO" w:eastAsia="es-CO"/>
              </w:rPr>
            </w:pPr>
          </w:p>
        </w:tc>
        <w:tc>
          <w:tcPr>
            <w:tcW w:w="2835" w:type="dxa"/>
            <w:tcBorders>
              <w:top w:val="dashSmallGap" w:sz="4" w:space="0" w:color="BFBFBF" w:themeColor="background1" w:themeShade="BF"/>
              <w:left w:val="dashSmallGap" w:sz="4" w:space="0" w:color="A6A6A6" w:themeColor="background1" w:themeShade="A6"/>
              <w:bottom w:val="single" w:sz="4" w:space="0" w:color="000000"/>
              <w:right w:val="dashSmallGap" w:sz="4" w:space="0" w:color="A6A6A6" w:themeColor="background1" w:themeShade="A6"/>
            </w:tcBorders>
            <w:vAlign w:val="center"/>
          </w:tcPr>
          <w:p w:rsidR="008A34B5" w:rsidRPr="00A21B5C" w:rsidRDefault="00C60907" w:rsidP="00A21B5C">
            <w:pPr>
              <w:contextualSpacing/>
              <w:jc w:val="both"/>
              <w:rPr>
                <w:rFonts w:ascii="Arial" w:eastAsia="Times New Roman" w:hAnsi="Arial" w:cs="Arial"/>
                <w:color w:val="000000"/>
                <w:sz w:val="16"/>
                <w:szCs w:val="18"/>
                <w:lang w:val="es-CO" w:eastAsia="es-CO"/>
              </w:rPr>
            </w:pPr>
            <w:r w:rsidRPr="00A21B5C">
              <w:rPr>
                <w:rFonts w:ascii="Arial" w:eastAsia="Times New Roman" w:hAnsi="Arial" w:cs="Arial"/>
                <w:color w:val="000000"/>
                <w:sz w:val="16"/>
                <w:szCs w:val="18"/>
                <w:lang w:val="es-CO" w:eastAsia="es-CO"/>
              </w:rPr>
              <w:t>Construcción</w:t>
            </w:r>
            <w:r w:rsidR="008A34B5" w:rsidRPr="00A21B5C">
              <w:rPr>
                <w:rFonts w:ascii="Arial" w:eastAsia="Times New Roman" w:hAnsi="Arial" w:cs="Arial"/>
                <w:color w:val="000000"/>
                <w:sz w:val="16"/>
                <w:szCs w:val="18"/>
                <w:lang w:val="es-CO" w:eastAsia="es-CO"/>
              </w:rPr>
              <w:t xml:space="preserve"> de obras adicionales en oficinas para funcionamiento del programa de desarrollo económico. (Kogui)</w:t>
            </w:r>
          </w:p>
        </w:tc>
        <w:tc>
          <w:tcPr>
            <w:tcW w:w="2835" w:type="dxa"/>
            <w:tcBorders>
              <w:top w:val="dashSmallGap" w:sz="4" w:space="0" w:color="BFBFBF" w:themeColor="background1" w:themeShade="BF"/>
              <w:left w:val="dashSmallGap" w:sz="4" w:space="0" w:color="A6A6A6" w:themeColor="background1" w:themeShade="A6"/>
              <w:bottom w:val="single" w:sz="4" w:space="0" w:color="000000"/>
              <w:right w:val="single" w:sz="4" w:space="0" w:color="000000" w:themeColor="text1"/>
            </w:tcBorders>
            <w:vAlign w:val="center"/>
          </w:tcPr>
          <w:p w:rsidR="008A34B5" w:rsidRPr="00A21B5C" w:rsidRDefault="008A34B5" w:rsidP="00A21B5C">
            <w:pPr>
              <w:contextualSpacing/>
              <w:jc w:val="both"/>
              <w:rPr>
                <w:rFonts w:ascii="Arial" w:eastAsia="Times New Roman" w:hAnsi="Arial" w:cs="Arial"/>
                <w:color w:val="000000"/>
                <w:sz w:val="16"/>
                <w:szCs w:val="18"/>
                <w:lang w:val="es-CO" w:eastAsia="es-CO"/>
              </w:rPr>
            </w:pPr>
          </w:p>
        </w:tc>
        <w:tc>
          <w:tcPr>
            <w:tcW w:w="2835" w:type="dxa"/>
            <w:tcBorders>
              <w:top w:val="dashSmallGap" w:sz="4" w:space="0" w:color="BFBFBF" w:themeColor="background1" w:themeShade="BF"/>
              <w:left w:val="dashSmallGap" w:sz="4" w:space="0" w:color="A6A6A6" w:themeColor="background1" w:themeShade="A6"/>
              <w:bottom w:val="single" w:sz="4" w:space="0" w:color="000000"/>
              <w:right w:val="single" w:sz="4" w:space="0" w:color="000000" w:themeColor="text1"/>
            </w:tcBorders>
            <w:vAlign w:val="center"/>
          </w:tcPr>
          <w:p w:rsidR="008A34B5" w:rsidRPr="00A21B5C" w:rsidRDefault="008A34B5" w:rsidP="00A21B5C">
            <w:pPr>
              <w:contextualSpacing/>
              <w:jc w:val="both"/>
              <w:rPr>
                <w:rFonts w:ascii="Arial" w:eastAsia="Times New Roman" w:hAnsi="Arial" w:cs="Arial"/>
                <w:color w:val="000000"/>
                <w:sz w:val="16"/>
                <w:szCs w:val="18"/>
                <w:lang w:val="es-CO" w:eastAsia="es-CO"/>
              </w:rPr>
            </w:pPr>
          </w:p>
        </w:tc>
      </w:tr>
      <w:tr w:rsidR="00EE5BCC" w:rsidRPr="00A21B5C" w:rsidTr="00DC14B4">
        <w:trPr>
          <w:trHeight w:val="561"/>
        </w:trPr>
        <w:tc>
          <w:tcPr>
            <w:tcW w:w="1608" w:type="dxa"/>
            <w:vMerge/>
            <w:tcBorders>
              <w:left w:val="single" w:sz="4" w:space="0" w:color="000000"/>
              <w:bottom w:val="single" w:sz="4" w:space="0" w:color="000000"/>
              <w:right w:val="dashSmallGap" w:sz="4" w:space="0" w:color="A6A6A6" w:themeColor="background1" w:themeShade="A6"/>
            </w:tcBorders>
            <w:vAlign w:val="center"/>
          </w:tcPr>
          <w:p w:rsidR="008A34B5" w:rsidRPr="00A21B5C" w:rsidRDefault="008A34B5" w:rsidP="00A21B5C">
            <w:pPr>
              <w:contextualSpacing/>
              <w:rPr>
                <w:rFonts w:ascii="Arial" w:eastAsia="Times New Roman" w:hAnsi="Arial" w:cs="Arial"/>
                <w:b/>
                <w:bCs/>
                <w:color w:val="000000"/>
                <w:sz w:val="18"/>
                <w:szCs w:val="18"/>
                <w:lang w:val="es-CO" w:eastAsia="es-CO"/>
              </w:rPr>
            </w:pPr>
          </w:p>
        </w:tc>
        <w:tc>
          <w:tcPr>
            <w:tcW w:w="2835" w:type="dxa"/>
            <w:tcBorders>
              <w:top w:val="dashSmallGap" w:sz="4" w:space="0" w:color="BFBFBF" w:themeColor="background1" w:themeShade="BF"/>
              <w:left w:val="dashSmallGap" w:sz="4" w:space="0" w:color="A6A6A6" w:themeColor="background1" w:themeShade="A6"/>
              <w:bottom w:val="single" w:sz="4" w:space="0" w:color="000000"/>
              <w:right w:val="dashSmallGap" w:sz="4" w:space="0" w:color="A6A6A6" w:themeColor="background1" w:themeShade="A6"/>
            </w:tcBorders>
            <w:vAlign w:val="center"/>
          </w:tcPr>
          <w:p w:rsidR="008A34B5" w:rsidRPr="00A21B5C" w:rsidRDefault="008A34B5" w:rsidP="00A21B5C">
            <w:pPr>
              <w:contextualSpacing/>
              <w:jc w:val="both"/>
              <w:rPr>
                <w:rFonts w:ascii="Arial" w:eastAsia="Times New Roman" w:hAnsi="Arial" w:cs="Arial"/>
                <w:color w:val="000000"/>
                <w:sz w:val="16"/>
                <w:szCs w:val="18"/>
                <w:lang w:val="es-CO" w:eastAsia="es-CO"/>
              </w:rPr>
            </w:pPr>
          </w:p>
        </w:tc>
        <w:tc>
          <w:tcPr>
            <w:tcW w:w="2835" w:type="dxa"/>
            <w:tcBorders>
              <w:top w:val="dashSmallGap" w:sz="4" w:space="0" w:color="BFBFBF" w:themeColor="background1" w:themeShade="BF"/>
              <w:left w:val="dashSmallGap" w:sz="4" w:space="0" w:color="A6A6A6" w:themeColor="background1" w:themeShade="A6"/>
              <w:bottom w:val="single" w:sz="4" w:space="0" w:color="000000"/>
              <w:right w:val="single" w:sz="4" w:space="0" w:color="000000" w:themeColor="text1"/>
            </w:tcBorders>
            <w:vAlign w:val="center"/>
          </w:tcPr>
          <w:p w:rsidR="008A34B5" w:rsidRPr="00A21B5C" w:rsidRDefault="008A34B5" w:rsidP="00A21B5C">
            <w:pPr>
              <w:contextualSpacing/>
              <w:jc w:val="both"/>
              <w:rPr>
                <w:rFonts w:ascii="Arial" w:eastAsia="Times New Roman" w:hAnsi="Arial" w:cs="Arial"/>
                <w:color w:val="000000"/>
                <w:sz w:val="16"/>
                <w:szCs w:val="18"/>
                <w:lang w:val="es-CO" w:eastAsia="es-CO"/>
              </w:rPr>
            </w:pPr>
          </w:p>
        </w:tc>
        <w:tc>
          <w:tcPr>
            <w:tcW w:w="2835" w:type="dxa"/>
            <w:tcBorders>
              <w:top w:val="dashSmallGap" w:sz="4" w:space="0" w:color="BFBFBF" w:themeColor="background1" w:themeShade="BF"/>
              <w:left w:val="dashSmallGap" w:sz="4" w:space="0" w:color="A6A6A6" w:themeColor="background1" w:themeShade="A6"/>
              <w:bottom w:val="single" w:sz="4" w:space="0" w:color="000000"/>
              <w:right w:val="single" w:sz="4" w:space="0" w:color="000000" w:themeColor="text1"/>
            </w:tcBorders>
            <w:vAlign w:val="center"/>
          </w:tcPr>
          <w:p w:rsidR="008A34B5" w:rsidRPr="00A21B5C" w:rsidRDefault="00C60907" w:rsidP="00A21B5C">
            <w:pPr>
              <w:contextualSpacing/>
              <w:jc w:val="both"/>
              <w:rPr>
                <w:rFonts w:ascii="Arial" w:eastAsia="Times New Roman" w:hAnsi="Arial" w:cs="Arial"/>
                <w:color w:val="000000"/>
                <w:sz w:val="16"/>
                <w:szCs w:val="18"/>
                <w:lang w:val="es-CO" w:eastAsia="es-CO"/>
              </w:rPr>
            </w:pPr>
            <w:r w:rsidRPr="00A21B5C">
              <w:rPr>
                <w:rFonts w:ascii="Arial" w:eastAsia="Times New Roman" w:hAnsi="Arial" w:cs="Arial"/>
                <w:color w:val="000000"/>
                <w:sz w:val="16"/>
                <w:szCs w:val="18"/>
                <w:lang w:val="es-CO" w:eastAsia="es-CO"/>
              </w:rPr>
              <w:t>Recuperación, conservación, protección y/o fortalecimiento de las condiciones ambientales y productivas. (Arhuaco)</w:t>
            </w:r>
          </w:p>
        </w:tc>
      </w:tr>
      <w:tr w:rsidR="004208C6" w:rsidRPr="00A21B5C" w:rsidTr="00DC14B4">
        <w:trPr>
          <w:trHeight w:val="1122"/>
        </w:trPr>
        <w:tc>
          <w:tcPr>
            <w:tcW w:w="1608" w:type="dxa"/>
            <w:vMerge w:val="restart"/>
            <w:tcBorders>
              <w:top w:val="single" w:sz="4" w:space="0" w:color="000000"/>
              <w:left w:val="single" w:sz="4" w:space="0" w:color="000000"/>
              <w:right w:val="dashSmallGap" w:sz="4" w:space="0" w:color="A6A6A6" w:themeColor="background1" w:themeShade="A6"/>
            </w:tcBorders>
            <w:shd w:val="clear" w:color="auto" w:fill="D9E1F2"/>
            <w:vAlign w:val="center"/>
            <w:hideMark/>
          </w:tcPr>
          <w:p w:rsidR="00942607" w:rsidRPr="00A21B5C" w:rsidRDefault="00942607" w:rsidP="00A21B5C">
            <w:pPr>
              <w:contextualSpacing/>
              <w:jc w:val="center"/>
              <w:rPr>
                <w:rFonts w:ascii="Arial" w:eastAsia="Times New Roman" w:hAnsi="Arial" w:cs="Arial"/>
                <w:b/>
                <w:bCs/>
                <w:color w:val="000000"/>
                <w:sz w:val="18"/>
                <w:szCs w:val="18"/>
                <w:lang w:val="es-CO" w:eastAsia="es-CO"/>
              </w:rPr>
            </w:pPr>
            <w:r w:rsidRPr="00A21B5C">
              <w:rPr>
                <w:rFonts w:ascii="Arial" w:eastAsia="Times New Roman" w:hAnsi="Arial" w:cs="Arial"/>
                <w:b/>
                <w:bCs/>
                <w:color w:val="000000"/>
                <w:sz w:val="18"/>
                <w:szCs w:val="18"/>
                <w:lang w:val="es-CO" w:eastAsia="es-CO"/>
              </w:rPr>
              <w:t>SALUD</w:t>
            </w:r>
          </w:p>
        </w:tc>
        <w:tc>
          <w:tcPr>
            <w:tcW w:w="2835" w:type="dxa"/>
            <w:tcBorders>
              <w:top w:val="single" w:sz="4" w:space="0" w:color="000000"/>
              <w:left w:val="dashSmallGap" w:sz="4" w:space="0" w:color="A6A6A6" w:themeColor="background1" w:themeShade="A6"/>
              <w:bottom w:val="single" w:sz="4" w:space="0" w:color="BFBFBF" w:themeColor="background1" w:themeShade="BF"/>
              <w:right w:val="dashSmallGap" w:sz="4" w:space="0" w:color="A6A6A6" w:themeColor="background1" w:themeShade="A6"/>
            </w:tcBorders>
            <w:vAlign w:val="center"/>
            <w:hideMark/>
          </w:tcPr>
          <w:p w:rsidR="00942607" w:rsidRPr="00A21B5C" w:rsidRDefault="00942607" w:rsidP="00A21B5C">
            <w:pPr>
              <w:contextualSpacing/>
              <w:jc w:val="both"/>
              <w:rPr>
                <w:rFonts w:ascii="Arial" w:eastAsia="Times New Roman" w:hAnsi="Arial" w:cs="Arial"/>
                <w:color w:val="000000"/>
                <w:sz w:val="16"/>
                <w:szCs w:val="18"/>
                <w:lang w:val="es-CO" w:eastAsia="es-CO"/>
              </w:rPr>
            </w:pPr>
            <w:r w:rsidRPr="00A21B5C">
              <w:rPr>
                <w:rFonts w:ascii="Arial" w:eastAsia="Times New Roman" w:hAnsi="Arial" w:cs="Arial"/>
                <w:color w:val="000000"/>
                <w:sz w:val="16"/>
                <w:szCs w:val="18"/>
                <w:lang w:val="es-CO" w:eastAsia="es-CO"/>
              </w:rPr>
              <w:t>Fortalecimiento organizacional, administrativo y operativo para el mejoramiento de la atención en salud, mediante la adquisición de un lote de terreno para construcción de una institución de salud indígena IPSI para ampliación de la red prestacional de los servicios asistenciales. (Kogui)</w:t>
            </w:r>
          </w:p>
        </w:tc>
        <w:tc>
          <w:tcPr>
            <w:tcW w:w="2835" w:type="dxa"/>
            <w:tcBorders>
              <w:top w:val="single" w:sz="4" w:space="0" w:color="000000"/>
              <w:left w:val="dashSmallGap" w:sz="4" w:space="0" w:color="A6A6A6" w:themeColor="background1" w:themeShade="A6"/>
              <w:bottom w:val="single" w:sz="4" w:space="0" w:color="BFBFBF" w:themeColor="background1" w:themeShade="BF"/>
              <w:right w:val="single" w:sz="4" w:space="0" w:color="000000" w:themeColor="text1"/>
            </w:tcBorders>
            <w:vAlign w:val="center"/>
            <w:hideMark/>
          </w:tcPr>
          <w:p w:rsidR="00942607" w:rsidRPr="00A21B5C" w:rsidRDefault="00942607" w:rsidP="00A21B5C">
            <w:pPr>
              <w:contextualSpacing/>
              <w:jc w:val="both"/>
              <w:rPr>
                <w:rFonts w:ascii="Arial" w:eastAsia="Times New Roman" w:hAnsi="Arial" w:cs="Arial"/>
                <w:color w:val="000000"/>
                <w:sz w:val="16"/>
                <w:szCs w:val="18"/>
                <w:lang w:val="es-CO" w:eastAsia="es-CO"/>
              </w:rPr>
            </w:pPr>
            <w:r w:rsidRPr="00A21B5C">
              <w:rPr>
                <w:rFonts w:ascii="Arial" w:eastAsia="Times New Roman" w:hAnsi="Arial" w:cs="Arial"/>
                <w:color w:val="000000"/>
                <w:sz w:val="16"/>
                <w:szCs w:val="18"/>
                <w:lang w:val="es-CO" w:eastAsia="es-CO"/>
              </w:rPr>
              <w:t>Fortalecimiento organizacional, administrativo y operativo para el mejoramiento de la atención en salud, mediante la adquisición de un lote de terreno para construcción de una institución de salud indígena IPSI para ampliación de la red prestacional de los servicios asistenciales. (Kogui)</w:t>
            </w:r>
          </w:p>
        </w:tc>
        <w:tc>
          <w:tcPr>
            <w:tcW w:w="2835" w:type="dxa"/>
            <w:tcBorders>
              <w:top w:val="single" w:sz="4" w:space="0" w:color="000000"/>
              <w:left w:val="dashSmallGap" w:sz="4" w:space="0" w:color="A6A6A6" w:themeColor="background1" w:themeShade="A6"/>
              <w:bottom w:val="single" w:sz="4" w:space="0" w:color="BFBFBF" w:themeColor="background1" w:themeShade="BF"/>
              <w:right w:val="single" w:sz="4" w:space="0" w:color="000000" w:themeColor="text1"/>
            </w:tcBorders>
            <w:vAlign w:val="center"/>
          </w:tcPr>
          <w:p w:rsidR="00942607" w:rsidRPr="00A21B5C" w:rsidRDefault="00764AAA" w:rsidP="00A21B5C">
            <w:pPr>
              <w:contextualSpacing/>
              <w:jc w:val="both"/>
              <w:rPr>
                <w:rFonts w:ascii="Arial" w:eastAsia="Times New Roman" w:hAnsi="Arial" w:cs="Arial"/>
                <w:color w:val="000000"/>
                <w:sz w:val="16"/>
                <w:szCs w:val="18"/>
                <w:lang w:val="es-CO" w:eastAsia="es-CO"/>
              </w:rPr>
            </w:pPr>
            <w:r w:rsidRPr="00A21B5C">
              <w:rPr>
                <w:rFonts w:ascii="Arial" w:eastAsia="Times New Roman" w:hAnsi="Arial" w:cs="Arial"/>
                <w:color w:val="000000"/>
                <w:sz w:val="16"/>
                <w:szCs w:val="18"/>
                <w:lang w:val="es-CO" w:eastAsia="es-CO"/>
              </w:rPr>
              <w:t xml:space="preserve">Fortalecimiento organizacional, administrativo y operativo para el mejoramiento de la atención en salud, mediante la adquisición de un lote de terreno para construcción de una institución de salud indígena IPSI para ampliación de la red prestacional de los servicios asistenciales. </w:t>
            </w:r>
            <w:r w:rsidR="00942607" w:rsidRPr="00A21B5C">
              <w:rPr>
                <w:rFonts w:ascii="Arial" w:eastAsia="Times New Roman" w:hAnsi="Arial" w:cs="Arial"/>
                <w:color w:val="000000"/>
                <w:sz w:val="16"/>
                <w:szCs w:val="18"/>
                <w:lang w:val="es-CO" w:eastAsia="es-CO"/>
              </w:rPr>
              <w:t>(Kogui)</w:t>
            </w:r>
          </w:p>
        </w:tc>
      </w:tr>
      <w:tr w:rsidR="00EE5BCC" w:rsidRPr="00A21B5C" w:rsidTr="00DC14B4">
        <w:trPr>
          <w:trHeight w:val="699"/>
        </w:trPr>
        <w:tc>
          <w:tcPr>
            <w:tcW w:w="1608" w:type="dxa"/>
            <w:vMerge/>
            <w:tcBorders>
              <w:left w:val="single" w:sz="4" w:space="0" w:color="000000"/>
              <w:right w:val="dashSmallGap" w:sz="4" w:space="0" w:color="A6A6A6" w:themeColor="background1" w:themeShade="A6"/>
            </w:tcBorders>
            <w:vAlign w:val="center"/>
            <w:hideMark/>
          </w:tcPr>
          <w:p w:rsidR="00942607" w:rsidRPr="00A21B5C" w:rsidRDefault="00942607" w:rsidP="00A21B5C">
            <w:pPr>
              <w:contextualSpacing/>
              <w:rPr>
                <w:rFonts w:ascii="Arial" w:eastAsia="Times New Roman" w:hAnsi="Arial" w:cs="Arial"/>
                <w:b/>
                <w:bCs/>
                <w:color w:val="000000"/>
                <w:sz w:val="18"/>
                <w:szCs w:val="18"/>
                <w:lang w:val="es-CO" w:eastAsia="es-CO"/>
              </w:rPr>
            </w:pPr>
          </w:p>
        </w:tc>
        <w:tc>
          <w:tcPr>
            <w:tcW w:w="2835" w:type="dxa"/>
            <w:tcBorders>
              <w:top w:val="single" w:sz="4" w:space="0" w:color="BFBFBF" w:themeColor="background1" w:themeShade="BF"/>
              <w:left w:val="dashSmallGap" w:sz="4" w:space="0" w:color="A6A6A6" w:themeColor="background1" w:themeShade="A6"/>
              <w:bottom w:val="single" w:sz="4" w:space="0" w:color="D9D9D9"/>
              <w:right w:val="dashSmallGap" w:sz="4" w:space="0" w:color="A6A6A6" w:themeColor="background1" w:themeShade="A6"/>
            </w:tcBorders>
            <w:vAlign w:val="center"/>
            <w:hideMark/>
          </w:tcPr>
          <w:p w:rsidR="00942607" w:rsidRPr="00A21B5C" w:rsidRDefault="00942607" w:rsidP="00A21B5C">
            <w:pPr>
              <w:contextualSpacing/>
              <w:jc w:val="both"/>
              <w:rPr>
                <w:rFonts w:ascii="Arial" w:eastAsia="Times New Roman" w:hAnsi="Arial" w:cs="Arial"/>
                <w:color w:val="000000"/>
                <w:sz w:val="16"/>
                <w:szCs w:val="18"/>
                <w:lang w:val="es-CO" w:eastAsia="es-CO"/>
              </w:rPr>
            </w:pPr>
            <w:r w:rsidRPr="00A21B5C">
              <w:rPr>
                <w:rFonts w:ascii="Arial" w:eastAsia="Times New Roman" w:hAnsi="Arial" w:cs="Arial"/>
                <w:color w:val="000000"/>
                <w:sz w:val="16"/>
                <w:szCs w:val="18"/>
                <w:lang w:val="es-CO" w:eastAsia="es-CO"/>
              </w:rPr>
              <w:t>Compra de materiales tradicionales para el fortalecimiento del modelo de salud propio ancestral de las mujeres (zagas, sobanderas y parteras). (Kogui)</w:t>
            </w:r>
          </w:p>
        </w:tc>
        <w:tc>
          <w:tcPr>
            <w:tcW w:w="2835" w:type="dxa"/>
            <w:tcBorders>
              <w:top w:val="single" w:sz="4" w:space="0" w:color="BFBFBF" w:themeColor="background1" w:themeShade="BF"/>
              <w:left w:val="dashSmallGap" w:sz="4" w:space="0" w:color="A6A6A6" w:themeColor="background1" w:themeShade="A6"/>
              <w:bottom w:val="nil"/>
              <w:right w:val="single" w:sz="4" w:space="0" w:color="000000" w:themeColor="text1"/>
            </w:tcBorders>
            <w:vAlign w:val="center"/>
            <w:hideMark/>
          </w:tcPr>
          <w:p w:rsidR="00942607" w:rsidRPr="00A21B5C" w:rsidRDefault="00942607" w:rsidP="00A21B5C">
            <w:pPr>
              <w:contextualSpacing/>
              <w:jc w:val="both"/>
              <w:rPr>
                <w:rFonts w:ascii="Arial" w:eastAsia="Times New Roman" w:hAnsi="Arial" w:cs="Arial"/>
                <w:color w:val="000000"/>
                <w:sz w:val="16"/>
                <w:szCs w:val="18"/>
                <w:lang w:val="es-CO" w:eastAsia="es-CO"/>
              </w:rPr>
            </w:pPr>
          </w:p>
        </w:tc>
        <w:tc>
          <w:tcPr>
            <w:tcW w:w="2835" w:type="dxa"/>
            <w:tcBorders>
              <w:top w:val="single" w:sz="4" w:space="0" w:color="BFBFBF" w:themeColor="background1" w:themeShade="BF"/>
              <w:left w:val="dashSmallGap" w:sz="4" w:space="0" w:color="A6A6A6" w:themeColor="background1" w:themeShade="A6"/>
              <w:bottom w:val="nil"/>
              <w:right w:val="single" w:sz="4" w:space="0" w:color="000000" w:themeColor="text1"/>
            </w:tcBorders>
            <w:vAlign w:val="center"/>
          </w:tcPr>
          <w:p w:rsidR="00942607" w:rsidRPr="00A21B5C" w:rsidRDefault="00942607" w:rsidP="00A21B5C">
            <w:pPr>
              <w:contextualSpacing/>
              <w:jc w:val="both"/>
              <w:rPr>
                <w:rFonts w:ascii="Arial" w:eastAsia="Times New Roman" w:hAnsi="Arial" w:cs="Arial"/>
                <w:color w:val="000000"/>
                <w:sz w:val="16"/>
                <w:szCs w:val="18"/>
                <w:lang w:val="es-CO" w:eastAsia="es-CO"/>
              </w:rPr>
            </w:pPr>
          </w:p>
        </w:tc>
      </w:tr>
      <w:tr w:rsidR="00EE5BCC" w:rsidRPr="00A21B5C" w:rsidTr="00DC14B4">
        <w:trPr>
          <w:trHeight w:val="1120"/>
        </w:trPr>
        <w:tc>
          <w:tcPr>
            <w:tcW w:w="1608" w:type="dxa"/>
            <w:vMerge/>
            <w:tcBorders>
              <w:left w:val="single" w:sz="4" w:space="0" w:color="000000"/>
              <w:right w:val="dashSmallGap" w:sz="4" w:space="0" w:color="A6A6A6" w:themeColor="background1" w:themeShade="A6"/>
            </w:tcBorders>
            <w:vAlign w:val="center"/>
            <w:hideMark/>
          </w:tcPr>
          <w:p w:rsidR="00942607" w:rsidRPr="00A21B5C" w:rsidRDefault="00942607" w:rsidP="00A21B5C">
            <w:pPr>
              <w:contextualSpacing/>
              <w:rPr>
                <w:rFonts w:ascii="Arial" w:eastAsia="Times New Roman" w:hAnsi="Arial" w:cs="Arial"/>
                <w:b/>
                <w:bCs/>
                <w:color w:val="000000"/>
                <w:sz w:val="18"/>
                <w:szCs w:val="18"/>
                <w:lang w:val="es-CO" w:eastAsia="es-CO"/>
              </w:rPr>
            </w:pPr>
          </w:p>
        </w:tc>
        <w:tc>
          <w:tcPr>
            <w:tcW w:w="2835" w:type="dxa"/>
            <w:tcBorders>
              <w:top w:val="nil"/>
              <w:left w:val="dashSmallGap" w:sz="4" w:space="0" w:color="A6A6A6" w:themeColor="background1" w:themeShade="A6"/>
              <w:bottom w:val="dashSmallGap" w:sz="4" w:space="0" w:color="BFBFBF"/>
              <w:right w:val="dashSmallGap" w:sz="4" w:space="0" w:color="A6A6A6" w:themeColor="background1" w:themeShade="A6"/>
            </w:tcBorders>
            <w:vAlign w:val="center"/>
            <w:hideMark/>
          </w:tcPr>
          <w:p w:rsidR="00942607" w:rsidRPr="00A21B5C" w:rsidRDefault="00942607" w:rsidP="00A21B5C">
            <w:pPr>
              <w:contextualSpacing/>
              <w:jc w:val="both"/>
              <w:rPr>
                <w:rFonts w:ascii="Arial" w:eastAsia="Times New Roman" w:hAnsi="Arial" w:cs="Arial"/>
                <w:color w:val="000000"/>
                <w:sz w:val="16"/>
                <w:szCs w:val="18"/>
                <w:lang w:val="es-CO" w:eastAsia="es-CO"/>
              </w:rPr>
            </w:pPr>
            <w:r w:rsidRPr="00A21B5C">
              <w:rPr>
                <w:rFonts w:ascii="Arial" w:eastAsia="Times New Roman" w:hAnsi="Arial" w:cs="Arial"/>
                <w:color w:val="000000"/>
                <w:sz w:val="16"/>
                <w:szCs w:val="18"/>
                <w:lang w:val="es-CO" w:eastAsia="es-CO"/>
              </w:rPr>
              <w:t>Fortalecimiento institucional de la red de salud pública de carácter especial del Resguardo, mediante la realización de estudios para la creación de una institución prestadora de servicios de salud indígena IPSI para ampliación de la red prestacional de los servicios asistenciales. (Kogui)</w:t>
            </w:r>
          </w:p>
        </w:tc>
        <w:tc>
          <w:tcPr>
            <w:tcW w:w="2835" w:type="dxa"/>
            <w:tcBorders>
              <w:top w:val="single" w:sz="4" w:space="0" w:color="D9D9D9"/>
              <w:left w:val="dashSmallGap" w:sz="4" w:space="0" w:color="A6A6A6" w:themeColor="background1" w:themeShade="A6"/>
              <w:bottom w:val="dashSmallGap" w:sz="4" w:space="0" w:color="BFBFBF"/>
              <w:right w:val="single" w:sz="4" w:space="0" w:color="000000" w:themeColor="text1"/>
            </w:tcBorders>
            <w:vAlign w:val="center"/>
            <w:hideMark/>
          </w:tcPr>
          <w:p w:rsidR="00942607" w:rsidRPr="00A21B5C" w:rsidRDefault="00942607" w:rsidP="00A21B5C">
            <w:pPr>
              <w:contextualSpacing/>
              <w:jc w:val="both"/>
              <w:rPr>
                <w:rFonts w:ascii="Arial" w:eastAsia="Times New Roman" w:hAnsi="Arial" w:cs="Arial"/>
                <w:color w:val="000000"/>
                <w:sz w:val="16"/>
                <w:szCs w:val="18"/>
                <w:lang w:val="es-CO" w:eastAsia="es-CO"/>
              </w:rPr>
            </w:pPr>
            <w:r w:rsidRPr="00A21B5C">
              <w:rPr>
                <w:rFonts w:ascii="Arial" w:eastAsia="Times New Roman" w:hAnsi="Arial" w:cs="Arial"/>
                <w:color w:val="000000"/>
                <w:sz w:val="16"/>
                <w:szCs w:val="18"/>
                <w:lang w:val="es-CO" w:eastAsia="es-CO"/>
              </w:rPr>
              <w:t>Fortalecimiento organizacional, administrativo y operativo para el mejoramiento de la atención en salud, mediante la realización de estudios para la creación de una institución prestadora de servicios de salud indígena IPSI para ampliación de la red prestacional de los servicios asistenciales. (Kogui)</w:t>
            </w:r>
          </w:p>
        </w:tc>
        <w:tc>
          <w:tcPr>
            <w:tcW w:w="2835" w:type="dxa"/>
            <w:tcBorders>
              <w:top w:val="single" w:sz="4" w:space="0" w:color="D9D9D9"/>
              <w:left w:val="dashSmallGap" w:sz="4" w:space="0" w:color="A6A6A6" w:themeColor="background1" w:themeShade="A6"/>
              <w:bottom w:val="dashSmallGap" w:sz="4" w:space="0" w:color="BFBFBF"/>
              <w:right w:val="single" w:sz="4" w:space="0" w:color="000000" w:themeColor="text1"/>
            </w:tcBorders>
            <w:vAlign w:val="center"/>
          </w:tcPr>
          <w:p w:rsidR="00942607" w:rsidRPr="00A21B5C" w:rsidRDefault="00942607" w:rsidP="00A21B5C">
            <w:pPr>
              <w:contextualSpacing/>
              <w:jc w:val="both"/>
              <w:rPr>
                <w:rFonts w:ascii="Arial" w:eastAsia="Times New Roman" w:hAnsi="Arial" w:cs="Arial"/>
                <w:color w:val="000000"/>
                <w:sz w:val="16"/>
                <w:szCs w:val="18"/>
                <w:lang w:val="es-CO" w:eastAsia="es-CO"/>
              </w:rPr>
            </w:pPr>
            <w:r w:rsidRPr="00A21B5C">
              <w:rPr>
                <w:rFonts w:ascii="Arial" w:eastAsia="Times New Roman" w:hAnsi="Arial" w:cs="Arial"/>
                <w:color w:val="000000"/>
                <w:sz w:val="16"/>
                <w:szCs w:val="18"/>
                <w:lang w:val="es-CO" w:eastAsia="es-CO"/>
              </w:rPr>
              <w:t>Fortalecimiento organizacional, administrativo y operativo para el mejoramiento de la atención en salud, mediante la realización de estudios para la creación de una institución prestadora de servicios de salud indígena IPSI para ampliación de la red prestacional de los servicios asistenciales. (Kogui)</w:t>
            </w:r>
          </w:p>
        </w:tc>
      </w:tr>
      <w:tr w:rsidR="00EE5BCC" w:rsidRPr="00A21B5C" w:rsidTr="00DC14B4">
        <w:trPr>
          <w:trHeight w:val="755"/>
        </w:trPr>
        <w:tc>
          <w:tcPr>
            <w:tcW w:w="1608" w:type="dxa"/>
            <w:vMerge/>
            <w:tcBorders>
              <w:left w:val="single" w:sz="4" w:space="0" w:color="000000"/>
              <w:bottom w:val="single" w:sz="4" w:space="0" w:color="000000" w:themeColor="text1"/>
              <w:right w:val="dashSmallGap" w:sz="4" w:space="0" w:color="A6A6A6" w:themeColor="background1" w:themeShade="A6"/>
            </w:tcBorders>
            <w:vAlign w:val="center"/>
          </w:tcPr>
          <w:p w:rsidR="00942607" w:rsidRPr="00A21B5C" w:rsidRDefault="00942607" w:rsidP="00A21B5C">
            <w:pPr>
              <w:contextualSpacing/>
              <w:rPr>
                <w:rFonts w:ascii="Arial" w:eastAsia="Times New Roman" w:hAnsi="Arial" w:cs="Arial"/>
                <w:b/>
                <w:bCs/>
                <w:color w:val="000000"/>
                <w:sz w:val="18"/>
                <w:szCs w:val="18"/>
                <w:lang w:val="es-CO" w:eastAsia="es-CO"/>
              </w:rPr>
            </w:pPr>
          </w:p>
        </w:tc>
        <w:tc>
          <w:tcPr>
            <w:tcW w:w="2835" w:type="dxa"/>
            <w:tcBorders>
              <w:top w:val="dashSmallGap" w:sz="4" w:space="0" w:color="BFBFBF"/>
              <w:left w:val="dashSmallGap" w:sz="4" w:space="0" w:color="A6A6A6" w:themeColor="background1" w:themeShade="A6"/>
              <w:bottom w:val="single" w:sz="4" w:space="0" w:color="000000" w:themeColor="text1"/>
              <w:right w:val="dashSmallGap" w:sz="4" w:space="0" w:color="A6A6A6" w:themeColor="background1" w:themeShade="A6"/>
            </w:tcBorders>
            <w:vAlign w:val="center"/>
          </w:tcPr>
          <w:p w:rsidR="00942607" w:rsidRPr="00A21B5C" w:rsidRDefault="00942607" w:rsidP="00A21B5C">
            <w:pPr>
              <w:contextualSpacing/>
              <w:jc w:val="both"/>
              <w:rPr>
                <w:rFonts w:ascii="Arial" w:eastAsia="Times New Roman" w:hAnsi="Arial" w:cs="Arial"/>
                <w:color w:val="000000"/>
                <w:sz w:val="16"/>
                <w:szCs w:val="18"/>
                <w:lang w:val="es-CO" w:eastAsia="es-CO"/>
              </w:rPr>
            </w:pPr>
          </w:p>
        </w:tc>
        <w:tc>
          <w:tcPr>
            <w:tcW w:w="2835" w:type="dxa"/>
            <w:tcBorders>
              <w:top w:val="dashSmallGap" w:sz="4" w:space="0" w:color="BFBFBF"/>
              <w:left w:val="dashSmallGap" w:sz="4" w:space="0" w:color="A6A6A6" w:themeColor="background1" w:themeShade="A6"/>
              <w:bottom w:val="single" w:sz="4" w:space="0" w:color="000000" w:themeColor="text1"/>
              <w:right w:val="single" w:sz="4" w:space="0" w:color="000000" w:themeColor="text1"/>
            </w:tcBorders>
            <w:vAlign w:val="center"/>
          </w:tcPr>
          <w:p w:rsidR="00942607" w:rsidRPr="00A21B5C" w:rsidRDefault="00942607" w:rsidP="00A21B5C">
            <w:pPr>
              <w:contextualSpacing/>
              <w:jc w:val="both"/>
              <w:rPr>
                <w:rFonts w:ascii="Arial" w:eastAsia="Times New Roman" w:hAnsi="Arial" w:cs="Arial"/>
                <w:color w:val="000000"/>
                <w:sz w:val="16"/>
                <w:szCs w:val="18"/>
                <w:lang w:val="es-CO" w:eastAsia="es-CO"/>
              </w:rPr>
            </w:pPr>
            <w:r w:rsidRPr="00A21B5C">
              <w:rPr>
                <w:rFonts w:ascii="Arial" w:eastAsia="Times New Roman" w:hAnsi="Arial" w:cs="Arial"/>
                <w:color w:val="000000"/>
                <w:sz w:val="16"/>
                <w:szCs w:val="18"/>
                <w:lang w:val="es-CO" w:eastAsia="es-CO"/>
              </w:rPr>
              <w:t>Fortalecimiento del sistema de salud tradicional Arhuaco, a través de la dotación para el funcionamiento del puesto de salud de Ati Gúmake.</w:t>
            </w:r>
            <w:r w:rsidR="007657B4" w:rsidRPr="00A21B5C">
              <w:rPr>
                <w:rFonts w:ascii="Arial" w:eastAsia="Times New Roman" w:hAnsi="Arial" w:cs="Arial"/>
                <w:color w:val="000000"/>
                <w:sz w:val="16"/>
                <w:szCs w:val="18"/>
                <w:lang w:val="es-CO" w:eastAsia="es-CO"/>
              </w:rPr>
              <w:t xml:space="preserve"> (Arhuaco)</w:t>
            </w:r>
          </w:p>
        </w:tc>
        <w:tc>
          <w:tcPr>
            <w:tcW w:w="2835" w:type="dxa"/>
            <w:tcBorders>
              <w:top w:val="dashSmallGap" w:sz="4" w:space="0" w:color="BFBFBF"/>
              <w:left w:val="dashSmallGap" w:sz="4" w:space="0" w:color="A6A6A6" w:themeColor="background1" w:themeShade="A6"/>
              <w:bottom w:val="single" w:sz="4" w:space="0" w:color="000000" w:themeColor="text1"/>
              <w:right w:val="single" w:sz="4" w:space="0" w:color="000000" w:themeColor="text1"/>
            </w:tcBorders>
            <w:vAlign w:val="center"/>
          </w:tcPr>
          <w:p w:rsidR="00942607" w:rsidRPr="00A21B5C" w:rsidRDefault="00942607" w:rsidP="00A21B5C">
            <w:pPr>
              <w:contextualSpacing/>
              <w:jc w:val="both"/>
              <w:rPr>
                <w:rFonts w:ascii="Arial" w:eastAsia="Times New Roman" w:hAnsi="Arial" w:cs="Arial"/>
                <w:color w:val="000000"/>
                <w:sz w:val="16"/>
                <w:szCs w:val="18"/>
                <w:lang w:val="es-CO" w:eastAsia="es-CO"/>
              </w:rPr>
            </w:pPr>
          </w:p>
        </w:tc>
      </w:tr>
      <w:tr w:rsidR="004208C6" w:rsidRPr="00A21B5C" w:rsidTr="00DC14B4">
        <w:trPr>
          <w:trHeight w:val="853"/>
        </w:trPr>
        <w:tc>
          <w:tcPr>
            <w:tcW w:w="1608" w:type="dxa"/>
            <w:vMerge w:val="restart"/>
            <w:tcBorders>
              <w:top w:val="single" w:sz="4" w:space="0" w:color="000000" w:themeColor="text1"/>
              <w:left w:val="single" w:sz="4" w:space="0" w:color="000000"/>
              <w:bottom w:val="single" w:sz="4" w:space="0" w:color="000000"/>
              <w:right w:val="dashSmallGap" w:sz="4" w:space="0" w:color="A6A6A6" w:themeColor="background1" w:themeShade="A6"/>
            </w:tcBorders>
            <w:shd w:val="clear" w:color="auto" w:fill="D9E1F2"/>
            <w:vAlign w:val="center"/>
            <w:hideMark/>
          </w:tcPr>
          <w:p w:rsidR="005F1458" w:rsidRPr="00A21B5C" w:rsidRDefault="005F1458" w:rsidP="00A21B5C">
            <w:pPr>
              <w:contextualSpacing/>
              <w:jc w:val="center"/>
              <w:rPr>
                <w:rFonts w:ascii="Arial" w:eastAsia="Times New Roman" w:hAnsi="Arial" w:cs="Arial"/>
                <w:b/>
                <w:bCs/>
                <w:color w:val="000000"/>
                <w:sz w:val="18"/>
                <w:szCs w:val="18"/>
                <w:lang w:val="es-CO" w:eastAsia="es-CO"/>
              </w:rPr>
            </w:pPr>
            <w:r w:rsidRPr="00A21B5C">
              <w:rPr>
                <w:rFonts w:ascii="Arial" w:eastAsia="Times New Roman" w:hAnsi="Arial" w:cs="Arial"/>
                <w:b/>
                <w:bCs/>
                <w:color w:val="000000"/>
                <w:sz w:val="18"/>
                <w:szCs w:val="18"/>
                <w:lang w:val="es-CO" w:eastAsia="es-CO"/>
              </w:rPr>
              <w:t>EDUCACIÓN</w:t>
            </w:r>
          </w:p>
        </w:tc>
        <w:tc>
          <w:tcPr>
            <w:tcW w:w="2835" w:type="dxa"/>
            <w:tcBorders>
              <w:top w:val="single" w:sz="4" w:space="0" w:color="000000" w:themeColor="text1"/>
              <w:left w:val="dashSmallGap" w:sz="4" w:space="0" w:color="A6A6A6" w:themeColor="background1" w:themeShade="A6"/>
              <w:bottom w:val="single" w:sz="4" w:space="0" w:color="D9D9D9"/>
              <w:right w:val="dashSmallGap" w:sz="4" w:space="0" w:color="A6A6A6" w:themeColor="background1" w:themeShade="A6"/>
            </w:tcBorders>
            <w:vAlign w:val="center"/>
            <w:hideMark/>
          </w:tcPr>
          <w:p w:rsidR="005F1458" w:rsidRPr="00A21B5C" w:rsidRDefault="005F1458" w:rsidP="00A21B5C">
            <w:pPr>
              <w:contextualSpacing/>
              <w:jc w:val="both"/>
              <w:rPr>
                <w:rFonts w:ascii="Arial" w:eastAsia="Times New Roman" w:hAnsi="Arial" w:cs="Arial"/>
                <w:color w:val="000000"/>
                <w:sz w:val="16"/>
                <w:szCs w:val="18"/>
                <w:lang w:val="es-CO" w:eastAsia="es-CO"/>
              </w:rPr>
            </w:pPr>
            <w:r w:rsidRPr="00A21B5C">
              <w:rPr>
                <w:rFonts w:ascii="Arial" w:eastAsia="Times New Roman" w:hAnsi="Arial" w:cs="Arial"/>
                <w:color w:val="000000"/>
                <w:sz w:val="16"/>
                <w:szCs w:val="18"/>
                <w:lang w:val="es-CO" w:eastAsia="es-CO"/>
              </w:rPr>
              <w:t>Desarrollo de la educación propia a partir de los Mamus de la Sierra para estudiantes de básica primaria y secundaria de los establecimientos educativos</w:t>
            </w:r>
            <w:r w:rsidR="00610747" w:rsidRPr="00A21B5C">
              <w:rPr>
                <w:rFonts w:ascii="Arial" w:eastAsia="Times New Roman" w:hAnsi="Arial" w:cs="Arial"/>
                <w:color w:val="000000"/>
                <w:sz w:val="16"/>
                <w:szCs w:val="18"/>
                <w:lang w:val="es-CO" w:eastAsia="es-CO"/>
              </w:rPr>
              <w:t>. (</w:t>
            </w:r>
            <w:r w:rsidRPr="00A21B5C">
              <w:rPr>
                <w:rFonts w:ascii="Arial" w:eastAsia="Times New Roman" w:hAnsi="Arial" w:cs="Arial"/>
                <w:color w:val="000000"/>
                <w:sz w:val="16"/>
                <w:szCs w:val="18"/>
                <w:lang w:val="es-CO" w:eastAsia="es-CO"/>
              </w:rPr>
              <w:t>Kogui</w:t>
            </w:r>
            <w:r w:rsidR="00610747" w:rsidRPr="00A21B5C">
              <w:rPr>
                <w:rFonts w:ascii="Arial" w:eastAsia="Times New Roman" w:hAnsi="Arial" w:cs="Arial"/>
                <w:color w:val="000000"/>
                <w:sz w:val="16"/>
                <w:szCs w:val="18"/>
                <w:lang w:val="es-CO" w:eastAsia="es-CO"/>
              </w:rPr>
              <w:t xml:space="preserve"> y</w:t>
            </w:r>
            <w:r w:rsidRPr="00A21B5C">
              <w:rPr>
                <w:rFonts w:ascii="Arial" w:eastAsia="Times New Roman" w:hAnsi="Arial" w:cs="Arial"/>
                <w:color w:val="000000"/>
                <w:sz w:val="16"/>
                <w:szCs w:val="18"/>
                <w:lang w:val="es-CO" w:eastAsia="es-CO"/>
              </w:rPr>
              <w:t xml:space="preserve"> Arhuaco</w:t>
            </w:r>
            <w:r w:rsidR="00610747" w:rsidRPr="00A21B5C">
              <w:rPr>
                <w:rFonts w:ascii="Arial" w:eastAsia="Times New Roman" w:hAnsi="Arial" w:cs="Arial"/>
                <w:color w:val="000000"/>
                <w:sz w:val="16"/>
                <w:szCs w:val="18"/>
                <w:lang w:val="es-CO" w:eastAsia="es-CO"/>
              </w:rPr>
              <w:t>)</w:t>
            </w:r>
          </w:p>
        </w:tc>
        <w:tc>
          <w:tcPr>
            <w:tcW w:w="2835" w:type="dxa"/>
            <w:tcBorders>
              <w:top w:val="single" w:sz="4" w:space="0" w:color="000000" w:themeColor="text1"/>
              <w:left w:val="dashSmallGap" w:sz="4" w:space="0" w:color="A6A6A6" w:themeColor="background1" w:themeShade="A6"/>
              <w:bottom w:val="single" w:sz="4" w:space="0" w:color="D9D9D9"/>
              <w:right w:val="single" w:sz="4" w:space="0" w:color="000000" w:themeColor="text1"/>
            </w:tcBorders>
            <w:vAlign w:val="center"/>
            <w:hideMark/>
          </w:tcPr>
          <w:p w:rsidR="005F1458" w:rsidRPr="00A21B5C" w:rsidRDefault="005F1458" w:rsidP="00A21B5C">
            <w:pPr>
              <w:contextualSpacing/>
              <w:jc w:val="both"/>
              <w:rPr>
                <w:rFonts w:ascii="Arial" w:eastAsia="Times New Roman" w:hAnsi="Arial" w:cs="Arial"/>
                <w:color w:val="000000"/>
                <w:sz w:val="16"/>
                <w:szCs w:val="18"/>
                <w:lang w:val="es-CO" w:eastAsia="es-CO"/>
              </w:rPr>
            </w:pPr>
            <w:r w:rsidRPr="00A21B5C">
              <w:rPr>
                <w:rFonts w:ascii="Arial" w:eastAsia="Times New Roman" w:hAnsi="Arial" w:cs="Arial"/>
                <w:color w:val="000000"/>
                <w:sz w:val="16"/>
                <w:szCs w:val="18"/>
                <w:lang w:val="es-CO" w:eastAsia="es-CO"/>
              </w:rPr>
              <w:t>Formación en conocimientos Arhuaco a partir de los Mamus de la Sierra para estudiantes de las escuelas de primari</w:t>
            </w:r>
            <w:r w:rsidR="007F795E" w:rsidRPr="00A21B5C">
              <w:rPr>
                <w:rFonts w:ascii="Arial" w:eastAsia="Times New Roman" w:hAnsi="Arial" w:cs="Arial"/>
                <w:color w:val="000000"/>
                <w:sz w:val="16"/>
                <w:szCs w:val="18"/>
                <w:lang w:val="es-CO" w:eastAsia="es-CO"/>
              </w:rPr>
              <w:t>a y secundaria. (Arhuaco)</w:t>
            </w:r>
          </w:p>
        </w:tc>
        <w:tc>
          <w:tcPr>
            <w:tcW w:w="2835" w:type="dxa"/>
            <w:tcBorders>
              <w:top w:val="single" w:sz="4" w:space="0" w:color="000000" w:themeColor="text1"/>
              <w:left w:val="dashSmallGap" w:sz="4" w:space="0" w:color="A6A6A6" w:themeColor="background1" w:themeShade="A6"/>
              <w:bottom w:val="single" w:sz="4" w:space="0" w:color="D9D9D9"/>
              <w:right w:val="single" w:sz="4" w:space="0" w:color="000000" w:themeColor="text1"/>
            </w:tcBorders>
            <w:vAlign w:val="center"/>
          </w:tcPr>
          <w:p w:rsidR="005F1458" w:rsidRPr="00A21B5C" w:rsidRDefault="0088385A" w:rsidP="00A21B5C">
            <w:pPr>
              <w:contextualSpacing/>
              <w:jc w:val="both"/>
              <w:rPr>
                <w:rFonts w:ascii="Arial" w:eastAsia="Times New Roman" w:hAnsi="Arial" w:cs="Arial"/>
                <w:color w:val="000000"/>
                <w:sz w:val="16"/>
                <w:szCs w:val="18"/>
                <w:lang w:val="es-CO" w:eastAsia="es-CO"/>
              </w:rPr>
            </w:pPr>
            <w:r w:rsidRPr="00A21B5C">
              <w:rPr>
                <w:rFonts w:ascii="Arial" w:eastAsia="Times New Roman" w:hAnsi="Arial" w:cs="Arial"/>
                <w:color w:val="000000"/>
                <w:sz w:val="16"/>
                <w:szCs w:val="18"/>
                <w:lang w:val="es-CO" w:eastAsia="es-CO"/>
              </w:rPr>
              <w:t xml:space="preserve">Fortalecimiento de la educación propia. (Arhuaco) </w:t>
            </w:r>
          </w:p>
        </w:tc>
      </w:tr>
      <w:tr w:rsidR="00EE5BCC" w:rsidRPr="00A21B5C" w:rsidTr="00DC14B4">
        <w:trPr>
          <w:trHeight w:val="384"/>
        </w:trPr>
        <w:tc>
          <w:tcPr>
            <w:tcW w:w="1608" w:type="dxa"/>
            <w:vMerge/>
            <w:tcBorders>
              <w:top w:val="single" w:sz="4" w:space="0" w:color="000000" w:themeColor="text1"/>
              <w:left w:val="single" w:sz="4" w:space="0" w:color="000000"/>
              <w:bottom w:val="single" w:sz="4" w:space="0" w:color="000000"/>
              <w:right w:val="dashSmallGap" w:sz="4" w:space="0" w:color="A6A6A6" w:themeColor="background1" w:themeShade="A6"/>
            </w:tcBorders>
            <w:vAlign w:val="center"/>
            <w:hideMark/>
          </w:tcPr>
          <w:p w:rsidR="005F1458" w:rsidRPr="00A21B5C" w:rsidRDefault="005F1458" w:rsidP="00A21B5C">
            <w:pPr>
              <w:contextualSpacing/>
              <w:rPr>
                <w:rFonts w:ascii="Arial" w:eastAsia="Times New Roman" w:hAnsi="Arial" w:cs="Arial"/>
                <w:b/>
                <w:bCs/>
                <w:color w:val="000000"/>
                <w:sz w:val="18"/>
                <w:szCs w:val="18"/>
                <w:lang w:val="es-CO" w:eastAsia="es-CO"/>
              </w:rPr>
            </w:pPr>
          </w:p>
        </w:tc>
        <w:tc>
          <w:tcPr>
            <w:tcW w:w="2835" w:type="dxa"/>
            <w:tcBorders>
              <w:top w:val="nil"/>
              <w:left w:val="dashSmallGap" w:sz="4" w:space="0" w:color="A6A6A6" w:themeColor="background1" w:themeShade="A6"/>
              <w:bottom w:val="single" w:sz="4" w:space="0" w:color="D9D9D9"/>
              <w:right w:val="dashSmallGap" w:sz="4" w:space="0" w:color="A6A6A6" w:themeColor="background1" w:themeShade="A6"/>
            </w:tcBorders>
            <w:vAlign w:val="center"/>
            <w:hideMark/>
          </w:tcPr>
          <w:p w:rsidR="005F1458" w:rsidRPr="00A21B5C" w:rsidRDefault="005F1458" w:rsidP="00A21B5C">
            <w:pPr>
              <w:contextualSpacing/>
              <w:jc w:val="both"/>
              <w:rPr>
                <w:rFonts w:ascii="Arial" w:eastAsia="Times New Roman" w:hAnsi="Arial" w:cs="Arial"/>
                <w:color w:val="000000"/>
                <w:sz w:val="16"/>
                <w:szCs w:val="18"/>
                <w:lang w:val="es-CO" w:eastAsia="es-CO"/>
              </w:rPr>
            </w:pPr>
            <w:r w:rsidRPr="00A21B5C">
              <w:rPr>
                <w:rFonts w:ascii="Arial" w:eastAsia="Times New Roman" w:hAnsi="Arial" w:cs="Arial"/>
                <w:color w:val="000000"/>
                <w:sz w:val="16"/>
                <w:szCs w:val="18"/>
                <w:lang w:val="es-CO" w:eastAsia="es-CO"/>
              </w:rPr>
              <w:t>Fortalecimiento del sistema de Gobierno propio y territorial</w:t>
            </w:r>
            <w:r w:rsidR="00D7138F" w:rsidRPr="00A21B5C">
              <w:rPr>
                <w:rFonts w:ascii="Arial" w:eastAsia="Times New Roman" w:hAnsi="Arial" w:cs="Arial"/>
                <w:color w:val="000000"/>
                <w:sz w:val="16"/>
                <w:szCs w:val="18"/>
                <w:lang w:val="es-CO" w:eastAsia="es-CO"/>
              </w:rPr>
              <w:t>. (Kogui y Arhuaco)</w:t>
            </w:r>
          </w:p>
        </w:tc>
        <w:tc>
          <w:tcPr>
            <w:tcW w:w="2835" w:type="dxa"/>
            <w:tcBorders>
              <w:top w:val="nil"/>
              <w:left w:val="dashSmallGap" w:sz="4" w:space="0" w:color="A6A6A6" w:themeColor="background1" w:themeShade="A6"/>
              <w:bottom w:val="single" w:sz="4" w:space="0" w:color="D9D9D9"/>
              <w:right w:val="single" w:sz="4" w:space="0" w:color="000000" w:themeColor="text1"/>
            </w:tcBorders>
            <w:vAlign w:val="center"/>
            <w:hideMark/>
          </w:tcPr>
          <w:p w:rsidR="005F1458" w:rsidRPr="00A21B5C" w:rsidRDefault="005F1458" w:rsidP="00A21B5C">
            <w:pPr>
              <w:contextualSpacing/>
              <w:jc w:val="both"/>
              <w:rPr>
                <w:rFonts w:ascii="Arial" w:eastAsia="Times New Roman" w:hAnsi="Arial" w:cs="Arial"/>
                <w:color w:val="000000"/>
                <w:sz w:val="16"/>
                <w:szCs w:val="18"/>
                <w:lang w:val="es-CO" w:eastAsia="es-CO"/>
              </w:rPr>
            </w:pPr>
            <w:r w:rsidRPr="00A21B5C">
              <w:rPr>
                <w:rFonts w:ascii="Arial" w:eastAsia="Times New Roman" w:hAnsi="Arial" w:cs="Arial"/>
                <w:color w:val="000000"/>
                <w:sz w:val="16"/>
                <w:szCs w:val="18"/>
                <w:lang w:val="es-CO" w:eastAsia="es-CO"/>
              </w:rPr>
              <w:t>Fortalecimiento del sistema de Gobierno propio y territorial</w:t>
            </w:r>
            <w:r w:rsidR="00815084" w:rsidRPr="00A21B5C">
              <w:rPr>
                <w:rFonts w:ascii="Arial" w:eastAsia="Times New Roman" w:hAnsi="Arial" w:cs="Arial"/>
                <w:color w:val="000000"/>
                <w:sz w:val="16"/>
                <w:szCs w:val="18"/>
                <w:lang w:val="es-CO" w:eastAsia="es-CO"/>
              </w:rPr>
              <w:t>.</w:t>
            </w:r>
            <w:r w:rsidRPr="00A21B5C">
              <w:rPr>
                <w:rFonts w:ascii="Arial" w:eastAsia="Times New Roman" w:hAnsi="Arial" w:cs="Arial"/>
                <w:color w:val="000000"/>
                <w:sz w:val="16"/>
                <w:szCs w:val="18"/>
                <w:lang w:val="es-CO" w:eastAsia="es-CO"/>
              </w:rPr>
              <w:t xml:space="preserve"> </w:t>
            </w:r>
            <w:r w:rsidR="00815084" w:rsidRPr="00A21B5C">
              <w:rPr>
                <w:rFonts w:ascii="Arial" w:eastAsia="Times New Roman" w:hAnsi="Arial" w:cs="Arial"/>
                <w:color w:val="000000"/>
                <w:sz w:val="16"/>
                <w:szCs w:val="18"/>
                <w:lang w:val="es-CO" w:eastAsia="es-CO"/>
              </w:rPr>
              <w:t>(</w:t>
            </w:r>
            <w:r w:rsidRPr="00A21B5C">
              <w:rPr>
                <w:rFonts w:ascii="Arial" w:eastAsia="Times New Roman" w:hAnsi="Arial" w:cs="Arial"/>
                <w:color w:val="000000"/>
                <w:sz w:val="16"/>
                <w:szCs w:val="18"/>
                <w:lang w:val="es-CO" w:eastAsia="es-CO"/>
              </w:rPr>
              <w:t>Kogui, Wiwa y Arhuaco</w:t>
            </w:r>
            <w:r w:rsidR="00815084" w:rsidRPr="00A21B5C">
              <w:rPr>
                <w:rFonts w:ascii="Arial" w:eastAsia="Times New Roman" w:hAnsi="Arial" w:cs="Arial"/>
                <w:color w:val="000000"/>
                <w:sz w:val="16"/>
                <w:szCs w:val="18"/>
                <w:lang w:val="es-CO" w:eastAsia="es-CO"/>
              </w:rPr>
              <w:t>)</w:t>
            </w:r>
          </w:p>
        </w:tc>
        <w:tc>
          <w:tcPr>
            <w:tcW w:w="2835" w:type="dxa"/>
            <w:tcBorders>
              <w:top w:val="nil"/>
              <w:left w:val="dashSmallGap" w:sz="4" w:space="0" w:color="A6A6A6" w:themeColor="background1" w:themeShade="A6"/>
              <w:bottom w:val="single" w:sz="4" w:space="0" w:color="D9D9D9"/>
              <w:right w:val="single" w:sz="4" w:space="0" w:color="000000" w:themeColor="text1"/>
            </w:tcBorders>
            <w:vAlign w:val="center"/>
          </w:tcPr>
          <w:p w:rsidR="005F1458" w:rsidRPr="00A21B5C" w:rsidRDefault="00815084" w:rsidP="00A21B5C">
            <w:pPr>
              <w:contextualSpacing/>
              <w:jc w:val="both"/>
              <w:rPr>
                <w:rFonts w:ascii="Arial" w:eastAsia="Times New Roman" w:hAnsi="Arial" w:cs="Arial"/>
                <w:color w:val="000000"/>
                <w:sz w:val="16"/>
                <w:szCs w:val="18"/>
                <w:lang w:val="es-CO" w:eastAsia="es-CO"/>
              </w:rPr>
            </w:pPr>
            <w:r w:rsidRPr="00A21B5C">
              <w:rPr>
                <w:rFonts w:ascii="Arial" w:eastAsia="Times New Roman" w:hAnsi="Arial" w:cs="Arial"/>
                <w:color w:val="000000"/>
                <w:sz w:val="16"/>
                <w:szCs w:val="18"/>
                <w:lang w:val="es-CO" w:eastAsia="es-CO"/>
              </w:rPr>
              <w:t>Fortalecimiento del sistema de Gobierno propio y territorial. (Kogui)</w:t>
            </w:r>
          </w:p>
        </w:tc>
      </w:tr>
      <w:tr w:rsidR="009D0DAE" w:rsidRPr="00A21B5C" w:rsidTr="00DC14B4">
        <w:trPr>
          <w:trHeight w:val="406"/>
        </w:trPr>
        <w:tc>
          <w:tcPr>
            <w:tcW w:w="1608" w:type="dxa"/>
            <w:vMerge/>
            <w:tcBorders>
              <w:top w:val="single" w:sz="4" w:space="0" w:color="000000" w:themeColor="text1"/>
              <w:left w:val="single" w:sz="4" w:space="0" w:color="000000"/>
              <w:bottom w:val="single" w:sz="4" w:space="0" w:color="000000"/>
              <w:right w:val="dashSmallGap" w:sz="4" w:space="0" w:color="A6A6A6" w:themeColor="background1" w:themeShade="A6"/>
            </w:tcBorders>
            <w:vAlign w:val="center"/>
            <w:hideMark/>
          </w:tcPr>
          <w:p w:rsidR="005F1458" w:rsidRPr="00A21B5C" w:rsidRDefault="005F1458" w:rsidP="00A21B5C">
            <w:pPr>
              <w:contextualSpacing/>
              <w:rPr>
                <w:rFonts w:ascii="Arial" w:eastAsia="Times New Roman" w:hAnsi="Arial" w:cs="Arial"/>
                <w:b/>
                <w:bCs/>
                <w:color w:val="000000"/>
                <w:sz w:val="18"/>
                <w:szCs w:val="18"/>
                <w:lang w:val="es-CO" w:eastAsia="es-CO"/>
              </w:rPr>
            </w:pPr>
          </w:p>
        </w:tc>
        <w:tc>
          <w:tcPr>
            <w:tcW w:w="2835" w:type="dxa"/>
            <w:tcBorders>
              <w:top w:val="nil"/>
              <w:left w:val="dashSmallGap" w:sz="4" w:space="0" w:color="A6A6A6" w:themeColor="background1" w:themeShade="A6"/>
              <w:bottom w:val="single" w:sz="4" w:space="0" w:color="D9D9D9"/>
              <w:right w:val="dashSmallGap" w:sz="4" w:space="0" w:color="A6A6A6" w:themeColor="background1" w:themeShade="A6"/>
            </w:tcBorders>
            <w:vAlign w:val="center"/>
            <w:hideMark/>
          </w:tcPr>
          <w:p w:rsidR="005F1458" w:rsidRPr="00A21B5C" w:rsidRDefault="005F1458" w:rsidP="00A21B5C">
            <w:pPr>
              <w:contextualSpacing/>
              <w:jc w:val="both"/>
              <w:rPr>
                <w:rFonts w:ascii="Arial" w:eastAsia="Times New Roman" w:hAnsi="Arial" w:cs="Arial"/>
                <w:color w:val="000000"/>
                <w:sz w:val="16"/>
                <w:szCs w:val="18"/>
                <w:lang w:val="es-CO" w:eastAsia="es-CO"/>
              </w:rPr>
            </w:pPr>
            <w:r w:rsidRPr="00A21B5C">
              <w:rPr>
                <w:rFonts w:ascii="Arial" w:eastAsia="Times New Roman" w:hAnsi="Arial" w:cs="Arial"/>
                <w:color w:val="000000"/>
                <w:sz w:val="16"/>
                <w:szCs w:val="18"/>
                <w:lang w:val="es-CO" w:eastAsia="es-CO"/>
              </w:rPr>
              <w:t>Fortalecimiento de música Tradicional</w:t>
            </w:r>
            <w:r w:rsidR="00F73325" w:rsidRPr="00A21B5C">
              <w:rPr>
                <w:rFonts w:ascii="Arial" w:eastAsia="Times New Roman" w:hAnsi="Arial" w:cs="Arial"/>
                <w:color w:val="000000"/>
                <w:sz w:val="16"/>
                <w:szCs w:val="18"/>
                <w:lang w:val="es-CO" w:eastAsia="es-CO"/>
              </w:rPr>
              <w:t xml:space="preserve">. </w:t>
            </w:r>
            <w:r w:rsidRPr="00A21B5C">
              <w:rPr>
                <w:rFonts w:ascii="Arial" w:eastAsia="Times New Roman" w:hAnsi="Arial" w:cs="Arial"/>
                <w:color w:val="000000"/>
                <w:sz w:val="16"/>
                <w:szCs w:val="18"/>
                <w:lang w:val="es-CO" w:eastAsia="es-CO"/>
              </w:rPr>
              <w:t xml:space="preserve"> </w:t>
            </w:r>
            <w:r w:rsidR="00F73325" w:rsidRPr="00A21B5C">
              <w:rPr>
                <w:rFonts w:ascii="Arial" w:eastAsia="Times New Roman" w:hAnsi="Arial" w:cs="Arial"/>
                <w:color w:val="000000"/>
                <w:sz w:val="16"/>
                <w:szCs w:val="18"/>
                <w:lang w:val="es-CO" w:eastAsia="es-CO"/>
              </w:rPr>
              <w:t>(</w:t>
            </w:r>
            <w:r w:rsidRPr="00A21B5C">
              <w:rPr>
                <w:rFonts w:ascii="Arial" w:eastAsia="Times New Roman" w:hAnsi="Arial" w:cs="Arial"/>
                <w:color w:val="000000"/>
                <w:sz w:val="16"/>
                <w:szCs w:val="18"/>
                <w:lang w:val="es-CO" w:eastAsia="es-CO"/>
              </w:rPr>
              <w:t>Kogui</w:t>
            </w:r>
            <w:r w:rsidR="00F73325" w:rsidRPr="00A21B5C">
              <w:rPr>
                <w:rFonts w:ascii="Arial" w:eastAsia="Times New Roman" w:hAnsi="Arial" w:cs="Arial"/>
                <w:color w:val="000000"/>
                <w:sz w:val="16"/>
                <w:szCs w:val="18"/>
                <w:lang w:val="es-CO" w:eastAsia="es-CO"/>
              </w:rPr>
              <w:t>)</w:t>
            </w:r>
          </w:p>
        </w:tc>
        <w:tc>
          <w:tcPr>
            <w:tcW w:w="2835" w:type="dxa"/>
            <w:tcBorders>
              <w:top w:val="nil"/>
              <w:left w:val="dashSmallGap" w:sz="4" w:space="0" w:color="A6A6A6" w:themeColor="background1" w:themeShade="A6"/>
              <w:bottom w:val="single" w:sz="4" w:space="0" w:color="D9D9D9"/>
              <w:right w:val="single" w:sz="4" w:space="0" w:color="000000" w:themeColor="text1"/>
            </w:tcBorders>
            <w:vAlign w:val="center"/>
            <w:hideMark/>
          </w:tcPr>
          <w:p w:rsidR="005F1458" w:rsidRPr="00A21B5C" w:rsidRDefault="005F1458" w:rsidP="00A21B5C">
            <w:pPr>
              <w:contextualSpacing/>
              <w:jc w:val="both"/>
              <w:rPr>
                <w:rFonts w:ascii="Arial" w:eastAsia="Times New Roman" w:hAnsi="Arial" w:cs="Arial"/>
                <w:color w:val="000000"/>
                <w:sz w:val="16"/>
                <w:szCs w:val="18"/>
                <w:lang w:val="es-CO" w:eastAsia="es-CO"/>
              </w:rPr>
            </w:pPr>
            <w:r w:rsidRPr="00A21B5C">
              <w:rPr>
                <w:rFonts w:ascii="Arial" w:eastAsia="Times New Roman" w:hAnsi="Arial" w:cs="Arial"/>
                <w:color w:val="000000"/>
                <w:sz w:val="16"/>
                <w:szCs w:val="18"/>
                <w:lang w:val="es-CO" w:eastAsia="es-CO"/>
              </w:rPr>
              <w:t> </w:t>
            </w:r>
          </w:p>
        </w:tc>
        <w:tc>
          <w:tcPr>
            <w:tcW w:w="2835" w:type="dxa"/>
            <w:tcBorders>
              <w:top w:val="nil"/>
              <w:left w:val="dashSmallGap" w:sz="4" w:space="0" w:color="A6A6A6" w:themeColor="background1" w:themeShade="A6"/>
              <w:bottom w:val="single" w:sz="4" w:space="0" w:color="D9D9D9"/>
              <w:right w:val="single" w:sz="4" w:space="0" w:color="000000" w:themeColor="text1"/>
            </w:tcBorders>
            <w:vAlign w:val="center"/>
          </w:tcPr>
          <w:p w:rsidR="005F1458" w:rsidRPr="00A21B5C" w:rsidRDefault="005F1458" w:rsidP="00A21B5C">
            <w:pPr>
              <w:contextualSpacing/>
              <w:jc w:val="both"/>
              <w:rPr>
                <w:rFonts w:ascii="Arial" w:eastAsia="Times New Roman" w:hAnsi="Arial" w:cs="Arial"/>
                <w:color w:val="000000"/>
                <w:sz w:val="16"/>
                <w:szCs w:val="18"/>
                <w:lang w:val="es-CO" w:eastAsia="es-CO"/>
              </w:rPr>
            </w:pPr>
          </w:p>
        </w:tc>
      </w:tr>
      <w:tr w:rsidR="009D0DAE" w:rsidRPr="00A21B5C" w:rsidTr="00DC14B4">
        <w:trPr>
          <w:trHeight w:val="426"/>
        </w:trPr>
        <w:tc>
          <w:tcPr>
            <w:tcW w:w="1608" w:type="dxa"/>
            <w:vMerge/>
            <w:tcBorders>
              <w:top w:val="single" w:sz="4" w:space="0" w:color="000000" w:themeColor="text1"/>
              <w:left w:val="single" w:sz="4" w:space="0" w:color="000000"/>
              <w:bottom w:val="single" w:sz="4" w:space="0" w:color="000000"/>
              <w:right w:val="dashSmallGap" w:sz="4" w:space="0" w:color="A6A6A6" w:themeColor="background1" w:themeShade="A6"/>
            </w:tcBorders>
            <w:vAlign w:val="center"/>
            <w:hideMark/>
          </w:tcPr>
          <w:p w:rsidR="005F1458" w:rsidRPr="00A21B5C" w:rsidRDefault="005F1458" w:rsidP="00A21B5C">
            <w:pPr>
              <w:contextualSpacing/>
              <w:rPr>
                <w:rFonts w:ascii="Arial" w:eastAsia="Times New Roman" w:hAnsi="Arial" w:cs="Arial"/>
                <w:b/>
                <w:bCs/>
                <w:color w:val="000000"/>
                <w:sz w:val="18"/>
                <w:szCs w:val="18"/>
                <w:lang w:val="es-CO" w:eastAsia="es-CO"/>
              </w:rPr>
            </w:pPr>
          </w:p>
        </w:tc>
        <w:tc>
          <w:tcPr>
            <w:tcW w:w="2835" w:type="dxa"/>
            <w:tcBorders>
              <w:top w:val="single" w:sz="4" w:space="0" w:color="D9D9D9"/>
              <w:left w:val="dashSmallGap" w:sz="4" w:space="0" w:color="A6A6A6" w:themeColor="background1" w:themeShade="A6"/>
              <w:bottom w:val="single" w:sz="4" w:space="0" w:color="D9D9D9"/>
              <w:right w:val="dashSmallGap" w:sz="4" w:space="0" w:color="A6A6A6" w:themeColor="background1" w:themeShade="A6"/>
            </w:tcBorders>
            <w:vAlign w:val="center"/>
            <w:hideMark/>
          </w:tcPr>
          <w:p w:rsidR="005F1458" w:rsidRPr="00A21B5C" w:rsidRDefault="005F1458" w:rsidP="00A21B5C">
            <w:pPr>
              <w:contextualSpacing/>
              <w:jc w:val="both"/>
              <w:rPr>
                <w:rFonts w:ascii="Arial" w:eastAsia="Times New Roman" w:hAnsi="Arial" w:cs="Arial"/>
                <w:color w:val="000000"/>
                <w:sz w:val="16"/>
                <w:szCs w:val="18"/>
                <w:lang w:val="es-CO" w:eastAsia="es-CO"/>
              </w:rPr>
            </w:pPr>
            <w:r w:rsidRPr="00A21B5C">
              <w:rPr>
                <w:rFonts w:ascii="Arial" w:eastAsia="Times New Roman" w:hAnsi="Arial" w:cs="Arial"/>
                <w:color w:val="000000"/>
                <w:sz w:val="16"/>
                <w:szCs w:val="18"/>
                <w:lang w:val="es-CO" w:eastAsia="es-CO"/>
              </w:rPr>
              <w:t>Dotación de textos, material didáctico, mobiliarios e insumos para los establecimientos educativos</w:t>
            </w:r>
            <w:r w:rsidR="00F73325" w:rsidRPr="00A21B5C">
              <w:rPr>
                <w:rFonts w:ascii="Arial" w:eastAsia="Times New Roman" w:hAnsi="Arial" w:cs="Arial"/>
                <w:color w:val="000000"/>
                <w:sz w:val="16"/>
                <w:szCs w:val="18"/>
                <w:lang w:val="es-CO" w:eastAsia="es-CO"/>
              </w:rPr>
              <w:t>. (</w:t>
            </w:r>
            <w:r w:rsidRPr="00A21B5C">
              <w:rPr>
                <w:rFonts w:ascii="Arial" w:eastAsia="Times New Roman" w:hAnsi="Arial" w:cs="Arial"/>
                <w:color w:val="000000"/>
                <w:sz w:val="16"/>
                <w:szCs w:val="18"/>
                <w:lang w:val="es-CO" w:eastAsia="es-CO"/>
              </w:rPr>
              <w:t>Kogui</w:t>
            </w:r>
            <w:r w:rsidR="00F73325" w:rsidRPr="00A21B5C">
              <w:rPr>
                <w:rFonts w:ascii="Arial" w:eastAsia="Times New Roman" w:hAnsi="Arial" w:cs="Arial"/>
                <w:color w:val="000000"/>
                <w:sz w:val="16"/>
                <w:szCs w:val="18"/>
                <w:lang w:val="es-CO" w:eastAsia="es-CO"/>
              </w:rPr>
              <w:t xml:space="preserve"> y</w:t>
            </w:r>
            <w:r w:rsidRPr="00A21B5C">
              <w:rPr>
                <w:rFonts w:ascii="Arial" w:eastAsia="Times New Roman" w:hAnsi="Arial" w:cs="Arial"/>
                <w:color w:val="000000"/>
                <w:sz w:val="16"/>
                <w:szCs w:val="18"/>
                <w:lang w:val="es-CO" w:eastAsia="es-CO"/>
              </w:rPr>
              <w:t xml:space="preserve"> Wiwa</w:t>
            </w:r>
            <w:r w:rsidR="00F73325" w:rsidRPr="00A21B5C">
              <w:rPr>
                <w:rFonts w:ascii="Arial" w:eastAsia="Times New Roman" w:hAnsi="Arial" w:cs="Arial"/>
                <w:color w:val="000000"/>
                <w:sz w:val="16"/>
                <w:szCs w:val="18"/>
                <w:lang w:val="es-CO" w:eastAsia="es-CO"/>
              </w:rPr>
              <w:t>)</w:t>
            </w:r>
          </w:p>
        </w:tc>
        <w:tc>
          <w:tcPr>
            <w:tcW w:w="2835" w:type="dxa"/>
            <w:tcBorders>
              <w:top w:val="single" w:sz="4" w:space="0" w:color="D9D9D9"/>
              <w:left w:val="dashSmallGap" w:sz="4" w:space="0" w:color="A6A6A6" w:themeColor="background1" w:themeShade="A6"/>
              <w:bottom w:val="nil"/>
              <w:right w:val="single" w:sz="4" w:space="0" w:color="000000" w:themeColor="text1"/>
            </w:tcBorders>
            <w:vAlign w:val="center"/>
            <w:hideMark/>
          </w:tcPr>
          <w:p w:rsidR="005F1458" w:rsidRPr="00A21B5C" w:rsidRDefault="005F1458" w:rsidP="00A21B5C">
            <w:pPr>
              <w:contextualSpacing/>
              <w:jc w:val="both"/>
              <w:rPr>
                <w:rFonts w:ascii="Arial" w:eastAsia="Times New Roman" w:hAnsi="Arial" w:cs="Arial"/>
                <w:color w:val="000000"/>
                <w:sz w:val="16"/>
                <w:szCs w:val="18"/>
                <w:lang w:val="es-CO" w:eastAsia="es-CO"/>
              </w:rPr>
            </w:pPr>
            <w:r w:rsidRPr="00A21B5C">
              <w:rPr>
                <w:rFonts w:ascii="Arial" w:eastAsia="Times New Roman" w:hAnsi="Arial" w:cs="Arial"/>
                <w:color w:val="000000"/>
                <w:sz w:val="16"/>
                <w:szCs w:val="18"/>
                <w:lang w:val="es-CO" w:eastAsia="es-CO"/>
              </w:rPr>
              <w:t> </w:t>
            </w:r>
          </w:p>
        </w:tc>
        <w:tc>
          <w:tcPr>
            <w:tcW w:w="2835" w:type="dxa"/>
            <w:tcBorders>
              <w:top w:val="single" w:sz="4" w:space="0" w:color="D9D9D9"/>
              <w:left w:val="dashSmallGap" w:sz="4" w:space="0" w:color="A6A6A6" w:themeColor="background1" w:themeShade="A6"/>
              <w:bottom w:val="nil"/>
              <w:right w:val="single" w:sz="4" w:space="0" w:color="000000" w:themeColor="text1"/>
            </w:tcBorders>
            <w:vAlign w:val="center"/>
          </w:tcPr>
          <w:p w:rsidR="005F1458" w:rsidRPr="00A21B5C" w:rsidRDefault="005F1458" w:rsidP="00A21B5C">
            <w:pPr>
              <w:contextualSpacing/>
              <w:jc w:val="both"/>
              <w:rPr>
                <w:rFonts w:ascii="Arial" w:eastAsia="Times New Roman" w:hAnsi="Arial" w:cs="Arial"/>
                <w:color w:val="000000"/>
                <w:sz w:val="16"/>
                <w:szCs w:val="18"/>
                <w:lang w:val="es-CO" w:eastAsia="es-CO"/>
              </w:rPr>
            </w:pPr>
          </w:p>
        </w:tc>
      </w:tr>
      <w:tr w:rsidR="009D0DAE" w:rsidRPr="00A21B5C" w:rsidTr="00DC14B4">
        <w:trPr>
          <w:trHeight w:val="404"/>
        </w:trPr>
        <w:tc>
          <w:tcPr>
            <w:tcW w:w="1608" w:type="dxa"/>
            <w:vMerge/>
            <w:tcBorders>
              <w:top w:val="single" w:sz="4" w:space="0" w:color="000000" w:themeColor="text1"/>
              <w:left w:val="single" w:sz="4" w:space="0" w:color="000000"/>
              <w:bottom w:val="single" w:sz="4" w:space="0" w:color="000000"/>
              <w:right w:val="dashSmallGap" w:sz="4" w:space="0" w:color="A6A6A6" w:themeColor="background1" w:themeShade="A6"/>
            </w:tcBorders>
            <w:vAlign w:val="center"/>
            <w:hideMark/>
          </w:tcPr>
          <w:p w:rsidR="005F1458" w:rsidRPr="00A21B5C" w:rsidRDefault="005F1458" w:rsidP="00A21B5C">
            <w:pPr>
              <w:contextualSpacing/>
              <w:rPr>
                <w:rFonts w:ascii="Arial" w:eastAsia="Times New Roman" w:hAnsi="Arial" w:cs="Arial"/>
                <w:b/>
                <w:bCs/>
                <w:color w:val="000000"/>
                <w:sz w:val="18"/>
                <w:szCs w:val="18"/>
                <w:lang w:val="es-CO" w:eastAsia="es-CO"/>
              </w:rPr>
            </w:pPr>
          </w:p>
        </w:tc>
        <w:tc>
          <w:tcPr>
            <w:tcW w:w="2835" w:type="dxa"/>
            <w:tcBorders>
              <w:top w:val="nil"/>
              <w:left w:val="dashSmallGap" w:sz="4" w:space="0" w:color="A6A6A6" w:themeColor="background1" w:themeShade="A6"/>
              <w:bottom w:val="single" w:sz="4" w:space="0" w:color="D9D9D9"/>
              <w:right w:val="dashSmallGap" w:sz="4" w:space="0" w:color="A6A6A6" w:themeColor="background1" w:themeShade="A6"/>
            </w:tcBorders>
            <w:vAlign w:val="center"/>
            <w:hideMark/>
          </w:tcPr>
          <w:p w:rsidR="005F1458" w:rsidRPr="00A21B5C" w:rsidRDefault="005F1458" w:rsidP="00A21B5C">
            <w:pPr>
              <w:contextualSpacing/>
              <w:jc w:val="both"/>
              <w:rPr>
                <w:rFonts w:ascii="Arial" w:eastAsia="Times New Roman" w:hAnsi="Arial" w:cs="Arial"/>
                <w:color w:val="000000"/>
                <w:sz w:val="16"/>
                <w:szCs w:val="18"/>
                <w:lang w:val="es-CO" w:eastAsia="es-CO"/>
              </w:rPr>
            </w:pPr>
            <w:r w:rsidRPr="00A21B5C">
              <w:rPr>
                <w:rFonts w:ascii="Arial" w:eastAsia="Times New Roman" w:hAnsi="Arial" w:cs="Arial"/>
                <w:color w:val="000000"/>
                <w:sz w:val="16"/>
                <w:szCs w:val="18"/>
                <w:lang w:val="es-CO" w:eastAsia="es-CO"/>
              </w:rPr>
              <w:t xml:space="preserve">Construcción de dormitorio </w:t>
            </w:r>
            <w:r w:rsidR="00F73325" w:rsidRPr="00A21B5C">
              <w:rPr>
                <w:rFonts w:ascii="Arial" w:eastAsia="Times New Roman" w:hAnsi="Arial" w:cs="Arial"/>
                <w:color w:val="000000"/>
                <w:sz w:val="16"/>
                <w:szCs w:val="18"/>
                <w:lang w:val="es-CO" w:eastAsia="es-CO"/>
              </w:rPr>
              <w:t xml:space="preserve">y cocina </w:t>
            </w:r>
            <w:r w:rsidRPr="00A21B5C">
              <w:rPr>
                <w:rFonts w:ascii="Arial" w:eastAsia="Times New Roman" w:hAnsi="Arial" w:cs="Arial"/>
                <w:color w:val="000000"/>
                <w:sz w:val="16"/>
                <w:szCs w:val="18"/>
                <w:lang w:val="es-CO" w:eastAsia="es-CO"/>
              </w:rPr>
              <w:t>para docentes en Dumingueka.</w:t>
            </w:r>
            <w:r w:rsidR="00E551F1" w:rsidRPr="00A21B5C">
              <w:rPr>
                <w:rFonts w:ascii="Arial" w:eastAsia="Times New Roman" w:hAnsi="Arial" w:cs="Arial"/>
                <w:color w:val="000000"/>
                <w:sz w:val="16"/>
                <w:szCs w:val="18"/>
                <w:lang w:val="es-CO" w:eastAsia="es-CO"/>
              </w:rPr>
              <w:t xml:space="preserve"> (Kogui)</w:t>
            </w:r>
          </w:p>
        </w:tc>
        <w:tc>
          <w:tcPr>
            <w:tcW w:w="2835" w:type="dxa"/>
            <w:tcBorders>
              <w:top w:val="single" w:sz="4" w:space="0" w:color="D9D9D9"/>
              <w:left w:val="dashSmallGap" w:sz="4" w:space="0" w:color="A6A6A6" w:themeColor="background1" w:themeShade="A6"/>
              <w:bottom w:val="single" w:sz="4" w:space="0" w:color="D9D9D9"/>
              <w:right w:val="single" w:sz="4" w:space="0" w:color="000000" w:themeColor="text1"/>
            </w:tcBorders>
            <w:vAlign w:val="center"/>
            <w:hideMark/>
          </w:tcPr>
          <w:p w:rsidR="005F1458" w:rsidRPr="00A21B5C" w:rsidRDefault="005F1458" w:rsidP="00A21B5C">
            <w:pPr>
              <w:contextualSpacing/>
              <w:jc w:val="both"/>
              <w:rPr>
                <w:rFonts w:ascii="Arial" w:eastAsia="Times New Roman" w:hAnsi="Arial" w:cs="Arial"/>
                <w:color w:val="000000"/>
                <w:sz w:val="16"/>
                <w:szCs w:val="18"/>
                <w:lang w:val="es-CO" w:eastAsia="es-CO"/>
              </w:rPr>
            </w:pPr>
            <w:r w:rsidRPr="00A21B5C">
              <w:rPr>
                <w:rFonts w:ascii="Arial" w:eastAsia="Times New Roman" w:hAnsi="Arial" w:cs="Arial"/>
                <w:color w:val="000000"/>
                <w:sz w:val="16"/>
                <w:szCs w:val="18"/>
                <w:lang w:val="es-CO" w:eastAsia="es-CO"/>
              </w:rPr>
              <w:t>Construcción de dormitorio para docentes en Dumingueka.</w:t>
            </w:r>
            <w:r w:rsidR="00E551F1" w:rsidRPr="00A21B5C">
              <w:rPr>
                <w:rFonts w:ascii="Arial" w:eastAsia="Times New Roman" w:hAnsi="Arial" w:cs="Arial"/>
                <w:color w:val="000000"/>
                <w:sz w:val="16"/>
                <w:szCs w:val="18"/>
                <w:lang w:val="es-CO" w:eastAsia="es-CO"/>
              </w:rPr>
              <w:t xml:space="preserve"> (Kogui)</w:t>
            </w:r>
          </w:p>
        </w:tc>
        <w:tc>
          <w:tcPr>
            <w:tcW w:w="2835" w:type="dxa"/>
            <w:tcBorders>
              <w:top w:val="single" w:sz="4" w:space="0" w:color="D9D9D9"/>
              <w:left w:val="dashSmallGap" w:sz="4" w:space="0" w:color="A6A6A6" w:themeColor="background1" w:themeShade="A6"/>
              <w:bottom w:val="single" w:sz="4" w:space="0" w:color="D9D9D9"/>
              <w:right w:val="single" w:sz="4" w:space="0" w:color="000000" w:themeColor="text1"/>
            </w:tcBorders>
            <w:vAlign w:val="center"/>
          </w:tcPr>
          <w:p w:rsidR="005F1458" w:rsidRPr="00A21B5C" w:rsidRDefault="00F73325" w:rsidP="00A21B5C">
            <w:pPr>
              <w:contextualSpacing/>
              <w:jc w:val="both"/>
              <w:rPr>
                <w:rFonts w:ascii="Arial" w:eastAsia="Times New Roman" w:hAnsi="Arial" w:cs="Arial"/>
                <w:color w:val="000000"/>
                <w:sz w:val="16"/>
                <w:szCs w:val="18"/>
                <w:lang w:val="es-CO" w:eastAsia="es-CO"/>
              </w:rPr>
            </w:pPr>
            <w:r w:rsidRPr="00A21B5C">
              <w:rPr>
                <w:rFonts w:ascii="Arial" w:eastAsia="Times New Roman" w:hAnsi="Arial" w:cs="Arial"/>
                <w:color w:val="000000"/>
                <w:sz w:val="16"/>
                <w:szCs w:val="18"/>
                <w:lang w:val="es-CO" w:eastAsia="es-CO"/>
              </w:rPr>
              <w:t>Construcción de dormitorio para docentes en Dumingueka.</w:t>
            </w:r>
            <w:r w:rsidR="00E551F1" w:rsidRPr="00A21B5C">
              <w:rPr>
                <w:rFonts w:ascii="Arial" w:eastAsia="Times New Roman" w:hAnsi="Arial" w:cs="Arial"/>
                <w:color w:val="000000"/>
                <w:sz w:val="16"/>
                <w:szCs w:val="18"/>
                <w:lang w:val="es-CO" w:eastAsia="es-CO"/>
              </w:rPr>
              <w:t xml:space="preserve"> (Kogui)</w:t>
            </w:r>
          </w:p>
        </w:tc>
      </w:tr>
      <w:tr w:rsidR="009D0DAE" w:rsidRPr="00A21B5C" w:rsidTr="00DC14B4">
        <w:trPr>
          <w:trHeight w:val="707"/>
        </w:trPr>
        <w:tc>
          <w:tcPr>
            <w:tcW w:w="1608" w:type="dxa"/>
            <w:vMerge/>
            <w:tcBorders>
              <w:top w:val="single" w:sz="4" w:space="0" w:color="000000" w:themeColor="text1"/>
              <w:left w:val="single" w:sz="4" w:space="0" w:color="000000"/>
              <w:bottom w:val="single" w:sz="4" w:space="0" w:color="000000"/>
              <w:right w:val="dashSmallGap" w:sz="4" w:space="0" w:color="A6A6A6" w:themeColor="background1" w:themeShade="A6"/>
            </w:tcBorders>
            <w:vAlign w:val="center"/>
            <w:hideMark/>
          </w:tcPr>
          <w:p w:rsidR="005F1458" w:rsidRPr="00A21B5C" w:rsidRDefault="005F1458" w:rsidP="00A21B5C">
            <w:pPr>
              <w:contextualSpacing/>
              <w:rPr>
                <w:rFonts w:ascii="Arial" w:eastAsia="Times New Roman" w:hAnsi="Arial" w:cs="Arial"/>
                <w:b/>
                <w:bCs/>
                <w:color w:val="000000"/>
                <w:sz w:val="18"/>
                <w:szCs w:val="18"/>
                <w:lang w:val="es-CO" w:eastAsia="es-CO"/>
              </w:rPr>
            </w:pPr>
          </w:p>
        </w:tc>
        <w:tc>
          <w:tcPr>
            <w:tcW w:w="2835" w:type="dxa"/>
            <w:tcBorders>
              <w:top w:val="nil"/>
              <w:left w:val="dashSmallGap" w:sz="4" w:space="0" w:color="A6A6A6" w:themeColor="background1" w:themeShade="A6"/>
              <w:bottom w:val="single" w:sz="4" w:space="0" w:color="D9D9D9" w:themeColor="background1" w:themeShade="D9"/>
              <w:right w:val="dashSmallGap" w:sz="4" w:space="0" w:color="A6A6A6" w:themeColor="background1" w:themeShade="A6"/>
            </w:tcBorders>
            <w:vAlign w:val="center"/>
            <w:hideMark/>
          </w:tcPr>
          <w:p w:rsidR="005F1458" w:rsidRPr="00A21B5C" w:rsidRDefault="005F1458" w:rsidP="00A21B5C">
            <w:pPr>
              <w:contextualSpacing/>
              <w:jc w:val="both"/>
              <w:rPr>
                <w:rFonts w:ascii="Arial" w:eastAsia="Times New Roman" w:hAnsi="Arial" w:cs="Arial"/>
                <w:color w:val="000000"/>
                <w:sz w:val="16"/>
                <w:szCs w:val="18"/>
                <w:lang w:val="es-CO" w:eastAsia="es-CO"/>
              </w:rPr>
            </w:pPr>
            <w:r w:rsidRPr="00A21B5C">
              <w:rPr>
                <w:rFonts w:ascii="Arial" w:eastAsia="Times New Roman" w:hAnsi="Arial" w:cs="Arial"/>
                <w:color w:val="000000"/>
                <w:sz w:val="16"/>
                <w:szCs w:val="18"/>
                <w:lang w:val="es-CO" w:eastAsia="es-CO"/>
              </w:rPr>
              <w:t>Edición y publicación de materiales y divulgación de videos y/o textos de programas educativos en fortalecimiento del plan de salvaguarda del SNSM.</w:t>
            </w:r>
            <w:r w:rsidR="00E551F1" w:rsidRPr="00A21B5C">
              <w:rPr>
                <w:rFonts w:ascii="Arial" w:eastAsia="Times New Roman" w:hAnsi="Arial" w:cs="Arial"/>
                <w:color w:val="000000"/>
                <w:sz w:val="16"/>
                <w:szCs w:val="18"/>
                <w:lang w:val="es-CO" w:eastAsia="es-CO"/>
              </w:rPr>
              <w:t xml:space="preserve"> (Kogui)</w:t>
            </w:r>
          </w:p>
        </w:tc>
        <w:tc>
          <w:tcPr>
            <w:tcW w:w="2835" w:type="dxa"/>
            <w:tcBorders>
              <w:top w:val="nil"/>
              <w:left w:val="dashSmallGap" w:sz="4" w:space="0" w:color="A6A6A6" w:themeColor="background1" w:themeShade="A6"/>
              <w:bottom w:val="single" w:sz="4" w:space="0" w:color="D9D9D9" w:themeColor="background1" w:themeShade="D9"/>
              <w:right w:val="single" w:sz="4" w:space="0" w:color="000000" w:themeColor="text1"/>
            </w:tcBorders>
            <w:vAlign w:val="center"/>
            <w:hideMark/>
          </w:tcPr>
          <w:p w:rsidR="005F1458" w:rsidRPr="00A21B5C" w:rsidRDefault="005F1458" w:rsidP="00A21B5C">
            <w:pPr>
              <w:contextualSpacing/>
              <w:jc w:val="both"/>
              <w:rPr>
                <w:rFonts w:ascii="Arial" w:eastAsia="Times New Roman" w:hAnsi="Arial" w:cs="Arial"/>
                <w:color w:val="000000"/>
                <w:sz w:val="16"/>
                <w:szCs w:val="18"/>
                <w:lang w:val="es-CO" w:eastAsia="es-CO"/>
              </w:rPr>
            </w:pPr>
            <w:r w:rsidRPr="00A21B5C">
              <w:rPr>
                <w:rFonts w:ascii="Arial" w:eastAsia="Times New Roman" w:hAnsi="Arial" w:cs="Arial"/>
                <w:color w:val="000000"/>
                <w:sz w:val="16"/>
                <w:szCs w:val="18"/>
                <w:lang w:val="es-CO" w:eastAsia="es-CO"/>
              </w:rPr>
              <w:t> </w:t>
            </w:r>
          </w:p>
        </w:tc>
        <w:tc>
          <w:tcPr>
            <w:tcW w:w="2835" w:type="dxa"/>
            <w:tcBorders>
              <w:top w:val="nil"/>
              <w:left w:val="dashSmallGap" w:sz="4" w:space="0" w:color="A6A6A6" w:themeColor="background1" w:themeShade="A6"/>
              <w:bottom w:val="single" w:sz="4" w:space="0" w:color="D9D9D9" w:themeColor="background1" w:themeShade="D9"/>
              <w:right w:val="single" w:sz="4" w:space="0" w:color="000000" w:themeColor="text1"/>
            </w:tcBorders>
            <w:vAlign w:val="center"/>
          </w:tcPr>
          <w:p w:rsidR="005F1458" w:rsidRPr="00A21B5C" w:rsidRDefault="005F1458" w:rsidP="00A21B5C">
            <w:pPr>
              <w:contextualSpacing/>
              <w:jc w:val="both"/>
              <w:rPr>
                <w:rFonts w:ascii="Arial" w:eastAsia="Times New Roman" w:hAnsi="Arial" w:cs="Arial"/>
                <w:color w:val="000000"/>
                <w:sz w:val="16"/>
                <w:szCs w:val="18"/>
                <w:lang w:val="es-CO" w:eastAsia="es-CO"/>
              </w:rPr>
            </w:pPr>
          </w:p>
        </w:tc>
      </w:tr>
      <w:tr w:rsidR="009D0DAE" w:rsidRPr="00A21B5C" w:rsidTr="00DC14B4">
        <w:trPr>
          <w:trHeight w:val="562"/>
        </w:trPr>
        <w:tc>
          <w:tcPr>
            <w:tcW w:w="1608" w:type="dxa"/>
            <w:vMerge/>
            <w:tcBorders>
              <w:top w:val="single" w:sz="4" w:space="0" w:color="000000" w:themeColor="text1"/>
              <w:left w:val="single" w:sz="4" w:space="0" w:color="000000"/>
              <w:bottom w:val="single" w:sz="4" w:space="0" w:color="000000"/>
              <w:right w:val="dashSmallGap" w:sz="4" w:space="0" w:color="A6A6A6" w:themeColor="background1" w:themeShade="A6"/>
            </w:tcBorders>
            <w:vAlign w:val="center"/>
            <w:hideMark/>
          </w:tcPr>
          <w:p w:rsidR="005F1458" w:rsidRPr="00A21B5C" w:rsidRDefault="005F1458" w:rsidP="00A21B5C">
            <w:pPr>
              <w:contextualSpacing/>
              <w:rPr>
                <w:rFonts w:ascii="Arial" w:eastAsia="Times New Roman" w:hAnsi="Arial" w:cs="Arial"/>
                <w:b/>
                <w:bCs/>
                <w:color w:val="000000"/>
                <w:sz w:val="18"/>
                <w:szCs w:val="18"/>
                <w:lang w:val="es-CO" w:eastAsia="es-CO"/>
              </w:rPr>
            </w:pPr>
          </w:p>
        </w:tc>
        <w:tc>
          <w:tcPr>
            <w:tcW w:w="2835" w:type="dxa"/>
            <w:tcBorders>
              <w:top w:val="single" w:sz="4" w:space="0" w:color="D9D9D9" w:themeColor="background1" w:themeShade="D9"/>
              <w:left w:val="dashSmallGap" w:sz="4" w:space="0" w:color="A6A6A6" w:themeColor="background1" w:themeShade="A6"/>
              <w:bottom w:val="single" w:sz="4" w:space="0" w:color="D9D9D9"/>
              <w:right w:val="dashSmallGap" w:sz="4" w:space="0" w:color="A6A6A6" w:themeColor="background1" w:themeShade="A6"/>
            </w:tcBorders>
            <w:vAlign w:val="center"/>
            <w:hideMark/>
          </w:tcPr>
          <w:p w:rsidR="005F1458" w:rsidRPr="00A21B5C" w:rsidRDefault="005F1458" w:rsidP="00A21B5C">
            <w:pPr>
              <w:contextualSpacing/>
              <w:jc w:val="both"/>
              <w:rPr>
                <w:rFonts w:ascii="Arial" w:eastAsia="Times New Roman" w:hAnsi="Arial" w:cs="Arial"/>
                <w:color w:val="000000"/>
                <w:sz w:val="16"/>
                <w:szCs w:val="18"/>
                <w:lang w:val="es-CO" w:eastAsia="es-CO"/>
              </w:rPr>
            </w:pPr>
            <w:r w:rsidRPr="00A21B5C">
              <w:rPr>
                <w:rFonts w:ascii="Arial" w:eastAsia="Times New Roman" w:hAnsi="Arial" w:cs="Arial"/>
                <w:color w:val="000000"/>
                <w:sz w:val="16"/>
                <w:szCs w:val="18"/>
                <w:lang w:val="es-CO" w:eastAsia="es-CO"/>
              </w:rPr>
              <w:t>Mantenimiento, reparación y/o adquisición de baterías y paneles solares para la institución educativa Dumingueka.</w:t>
            </w:r>
            <w:r w:rsidR="00E45EEF" w:rsidRPr="00A21B5C">
              <w:rPr>
                <w:rFonts w:ascii="Arial" w:eastAsia="Times New Roman" w:hAnsi="Arial" w:cs="Arial"/>
                <w:color w:val="000000"/>
                <w:sz w:val="16"/>
                <w:szCs w:val="18"/>
                <w:lang w:val="es-CO" w:eastAsia="es-CO"/>
              </w:rPr>
              <w:t xml:space="preserve"> (Kogui)</w:t>
            </w:r>
          </w:p>
        </w:tc>
        <w:tc>
          <w:tcPr>
            <w:tcW w:w="2835" w:type="dxa"/>
            <w:tcBorders>
              <w:top w:val="single" w:sz="4" w:space="0" w:color="D9D9D9" w:themeColor="background1" w:themeShade="D9"/>
              <w:left w:val="dashSmallGap" w:sz="4" w:space="0" w:color="A6A6A6" w:themeColor="background1" w:themeShade="A6"/>
              <w:bottom w:val="nil"/>
              <w:right w:val="single" w:sz="4" w:space="0" w:color="000000" w:themeColor="text1"/>
            </w:tcBorders>
            <w:vAlign w:val="center"/>
            <w:hideMark/>
          </w:tcPr>
          <w:p w:rsidR="005F1458" w:rsidRPr="00A21B5C" w:rsidRDefault="005F1458" w:rsidP="00A21B5C">
            <w:pPr>
              <w:contextualSpacing/>
              <w:jc w:val="both"/>
              <w:rPr>
                <w:rFonts w:ascii="Arial" w:eastAsia="Times New Roman" w:hAnsi="Arial" w:cs="Arial"/>
                <w:color w:val="000000"/>
                <w:sz w:val="16"/>
                <w:szCs w:val="18"/>
                <w:lang w:val="es-CO" w:eastAsia="es-CO"/>
              </w:rPr>
            </w:pPr>
            <w:r w:rsidRPr="00A21B5C">
              <w:rPr>
                <w:rFonts w:ascii="Arial" w:eastAsia="Times New Roman" w:hAnsi="Arial" w:cs="Arial"/>
                <w:color w:val="000000"/>
                <w:sz w:val="16"/>
                <w:szCs w:val="18"/>
                <w:lang w:val="es-CO" w:eastAsia="es-CO"/>
              </w:rPr>
              <w:t> </w:t>
            </w:r>
          </w:p>
        </w:tc>
        <w:tc>
          <w:tcPr>
            <w:tcW w:w="2835" w:type="dxa"/>
            <w:tcBorders>
              <w:top w:val="single" w:sz="4" w:space="0" w:color="D9D9D9" w:themeColor="background1" w:themeShade="D9"/>
              <w:left w:val="dashSmallGap" w:sz="4" w:space="0" w:color="A6A6A6" w:themeColor="background1" w:themeShade="A6"/>
              <w:bottom w:val="nil"/>
              <w:right w:val="single" w:sz="4" w:space="0" w:color="000000" w:themeColor="text1"/>
            </w:tcBorders>
            <w:vAlign w:val="center"/>
          </w:tcPr>
          <w:p w:rsidR="005F1458" w:rsidRPr="00A21B5C" w:rsidRDefault="005F1458" w:rsidP="00A21B5C">
            <w:pPr>
              <w:contextualSpacing/>
              <w:jc w:val="both"/>
              <w:rPr>
                <w:rFonts w:ascii="Arial" w:eastAsia="Times New Roman" w:hAnsi="Arial" w:cs="Arial"/>
                <w:color w:val="000000"/>
                <w:sz w:val="16"/>
                <w:szCs w:val="18"/>
                <w:lang w:val="es-CO" w:eastAsia="es-CO"/>
              </w:rPr>
            </w:pPr>
          </w:p>
        </w:tc>
      </w:tr>
      <w:tr w:rsidR="009D0DAE" w:rsidRPr="00A21B5C" w:rsidTr="00DC14B4">
        <w:trPr>
          <w:trHeight w:val="510"/>
        </w:trPr>
        <w:tc>
          <w:tcPr>
            <w:tcW w:w="1608" w:type="dxa"/>
            <w:vMerge/>
            <w:tcBorders>
              <w:top w:val="single" w:sz="4" w:space="0" w:color="000000" w:themeColor="text1"/>
              <w:left w:val="single" w:sz="4" w:space="0" w:color="000000"/>
              <w:bottom w:val="single" w:sz="4" w:space="0" w:color="000000"/>
              <w:right w:val="dashSmallGap" w:sz="4" w:space="0" w:color="A6A6A6" w:themeColor="background1" w:themeShade="A6"/>
            </w:tcBorders>
            <w:vAlign w:val="center"/>
            <w:hideMark/>
          </w:tcPr>
          <w:p w:rsidR="005F1458" w:rsidRPr="00A21B5C" w:rsidRDefault="005F1458" w:rsidP="00A21B5C">
            <w:pPr>
              <w:contextualSpacing/>
              <w:rPr>
                <w:rFonts w:ascii="Arial" w:eastAsia="Times New Roman" w:hAnsi="Arial" w:cs="Arial"/>
                <w:b/>
                <w:bCs/>
                <w:color w:val="000000"/>
                <w:sz w:val="18"/>
                <w:szCs w:val="18"/>
                <w:lang w:val="es-CO" w:eastAsia="es-CO"/>
              </w:rPr>
            </w:pPr>
          </w:p>
        </w:tc>
        <w:tc>
          <w:tcPr>
            <w:tcW w:w="2835" w:type="dxa"/>
            <w:tcBorders>
              <w:top w:val="nil"/>
              <w:left w:val="dashSmallGap" w:sz="4" w:space="0" w:color="A6A6A6" w:themeColor="background1" w:themeShade="A6"/>
              <w:bottom w:val="nil"/>
              <w:right w:val="dashSmallGap" w:sz="4" w:space="0" w:color="A6A6A6" w:themeColor="background1" w:themeShade="A6"/>
            </w:tcBorders>
            <w:vAlign w:val="center"/>
            <w:hideMark/>
          </w:tcPr>
          <w:p w:rsidR="005F1458" w:rsidRPr="00A21B5C" w:rsidRDefault="005F1458" w:rsidP="00A21B5C">
            <w:pPr>
              <w:contextualSpacing/>
              <w:jc w:val="both"/>
              <w:rPr>
                <w:rFonts w:ascii="Arial" w:eastAsia="Times New Roman" w:hAnsi="Arial" w:cs="Arial"/>
                <w:color w:val="000000"/>
                <w:sz w:val="16"/>
                <w:szCs w:val="18"/>
                <w:lang w:val="es-CO" w:eastAsia="es-CO"/>
              </w:rPr>
            </w:pPr>
            <w:r w:rsidRPr="00A21B5C">
              <w:rPr>
                <w:rFonts w:ascii="Arial" w:eastAsia="Times New Roman" w:hAnsi="Arial" w:cs="Arial"/>
                <w:color w:val="000000"/>
                <w:sz w:val="16"/>
                <w:szCs w:val="18"/>
                <w:lang w:val="es-CO" w:eastAsia="es-CO"/>
              </w:rPr>
              <w:t>Construcción de dos aulas escolares en la comunidad de Tungueka.</w:t>
            </w:r>
            <w:r w:rsidR="00E45EEF" w:rsidRPr="00A21B5C">
              <w:rPr>
                <w:rFonts w:ascii="Arial" w:eastAsia="Times New Roman" w:hAnsi="Arial" w:cs="Arial"/>
                <w:color w:val="000000"/>
                <w:sz w:val="16"/>
                <w:szCs w:val="18"/>
                <w:lang w:val="es-CO" w:eastAsia="es-CO"/>
              </w:rPr>
              <w:t xml:space="preserve"> (Kogui)</w:t>
            </w:r>
          </w:p>
        </w:tc>
        <w:tc>
          <w:tcPr>
            <w:tcW w:w="2835" w:type="dxa"/>
            <w:tcBorders>
              <w:top w:val="single" w:sz="4" w:space="0" w:color="D9D9D9"/>
              <w:left w:val="dashSmallGap" w:sz="4" w:space="0" w:color="A6A6A6" w:themeColor="background1" w:themeShade="A6"/>
              <w:bottom w:val="nil"/>
              <w:right w:val="single" w:sz="4" w:space="0" w:color="000000" w:themeColor="text1"/>
            </w:tcBorders>
            <w:vAlign w:val="center"/>
            <w:hideMark/>
          </w:tcPr>
          <w:p w:rsidR="005F1458" w:rsidRPr="00A21B5C" w:rsidRDefault="005F1458" w:rsidP="00A21B5C">
            <w:pPr>
              <w:contextualSpacing/>
              <w:jc w:val="both"/>
              <w:rPr>
                <w:rFonts w:ascii="Arial" w:eastAsia="Times New Roman" w:hAnsi="Arial" w:cs="Arial"/>
                <w:color w:val="000000"/>
                <w:sz w:val="16"/>
                <w:szCs w:val="18"/>
                <w:lang w:val="es-CO" w:eastAsia="es-CO"/>
              </w:rPr>
            </w:pPr>
            <w:r w:rsidRPr="00A21B5C">
              <w:rPr>
                <w:rFonts w:ascii="Arial" w:eastAsia="Times New Roman" w:hAnsi="Arial" w:cs="Arial"/>
                <w:color w:val="000000"/>
                <w:sz w:val="16"/>
                <w:szCs w:val="18"/>
                <w:lang w:val="es-CO" w:eastAsia="es-CO"/>
              </w:rPr>
              <w:t>Construcción de dos aulas escolares en la comunidad de Tungueka.</w:t>
            </w:r>
            <w:r w:rsidR="00E45EEF" w:rsidRPr="00A21B5C">
              <w:rPr>
                <w:rFonts w:ascii="Arial" w:eastAsia="Times New Roman" w:hAnsi="Arial" w:cs="Arial"/>
                <w:color w:val="000000"/>
                <w:sz w:val="16"/>
                <w:szCs w:val="18"/>
                <w:lang w:val="es-CO" w:eastAsia="es-CO"/>
              </w:rPr>
              <w:t xml:space="preserve"> (Kogui)</w:t>
            </w:r>
          </w:p>
        </w:tc>
        <w:tc>
          <w:tcPr>
            <w:tcW w:w="2835" w:type="dxa"/>
            <w:tcBorders>
              <w:top w:val="single" w:sz="4" w:space="0" w:color="D9D9D9"/>
              <w:left w:val="dashSmallGap" w:sz="4" w:space="0" w:color="A6A6A6" w:themeColor="background1" w:themeShade="A6"/>
              <w:bottom w:val="nil"/>
              <w:right w:val="single" w:sz="4" w:space="0" w:color="000000" w:themeColor="text1"/>
            </w:tcBorders>
            <w:vAlign w:val="center"/>
          </w:tcPr>
          <w:p w:rsidR="005F1458" w:rsidRPr="00A21B5C" w:rsidRDefault="005F1458" w:rsidP="00A21B5C">
            <w:pPr>
              <w:contextualSpacing/>
              <w:jc w:val="both"/>
              <w:rPr>
                <w:rFonts w:ascii="Arial" w:eastAsia="Times New Roman" w:hAnsi="Arial" w:cs="Arial"/>
                <w:color w:val="000000"/>
                <w:sz w:val="16"/>
                <w:szCs w:val="18"/>
                <w:lang w:val="es-CO" w:eastAsia="es-CO"/>
              </w:rPr>
            </w:pPr>
          </w:p>
        </w:tc>
      </w:tr>
      <w:tr w:rsidR="006A7F76" w:rsidRPr="00A21B5C" w:rsidTr="00DC14B4">
        <w:trPr>
          <w:trHeight w:val="735"/>
        </w:trPr>
        <w:tc>
          <w:tcPr>
            <w:tcW w:w="1608" w:type="dxa"/>
            <w:vMerge w:val="restart"/>
            <w:tcBorders>
              <w:top w:val="nil"/>
              <w:left w:val="single" w:sz="4" w:space="0" w:color="000000"/>
              <w:bottom w:val="single" w:sz="4" w:space="0" w:color="000000" w:themeColor="text1"/>
              <w:right w:val="dashSmallGap" w:sz="4" w:space="0" w:color="A6A6A6" w:themeColor="background1" w:themeShade="A6"/>
            </w:tcBorders>
            <w:shd w:val="clear" w:color="auto" w:fill="D9E1F2"/>
            <w:vAlign w:val="center"/>
            <w:hideMark/>
          </w:tcPr>
          <w:p w:rsidR="005F1458" w:rsidRPr="00A21B5C" w:rsidRDefault="005F1458" w:rsidP="00A21B5C">
            <w:pPr>
              <w:contextualSpacing/>
              <w:jc w:val="center"/>
              <w:rPr>
                <w:rFonts w:ascii="Arial" w:eastAsia="Times New Roman" w:hAnsi="Arial" w:cs="Arial"/>
                <w:b/>
                <w:bCs/>
                <w:color w:val="000000"/>
                <w:sz w:val="18"/>
                <w:szCs w:val="18"/>
                <w:lang w:val="es-CO" w:eastAsia="es-CO"/>
              </w:rPr>
            </w:pPr>
            <w:r w:rsidRPr="00A21B5C">
              <w:rPr>
                <w:rFonts w:ascii="Arial" w:eastAsia="Times New Roman" w:hAnsi="Arial" w:cs="Arial"/>
                <w:b/>
                <w:bCs/>
                <w:color w:val="000000"/>
                <w:sz w:val="18"/>
                <w:szCs w:val="18"/>
                <w:lang w:val="es-CO" w:eastAsia="es-CO"/>
              </w:rPr>
              <w:t>INFRAESTRUCTURA</w:t>
            </w:r>
          </w:p>
        </w:tc>
        <w:tc>
          <w:tcPr>
            <w:tcW w:w="2835" w:type="dxa"/>
            <w:tcBorders>
              <w:top w:val="single" w:sz="4" w:space="0" w:color="000000"/>
              <w:left w:val="dashSmallGap" w:sz="4" w:space="0" w:color="A6A6A6" w:themeColor="background1" w:themeShade="A6"/>
              <w:bottom w:val="single" w:sz="4" w:space="0" w:color="A6A6A6" w:themeColor="background1" w:themeShade="A6"/>
              <w:right w:val="dashSmallGap" w:sz="4" w:space="0" w:color="A6A6A6" w:themeColor="background1" w:themeShade="A6"/>
            </w:tcBorders>
            <w:vAlign w:val="center"/>
            <w:hideMark/>
          </w:tcPr>
          <w:p w:rsidR="005F1458" w:rsidRPr="00A21B5C" w:rsidRDefault="00641046" w:rsidP="00A21B5C">
            <w:pPr>
              <w:contextualSpacing/>
              <w:jc w:val="both"/>
              <w:rPr>
                <w:rFonts w:ascii="Arial" w:eastAsia="Times New Roman" w:hAnsi="Arial" w:cs="Arial"/>
                <w:color w:val="000000"/>
                <w:sz w:val="16"/>
                <w:szCs w:val="18"/>
                <w:lang w:val="es-CO" w:eastAsia="es-CO"/>
              </w:rPr>
            </w:pPr>
            <w:r w:rsidRPr="00A21B5C">
              <w:rPr>
                <w:rFonts w:ascii="Arial" w:eastAsia="Times New Roman" w:hAnsi="Arial" w:cs="Arial"/>
                <w:color w:val="000000"/>
                <w:sz w:val="16"/>
                <w:szCs w:val="18"/>
                <w:lang w:val="es-CO" w:eastAsia="es-CO"/>
              </w:rPr>
              <w:t>Reparación de puentes colgantes en las comunidades de Santa Clara y Dumingueka, jurisdicción del Resguardo.</w:t>
            </w:r>
            <w:r w:rsidR="00894434" w:rsidRPr="00A21B5C">
              <w:rPr>
                <w:rFonts w:ascii="Arial" w:eastAsia="Times New Roman" w:hAnsi="Arial" w:cs="Arial"/>
                <w:color w:val="000000"/>
                <w:sz w:val="16"/>
                <w:szCs w:val="18"/>
                <w:lang w:val="es-CO" w:eastAsia="es-CO"/>
              </w:rPr>
              <w:t xml:space="preserve"> (Kogui)</w:t>
            </w:r>
          </w:p>
        </w:tc>
        <w:tc>
          <w:tcPr>
            <w:tcW w:w="2835" w:type="dxa"/>
            <w:tcBorders>
              <w:top w:val="single" w:sz="4" w:space="0" w:color="000000"/>
              <w:left w:val="dashSmallGap" w:sz="4" w:space="0" w:color="A6A6A6" w:themeColor="background1" w:themeShade="A6"/>
              <w:bottom w:val="single" w:sz="4" w:space="0" w:color="A6A6A6" w:themeColor="background1" w:themeShade="A6"/>
              <w:right w:val="single" w:sz="4" w:space="0" w:color="000000" w:themeColor="text1"/>
            </w:tcBorders>
            <w:vAlign w:val="center"/>
            <w:hideMark/>
          </w:tcPr>
          <w:p w:rsidR="005F1458" w:rsidRPr="00A21B5C" w:rsidRDefault="005F1458" w:rsidP="00A21B5C">
            <w:pPr>
              <w:contextualSpacing/>
              <w:jc w:val="both"/>
              <w:rPr>
                <w:rFonts w:ascii="Arial" w:eastAsia="Times New Roman" w:hAnsi="Arial" w:cs="Arial"/>
                <w:color w:val="000000"/>
                <w:sz w:val="16"/>
                <w:szCs w:val="18"/>
                <w:lang w:val="es-CO" w:eastAsia="es-CO"/>
              </w:rPr>
            </w:pPr>
            <w:r w:rsidRPr="00A21B5C">
              <w:rPr>
                <w:rFonts w:ascii="Arial" w:eastAsia="Times New Roman" w:hAnsi="Arial" w:cs="Arial"/>
                <w:color w:val="000000"/>
                <w:sz w:val="16"/>
                <w:szCs w:val="18"/>
                <w:lang w:val="es-CO" w:eastAsia="es-CO"/>
              </w:rPr>
              <w:t>Construcción y reparación de puentes colgantes Ríos Garavito y Junkuameru, en jurisdicción del Resguardo Kogui - Malayo - Arhuaco.</w:t>
            </w:r>
            <w:r w:rsidR="004D3E63" w:rsidRPr="00A21B5C">
              <w:rPr>
                <w:rFonts w:ascii="Arial" w:eastAsia="Times New Roman" w:hAnsi="Arial" w:cs="Arial"/>
                <w:color w:val="000000"/>
                <w:sz w:val="16"/>
                <w:szCs w:val="18"/>
                <w:lang w:val="es-CO" w:eastAsia="es-CO"/>
              </w:rPr>
              <w:t xml:space="preserve"> (Kogui)</w:t>
            </w:r>
          </w:p>
        </w:tc>
        <w:tc>
          <w:tcPr>
            <w:tcW w:w="2835" w:type="dxa"/>
            <w:tcBorders>
              <w:top w:val="single" w:sz="4" w:space="0" w:color="000000"/>
              <w:left w:val="dashSmallGap" w:sz="4" w:space="0" w:color="A6A6A6" w:themeColor="background1" w:themeShade="A6"/>
              <w:bottom w:val="single" w:sz="4" w:space="0" w:color="A6A6A6" w:themeColor="background1" w:themeShade="A6"/>
              <w:right w:val="single" w:sz="4" w:space="0" w:color="000000" w:themeColor="text1"/>
            </w:tcBorders>
            <w:vAlign w:val="center"/>
          </w:tcPr>
          <w:p w:rsidR="005F1458" w:rsidRPr="00A21B5C" w:rsidRDefault="0091522B" w:rsidP="00A21B5C">
            <w:pPr>
              <w:contextualSpacing/>
              <w:jc w:val="both"/>
              <w:rPr>
                <w:rFonts w:ascii="Arial" w:eastAsia="Times New Roman" w:hAnsi="Arial" w:cs="Arial"/>
                <w:color w:val="000000"/>
                <w:sz w:val="16"/>
                <w:szCs w:val="18"/>
                <w:lang w:val="es-CO" w:eastAsia="es-CO"/>
              </w:rPr>
            </w:pPr>
            <w:r w:rsidRPr="00A21B5C">
              <w:rPr>
                <w:rFonts w:ascii="Arial" w:eastAsia="Times New Roman" w:hAnsi="Arial" w:cs="Arial"/>
                <w:color w:val="000000"/>
                <w:sz w:val="16"/>
                <w:szCs w:val="18"/>
                <w:lang w:val="es-CO" w:eastAsia="es-CO"/>
              </w:rPr>
              <w:t>Construcción y reparación de puentes colgantes Ríos Garavito y Junkuameru, en jurisdicción del Resguardo Kogui - Malayo - Arhuaco. (Kogui)</w:t>
            </w:r>
          </w:p>
          <w:p w:rsidR="006C6B11" w:rsidRPr="00A21B5C" w:rsidRDefault="00680004" w:rsidP="00A21B5C">
            <w:pPr>
              <w:contextualSpacing/>
              <w:jc w:val="both"/>
              <w:rPr>
                <w:rFonts w:ascii="Arial" w:eastAsia="Times New Roman" w:hAnsi="Arial" w:cs="Arial"/>
                <w:color w:val="000000"/>
                <w:sz w:val="16"/>
                <w:szCs w:val="18"/>
                <w:lang w:val="es-CO" w:eastAsia="es-CO"/>
              </w:rPr>
            </w:pPr>
            <w:r w:rsidRPr="00A21B5C">
              <w:rPr>
                <w:rFonts w:ascii="Arial" w:eastAsia="Times New Roman" w:hAnsi="Arial" w:cs="Arial"/>
                <w:color w:val="000000"/>
                <w:sz w:val="16"/>
                <w:szCs w:val="18"/>
                <w:lang w:val="es-CO" w:eastAsia="es-CO"/>
              </w:rPr>
              <w:t>Construcción puente colgante sobre el rio palomino. (Arhuaco)</w:t>
            </w:r>
          </w:p>
        </w:tc>
      </w:tr>
      <w:tr w:rsidR="00EE5BCC" w:rsidRPr="00A21B5C" w:rsidTr="00DC14B4">
        <w:trPr>
          <w:trHeight w:val="562"/>
        </w:trPr>
        <w:tc>
          <w:tcPr>
            <w:tcW w:w="1608" w:type="dxa"/>
            <w:vMerge/>
            <w:tcBorders>
              <w:top w:val="nil"/>
              <w:left w:val="single" w:sz="4" w:space="0" w:color="000000"/>
              <w:bottom w:val="single" w:sz="4" w:space="0" w:color="auto"/>
              <w:right w:val="dashSmallGap" w:sz="4" w:space="0" w:color="A6A6A6" w:themeColor="background1" w:themeShade="A6"/>
            </w:tcBorders>
            <w:vAlign w:val="center"/>
            <w:hideMark/>
          </w:tcPr>
          <w:p w:rsidR="005F1458" w:rsidRPr="00A21B5C" w:rsidRDefault="005F1458" w:rsidP="00A21B5C">
            <w:pPr>
              <w:contextualSpacing/>
              <w:rPr>
                <w:rFonts w:ascii="Arial" w:eastAsia="Times New Roman" w:hAnsi="Arial" w:cs="Arial"/>
                <w:b/>
                <w:bCs/>
                <w:color w:val="000000"/>
                <w:sz w:val="18"/>
                <w:szCs w:val="18"/>
                <w:lang w:val="es-CO" w:eastAsia="es-CO"/>
              </w:rPr>
            </w:pPr>
          </w:p>
        </w:tc>
        <w:tc>
          <w:tcPr>
            <w:tcW w:w="2835" w:type="dxa"/>
            <w:tcBorders>
              <w:top w:val="single" w:sz="4" w:space="0" w:color="A6A6A6" w:themeColor="background1" w:themeShade="A6"/>
              <w:left w:val="dashSmallGap" w:sz="4" w:space="0" w:color="A6A6A6" w:themeColor="background1" w:themeShade="A6"/>
              <w:bottom w:val="single" w:sz="4" w:space="0" w:color="auto"/>
              <w:right w:val="dashSmallGap" w:sz="4" w:space="0" w:color="A6A6A6" w:themeColor="background1" w:themeShade="A6"/>
            </w:tcBorders>
            <w:vAlign w:val="center"/>
            <w:hideMark/>
          </w:tcPr>
          <w:p w:rsidR="005F1458" w:rsidRPr="00A21B5C" w:rsidRDefault="005F1458" w:rsidP="00A21B5C">
            <w:pPr>
              <w:contextualSpacing/>
              <w:jc w:val="both"/>
              <w:rPr>
                <w:rFonts w:ascii="Arial" w:eastAsia="Times New Roman" w:hAnsi="Arial" w:cs="Arial"/>
                <w:color w:val="000000"/>
                <w:sz w:val="16"/>
                <w:szCs w:val="18"/>
                <w:lang w:val="es-CO" w:eastAsia="es-CO"/>
              </w:rPr>
            </w:pPr>
          </w:p>
        </w:tc>
        <w:tc>
          <w:tcPr>
            <w:tcW w:w="2835" w:type="dxa"/>
            <w:tcBorders>
              <w:top w:val="single" w:sz="4" w:space="0" w:color="A6A6A6" w:themeColor="background1" w:themeShade="A6"/>
              <w:left w:val="dashSmallGap" w:sz="4" w:space="0" w:color="A6A6A6" w:themeColor="background1" w:themeShade="A6"/>
              <w:bottom w:val="single" w:sz="4" w:space="0" w:color="000000" w:themeColor="text1"/>
              <w:right w:val="single" w:sz="4" w:space="0" w:color="000000" w:themeColor="text1"/>
            </w:tcBorders>
            <w:vAlign w:val="center"/>
            <w:hideMark/>
          </w:tcPr>
          <w:p w:rsidR="005F1458" w:rsidRPr="00A21B5C" w:rsidRDefault="005F1458" w:rsidP="00A21B5C">
            <w:pPr>
              <w:contextualSpacing/>
              <w:jc w:val="both"/>
              <w:rPr>
                <w:rFonts w:ascii="Arial" w:eastAsia="Times New Roman" w:hAnsi="Arial" w:cs="Arial"/>
                <w:color w:val="000000"/>
                <w:sz w:val="16"/>
                <w:szCs w:val="18"/>
                <w:lang w:val="es-CO" w:eastAsia="es-CO"/>
              </w:rPr>
            </w:pPr>
            <w:r w:rsidRPr="00A21B5C">
              <w:rPr>
                <w:rFonts w:ascii="Arial" w:eastAsia="Times New Roman" w:hAnsi="Arial" w:cs="Arial"/>
                <w:color w:val="000000"/>
                <w:sz w:val="16"/>
                <w:szCs w:val="18"/>
                <w:lang w:val="es-CO" w:eastAsia="es-CO"/>
              </w:rPr>
              <w:t>Construcción de obras adicionales en dos bodegas para acopio de café e instalación de trilladora.</w:t>
            </w:r>
            <w:r w:rsidR="004D3E63" w:rsidRPr="00A21B5C">
              <w:rPr>
                <w:rFonts w:ascii="Arial" w:eastAsia="Times New Roman" w:hAnsi="Arial" w:cs="Arial"/>
                <w:color w:val="000000"/>
                <w:sz w:val="16"/>
                <w:szCs w:val="18"/>
                <w:lang w:val="es-CO" w:eastAsia="es-CO"/>
              </w:rPr>
              <w:t xml:space="preserve"> (Kogui) </w:t>
            </w:r>
          </w:p>
        </w:tc>
        <w:tc>
          <w:tcPr>
            <w:tcW w:w="2835" w:type="dxa"/>
            <w:tcBorders>
              <w:top w:val="single" w:sz="4" w:space="0" w:color="A6A6A6" w:themeColor="background1" w:themeShade="A6"/>
              <w:left w:val="dashSmallGap" w:sz="4" w:space="0" w:color="A6A6A6" w:themeColor="background1" w:themeShade="A6"/>
              <w:bottom w:val="single" w:sz="4" w:space="0" w:color="000000" w:themeColor="text1"/>
              <w:right w:val="single" w:sz="4" w:space="0" w:color="000000" w:themeColor="text1"/>
            </w:tcBorders>
            <w:vAlign w:val="center"/>
          </w:tcPr>
          <w:p w:rsidR="005F1458" w:rsidRPr="00A21B5C" w:rsidRDefault="006C6B11" w:rsidP="00A21B5C">
            <w:pPr>
              <w:contextualSpacing/>
              <w:jc w:val="both"/>
              <w:rPr>
                <w:rFonts w:ascii="Arial" w:eastAsia="Times New Roman" w:hAnsi="Arial" w:cs="Arial"/>
                <w:color w:val="000000"/>
                <w:sz w:val="16"/>
                <w:szCs w:val="18"/>
                <w:lang w:val="es-CO" w:eastAsia="es-CO"/>
              </w:rPr>
            </w:pPr>
            <w:r w:rsidRPr="00A21B5C">
              <w:rPr>
                <w:rFonts w:ascii="Arial" w:eastAsia="Times New Roman" w:hAnsi="Arial" w:cs="Arial"/>
                <w:color w:val="000000"/>
                <w:sz w:val="16"/>
                <w:szCs w:val="18"/>
                <w:lang w:val="es-CO" w:eastAsia="es-CO"/>
              </w:rPr>
              <w:t>Construcción de obras adicionales en dos bodegas para acopio de café e instalación de trilladora. (Kogui)</w:t>
            </w:r>
          </w:p>
        </w:tc>
      </w:tr>
      <w:tr w:rsidR="00485382" w:rsidRPr="00A21B5C" w:rsidTr="00DC14B4">
        <w:trPr>
          <w:trHeight w:val="756"/>
        </w:trPr>
        <w:tc>
          <w:tcPr>
            <w:tcW w:w="1608" w:type="dxa"/>
            <w:tcBorders>
              <w:top w:val="single" w:sz="4" w:space="0" w:color="auto"/>
              <w:left w:val="single" w:sz="4" w:space="0" w:color="000000"/>
              <w:bottom w:val="single" w:sz="4" w:space="0" w:color="auto"/>
              <w:right w:val="dashSmallGap" w:sz="4" w:space="0" w:color="A6A6A6" w:themeColor="background1" w:themeShade="A6"/>
            </w:tcBorders>
            <w:shd w:val="clear" w:color="auto" w:fill="D9E1F2"/>
            <w:vAlign w:val="center"/>
          </w:tcPr>
          <w:p w:rsidR="00260193" w:rsidRPr="00A21B5C" w:rsidRDefault="00260193" w:rsidP="00A21B5C">
            <w:pPr>
              <w:contextualSpacing/>
              <w:jc w:val="center"/>
              <w:rPr>
                <w:rFonts w:ascii="Arial" w:eastAsia="Times New Roman" w:hAnsi="Arial" w:cs="Arial"/>
                <w:b/>
                <w:bCs/>
                <w:color w:val="000000"/>
                <w:sz w:val="18"/>
                <w:szCs w:val="18"/>
                <w:lang w:val="es-CO" w:eastAsia="es-CO"/>
              </w:rPr>
            </w:pPr>
            <w:r w:rsidRPr="00A21B5C">
              <w:rPr>
                <w:rFonts w:ascii="Arial" w:eastAsia="Times New Roman" w:hAnsi="Arial" w:cs="Arial"/>
                <w:b/>
                <w:bCs/>
                <w:color w:val="000000"/>
                <w:sz w:val="18"/>
                <w:szCs w:val="18"/>
                <w:lang w:val="es-CO" w:eastAsia="es-CO"/>
              </w:rPr>
              <w:t>INTERVENTORÍA</w:t>
            </w:r>
          </w:p>
        </w:tc>
        <w:tc>
          <w:tcPr>
            <w:tcW w:w="2835" w:type="dxa"/>
            <w:tcBorders>
              <w:top w:val="single" w:sz="4" w:space="0" w:color="auto"/>
              <w:left w:val="dashSmallGap" w:sz="4" w:space="0" w:color="A6A6A6" w:themeColor="background1" w:themeShade="A6"/>
              <w:bottom w:val="single" w:sz="4" w:space="0" w:color="auto"/>
              <w:right w:val="dashSmallGap" w:sz="4" w:space="0" w:color="A6A6A6" w:themeColor="background1" w:themeShade="A6"/>
            </w:tcBorders>
            <w:vAlign w:val="center"/>
            <w:hideMark/>
          </w:tcPr>
          <w:p w:rsidR="00260193" w:rsidRPr="00A21B5C" w:rsidRDefault="00260193" w:rsidP="00A21B5C">
            <w:pPr>
              <w:contextualSpacing/>
              <w:jc w:val="both"/>
              <w:rPr>
                <w:rFonts w:ascii="Arial" w:eastAsia="Times New Roman" w:hAnsi="Arial" w:cs="Arial"/>
                <w:color w:val="000000"/>
                <w:sz w:val="16"/>
                <w:szCs w:val="18"/>
                <w:lang w:val="es-CO" w:eastAsia="es-CO"/>
              </w:rPr>
            </w:pPr>
            <w:r w:rsidRPr="00A21B5C">
              <w:rPr>
                <w:rFonts w:ascii="Arial" w:eastAsia="Times New Roman" w:hAnsi="Arial" w:cs="Arial"/>
                <w:color w:val="000000"/>
                <w:sz w:val="16"/>
                <w:szCs w:val="18"/>
                <w:lang w:val="es-CO" w:eastAsia="es-CO"/>
              </w:rPr>
              <w:t>Pago de interventoría de obras civiles</w:t>
            </w:r>
            <w:r w:rsidR="00DC14B4" w:rsidRPr="00A21B5C">
              <w:rPr>
                <w:rFonts w:ascii="Arial" w:eastAsia="Times New Roman" w:hAnsi="Arial" w:cs="Arial"/>
                <w:color w:val="000000"/>
                <w:sz w:val="16"/>
                <w:szCs w:val="18"/>
                <w:lang w:val="es-CO" w:eastAsia="es-CO"/>
              </w:rPr>
              <w:t>. (Kogui)</w:t>
            </w:r>
          </w:p>
        </w:tc>
        <w:tc>
          <w:tcPr>
            <w:tcW w:w="2835" w:type="dxa"/>
            <w:tcBorders>
              <w:top w:val="single" w:sz="4" w:space="0" w:color="000000" w:themeColor="text1"/>
              <w:left w:val="dashSmallGap" w:sz="4" w:space="0" w:color="A6A6A6" w:themeColor="background1" w:themeShade="A6"/>
              <w:bottom w:val="single" w:sz="4" w:space="0" w:color="auto"/>
              <w:right w:val="single" w:sz="4" w:space="0" w:color="000000" w:themeColor="text1"/>
            </w:tcBorders>
            <w:vAlign w:val="center"/>
            <w:hideMark/>
          </w:tcPr>
          <w:p w:rsidR="00260193" w:rsidRPr="00A21B5C" w:rsidRDefault="00260193" w:rsidP="00A21B5C">
            <w:pPr>
              <w:contextualSpacing/>
              <w:jc w:val="both"/>
              <w:rPr>
                <w:rFonts w:ascii="Arial" w:eastAsia="Times New Roman" w:hAnsi="Arial" w:cs="Arial"/>
                <w:color w:val="000000"/>
                <w:sz w:val="16"/>
                <w:szCs w:val="18"/>
                <w:lang w:val="es-CO" w:eastAsia="es-CO"/>
              </w:rPr>
            </w:pPr>
            <w:r w:rsidRPr="00A21B5C">
              <w:rPr>
                <w:rFonts w:ascii="Arial" w:eastAsia="Times New Roman" w:hAnsi="Arial" w:cs="Arial"/>
                <w:color w:val="000000"/>
                <w:sz w:val="16"/>
                <w:szCs w:val="18"/>
                <w:lang w:val="es-CO" w:eastAsia="es-CO"/>
              </w:rPr>
              <w:t>Pago de interventoría de obras civiles</w:t>
            </w:r>
            <w:r w:rsidR="00DC14B4" w:rsidRPr="00A21B5C">
              <w:rPr>
                <w:rFonts w:ascii="Arial" w:eastAsia="Times New Roman" w:hAnsi="Arial" w:cs="Arial"/>
                <w:color w:val="000000"/>
                <w:sz w:val="16"/>
                <w:szCs w:val="18"/>
                <w:lang w:val="es-CO" w:eastAsia="es-CO"/>
              </w:rPr>
              <w:t>. (Kogui)</w:t>
            </w:r>
          </w:p>
        </w:tc>
        <w:tc>
          <w:tcPr>
            <w:tcW w:w="2835" w:type="dxa"/>
            <w:tcBorders>
              <w:top w:val="single" w:sz="4" w:space="0" w:color="000000" w:themeColor="text1"/>
              <w:left w:val="dashSmallGap" w:sz="4" w:space="0" w:color="A6A6A6" w:themeColor="background1" w:themeShade="A6"/>
              <w:bottom w:val="single" w:sz="4" w:space="0" w:color="auto"/>
              <w:right w:val="single" w:sz="4" w:space="0" w:color="000000" w:themeColor="text1"/>
            </w:tcBorders>
            <w:vAlign w:val="center"/>
          </w:tcPr>
          <w:p w:rsidR="00260193" w:rsidRPr="00A21B5C" w:rsidRDefault="00E35507" w:rsidP="00A21B5C">
            <w:pPr>
              <w:contextualSpacing/>
              <w:jc w:val="both"/>
              <w:rPr>
                <w:rFonts w:ascii="Arial" w:eastAsia="Times New Roman" w:hAnsi="Arial" w:cs="Arial"/>
                <w:color w:val="000000"/>
                <w:sz w:val="16"/>
                <w:szCs w:val="18"/>
                <w:lang w:val="es-CO" w:eastAsia="es-CO"/>
              </w:rPr>
            </w:pPr>
            <w:r w:rsidRPr="00A21B5C">
              <w:rPr>
                <w:rFonts w:ascii="Arial" w:eastAsia="Times New Roman" w:hAnsi="Arial" w:cs="Arial"/>
                <w:color w:val="000000"/>
                <w:sz w:val="16"/>
                <w:szCs w:val="18"/>
                <w:lang w:val="es-CO" w:eastAsia="es-CO"/>
              </w:rPr>
              <w:t>Pago de interventoría de obras civiles</w:t>
            </w:r>
            <w:r w:rsidR="00DC14B4" w:rsidRPr="00A21B5C">
              <w:rPr>
                <w:rFonts w:ascii="Arial" w:eastAsia="Times New Roman" w:hAnsi="Arial" w:cs="Arial"/>
                <w:color w:val="000000"/>
                <w:sz w:val="16"/>
                <w:szCs w:val="18"/>
                <w:lang w:val="es-CO" w:eastAsia="es-CO"/>
              </w:rPr>
              <w:t xml:space="preserve">. (Kogui) </w:t>
            </w:r>
          </w:p>
        </w:tc>
      </w:tr>
      <w:tr w:rsidR="006A7F76" w:rsidRPr="00A21B5C" w:rsidTr="00DC14B4">
        <w:trPr>
          <w:trHeight w:val="660"/>
        </w:trPr>
        <w:tc>
          <w:tcPr>
            <w:tcW w:w="1608" w:type="dxa"/>
            <w:vMerge w:val="restart"/>
            <w:tcBorders>
              <w:top w:val="single" w:sz="4" w:space="0" w:color="auto"/>
              <w:left w:val="single" w:sz="4" w:space="0" w:color="auto"/>
              <w:right w:val="dashSmallGap" w:sz="4" w:space="0" w:color="A6A6A6" w:themeColor="background1" w:themeShade="A6"/>
            </w:tcBorders>
            <w:shd w:val="clear" w:color="auto" w:fill="D9E1F2"/>
            <w:vAlign w:val="center"/>
            <w:hideMark/>
          </w:tcPr>
          <w:p w:rsidR="00260193" w:rsidRPr="00A21B5C" w:rsidRDefault="00260193" w:rsidP="00A21B5C">
            <w:pPr>
              <w:contextualSpacing/>
              <w:jc w:val="center"/>
              <w:rPr>
                <w:rFonts w:ascii="Arial" w:eastAsia="Times New Roman" w:hAnsi="Arial" w:cs="Arial"/>
                <w:b/>
                <w:bCs/>
                <w:color w:val="000000"/>
                <w:sz w:val="18"/>
                <w:szCs w:val="18"/>
                <w:lang w:val="es-CO" w:eastAsia="es-CO"/>
              </w:rPr>
            </w:pPr>
            <w:r w:rsidRPr="00A21B5C">
              <w:rPr>
                <w:rFonts w:ascii="Arial" w:eastAsia="Times New Roman" w:hAnsi="Arial" w:cs="Arial"/>
                <w:b/>
                <w:bCs/>
                <w:color w:val="000000"/>
                <w:sz w:val="18"/>
                <w:szCs w:val="18"/>
                <w:lang w:val="es-CO" w:eastAsia="es-CO"/>
              </w:rPr>
              <w:t>CULTURA</w:t>
            </w:r>
          </w:p>
        </w:tc>
        <w:tc>
          <w:tcPr>
            <w:tcW w:w="2835" w:type="dxa"/>
            <w:tcBorders>
              <w:top w:val="single" w:sz="4" w:space="0" w:color="auto"/>
              <w:left w:val="dashSmallGap" w:sz="4" w:space="0" w:color="A6A6A6" w:themeColor="background1" w:themeShade="A6"/>
              <w:bottom w:val="dashSmallGap" w:sz="4" w:space="0" w:color="BFBFBF"/>
              <w:right w:val="dashSmallGap" w:sz="4" w:space="0" w:color="A6A6A6" w:themeColor="background1" w:themeShade="A6"/>
            </w:tcBorders>
            <w:vAlign w:val="center"/>
            <w:hideMark/>
          </w:tcPr>
          <w:p w:rsidR="00260193" w:rsidRPr="00A21B5C" w:rsidRDefault="00260193" w:rsidP="00A21B5C">
            <w:pPr>
              <w:contextualSpacing/>
              <w:jc w:val="both"/>
              <w:rPr>
                <w:rFonts w:ascii="Arial" w:eastAsia="Times New Roman" w:hAnsi="Arial" w:cs="Arial"/>
                <w:color w:val="000000"/>
                <w:sz w:val="16"/>
                <w:szCs w:val="18"/>
                <w:lang w:val="es-CO" w:eastAsia="es-CO"/>
              </w:rPr>
            </w:pPr>
            <w:r w:rsidRPr="00A21B5C">
              <w:rPr>
                <w:rFonts w:ascii="Arial" w:eastAsia="Times New Roman" w:hAnsi="Arial" w:cs="Arial"/>
                <w:color w:val="000000"/>
                <w:sz w:val="16"/>
                <w:szCs w:val="18"/>
                <w:lang w:val="es-CO" w:eastAsia="es-CO"/>
              </w:rPr>
              <w:t>Compra de materiales tradicionales para construcción y adecuación de casa ceremonial</w:t>
            </w:r>
            <w:r w:rsidR="00E35507" w:rsidRPr="00A21B5C">
              <w:rPr>
                <w:rFonts w:ascii="Arial" w:eastAsia="Times New Roman" w:hAnsi="Arial" w:cs="Arial"/>
                <w:color w:val="000000"/>
                <w:sz w:val="16"/>
                <w:szCs w:val="18"/>
                <w:lang w:val="es-CO" w:eastAsia="es-CO"/>
              </w:rPr>
              <w:t>. (Kogui)</w:t>
            </w:r>
            <w:r w:rsidRPr="00A21B5C">
              <w:rPr>
                <w:rFonts w:ascii="Arial" w:eastAsia="Times New Roman" w:hAnsi="Arial" w:cs="Arial"/>
                <w:color w:val="000000"/>
                <w:sz w:val="16"/>
                <w:szCs w:val="18"/>
                <w:lang w:val="es-CO" w:eastAsia="es-CO"/>
              </w:rPr>
              <w:t xml:space="preserve"> </w:t>
            </w:r>
          </w:p>
        </w:tc>
        <w:tc>
          <w:tcPr>
            <w:tcW w:w="2835" w:type="dxa"/>
            <w:tcBorders>
              <w:top w:val="single" w:sz="4" w:space="0" w:color="auto"/>
              <w:left w:val="dashSmallGap" w:sz="4" w:space="0" w:color="A6A6A6" w:themeColor="background1" w:themeShade="A6"/>
              <w:bottom w:val="dashSmallGap" w:sz="4" w:space="0" w:color="BFBFBF"/>
              <w:right w:val="single" w:sz="4" w:space="0" w:color="000000" w:themeColor="text1"/>
            </w:tcBorders>
            <w:vAlign w:val="center"/>
            <w:hideMark/>
          </w:tcPr>
          <w:p w:rsidR="00260193" w:rsidRPr="00A21B5C" w:rsidRDefault="00260193" w:rsidP="00A21B5C">
            <w:pPr>
              <w:contextualSpacing/>
              <w:jc w:val="both"/>
              <w:rPr>
                <w:rFonts w:ascii="Arial" w:eastAsia="Times New Roman" w:hAnsi="Arial" w:cs="Arial"/>
                <w:color w:val="000000"/>
                <w:sz w:val="16"/>
                <w:szCs w:val="18"/>
                <w:lang w:val="es-CO" w:eastAsia="es-CO"/>
              </w:rPr>
            </w:pPr>
            <w:r w:rsidRPr="00A21B5C">
              <w:rPr>
                <w:rFonts w:ascii="Arial" w:eastAsia="Times New Roman" w:hAnsi="Arial" w:cs="Arial"/>
                <w:color w:val="000000"/>
                <w:sz w:val="16"/>
                <w:szCs w:val="18"/>
                <w:lang w:val="es-CO" w:eastAsia="es-CO"/>
              </w:rPr>
              <w:t> </w:t>
            </w:r>
          </w:p>
        </w:tc>
        <w:tc>
          <w:tcPr>
            <w:tcW w:w="2835" w:type="dxa"/>
            <w:tcBorders>
              <w:top w:val="single" w:sz="4" w:space="0" w:color="auto"/>
              <w:left w:val="dashSmallGap" w:sz="4" w:space="0" w:color="A6A6A6" w:themeColor="background1" w:themeShade="A6"/>
              <w:bottom w:val="dashSmallGap" w:sz="4" w:space="0" w:color="BFBFBF"/>
              <w:right w:val="single" w:sz="4" w:space="0" w:color="auto"/>
            </w:tcBorders>
            <w:vAlign w:val="center"/>
          </w:tcPr>
          <w:p w:rsidR="00260193" w:rsidRPr="00A21B5C" w:rsidRDefault="00260193" w:rsidP="00A21B5C">
            <w:pPr>
              <w:contextualSpacing/>
              <w:jc w:val="both"/>
              <w:rPr>
                <w:rFonts w:ascii="Arial" w:eastAsia="Times New Roman" w:hAnsi="Arial" w:cs="Arial"/>
                <w:color w:val="000000"/>
                <w:sz w:val="16"/>
                <w:szCs w:val="18"/>
                <w:lang w:val="es-CO" w:eastAsia="es-CO"/>
              </w:rPr>
            </w:pPr>
          </w:p>
        </w:tc>
      </w:tr>
      <w:tr w:rsidR="006A7F76" w:rsidRPr="00A21B5C" w:rsidTr="00DC14B4">
        <w:trPr>
          <w:trHeight w:val="660"/>
        </w:trPr>
        <w:tc>
          <w:tcPr>
            <w:tcW w:w="1608" w:type="dxa"/>
            <w:vMerge/>
            <w:tcBorders>
              <w:left w:val="single" w:sz="4" w:space="0" w:color="auto"/>
              <w:bottom w:val="single" w:sz="4" w:space="0" w:color="auto"/>
              <w:right w:val="dashSmallGap" w:sz="4" w:space="0" w:color="BFBFBF"/>
            </w:tcBorders>
            <w:shd w:val="clear" w:color="auto" w:fill="D9E1F2"/>
            <w:vAlign w:val="center"/>
          </w:tcPr>
          <w:p w:rsidR="00260193" w:rsidRPr="00A21B5C" w:rsidRDefault="00260193" w:rsidP="00A21B5C">
            <w:pPr>
              <w:contextualSpacing/>
              <w:rPr>
                <w:rFonts w:ascii="Arial" w:eastAsia="Times New Roman" w:hAnsi="Arial" w:cs="Arial"/>
                <w:b/>
                <w:bCs/>
                <w:color w:val="000000"/>
                <w:sz w:val="18"/>
                <w:szCs w:val="18"/>
                <w:lang w:val="es-CO" w:eastAsia="es-CO"/>
              </w:rPr>
            </w:pPr>
          </w:p>
        </w:tc>
        <w:tc>
          <w:tcPr>
            <w:tcW w:w="2835" w:type="dxa"/>
            <w:tcBorders>
              <w:top w:val="dashSmallGap" w:sz="4" w:space="0" w:color="BFBFBF"/>
              <w:left w:val="dashSmallGap" w:sz="4" w:space="0" w:color="BFBFBF"/>
              <w:bottom w:val="single" w:sz="4" w:space="0" w:color="auto"/>
              <w:right w:val="dashSmallGap" w:sz="4" w:space="0" w:color="A6A6A6" w:themeColor="background1" w:themeShade="A6"/>
            </w:tcBorders>
            <w:vAlign w:val="center"/>
          </w:tcPr>
          <w:p w:rsidR="00260193" w:rsidRPr="00A21B5C" w:rsidRDefault="00260193" w:rsidP="00A21B5C">
            <w:pPr>
              <w:contextualSpacing/>
              <w:jc w:val="both"/>
              <w:rPr>
                <w:rFonts w:ascii="Arial" w:eastAsia="Times New Roman" w:hAnsi="Arial" w:cs="Arial"/>
                <w:color w:val="000000"/>
                <w:sz w:val="16"/>
                <w:szCs w:val="18"/>
                <w:lang w:val="es-CO" w:eastAsia="es-CO"/>
              </w:rPr>
            </w:pPr>
            <w:r w:rsidRPr="00A21B5C">
              <w:rPr>
                <w:rFonts w:ascii="Arial" w:eastAsia="Times New Roman" w:hAnsi="Arial" w:cs="Arial"/>
                <w:color w:val="000000"/>
                <w:sz w:val="16"/>
                <w:szCs w:val="18"/>
                <w:lang w:val="es-CO" w:eastAsia="es-CO"/>
              </w:rPr>
              <w:t>Compra de materiales  para la construcción de dos (2) Kankwrwas ceremoniales de Munzhi (mujeres) en Gonawimake y Dumingueka</w:t>
            </w:r>
            <w:r w:rsidR="00E35507" w:rsidRPr="00A21B5C">
              <w:rPr>
                <w:rFonts w:ascii="Arial" w:eastAsia="Times New Roman" w:hAnsi="Arial" w:cs="Arial"/>
                <w:color w:val="000000"/>
                <w:sz w:val="16"/>
                <w:szCs w:val="18"/>
                <w:lang w:val="es-CO" w:eastAsia="es-CO"/>
              </w:rPr>
              <w:t xml:space="preserve">. (Kogui) </w:t>
            </w:r>
          </w:p>
        </w:tc>
        <w:tc>
          <w:tcPr>
            <w:tcW w:w="2835" w:type="dxa"/>
            <w:tcBorders>
              <w:top w:val="dashSmallGap" w:sz="4" w:space="0" w:color="BFBFBF"/>
              <w:left w:val="dashSmallGap" w:sz="4" w:space="0" w:color="A6A6A6" w:themeColor="background1" w:themeShade="A6"/>
              <w:bottom w:val="single" w:sz="4" w:space="0" w:color="auto"/>
              <w:right w:val="single" w:sz="4" w:space="0" w:color="000000" w:themeColor="text1"/>
            </w:tcBorders>
            <w:vAlign w:val="center"/>
          </w:tcPr>
          <w:p w:rsidR="00260193" w:rsidRPr="00A21B5C" w:rsidRDefault="00260193" w:rsidP="00A21B5C">
            <w:pPr>
              <w:contextualSpacing/>
              <w:jc w:val="both"/>
              <w:rPr>
                <w:rFonts w:ascii="Arial" w:eastAsia="Times New Roman" w:hAnsi="Arial" w:cs="Arial"/>
                <w:color w:val="000000"/>
                <w:sz w:val="16"/>
                <w:szCs w:val="18"/>
                <w:lang w:val="es-CO" w:eastAsia="es-CO"/>
              </w:rPr>
            </w:pPr>
            <w:r w:rsidRPr="00A21B5C">
              <w:rPr>
                <w:rFonts w:ascii="Arial" w:eastAsia="Times New Roman" w:hAnsi="Arial" w:cs="Arial"/>
                <w:color w:val="000000"/>
                <w:sz w:val="16"/>
                <w:szCs w:val="18"/>
                <w:lang w:val="es-CO" w:eastAsia="es-CO"/>
              </w:rPr>
              <w:t> </w:t>
            </w:r>
          </w:p>
        </w:tc>
        <w:tc>
          <w:tcPr>
            <w:tcW w:w="2835" w:type="dxa"/>
            <w:tcBorders>
              <w:top w:val="dashSmallGap" w:sz="4" w:space="0" w:color="BFBFBF"/>
              <w:left w:val="dashSmallGap" w:sz="4" w:space="0" w:color="A6A6A6" w:themeColor="background1" w:themeShade="A6"/>
              <w:bottom w:val="single" w:sz="4" w:space="0" w:color="auto"/>
              <w:right w:val="single" w:sz="4" w:space="0" w:color="auto"/>
            </w:tcBorders>
            <w:vAlign w:val="center"/>
          </w:tcPr>
          <w:p w:rsidR="00260193" w:rsidRPr="00A21B5C" w:rsidRDefault="00260193" w:rsidP="00A21B5C">
            <w:pPr>
              <w:contextualSpacing/>
              <w:jc w:val="both"/>
              <w:rPr>
                <w:rFonts w:ascii="Arial" w:eastAsia="Times New Roman" w:hAnsi="Arial" w:cs="Arial"/>
                <w:color w:val="000000"/>
                <w:sz w:val="16"/>
                <w:szCs w:val="18"/>
                <w:lang w:val="es-CO" w:eastAsia="es-CO"/>
              </w:rPr>
            </w:pPr>
          </w:p>
        </w:tc>
      </w:tr>
    </w:tbl>
    <w:p w:rsidR="008C2E4A" w:rsidRPr="00A21B5C" w:rsidRDefault="0030430C" w:rsidP="00A21B5C">
      <w:pPr>
        <w:contextualSpacing/>
        <w:jc w:val="center"/>
        <w:rPr>
          <w:rFonts w:ascii="Arial" w:hAnsi="Arial" w:cs="Arial"/>
          <w:sz w:val="20"/>
          <w:szCs w:val="20"/>
          <w:lang w:val="es-CO"/>
        </w:rPr>
      </w:pPr>
      <w:r w:rsidRPr="00A21B5C">
        <w:rPr>
          <w:rFonts w:ascii="Arial" w:hAnsi="Arial" w:cs="Arial"/>
          <w:b/>
          <w:bCs/>
          <w:sz w:val="20"/>
          <w:szCs w:val="20"/>
          <w:lang w:val="es-CO"/>
        </w:rPr>
        <w:t>Fuente:</w:t>
      </w:r>
      <w:r w:rsidRPr="00A21B5C">
        <w:rPr>
          <w:rFonts w:ascii="Arial" w:hAnsi="Arial" w:cs="Arial"/>
          <w:sz w:val="20"/>
          <w:szCs w:val="20"/>
          <w:lang w:val="es-CO"/>
        </w:rPr>
        <w:t xml:space="preserve"> Actas de concertación del Resguardo Indígena Kogui – Malayo – Arhuaco de las vigencias 2017, 2018 y 2019</w:t>
      </w:r>
    </w:p>
    <w:p w:rsidR="0030430C" w:rsidRPr="00A21B5C" w:rsidRDefault="0030430C" w:rsidP="00A21B5C">
      <w:pPr>
        <w:contextualSpacing/>
        <w:jc w:val="center"/>
        <w:rPr>
          <w:rFonts w:ascii="Arial" w:hAnsi="Arial" w:cs="Arial"/>
          <w:sz w:val="22"/>
          <w:szCs w:val="22"/>
          <w:lang w:val="es-CO"/>
        </w:rPr>
      </w:pPr>
    </w:p>
    <w:p w:rsidR="005852F3" w:rsidRPr="00A21B5C" w:rsidRDefault="00B90182" w:rsidP="00A21B5C">
      <w:pPr>
        <w:contextualSpacing/>
        <w:jc w:val="both"/>
        <w:rPr>
          <w:rFonts w:ascii="Arial" w:hAnsi="Arial" w:cs="Arial"/>
          <w:sz w:val="22"/>
          <w:szCs w:val="22"/>
          <w:lang w:val="es-CO"/>
        </w:rPr>
      </w:pPr>
      <w:r w:rsidRPr="00A21B5C">
        <w:rPr>
          <w:rFonts w:ascii="Arial" w:hAnsi="Arial" w:cs="Arial"/>
          <w:sz w:val="22"/>
          <w:szCs w:val="22"/>
          <w:lang w:val="es-CO"/>
        </w:rPr>
        <w:t>Ahora bien</w:t>
      </w:r>
      <w:r w:rsidR="008C2E4A" w:rsidRPr="00A21B5C">
        <w:rPr>
          <w:rFonts w:ascii="Arial" w:hAnsi="Arial" w:cs="Arial"/>
          <w:sz w:val="22"/>
          <w:szCs w:val="22"/>
          <w:lang w:val="es-CO"/>
        </w:rPr>
        <w:t xml:space="preserve">, en </w:t>
      </w:r>
      <w:r w:rsidRPr="00A21B5C">
        <w:rPr>
          <w:rFonts w:ascii="Arial" w:hAnsi="Arial" w:cs="Arial"/>
          <w:sz w:val="22"/>
          <w:szCs w:val="22"/>
          <w:lang w:val="es-CO"/>
        </w:rPr>
        <w:t xml:space="preserve">cuanto a la </w:t>
      </w:r>
      <w:r w:rsidR="008C2E4A" w:rsidRPr="00A21B5C">
        <w:rPr>
          <w:rFonts w:ascii="Arial" w:hAnsi="Arial" w:cs="Arial"/>
          <w:sz w:val="22"/>
          <w:szCs w:val="22"/>
          <w:lang w:val="es-CO"/>
        </w:rPr>
        <w:t xml:space="preserve">evaluación de su </w:t>
      </w:r>
      <w:r w:rsidR="008C2E4A" w:rsidRPr="00A21B5C">
        <w:rPr>
          <w:rFonts w:ascii="Arial" w:hAnsi="Arial" w:cs="Arial"/>
          <w:bCs/>
          <w:iCs/>
          <w:sz w:val="22"/>
          <w:szCs w:val="22"/>
          <w:lang w:val="es-CO"/>
        </w:rPr>
        <w:t>articulación con los planes de vida,</w:t>
      </w:r>
      <w:r w:rsidR="008C2E4A" w:rsidRPr="00A21B5C">
        <w:rPr>
          <w:rFonts w:ascii="Arial" w:hAnsi="Arial" w:cs="Arial"/>
          <w:sz w:val="22"/>
          <w:szCs w:val="22"/>
          <w:lang w:val="es-CO"/>
        </w:rPr>
        <w:t xml:space="preserve"> </w:t>
      </w:r>
      <w:r w:rsidR="007348F8" w:rsidRPr="00A21B5C">
        <w:rPr>
          <w:rFonts w:ascii="Arial" w:hAnsi="Arial" w:cs="Arial"/>
          <w:sz w:val="22"/>
          <w:szCs w:val="22"/>
          <w:lang w:val="es-CO"/>
        </w:rPr>
        <w:t xml:space="preserve">solo </w:t>
      </w:r>
      <w:r w:rsidR="008F08F4" w:rsidRPr="00A21B5C">
        <w:rPr>
          <w:rFonts w:ascii="Arial" w:hAnsi="Arial" w:cs="Arial"/>
          <w:sz w:val="22"/>
          <w:szCs w:val="22"/>
          <w:lang w:val="es-CO"/>
        </w:rPr>
        <w:t xml:space="preserve">fue posible realizar el contraste </w:t>
      </w:r>
      <w:r w:rsidR="00C176C8" w:rsidRPr="00A21B5C">
        <w:rPr>
          <w:rFonts w:ascii="Arial" w:hAnsi="Arial" w:cs="Arial"/>
          <w:sz w:val="22"/>
          <w:szCs w:val="22"/>
          <w:lang w:val="es-CO"/>
        </w:rPr>
        <w:t xml:space="preserve">para el </w:t>
      </w:r>
      <w:r w:rsidR="00771F97" w:rsidRPr="00A21B5C">
        <w:rPr>
          <w:rFonts w:ascii="Arial" w:hAnsi="Arial" w:cs="Arial"/>
          <w:sz w:val="22"/>
          <w:szCs w:val="22"/>
          <w:lang w:val="es-CO"/>
        </w:rPr>
        <w:t>P</w:t>
      </w:r>
      <w:r w:rsidR="00C176C8" w:rsidRPr="00A21B5C">
        <w:rPr>
          <w:rFonts w:ascii="Arial" w:hAnsi="Arial" w:cs="Arial"/>
          <w:sz w:val="22"/>
          <w:szCs w:val="22"/>
          <w:lang w:val="es-CO"/>
        </w:rPr>
        <w:t xml:space="preserve">ueblo Arhuaco, </w:t>
      </w:r>
      <w:r w:rsidR="009C3A45" w:rsidRPr="00A21B5C">
        <w:rPr>
          <w:rFonts w:ascii="Arial" w:hAnsi="Arial" w:cs="Arial"/>
          <w:sz w:val="22"/>
          <w:szCs w:val="22"/>
          <w:lang w:val="es-CO"/>
        </w:rPr>
        <w:t xml:space="preserve">ya que </w:t>
      </w:r>
      <w:r w:rsidR="008F08F4" w:rsidRPr="00A21B5C">
        <w:rPr>
          <w:rFonts w:ascii="Arial" w:hAnsi="Arial" w:cs="Arial"/>
          <w:sz w:val="22"/>
          <w:szCs w:val="22"/>
          <w:lang w:val="es-CO"/>
        </w:rPr>
        <w:t xml:space="preserve">el </w:t>
      </w:r>
      <w:r w:rsidR="008C2E4A" w:rsidRPr="00A21B5C">
        <w:rPr>
          <w:rFonts w:ascii="Arial" w:hAnsi="Arial" w:cs="Arial"/>
          <w:i/>
          <w:sz w:val="22"/>
          <w:szCs w:val="22"/>
          <w:lang w:val="es-CO"/>
        </w:rPr>
        <w:t>“Plan de Salvaguarda del Pueblo Arhuaco”</w:t>
      </w:r>
      <w:r w:rsidR="009C3A45" w:rsidRPr="00A21B5C">
        <w:rPr>
          <w:rFonts w:ascii="Arial" w:hAnsi="Arial" w:cs="Arial"/>
          <w:sz w:val="22"/>
          <w:szCs w:val="22"/>
          <w:lang w:val="es-CO"/>
        </w:rPr>
        <w:t xml:space="preserve"> </w:t>
      </w:r>
      <w:r w:rsidR="004C75EB" w:rsidRPr="00A21B5C">
        <w:rPr>
          <w:rFonts w:ascii="Arial" w:hAnsi="Arial" w:cs="Arial"/>
          <w:sz w:val="22"/>
          <w:szCs w:val="22"/>
          <w:lang w:val="es-CO"/>
        </w:rPr>
        <w:t xml:space="preserve">fue el único documento de esta naturaleza </w:t>
      </w:r>
      <w:r w:rsidR="008C2E4A" w:rsidRPr="00A21B5C">
        <w:rPr>
          <w:rFonts w:ascii="Arial" w:hAnsi="Arial" w:cs="Arial"/>
          <w:sz w:val="22"/>
          <w:szCs w:val="22"/>
          <w:lang w:val="es-CO"/>
        </w:rPr>
        <w:t>compartido por la Entidad Territorial</w:t>
      </w:r>
      <w:r w:rsidR="00312616" w:rsidRPr="00A21B5C">
        <w:rPr>
          <w:rFonts w:ascii="Arial" w:hAnsi="Arial" w:cs="Arial"/>
          <w:sz w:val="22"/>
          <w:szCs w:val="22"/>
          <w:lang w:val="es-CO"/>
        </w:rPr>
        <w:t>.</w:t>
      </w:r>
    </w:p>
    <w:p w:rsidR="005852F3" w:rsidRPr="00A21B5C" w:rsidRDefault="005852F3" w:rsidP="00A21B5C">
      <w:pPr>
        <w:contextualSpacing/>
        <w:jc w:val="both"/>
        <w:rPr>
          <w:rFonts w:ascii="Arial" w:hAnsi="Arial" w:cs="Arial"/>
          <w:sz w:val="22"/>
          <w:szCs w:val="22"/>
          <w:lang w:val="es-CO"/>
        </w:rPr>
      </w:pPr>
    </w:p>
    <w:p w:rsidR="008C2E4A" w:rsidRPr="00A21B5C" w:rsidRDefault="00FE14BA" w:rsidP="00A21B5C">
      <w:pPr>
        <w:contextualSpacing/>
        <w:jc w:val="both"/>
        <w:rPr>
          <w:rFonts w:ascii="Arial" w:hAnsi="Arial" w:cs="Arial"/>
          <w:sz w:val="22"/>
          <w:szCs w:val="22"/>
          <w:lang w:val="es-CO"/>
        </w:rPr>
      </w:pPr>
      <w:r w:rsidRPr="00A21B5C">
        <w:rPr>
          <w:rFonts w:ascii="Arial" w:hAnsi="Arial" w:cs="Arial"/>
          <w:sz w:val="22"/>
          <w:szCs w:val="22"/>
          <w:lang w:val="es-CO"/>
        </w:rPr>
        <w:t>Así</w:t>
      </w:r>
      <w:r w:rsidR="00D23353" w:rsidRPr="00A21B5C">
        <w:rPr>
          <w:rFonts w:ascii="Arial" w:hAnsi="Arial" w:cs="Arial"/>
          <w:sz w:val="22"/>
          <w:szCs w:val="22"/>
          <w:lang w:val="es-CO"/>
        </w:rPr>
        <w:t xml:space="preserve"> </w:t>
      </w:r>
      <w:r w:rsidR="009C3A45" w:rsidRPr="00A21B5C">
        <w:rPr>
          <w:rFonts w:ascii="Arial" w:hAnsi="Arial" w:cs="Arial"/>
          <w:sz w:val="22"/>
          <w:szCs w:val="22"/>
          <w:lang w:val="es-CO"/>
        </w:rPr>
        <w:t>las cosas, d</w:t>
      </w:r>
      <w:r w:rsidR="00312616" w:rsidRPr="00A21B5C">
        <w:rPr>
          <w:rFonts w:ascii="Arial" w:hAnsi="Arial" w:cs="Arial"/>
          <w:sz w:val="22"/>
          <w:szCs w:val="22"/>
          <w:lang w:val="es-CO"/>
        </w:rPr>
        <w:t xml:space="preserve">icho documento </w:t>
      </w:r>
      <w:r w:rsidR="008C2E4A" w:rsidRPr="00A21B5C">
        <w:rPr>
          <w:rFonts w:ascii="Arial" w:hAnsi="Arial" w:cs="Arial"/>
          <w:sz w:val="22"/>
          <w:szCs w:val="22"/>
          <w:lang w:val="es-CO"/>
        </w:rPr>
        <w:t xml:space="preserve">se desarrolla </w:t>
      </w:r>
      <w:r w:rsidR="00D91146" w:rsidRPr="00A21B5C">
        <w:rPr>
          <w:rFonts w:ascii="Arial" w:hAnsi="Arial" w:cs="Arial"/>
          <w:sz w:val="22"/>
          <w:szCs w:val="22"/>
          <w:lang w:val="es-CO"/>
        </w:rPr>
        <w:t>con</w:t>
      </w:r>
      <w:r w:rsidR="008C2E4A" w:rsidRPr="00A21B5C">
        <w:rPr>
          <w:rFonts w:ascii="Arial" w:hAnsi="Arial" w:cs="Arial"/>
          <w:sz w:val="22"/>
          <w:szCs w:val="22"/>
          <w:lang w:val="es-CO"/>
        </w:rPr>
        <w:t xml:space="preserve"> base </w:t>
      </w:r>
      <w:r w:rsidR="00D91146" w:rsidRPr="00A21B5C">
        <w:rPr>
          <w:rFonts w:ascii="Arial" w:hAnsi="Arial" w:cs="Arial"/>
          <w:sz w:val="22"/>
          <w:szCs w:val="22"/>
          <w:lang w:val="es-CO"/>
        </w:rPr>
        <w:t>en</w:t>
      </w:r>
      <w:r w:rsidR="008C2E4A" w:rsidRPr="00A21B5C">
        <w:rPr>
          <w:rFonts w:ascii="Arial" w:hAnsi="Arial" w:cs="Arial"/>
          <w:sz w:val="22"/>
          <w:szCs w:val="22"/>
          <w:lang w:val="es-CO"/>
        </w:rPr>
        <w:t xml:space="preserve"> cinco (5) componentes: Territorio, Gobierno, Economía, Educación y Salud, los cuales guardan cierta correspondencia con los Programas establecidos en la programación de los recursos de la AESGPRI de las vigencias 2017</w:t>
      </w:r>
      <w:r w:rsidR="00E250FA" w:rsidRPr="00A21B5C">
        <w:rPr>
          <w:rFonts w:ascii="Arial" w:hAnsi="Arial" w:cs="Arial"/>
          <w:sz w:val="22"/>
          <w:szCs w:val="22"/>
          <w:lang w:val="es-CO"/>
        </w:rPr>
        <w:t xml:space="preserve">, </w:t>
      </w:r>
      <w:r w:rsidR="008C2E4A" w:rsidRPr="00A21B5C">
        <w:rPr>
          <w:rFonts w:ascii="Arial" w:hAnsi="Arial" w:cs="Arial"/>
          <w:sz w:val="22"/>
          <w:szCs w:val="22"/>
          <w:lang w:val="es-CO"/>
        </w:rPr>
        <w:t>2018</w:t>
      </w:r>
      <w:r w:rsidR="00E250FA" w:rsidRPr="00A21B5C">
        <w:rPr>
          <w:rFonts w:ascii="Arial" w:hAnsi="Arial" w:cs="Arial"/>
          <w:sz w:val="22"/>
          <w:szCs w:val="22"/>
          <w:lang w:val="es-CO"/>
        </w:rPr>
        <w:t xml:space="preserve"> y 2019</w:t>
      </w:r>
      <w:r w:rsidR="008715F7" w:rsidRPr="00A21B5C">
        <w:rPr>
          <w:rFonts w:ascii="Arial" w:hAnsi="Arial" w:cs="Arial"/>
          <w:sz w:val="22"/>
          <w:szCs w:val="22"/>
          <w:lang w:val="es-CO"/>
        </w:rPr>
        <w:t xml:space="preserve"> por el Pueblo Arhuaco</w:t>
      </w:r>
      <w:r w:rsidR="008C2E4A" w:rsidRPr="00A21B5C">
        <w:rPr>
          <w:rFonts w:ascii="Arial" w:hAnsi="Arial" w:cs="Arial"/>
          <w:sz w:val="22"/>
          <w:szCs w:val="22"/>
          <w:lang w:val="es-CO"/>
        </w:rPr>
        <w:t>. Dentro de cada uno de estos componentes son establecidas acciones específicas para el fortalecimiento de dicho componente.</w:t>
      </w:r>
    </w:p>
    <w:p w:rsidR="008C2E4A" w:rsidRPr="00A21B5C" w:rsidRDefault="008C2E4A" w:rsidP="00A21B5C">
      <w:pPr>
        <w:contextualSpacing/>
        <w:jc w:val="both"/>
        <w:rPr>
          <w:rFonts w:ascii="Arial" w:hAnsi="Arial" w:cs="Arial"/>
          <w:sz w:val="22"/>
          <w:szCs w:val="22"/>
          <w:lang w:val="es-CO"/>
        </w:rPr>
      </w:pPr>
    </w:p>
    <w:p w:rsidR="008C2E4A" w:rsidRPr="00A21B5C" w:rsidRDefault="008C2E4A" w:rsidP="00A21B5C">
      <w:pPr>
        <w:contextualSpacing/>
        <w:jc w:val="both"/>
        <w:rPr>
          <w:rFonts w:ascii="Arial" w:hAnsi="Arial" w:cs="Arial"/>
          <w:sz w:val="22"/>
          <w:szCs w:val="22"/>
          <w:lang w:val="es-CO"/>
        </w:rPr>
      </w:pPr>
      <w:r w:rsidRPr="00A21B5C">
        <w:rPr>
          <w:rFonts w:ascii="Arial" w:hAnsi="Arial" w:cs="Arial"/>
          <w:sz w:val="22"/>
          <w:szCs w:val="22"/>
          <w:lang w:val="es-CO"/>
        </w:rPr>
        <w:lastRenderedPageBreak/>
        <w:t xml:space="preserve">Puntualmente, se evidenció dentro del Componente Territorio, en el capítulo 2 del documento en mención, que se establecen </w:t>
      </w:r>
      <w:r w:rsidRPr="00A21B5C">
        <w:rPr>
          <w:rFonts w:ascii="Arial" w:hAnsi="Arial" w:cs="Arial"/>
          <w:i/>
          <w:sz w:val="22"/>
          <w:szCs w:val="22"/>
          <w:lang w:val="es-CO"/>
        </w:rPr>
        <w:t xml:space="preserve">“Acciones para favorecer el fortalecimiento y conservación del territorio ancestral”, </w:t>
      </w:r>
      <w:r w:rsidRPr="00A21B5C">
        <w:rPr>
          <w:rFonts w:ascii="Arial" w:hAnsi="Arial" w:cs="Arial"/>
          <w:sz w:val="22"/>
          <w:szCs w:val="22"/>
          <w:lang w:val="es-CO"/>
        </w:rPr>
        <w:t>entre las cuales se establece la ampliación y el saneamiento del Resguardo Indígena, en correspondencia con el proyecto formulado de “</w:t>
      </w:r>
      <w:r w:rsidRPr="00A21B5C">
        <w:rPr>
          <w:rFonts w:ascii="Arial" w:hAnsi="Arial" w:cs="Arial"/>
          <w:i/>
          <w:iCs/>
          <w:sz w:val="22"/>
          <w:szCs w:val="22"/>
          <w:lang w:val="es-CO"/>
        </w:rPr>
        <w:t>Ampliación y saneamiento del Resguardo</w:t>
      </w:r>
      <w:r w:rsidRPr="00A21B5C">
        <w:rPr>
          <w:rFonts w:ascii="Arial" w:hAnsi="Arial" w:cs="Arial"/>
          <w:sz w:val="22"/>
          <w:szCs w:val="22"/>
          <w:lang w:val="es-CO"/>
        </w:rPr>
        <w:t xml:space="preserve">” planteado y priorizado por el </w:t>
      </w:r>
      <w:r w:rsidR="00FD184D" w:rsidRPr="00A21B5C">
        <w:rPr>
          <w:rFonts w:ascii="Arial" w:hAnsi="Arial" w:cs="Arial"/>
          <w:sz w:val="22"/>
          <w:szCs w:val="22"/>
          <w:lang w:val="es-CO"/>
        </w:rPr>
        <w:t xml:space="preserve">Pueblo Arhuaco </w:t>
      </w:r>
      <w:r w:rsidRPr="00A21B5C">
        <w:rPr>
          <w:rFonts w:ascii="Arial" w:hAnsi="Arial" w:cs="Arial"/>
          <w:sz w:val="22"/>
          <w:szCs w:val="22"/>
          <w:lang w:val="es-CO"/>
        </w:rPr>
        <w:t>durante las vigencias 2017</w:t>
      </w:r>
      <w:r w:rsidR="00E250FA" w:rsidRPr="00A21B5C">
        <w:rPr>
          <w:rFonts w:ascii="Arial" w:hAnsi="Arial" w:cs="Arial"/>
          <w:sz w:val="22"/>
          <w:szCs w:val="22"/>
          <w:lang w:val="es-CO"/>
        </w:rPr>
        <w:t>,</w:t>
      </w:r>
      <w:r w:rsidRPr="00A21B5C">
        <w:rPr>
          <w:rFonts w:ascii="Arial" w:hAnsi="Arial" w:cs="Arial"/>
          <w:sz w:val="22"/>
          <w:szCs w:val="22"/>
          <w:lang w:val="es-CO"/>
        </w:rPr>
        <w:t xml:space="preserve"> 2018</w:t>
      </w:r>
      <w:r w:rsidR="00E250FA" w:rsidRPr="00A21B5C">
        <w:rPr>
          <w:rFonts w:ascii="Arial" w:hAnsi="Arial" w:cs="Arial"/>
          <w:sz w:val="22"/>
          <w:szCs w:val="22"/>
          <w:lang w:val="es-CO"/>
        </w:rPr>
        <w:t xml:space="preserve"> y 2019</w:t>
      </w:r>
      <w:r w:rsidR="00FD184D" w:rsidRPr="00A21B5C">
        <w:rPr>
          <w:rFonts w:ascii="Arial" w:hAnsi="Arial" w:cs="Arial"/>
          <w:sz w:val="22"/>
          <w:szCs w:val="22"/>
          <w:lang w:val="es-CO"/>
        </w:rPr>
        <w:t>,</w:t>
      </w:r>
      <w:r w:rsidRPr="00A21B5C">
        <w:rPr>
          <w:rFonts w:ascii="Arial" w:hAnsi="Arial" w:cs="Arial"/>
          <w:sz w:val="22"/>
          <w:szCs w:val="22"/>
          <w:lang w:val="es-CO"/>
        </w:rPr>
        <w:t xml:space="preserve"> sin perjuicio de que este se enmarcó dentro del Programa </w:t>
      </w:r>
      <w:r w:rsidR="009E4A4A" w:rsidRPr="00A21B5C">
        <w:rPr>
          <w:rFonts w:ascii="Arial" w:hAnsi="Arial" w:cs="Arial"/>
          <w:sz w:val="22"/>
          <w:szCs w:val="22"/>
          <w:lang w:val="es-CO"/>
        </w:rPr>
        <w:t xml:space="preserve">de </w:t>
      </w:r>
      <w:r w:rsidRPr="00A21B5C">
        <w:rPr>
          <w:rFonts w:ascii="Arial" w:hAnsi="Arial" w:cs="Arial"/>
          <w:sz w:val="22"/>
          <w:szCs w:val="22"/>
          <w:lang w:val="es-CO"/>
        </w:rPr>
        <w:t>Desarrollo Agropecuario.</w:t>
      </w:r>
    </w:p>
    <w:p w:rsidR="00B41949" w:rsidRPr="00A21B5C" w:rsidRDefault="00B41949" w:rsidP="00A21B5C">
      <w:pPr>
        <w:contextualSpacing/>
        <w:jc w:val="both"/>
        <w:rPr>
          <w:rFonts w:ascii="Arial" w:hAnsi="Arial" w:cs="Arial"/>
          <w:sz w:val="22"/>
          <w:szCs w:val="22"/>
          <w:lang w:val="es-CO"/>
        </w:rPr>
      </w:pPr>
    </w:p>
    <w:p w:rsidR="008C2E4A" w:rsidRPr="00A21B5C" w:rsidRDefault="008C2E4A" w:rsidP="00A21B5C">
      <w:pPr>
        <w:contextualSpacing/>
        <w:jc w:val="both"/>
        <w:rPr>
          <w:rFonts w:ascii="Arial" w:hAnsi="Arial" w:cs="Arial"/>
          <w:sz w:val="22"/>
          <w:szCs w:val="22"/>
          <w:lang w:val="es-CO"/>
        </w:rPr>
      </w:pPr>
      <w:r w:rsidRPr="00A21B5C">
        <w:rPr>
          <w:rFonts w:ascii="Arial" w:hAnsi="Arial" w:cs="Arial"/>
          <w:sz w:val="22"/>
          <w:szCs w:val="22"/>
          <w:lang w:val="es-CO"/>
        </w:rPr>
        <w:t xml:space="preserve">Así mismo, en el Componente Gobierno, en el capítulo 3 del Plan de Salvaguarda, se encuentran establecidas alrededor de cinco (5) líneas de acción con programas y proyectos planteados </w:t>
      </w:r>
      <w:r w:rsidR="00CC1ABB" w:rsidRPr="00A21B5C">
        <w:rPr>
          <w:rFonts w:ascii="Arial" w:hAnsi="Arial" w:cs="Arial"/>
          <w:sz w:val="22"/>
          <w:szCs w:val="22"/>
          <w:lang w:val="es-CO"/>
        </w:rPr>
        <w:t xml:space="preserve">para </w:t>
      </w:r>
      <w:r w:rsidRPr="00A21B5C">
        <w:rPr>
          <w:rFonts w:ascii="Arial" w:hAnsi="Arial" w:cs="Arial"/>
          <w:sz w:val="22"/>
          <w:szCs w:val="22"/>
          <w:lang w:val="es-CO"/>
        </w:rPr>
        <w:t xml:space="preserve">cada una, siendo una </w:t>
      </w:r>
      <w:r w:rsidR="00B41949" w:rsidRPr="00A21B5C">
        <w:rPr>
          <w:rFonts w:ascii="Arial" w:hAnsi="Arial" w:cs="Arial"/>
          <w:sz w:val="22"/>
          <w:szCs w:val="22"/>
          <w:lang w:val="es-CO"/>
        </w:rPr>
        <w:t xml:space="preserve">de </w:t>
      </w:r>
      <w:r w:rsidRPr="00A21B5C">
        <w:rPr>
          <w:rFonts w:ascii="Arial" w:hAnsi="Arial" w:cs="Arial"/>
          <w:sz w:val="22"/>
          <w:szCs w:val="22"/>
          <w:lang w:val="es-CO"/>
        </w:rPr>
        <w:t>estas líneas el “</w:t>
      </w:r>
      <w:r w:rsidRPr="00A21B5C">
        <w:rPr>
          <w:rFonts w:ascii="Arial" w:hAnsi="Arial" w:cs="Arial"/>
          <w:i/>
          <w:iCs/>
          <w:sz w:val="22"/>
          <w:szCs w:val="22"/>
          <w:lang w:val="es-CO"/>
        </w:rPr>
        <w:t>Fortalecimiento de las instancias de Gobierno propio</w:t>
      </w:r>
      <w:r w:rsidRPr="00A21B5C">
        <w:rPr>
          <w:rFonts w:ascii="Arial" w:hAnsi="Arial" w:cs="Arial"/>
          <w:sz w:val="22"/>
          <w:szCs w:val="22"/>
          <w:lang w:val="es-CO"/>
        </w:rPr>
        <w:t xml:space="preserve">”, para lo cual se plantean actividades culturales y políticas con los cuatro </w:t>
      </w:r>
      <w:r w:rsidR="009E4A4A" w:rsidRPr="00A21B5C">
        <w:rPr>
          <w:rFonts w:ascii="Arial" w:hAnsi="Arial" w:cs="Arial"/>
          <w:sz w:val="22"/>
          <w:szCs w:val="22"/>
          <w:lang w:val="es-CO"/>
        </w:rPr>
        <w:t>P</w:t>
      </w:r>
      <w:r w:rsidRPr="00A21B5C">
        <w:rPr>
          <w:rFonts w:ascii="Arial" w:hAnsi="Arial" w:cs="Arial"/>
          <w:sz w:val="22"/>
          <w:szCs w:val="22"/>
          <w:lang w:val="es-CO"/>
        </w:rPr>
        <w:t xml:space="preserve">ueblos de la Sierra, la cual puede estar en línea con los proyectos </w:t>
      </w:r>
      <w:r w:rsidR="003B51FE" w:rsidRPr="00A21B5C">
        <w:rPr>
          <w:rFonts w:ascii="Arial" w:hAnsi="Arial" w:cs="Arial"/>
          <w:sz w:val="22"/>
          <w:szCs w:val="22"/>
          <w:lang w:val="es-CO"/>
        </w:rPr>
        <w:t xml:space="preserve">referidos como </w:t>
      </w:r>
      <w:r w:rsidRPr="00A21B5C">
        <w:rPr>
          <w:rFonts w:ascii="Arial" w:hAnsi="Arial" w:cs="Arial"/>
          <w:i/>
          <w:sz w:val="22"/>
          <w:szCs w:val="22"/>
          <w:lang w:val="es-CO"/>
        </w:rPr>
        <w:t>“Fortalecimiento del sistema de gobierno propio y territorial del Pueblo Arhuaco”</w:t>
      </w:r>
      <w:r w:rsidRPr="00A21B5C">
        <w:rPr>
          <w:rFonts w:ascii="Arial" w:hAnsi="Arial" w:cs="Arial"/>
          <w:sz w:val="22"/>
          <w:szCs w:val="22"/>
          <w:lang w:val="es-CO"/>
        </w:rPr>
        <w:t xml:space="preserve"> priorizados durante las vigencias</w:t>
      </w:r>
      <w:r w:rsidR="00C32B7D" w:rsidRPr="00A21B5C">
        <w:rPr>
          <w:rFonts w:ascii="Arial" w:hAnsi="Arial" w:cs="Arial"/>
          <w:sz w:val="22"/>
          <w:szCs w:val="22"/>
          <w:lang w:val="es-CO"/>
        </w:rPr>
        <w:t xml:space="preserve"> analizadas</w:t>
      </w:r>
      <w:r w:rsidRPr="00A21B5C">
        <w:rPr>
          <w:rFonts w:ascii="Arial" w:hAnsi="Arial" w:cs="Arial"/>
          <w:sz w:val="22"/>
          <w:szCs w:val="22"/>
          <w:lang w:val="es-CO"/>
        </w:rPr>
        <w:t>.</w:t>
      </w:r>
    </w:p>
    <w:p w:rsidR="008C2E4A" w:rsidRPr="00A21B5C" w:rsidRDefault="008C2E4A" w:rsidP="00A21B5C">
      <w:pPr>
        <w:contextualSpacing/>
        <w:jc w:val="both"/>
        <w:rPr>
          <w:rFonts w:ascii="Arial" w:hAnsi="Arial" w:cs="Arial"/>
          <w:sz w:val="22"/>
          <w:szCs w:val="22"/>
          <w:lang w:val="es-CO"/>
        </w:rPr>
      </w:pPr>
    </w:p>
    <w:p w:rsidR="008C2E4A" w:rsidRPr="00A21B5C" w:rsidRDefault="008C2E4A" w:rsidP="00A21B5C">
      <w:pPr>
        <w:contextualSpacing/>
        <w:jc w:val="both"/>
        <w:rPr>
          <w:rFonts w:ascii="Arial" w:hAnsi="Arial" w:cs="Arial"/>
          <w:sz w:val="22"/>
          <w:szCs w:val="22"/>
          <w:lang w:val="es-CO"/>
        </w:rPr>
      </w:pPr>
      <w:r w:rsidRPr="00A21B5C">
        <w:rPr>
          <w:rFonts w:ascii="Arial" w:hAnsi="Arial" w:cs="Arial"/>
          <w:sz w:val="22"/>
          <w:szCs w:val="22"/>
          <w:lang w:val="es-CO"/>
        </w:rPr>
        <w:t>A su vez, dentro del Componente de Economía, en el capítulo 4, se establecen líneas de acción como el fortalecimiento e incentivo de prácticas propias de producción para el autoconsumo y sostenibilidad y el fortalecimiento de la soberanía, autonomía alimentaria y seguridad nutrici</w:t>
      </w:r>
      <w:r w:rsidR="00D91146" w:rsidRPr="00A21B5C">
        <w:rPr>
          <w:rFonts w:ascii="Arial" w:hAnsi="Arial" w:cs="Arial"/>
          <w:sz w:val="22"/>
          <w:szCs w:val="22"/>
          <w:lang w:val="es-CO"/>
        </w:rPr>
        <w:t>onal</w:t>
      </w:r>
      <w:r w:rsidRPr="00A21B5C">
        <w:rPr>
          <w:rFonts w:ascii="Arial" w:hAnsi="Arial" w:cs="Arial"/>
          <w:sz w:val="22"/>
          <w:szCs w:val="22"/>
          <w:lang w:val="es-CO"/>
        </w:rPr>
        <w:t xml:space="preserve">, que pueden verse articulados con los proyectos enmarcados en el </w:t>
      </w:r>
      <w:r w:rsidR="009E4A4A" w:rsidRPr="00A21B5C">
        <w:rPr>
          <w:rFonts w:ascii="Arial" w:hAnsi="Arial" w:cs="Arial"/>
          <w:sz w:val="22"/>
          <w:szCs w:val="22"/>
          <w:lang w:val="es-CO"/>
        </w:rPr>
        <w:t>P</w:t>
      </w:r>
      <w:r w:rsidRPr="00A21B5C">
        <w:rPr>
          <w:rFonts w:ascii="Arial" w:hAnsi="Arial" w:cs="Arial"/>
          <w:sz w:val="22"/>
          <w:szCs w:val="22"/>
          <w:lang w:val="es-CO"/>
        </w:rPr>
        <w:t>rograma de Desarrollo Agropecuario para las vigencias fiscal</w:t>
      </w:r>
      <w:r w:rsidR="009E4A4A" w:rsidRPr="00A21B5C">
        <w:rPr>
          <w:rFonts w:ascii="Arial" w:hAnsi="Arial" w:cs="Arial"/>
          <w:sz w:val="22"/>
          <w:szCs w:val="22"/>
          <w:lang w:val="es-CO"/>
        </w:rPr>
        <w:t>es</w:t>
      </w:r>
      <w:r w:rsidRPr="00A21B5C">
        <w:rPr>
          <w:rFonts w:ascii="Arial" w:hAnsi="Arial" w:cs="Arial"/>
          <w:sz w:val="22"/>
          <w:szCs w:val="22"/>
          <w:lang w:val="es-CO"/>
        </w:rPr>
        <w:t xml:space="preserve"> 2017</w:t>
      </w:r>
      <w:r w:rsidR="00614D08" w:rsidRPr="00A21B5C">
        <w:rPr>
          <w:rFonts w:ascii="Arial" w:hAnsi="Arial" w:cs="Arial"/>
          <w:sz w:val="22"/>
          <w:szCs w:val="22"/>
          <w:lang w:val="es-CO"/>
        </w:rPr>
        <w:t xml:space="preserve">, </w:t>
      </w:r>
      <w:r w:rsidRPr="00A21B5C">
        <w:rPr>
          <w:rFonts w:ascii="Arial" w:hAnsi="Arial" w:cs="Arial"/>
          <w:sz w:val="22"/>
          <w:szCs w:val="22"/>
          <w:lang w:val="es-CO"/>
        </w:rPr>
        <w:t>2018</w:t>
      </w:r>
      <w:r w:rsidR="00614D08" w:rsidRPr="00A21B5C">
        <w:rPr>
          <w:rFonts w:ascii="Arial" w:hAnsi="Arial" w:cs="Arial"/>
          <w:sz w:val="22"/>
          <w:szCs w:val="22"/>
          <w:lang w:val="es-CO"/>
        </w:rPr>
        <w:t xml:space="preserve"> y 2019</w:t>
      </w:r>
      <w:r w:rsidRPr="00A21B5C">
        <w:rPr>
          <w:rFonts w:ascii="Arial" w:hAnsi="Arial" w:cs="Arial"/>
          <w:sz w:val="22"/>
          <w:szCs w:val="22"/>
          <w:lang w:val="es-CO"/>
        </w:rPr>
        <w:t xml:space="preserve">. Por su parte, los proyectos planteados en los Programas de Educación y Salud, se evidencia que estos están articulados con las líneas de acción planteadas para el Componente Educación y Salud en el Plan de Salvaguarda, las cuales no son otra cosa que acciones encaminadas a la conservación del conocimiento ancestral y propio en estas materias, así como de la garantía del enfoque diferencial en la prestación de estos servicios </w:t>
      </w:r>
      <w:r w:rsidR="001D70F7" w:rsidRPr="00A21B5C">
        <w:rPr>
          <w:rFonts w:ascii="Arial" w:hAnsi="Arial" w:cs="Arial"/>
          <w:sz w:val="22"/>
          <w:szCs w:val="22"/>
          <w:lang w:val="es-CO"/>
        </w:rPr>
        <w:t>de acuerdo con</w:t>
      </w:r>
      <w:r w:rsidRPr="00A21B5C">
        <w:rPr>
          <w:rFonts w:ascii="Arial" w:hAnsi="Arial" w:cs="Arial"/>
          <w:sz w:val="22"/>
          <w:szCs w:val="22"/>
          <w:lang w:val="es-CO"/>
        </w:rPr>
        <w:t xml:space="preserve"> su cultura y saberes.</w:t>
      </w:r>
    </w:p>
    <w:p w:rsidR="008C2E4A" w:rsidRPr="00A21B5C" w:rsidRDefault="008C2E4A" w:rsidP="00A21B5C">
      <w:pPr>
        <w:contextualSpacing/>
        <w:jc w:val="both"/>
        <w:rPr>
          <w:rFonts w:ascii="Arial" w:hAnsi="Arial" w:cs="Arial"/>
          <w:sz w:val="22"/>
          <w:szCs w:val="22"/>
          <w:lang w:val="es-CO"/>
        </w:rPr>
      </w:pPr>
    </w:p>
    <w:p w:rsidR="008C2E4A" w:rsidRPr="00A21B5C" w:rsidRDefault="008C2E4A" w:rsidP="00A21B5C">
      <w:pPr>
        <w:contextualSpacing/>
        <w:jc w:val="both"/>
        <w:rPr>
          <w:rFonts w:ascii="Arial" w:hAnsi="Arial" w:cs="Arial"/>
          <w:sz w:val="22"/>
          <w:szCs w:val="22"/>
          <w:lang w:val="es-CO"/>
        </w:rPr>
      </w:pPr>
      <w:r w:rsidRPr="00A21B5C">
        <w:rPr>
          <w:rFonts w:ascii="Arial" w:hAnsi="Arial" w:cs="Arial"/>
          <w:sz w:val="22"/>
          <w:szCs w:val="22"/>
          <w:lang w:val="es-CO"/>
        </w:rPr>
        <w:t>Así, se evidenció que los programas y proyectos formulados y priorizados, al menos</w:t>
      </w:r>
      <w:r w:rsidR="00781AA5" w:rsidRPr="00A21B5C">
        <w:rPr>
          <w:rFonts w:ascii="Arial" w:hAnsi="Arial" w:cs="Arial"/>
          <w:sz w:val="22"/>
          <w:szCs w:val="22"/>
          <w:lang w:val="es-CO"/>
        </w:rPr>
        <w:t xml:space="preserve"> los</w:t>
      </w:r>
      <w:r w:rsidRPr="00A21B5C">
        <w:rPr>
          <w:rFonts w:ascii="Arial" w:hAnsi="Arial" w:cs="Arial"/>
          <w:sz w:val="22"/>
          <w:szCs w:val="22"/>
          <w:lang w:val="es-CO"/>
        </w:rPr>
        <w:t xml:space="preserve"> del</w:t>
      </w:r>
      <w:r w:rsidR="00712140" w:rsidRPr="00A21B5C">
        <w:rPr>
          <w:rFonts w:ascii="Arial" w:hAnsi="Arial" w:cs="Arial"/>
          <w:sz w:val="22"/>
          <w:szCs w:val="22"/>
          <w:lang w:val="es-CO"/>
        </w:rPr>
        <w:t xml:space="preserve"> </w:t>
      </w:r>
      <w:r w:rsidR="009E4A4A" w:rsidRPr="00A21B5C">
        <w:rPr>
          <w:rFonts w:ascii="Arial" w:hAnsi="Arial" w:cs="Arial"/>
          <w:sz w:val="22"/>
          <w:szCs w:val="22"/>
          <w:lang w:val="es-CO"/>
        </w:rPr>
        <w:t>P</w:t>
      </w:r>
      <w:r w:rsidR="00712140" w:rsidRPr="00A21B5C">
        <w:rPr>
          <w:rFonts w:ascii="Arial" w:hAnsi="Arial" w:cs="Arial"/>
          <w:sz w:val="22"/>
          <w:szCs w:val="22"/>
          <w:lang w:val="es-CO"/>
        </w:rPr>
        <w:t>ue</w:t>
      </w:r>
      <w:r w:rsidR="003E3558" w:rsidRPr="00A21B5C">
        <w:rPr>
          <w:rFonts w:ascii="Arial" w:hAnsi="Arial" w:cs="Arial"/>
          <w:sz w:val="22"/>
          <w:szCs w:val="22"/>
          <w:lang w:val="es-CO"/>
        </w:rPr>
        <w:t>b</w:t>
      </w:r>
      <w:r w:rsidR="00712140" w:rsidRPr="00A21B5C">
        <w:rPr>
          <w:rFonts w:ascii="Arial" w:hAnsi="Arial" w:cs="Arial"/>
          <w:sz w:val="22"/>
          <w:szCs w:val="22"/>
          <w:lang w:val="es-CO"/>
        </w:rPr>
        <w:t xml:space="preserve">lo </w:t>
      </w:r>
      <w:r w:rsidR="009E4A4A" w:rsidRPr="00A21B5C">
        <w:rPr>
          <w:rFonts w:ascii="Arial" w:hAnsi="Arial" w:cs="Arial"/>
          <w:sz w:val="22"/>
          <w:szCs w:val="22"/>
          <w:lang w:val="es-CO"/>
        </w:rPr>
        <w:t>I</w:t>
      </w:r>
      <w:r w:rsidRPr="00A21B5C">
        <w:rPr>
          <w:rFonts w:ascii="Arial" w:hAnsi="Arial" w:cs="Arial"/>
          <w:sz w:val="22"/>
          <w:szCs w:val="22"/>
          <w:lang w:val="es-CO"/>
        </w:rPr>
        <w:t>ndígena Arhuaco, estuvieron articulados con su Plan de Vida o Salvaguarda, de acuerdo a los establecido en el artículo 27 del Decreto 1953</w:t>
      </w:r>
      <w:r w:rsidR="000D66C5" w:rsidRPr="00A21B5C">
        <w:rPr>
          <w:rFonts w:ascii="Arial" w:hAnsi="Arial" w:cs="Arial"/>
          <w:sz w:val="22"/>
          <w:szCs w:val="22"/>
          <w:lang w:val="es-CO"/>
        </w:rPr>
        <w:t>, sin que</w:t>
      </w:r>
      <w:r w:rsidR="00CF1FEF" w:rsidRPr="00A21B5C">
        <w:rPr>
          <w:rFonts w:ascii="Arial" w:hAnsi="Arial" w:cs="Arial"/>
          <w:sz w:val="22"/>
          <w:szCs w:val="22"/>
          <w:lang w:val="es-CO"/>
        </w:rPr>
        <w:t>,</w:t>
      </w:r>
      <w:r w:rsidR="000D66C5" w:rsidRPr="00A21B5C">
        <w:rPr>
          <w:rFonts w:ascii="Arial" w:hAnsi="Arial" w:cs="Arial"/>
          <w:sz w:val="22"/>
          <w:szCs w:val="22"/>
          <w:lang w:val="es-CO"/>
        </w:rPr>
        <w:t xml:space="preserve"> como ya se mencionó pudiera </w:t>
      </w:r>
      <w:r w:rsidR="00FF7345" w:rsidRPr="00A21B5C">
        <w:rPr>
          <w:rFonts w:ascii="Arial" w:hAnsi="Arial" w:cs="Arial"/>
          <w:sz w:val="22"/>
          <w:szCs w:val="22"/>
          <w:lang w:val="es-CO"/>
        </w:rPr>
        <w:t xml:space="preserve">corroborarse lo mismo para </w:t>
      </w:r>
      <w:r w:rsidR="00CB7DBF" w:rsidRPr="00A21B5C">
        <w:rPr>
          <w:rFonts w:ascii="Arial" w:hAnsi="Arial" w:cs="Arial"/>
          <w:sz w:val="22"/>
          <w:szCs w:val="22"/>
          <w:lang w:val="es-CO"/>
        </w:rPr>
        <w:t xml:space="preserve">los </w:t>
      </w:r>
      <w:r w:rsidR="009E4A4A" w:rsidRPr="00A21B5C">
        <w:rPr>
          <w:rFonts w:ascii="Arial" w:hAnsi="Arial" w:cs="Arial"/>
          <w:sz w:val="22"/>
          <w:szCs w:val="22"/>
          <w:lang w:val="es-CO"/>
        </w:rPr>
        <w:t>P</w:t>
      </w:r>
      <w:r w:rsidR="00CB7DBF" w:rsidRPr="00A21B5C">
        <w:rPr>
          <w:rFonts w:ascii="Arial" w:hAnsi="Arial" w:cs="Arial"/>
          <w:sz w:val="22"/>
          <w:szCs w:val="22"/>
          <w:lang w:val="es-CO"/>
        </w:rPr>
        <w:t>ueblos Kogui y Wiwa.</w:t>
      </w:r>
    </w:p>
    <w:p w:rsidR="008C2E4A" w:rsidRPr="00A21B5C" w:rsidRDefault="008C2E4A" w:rsidP="00A21B5C">
      <w:pPr>
        <w:contextualSpacing/>
        <w:jc w:val="both"/>
        <w:rPr>
          <w:rFonts w:ascii="Arial" w:hAnsi="Arial" w:cs="Arial"/>
          <w:sz w:val="22"/>
          <w:szCs w:val="22"/>
          <w:lang w:val="es-CO"/>
        </w:rPr>
      </w:pPr>
    </w:p>
    <w:p w:rsidR="008C2E4A" w:rsidRPr="00A21B5C" w:rsidRDefault="008C2E4A" w:rsidP="00A21B5C">
      <w:pPr>
        <w:contextualSpacing/>
        <w:jc w:val="both"/>
        <w:rPr>
          <w:rFonts w:ascii="Arial" w:hAnsi="Arial" w:cs="Arial"/>
          <w:i/>
          <w:sz w:val="22"/>
          <w:szCs w:val="22"/>
          <w:lang w:val="es-CO"/>
        </w:rPr>
      </w:pPr>
      <w:r w:rsidRPr="00A21B5C">
        <w:rPr>
          <w:rFonts w:ascii="Arial" w:hAnsi="Arial" w:cs="Arial"/>
          <w:sz w:val="22"/>
          <w:szCs w:val="22"/>
          <w:lang w:val="es-CO"/>
        </w:rPr>
        <w:t xml:space="preserve">Ahora bien, en evaluación de la </w:t>
      </w:r>
      <w:r w:rsidRPr="00A21B5C">
        <w:rPr>
          <w:rFonts w:ascii="Arial" w:hAnsi="Arial" w:cs="Arial"/>
          <w:bCs/>
          <w:iCs/>
          <w:sz w:val="22"/>
          <w:szCs w:val="22"/>
          <w:lang w:val="es-CO"/>
        </w:rPr>
        <w:t xml:space="preserve">viabilidad de la financiación de los proyectos con recursos de la AESGPRI, </w:t>
      </w:r>
      <w:r w:rsidRPr="00A21B5C">
        <w:rPr>
          <w:rFonts w:ascii="Arial" w:hAnsi="Arial" w:cs="Arial"/>
          <w:sz w:val="22"/>
          <w:szCs w:val="22"/>
          <w:lang w:val="es-CO"/>
        </w:rPr>
        <w:t>se</w:t>
      </w:r>
      <w:r w:rsidR="000B022E" w:rsidRPr="00A21B5C">
        <w:rPr>
          <w:rFonts w:ascii="Arial" w:hAnsi="Arial" w:cs="Arial"/>
          <w:sz w:val="22"/>
          <w:szCs w:val="22"/>
          <w:lang w:val="es-CO"/>
        </w:rPr>
        <w:t xml:space="preserve"> observó que</w:t>
      </w:r>
      <w:r w:rsidRPr="00A21B5C">
        <w:rPr>
          <w:rFonts w:ascii="Arial" w:hAnsi="Arial" w:cs="Arial"/>
          <w:sz w:val="22"/>
          <w:szCs w:val="22"/>
          <w:lang w:val="es-CO"/>
        </w:rPr>
        <w:t xml:space="preserve"> dentro de estos programas y proyectos para la</w:t>
      </w:r>
      <w:r w:rsidR="00624DC5" w:rsidRPr="00A21B5C">
        <w:rPr>
          <w:rFonts w:ascii="Arial" w:hAnsi="Arial" w:cs="Arial"/>
          <w:sz w:val="22"/>
          <w:szCs w:val="22"/>
          <w:lang w:val="es-CO"/>
        </w:rPr>
        <w:t>s</w:t>
      </w:r>
      <w:r w:rsidRPr="00A21B5C">
        <w:rPr>
          <w:rFonts w:ascii="Arial" w:hAnsi="Arial" w:cs="Arial"/>
          <w:sz w:val="22"/>
          <w:szCs w:val="22"/>
          <w:lang w:val="es-CO"/>
        </w:rPr>
        <w:t xml:space="preserve"> vigencia</w:t>
      </w:r>
      <w:r w:rsidR="00AB32AB" w:rsidRPr="00A21B5C">
        <w:rPr>
          <w:rFonts w:ascii="Arial" w:hAnsi="Arial" w:cs="Arial"/>
          <w:sz w:val="22"/>
          <w:szCs w:val="22"/>
          <w:lang w:val="es-CO"/>
        </w:rPr>
        <w:t>s</w:t>
      </w:r>
      <w:r w:rsidRPr="00A21B5C">
        <w:rPr>
          <w:rFonts w:ascii="Arial" w:hAnsi="Arial" w:cs="Arial"/>
          <w:sz w:val="22"/>
          <w:szCs w:val="22"/>
          <w:lang w:val="es-CO"/>
        </w:rPr>
        <w:t xml:space="preserve"> 2017</w:t>
      </w:r>
      <w:r w:rsidR="00624DC5" w:rsidRPr="00A21B5C">
        <w:rPr>
          <w:rFonts w:ascii="Arial" w:hAnsi="Arial" w:cs="Arial"/>
          <w:sz w:val="22"/>
          <w:szCs w:val="22"/>
          <w:lang w:val="es-CO"/>
        </w:rPr>
        <w:t>, 2018 y 2019</w:t>
      </w:r>
      <w:r w:rsidRPr="00A21B5C">
        <w:rPr>
          <w:rFonts w:ascii="Arial" w:hAnsi="Arial" w:cs="Arial"/>
          <w:sz w:val="22"/>
          <w:szCs w:val="22"/>
          <w:lang w:val="es-CO"/>
        </w:rPr>
        <w:t xml:space="preserve"> la </w:t>
      </w:r>
      <w:r w:rsidR="009E4A4A" w:rsidRPr="00A21B5C">
        <w:rPr>
          <w:rFonts w:ascii="Arial" w:hAnsi="Arial" w:cs="Arial"/>
          <w:sz w:val="22"/>
          <w:szCs w:val="22"/>
          <w:lang w:val="es-CO"/>
        </w:rPr>
        <w:t>C</w:t>
      </w:r>
      <w:r w:rsidRPr="00A21B5C">
        <w:rPr>
          <w:rFonts w:ascii="Arial" w:hAnsi="Arial" w:cs="Arial"/>
          <w:sz w:val="22"/>
          <w:szCs w:val="22"/>
          <w:lang w:val="es-CO"/>
        </w:rPr>
        <w:t xml:space="preserve">omunidad </w:t>
      </w:r>
      <w:r w:rsidR="009E4A4A" w:rsidRPr="00A21B5C">
        <w:rPr>
          <w:rFonts w:ascii="Arial" w:hAnsi="Arial" w:cs="Arial"/>
          <w:sz w:val="22"/>
          <w:szCs w:val="22"/>
          <w:lang w:val="es-CO"/>
        </w:rPr>
        <w:t>I</w:t>
      </w:r>
      <w:r w:rsidRPr="00A21B5C">
        <w:rPr>
          <w:rFonts w:ascii="Arial" w:hAnsi="Arial" w:cs="Arial"/>
          <w:sz w:val="22"/>
          <w:szCs w:val="22"/>
          <w:lang w:val="es-CO"/>
        </w:rPr>
        <w:t xml:space="preserve">ndígena Kogui formuló y priorizó dentro del Programa de Desarrollo Agropecuario, el Proyecto </w:t>
      </w:r>
      <w:r w:rsidRPr="00A21B5C">
        <w:rPr>
          <w:rFonts w:ascii="Arial" w:hAnsi="Arial" w:cs="Arial"/>
          <w:i/>
          <w:sz w:val="22"/>
          <w:szCs w:val="22"/>
          <w:lang w:val="es-CO"/>
        </w:rPr>
        <w:t xml:space="preserve">“Contratación de prestación de servicios generales para la </w:t>
      </w:r>
      <w:r w:rsidR="009E4A4A" w:rsidRPr="00A21B5C">
        <w:rPr>
          <w:rFonts w:ascii="Arial" w:hAnsi="Arial" w:cs="Arial"/>
          <w:i/>
          <w:sz w:val="22"/>
          <w:szCs w:val="22"/>
          <w:lang w:val="es-CO"/>
        </w:rPr>
        <w:t>C</w:t>
      </w:r>
      <w:r w:rsidRPr="00A21B5C">
        <w:rPr>
          <w:rFonts w:ascii="Arial" w:hAnsi="Arial" w:cs="Arial"/>
          <w:i/>
          <w:sz w:val="22"/>
          <w:szCs w:val="22"/>
          <w:lang w:val="es-CO"/>
        </w:rPr>
        <w:t>asa Elda - Bodega y Jaba Taniswaska en Mingueo”</w:t>
      </w:r>
      <w:r w:rsidR="00D91146" w:rsidRPr="00A21B5C">
        <w:rPr>
          <w:rFonts w:ascii="Arial" w:hAnsi="Arial" w:cs="Arial"/>
          <w:sz w:val="22"/>
          <w:szCs w:val="22"/>
          <w:lang w:val="es-CO"/>
        </w:rPr>
        <w:t>. Al</w:t>
      </w:r>
      <w:r w:rsidRPr="00A21B5C">
        <w:rPr>
          <w:rFonts w:ascii="Arial" w:hAnsi="Arial" w:cs="Arial"/>
          <w:sz w:val="22"/>
          <w:szCs w:val="22"/>
          <w:lang w:val="es-CO"/>
        </w:rPr>
        <w:t xml:space="preserve"> respecto, se </w:t>
      </w:r>
      <w:r w:rsidR="00781AA5" w:rsidRPr="00A21B5C">
        <w:rPr>
          <w:rFonts w:ascii="Arial" w:hAnsi="Arial" w:cs="Arial"/>
          <w:sz w:val="22"/>
          <w:szCs w:val="22"/>
          <w:lang w:val="es-CO"/>
        </w:rPr>
        <w:t xml:space="preserve">evidenció </w:t>
      </w:r>
      <w:r w:rsidRPr="00A21B5C">
        <w:rPr>
          <w:rFonts w:ascii="Arial" w:hAnsi="Arial" w:cs="Arial"/>
          <w:sz w:val="22"/>
          <w:szCs w:val="22"/>
          <w:lang w:val="es-CO"/>
        </w:rPr>
        <w:t xml:space="preserve">en la ficha técnica de perfil de </w:t>
      </w:r>
      <w:r w:rsidR="009E4A4A" w:rsidRPr="00A21B5C">
        <w:rPr>
          <w:rFonts w:ascii="Arial" w:hAnsi="Arial" w:cs="Arial"/>
          <w:sz w:val="22"/>
          <w:szCs w:val="22"/>
          <w:lang w:val="es-CO"/>
        </w:rPr>
        <w:t>P</w:t>
      </w:r>
      <w:r w:rsidRPr="00A21B5C">
        <w:rPr>
          <w:rFonts w:ascii="Arial" w:hAnsi="Arial" w:cs="Arial"/>
          <w:sz w:val="22"/>
          <w:szCs w:val="22"/>
          <w:lang w:val="es-CO"/>
        </w:rPr>
        <w:t xml:space="preserve">royecto que la </w:t>
      </w:r>
      <w:r w:rsidR="009E4A4A" w:rsidRPr="00A21B5C">
        <w:rPr>
          <w:rFonts w:ascii="Arial" w:hAnsi="Arial" w:cs="Arial"/>
          <w:sz w:val="22"/>
          <w:szCs w:val="22"/>
          <w:lang w:val="es-CO"/>
        </w:rPr>
        <w:t>C</w:t>
      </w:r>
      <w:r w:rsidRPr="00A21B5C">
        <w:rPr>
          <w:rFonts w:ascii="Arial" w:hAnsi="Arial" w:cs="Arial"/>
          <w:sz w:val="22"/>
          <w:szCs w:val="22"/>
          <w:lang w:val="es-CO"/>
        </w:rPr>
        <w:t xml:space="preserve">omunidad Kogui ha justificado este proyecto sobre la base de que </w:t>
      </w:r>
      <w:r w:rsidRPr="00A21B5C">
        <w:rPr>
          <w:rFonts w:ascii="Arial" w:hAnsi="Arial" w:cs="Arial"/>
          <w:i/>
          <w:sz w:val="22"/>
          <w:szCs w:val="22"/>
          <w:lang w:val="es-CO"/>
        </w:rPr>
        <w:t>“algunos de los elementos que han adquirido a través de diversos programas de cooperación han desaparecido debido a la falta de personal con capacidad para cuidado de los mismos, la Casa Elda – Bodega y Jaba Tañiswaska es un lugar donde llegan los integrantes del pueblo Kogui, pero no cuenta con la Infraestructura necesaria para que todos los elementos que adquirimos se encuentren seguros</w:t>
      </w:r>
      <w:r w:rsidR="00BC1662" w:rsidRPr="00A21B5C">
        <w:rPr>
          <w:rFonts w:ascii="Arial" w:hAnsi="Arial" w:cs="Arial"/>
          <w:i/>
          <w:sz w:val="22"/>
          <w:szCs w:val="22"/>
          <w:lang w:val="es-CO"/>
        </w:rPr>
        <w:t xml:space="preserve"> </w:t>
      </w:r>
      <w:r w:rsidR="009E4A4A" w:rsidRPr="00A21B5C">
        <w:rPr>
          <w:rFonts w:ascii="Arial" w:hAnsi="Arial" w:cs="Arial"/>
          <w:i/>
          <w:sz w:val="22"/>
          <w:szCs w:val="22"/>
          <w:lang w:val="es-CO"/>
        </w:rPr>
        <w:t>[</w:t>
      </w:r>
      <w:r w:rsidRPr="00A21B5C">
        <w:rPr>
          <w:rFonts w:ascii="Arial" w:hAnsi="Arial" w:cs="Arial"/>
          <w:i/>
          <w:sz w:val="22"/>
          <w:szCs w:val="22"/>
          <w:lang w:val="es-CO"/>
        </w:rPr>
        <w:t>…</w:t>
      </w:r>
      <w:r w:rsidR="009E4A4A" w:rsidRPr="00A21B5C">
        <w:rPr>
          <w:rFonts w:ascii="Arial" w:hAnsi="Arial" w:cs="Arial"/>
          <w:i/>
          <w:sz w:val="22"/>
          <w:szCs w:val="22"/>
          <w:lang w:val="es-CO"/>
        </w:rPr>
        <w:t>]</w:t>
      </w:r>
      <w:r w:rsidRPr="00A21B5C">
        <w:rPr>
          <w:rFonts w:ascii="Arial" w:hAnsi="Arial" w:cs="Arial"/>
          <w:i/>
          <w:sz w:val="22"/>
          <w:szCs w:val="22"/>
          <w:lang w:val="es-CO"/>
        </w:rPr>
        <w:t xml:space="preserve">”; </w:t>
      </w:r>
      <w:r w:rsidRPr="00A21B5C">
        <w:rPr>
          <w:rFonts w:ascii="Arial" w:hAnsi="Arial" w:cs="Arial"/>
          <w:sz w:val="22"/>
          <w:szCs w:val="22"/>
          <w:lang w:val="es-CO"/>
        </w:rPr>
        <w:t xml:space="preserve">problemática ante la cual </w:t>
      </w:r>
      <w:r w:rsidR="004B2CB5" w:rsidRPr="00A21B5C">
        <w:rPr>
          <w:rFonts w:ascii="Arial" w:hAnsi="Arial" w:cs="Arial"/>
          <w:sz w:val="22"/>
          <w:szCs w:val="22"/>
          <w:lang w:val="es-CO"/>
        </w:rPr>
        <w:t xml:space="preserve">se </w:t>
      </w:r>
      <w:r w:rsidRPr="00A21B5C">
        <w:rPr>
          <w:rFonts w:ascii="Arial" w:hAnsi="Arial" w:cs="Arial"/>
          <w:sz w:val="22"/>
          <w:szCs w:val="22"/>
          <w:lang w:val="es-CO"/>
        </w:rPr>
        <w:t>propone la contratación de un grupo de personas que realicen trabajos de aseo y celaduría.</w:t>
      </w:r>
    </w:p>
    <w:p w:rsidR="008C2E4A" w:rsidRPr="00A21B5C" w:rsidRDefault="008C2E4A" w:rsidP="00A21B5C">
      <w:pPr>
        <w:contextualSpacing/>
        <w:jc w:val="both"/>
        <w:rPr>
          <w:rFonts w:ascii="Arial" w:hAnsi="Arial" w:cs="Arial"/>
          <w:i/>
          <w:sz w:val="22"/>
          <w:szCs w:val="22"/>
          <w:lang w:val="es-CO"/>
        </w:rPr>
      </w:pPr>
    </w:p>
    <w:p w:rsidR="008C2E4A" w:rsidRPr="00A21B5C" w:rsidRDefault="008C2E4A" w:rsidP="00A21B5C">
      <w:pPr>
        <w:contextualSpacing/>
        <w:jc w:val="both"/>
        <w:rPr>
          <w:rFonts w:ascii="Arial" w:hAnsi="Arial" w:cs="Arial"/>
          <w:sz w:val="22"/>
          <w:szCs w:val="22"/>
          <w:lang w:val="es-CO"/>
        </w:rPr>
      </w:pPr>
      <w:r w:rsidRPr="00A21B5C">
        <w:rPr>
          <w:rFonts w:ascii="Arial" w:hAnsi="Arial" w:cs="Arial"/>
          <w:sz w:val="22"/>
          <w:szCs w:val="22"/>
          <w:lang w:val="es-CO"/>
        </w:rPr>
        <w:lastRenderedPageBreak/>
        <w:t xml:space="preserve">Al respecto, se recalca que </w:t>
      </w:r>
      <w:r w:rsidR="003E1B44" w:rsidRPr="00A21B5C">
        <w:rPr>
          <w:rFonts w:ascii="Arial" w:hAnsi="Arial" w:cs="Arial"/>
          <w:sz w:val="22"/>
          <w:szCs w:val="22"/>
          <w:lang w:val="es-CO"/>
        </w:rPr>
        <w:t xml:space="preserve">entre </w:t>
      </w:r>
      <w:r w:rsidRPr="00A21B5C">
        <w:rPr>
          <w:rFonts w:ascii="Arial" w:hAnsi="Arial" w:cs="Arial"/>
          <w:sz w:val="22"/>
          <w:szCs w:val="22"/>
          <w:lang w:val="es-CO"/>
        </w:rPr>
        <w:t xml:space="preserve">las destinaciones </w:t>
      </w:r>
      <w:r w:rsidR="00266160" w:rsidRPr="00A21B5C">
        <w:rPr>
          <w:rFonts w:ascii="Arial" w:hAnsi="Arial" w:cs="Arial"/>
          <w:sz w:val="22"/>
          <w:szCs w:val="22"/>
          <w:lang w:val="es-CO"/>
        </w:rPr>
        <w:t xml:space="preserve">establecidas para </w:t>
      </w:r>
      <w:r w:rsidRPr="00A21B5C">
        <w:rPr>
          <w:rFonts w:ascii="Arial" w:hAnsi="Arial" w:cs="Arial"/>
          <w:sz w:val="22"/>
          <w:szCs w:val="22"/>
          <w:lang w:val="es-CO"/>
        </w:rPr>
        <w:t xml:space="preserve">los recursos de la AESGPRI no </w:t>
      </w:r>
      <w:r w:rsidR="00266160" w:rsidRPr="00A21B5C">
        <w:rPr>
          <w:rFonts w:ascii="Arial" w:hAnsi="Arial" w:cs="Arial"/>
          <w:sz w:val="22"/>
          <w:szCs w:val="22"/>
          <w:lang w:val="es-CO"/>
        </w:rPr>
        <w:t xml:space="preserve">se encuentra </w:t>
      </w:r>
      <w:r w:rsidRPr="00A21B5C">
        <w:rPr>
          <w:rFonts w:ascii="Arial" w:hAnsi="Arial" w:cs="Arial"/>
          <w:sz w:val="22"/>
          <w:szCs w:val="22"/>
          <w:lang w:val="es-CO"/>
        </w:rPr>
        <w:t xml:space="preserve">la financiación de gastos de funcionamiento, </w:t>
      </w:r>
      <w:r w:rsidR="00266160" w:rsidRPr="00A21B5C">
        <w:rPr>
          <w:rFonts w:ascii="Arial" w:hAnsi="Arial" w:cs="Arial"/>
          <w:sz w:val="22"/>
          <w:szCs w:val="22"/>
          <w:lang w:val="es-CO"/>
        </w:rPr>
        <w:t xml:space="preserve">tal </w:t>
      </w:r>
      <w:r w:rsidRPr="00A21B5C">
        <w:rPr>
          <w:rFonts w:ascii="Arial" w:hAnsi="Arial" w:cs="Arial"/>
          <w:sz w:val="22"/>
          <w:szCs w:val="22"/>
          <w:lang w:val="es-CO"/>
        </w:rPr>
        <w:t xml:space="preserve">como </w:t>
      </w:r>
      <w:r w:rsidR="00266160" w:rsidRPr="00A21B5C">
        <w:rPr>
          <w:rFonts w:ascii="Arial" w:hAnsi="Arial" w:cs="Arial"/>
          <w:sz w:val="22"/>
          <w:szCs w:val="22"/>
          <w:lang w:val="es-CO"/>
        </w:rPr>
        <w:t xml:space="preserve">lo estipula </w:t>
      </w:r>
      <w:r w:rsidRPr="00A21B5C">
        <w:rPr>
          <w:rFonts w:ascii="Arial" w:hAnsi="Arial" w:cs="Arial"/>
          <w:sz w:val="22"/>
          <w:szCs w:val="22"/>
          <w:lang w:val="es-CO"/>
        </w:rPr>
        <w:t xml:space="preserve">el artículo 27 del Decreto 1953 de 2014 y como lo remarca el Departamento Nacional de Planeación en su documento de </w:t>
      </w:r>
      <w:r w:rsidRPr="00A21B5C">
        <w:rPr>
          <w:rFonts w:ascii="Arial" w:hAnsi="Arial" w:cs="Arial"/>
          <w:i/>
          <w:color w:val="000000"/>
          <w:sz w:val="22"/>
          <w:szCs w:val="22"/>
          <w:lang w:val="es-CO"/>
        </w:rPr>
        <w:t>“Orientaciones para la programación, administración y ejecución de los recursos de la Asignación Especial del Sistema General de Participaciones para los Resguardos Indígenas (AESGRI) 2012</w:t>
      </w:r>
      <w:r w:rsidR="0006398E" w:rsidRPr="00A21B5C">
        <w:rPr>
          <w:rFonts w:ascii="Arial" w:hAnsi="Arial" w:cs="Arial"/>
          <w:i/>
          <w:color w:val="000000"/>
          <w:sz w:val="22"/>
          <w:szCs w:val="22"/>
          <w:lang w:val="es-CO"/>
        </w:rPr>
        <w:t>”</w:t>
      </w:r>
      <w:r w:rsidR="00D039E7" w:rsidRPr="00A21B5C">
        <w:rPr>
          <w:rFonts w:ascii="Arial" w:hAnsi="Arial" w:cs="Arial"/>
          <w:i/>
          <w:color w:val="000000"/>
          <w:sz w:val="22"/>
          <w:szCs w:val="22"/>
          <w:lang w:val="es-CO"/>
        </w:rPr>
        <w:t>,</w:t>
      </w:r>
      <w:r w:rsidR="00D039E7" w:rsidRPr="00A21B5C">
        <w:rPr>
          <w:rFonts w:ascii="Arial" w:hAnsi="Arial" w:cs="Arial"/>
          <w:iCs/>
          <w:color w:val="000000"/>
          <w:sz w:val="22"/>
          <w:szCs w:val="22"/>
          <w:lang w:val="es-CO"/>
        </w:rPr>
        <w:t xml:space="preserve"> cuando menciona que “</w:t>
      </w:r>
      <w:r w:rsidR="009E4A4A" w:rsidRPr="00A21B5C">
        <w:rPr>
          <w:rFonts w:ascii="Arial" w:hAnsi="Arial" w:cs="Arial"/>
          <w:i/>
          <w:color w:val="000000"/>
          <w:sz w:val="22"/>
          <w:szCs w:val="22"/>
          <w:lang w:val="es-CO"/>
        </w:rPr>
        <w:t>[</w:t>
      </w:r>
      <w:r w:rsidR="00D10B8A" w:rsidRPr="00A21B5C">
        <w:rPr>
          <w:rFonts w:ascii="Arial" w:hAnsi="Arial" w:cs="Arial"/>
          <w:i/>
          <w:color w:val="000000"/>
          <w:sz w:val="22"/>
          <w:szCs w:val="22"/>
          <w:lang w:val="es-CO"/>
        </w:rPr>
        <w:t>…</w:t>
      </w:r>
      <w:r w:rsidR="009E4A4A" w:rsidRPr="00A21B5C">
        <w:rPr>
          <w:rFonts w:ascii="Arial" w:hAnsi="Arial" w:cs="Arial"/>
          <w:i/>
          <w:color w:val="000000"/>
          <w:sz w:val="22"/>
          <w:szCs w:val="22"/>
          <w:lang w:val="es-CO"/>
        </w:rPr>
        <w:t>]</w:t>
      </w:r>
      <w:r w:rsidR="00D10B8A" w:rsidRPr="00A21B5C">
        <w:rPr>
          <w:rFonts w:ascii="Arial" w:hAnsi="Arial" w:cs="Arial"/>
          <w:i/>
          <w:color w:val="000000"/>
          <w:sz w:val="22"/>
          <w:szCs w:val="22"/>
          <w:lang w:val="es-CO"/>
        </w:rPr>
        <w:t xml:space="preserve"> </w:t>
      </w:r>
      <w:r w:rsidR="00D039E7" w:rsidRPr="00A21B5C">
        <w:rPr>
          <w:rFonts w:ascii="Arial" w:hAnsi="Arial" w:cs="Arial"/>
          <w:i/>
          <w:color w:val="000000"/>
          <w:sz w:val="22"/>
          <w:szCs w:val="22"/>
          <w:lang w:val="es-CO"/>
        </w:rPr>
        <w:t>los recursos de la AESGPRI solamente podrán ser destinados para financiar gastos de inversión. Es decir que en contraposición a los</w:t>
      </w:r>
      <w:r w:rsidR="00D10B8A" w:rsidRPr="00A21B5C">
        <w:rPr>
          <w:rFonts w:ascii="Arial" w:hAnsi="Arial" w:cs="Arial"/>
          <w:i/>
          <w:color w:val="000000"/>
          <w:sz w:val="22"/>
          <w:szCs w:val="22"/>
          <w:lang w:val="es-CO"/>
        </w:rPr>
        <w:t xml:space="preserve"> </w:t>
      </w:r>
      <w:r w:rsidR="00D039E7" w:rsidRPr="00A21B5C">
        <w:rPr>
          <w:rFonts w:ascii="Arial" w:hAnsi="Arial" w:cs="Arial"/>
          <w:i/>
          <w:color w:val="000000"/>
          <w:sz w:val="22"/>
          <w:szCs w:val="22"/>
          <w:lang w:val="es-CO"/>
        </w:rPr>
        <w:t>gastos de inversión, es claro que los recursos de l</w:t>
      </w:r>
      <w:r w:rsidR="00D10B8A" w:rsidRPr="00A21B5C">
        <w:rPr>
          <w:rFonts w:ascii="Arial" w:hAnsi="Arial" w:cs="Arial"/>
          <w:sz w:val="22"/>
          <w:szCs w:val="22"/>
          <w:lang w:val="es-CO"/>
        </w:rPr>
        <w:t xml:space="preserve">a </w:t>
      </w:r>
      <w:r w:rsidR="00D10B8A" w:rsidRPr="00A21B5C">
        <w:rPr>
          <w:rFonts w:ascii="Arial" w:hAnsi="Arial" w:cs="Arial"/>
          <w:i/>
          <w:sz w:val="22"/>
          <w:szCs w:val="22"/>
          <w:lang w:val="es-CO"/>
        </w:rPr>
        <w:t>AESGPRI</w:t>
      </w:r>
      <w:r w:rsidR="00D039E7" w:rsidRPr="00A21B5C">
        <w:rPr>
          <w:rFonts w:ascii="Arial" w:hAnsi="Arial" w:cs="Arial"/>
          <w:i/>
          <w:color w:val="000000"/>
          <w:sz w:val="22"/>
          <w:szCs w:val="22"/>
          <w:lang w:val="es-CO"/>
        </w:rPr>
        <w:t xml:space="preserve"> no se pueden</w:t>
      </w:r>
      <w:r w:rsidR="00D10B8A" w:rsidRPr="00A21B5C">
        <w:rPr>
          <w:rFonts w:ascii="Arial" w:hAnsi="Arial" w:cs="Arial"/>
          <w:i/>
          <w:color w:val="000000"/>
          <w:sz w:val="22"/>
          <w:szCs w:val="22"/>
          <w:lang w:val="es-CO"/>
        </w:rPr>
        <w:t xml:space="preserve"> </w:t>
      </w:r>
      <w:r w:rsidR="00D039E7" w:rsidRPr="00A21B5C">
        <w:rPr>
          <w:rFonts w:ascii="Arial" w:hAnsi="Arial" w:cs="Arial"/>
          <w:i/>
          <w:color w:val="000000"/>
          <w:sz w:val="22"/>
          <w:szCs w:val="22"/>
          <w:lang w:val="es-CO"/>
        </w:rPr>
        <w:t>utilizar para financiar gastos de funcionamiento</w:t>
      </w:r>
      <w:r w:rsidR="00D10B8A" w:rsidRPr="00A21B5C">
        <w:rPr>
          <w:rFonts w:ascii="Arial" w:hAnsi="Arial" w:cs="Arial"/>
          <w:i/>
          <w:color w:val="000000"/>
          <w:sz w:val="22"/>
          <w:szCs w:val="22"/>
          <w:lang w:val="es-CO"/>
        </w:rPr>
        <w:t>”</w:t>
      </w:r>
      <w:r w:rsidR="00995C36" w:rsidRPr="00A21B5C">
        <w:rPr>
          <w:rFonts w:ascii="Arial" w:hAnsi="Arial" w:cs="Arial"/>
          <w:i/>
          <w:color w:val="000000"/>
          <w:sz w:val="22"/>
          <w:szCs w:val="22"/>
          <w:lang w:val="es-CO"/>
        </w:rPr>
        <w:t>.</w:t>
      </w:r>
    </w:p>
    <w:p w:rsidR="008C2E4A" w:rsidRPr="00A21B5C" w:rsidRDefault="008C2E4A" w:rsidP="00A21B5C">
      <w:pPr>
        <w:contextualSpacing/>
        <w:jc w:val="both"/>
        <w:rPr>
          <w:rFonts w:ascii="Arial" w:hAnsi="Arial" w:cs="Arial"/>
          <w:sz w:val="22"/>
          <w:szCs w:val="22"/>
          <w:highlight w:val="yellow"/>
          <w:lang w:val="es-CO"/>
        </w:rPr>
      </w:pPr>
    </w:p>
    <w:p w:rsidR="008C2E4A" w:rsidRPr="00A21B5C" w:rsidRDefault="008C2E4A" w:rsidP="00A21B5C">
      <w:pPr>
        <w:contextualSpacing/>
        <w:jc w:val="both"/>
        <w:rPr>
          <w:rFonts w:ascii="Arial" w:hAnsi="Arial" w:cs="Arial"/>
          <w:sz w:val="22"/>
          <w:szCs w:val="22"/>
          <w:lang w:val="es-CO"/>
        </w:rPr>
      </w:pPr>
      <w:r w:rsidRPr="00A21B5C">
        <w:rPr>
          <w:rFonts w:ascii="Arial" w:hAnsi="Arial" w:cs="Arial"/>
          <w:sz w:val="22"/>
          <w:szCs w:val="22"/>
          <w:lang w:val="es-CO"/>
        </w:rPr>
        <w:t>Sin perjuicio de todo lo anterior, en cuanto a la</w:t>
      </w:r>
      <w:r w:rsidRPr="00A21B5C">
        <w:rPr>
          <w:rFonts w:ascii="Arial" w:hAnsi="Arial" w:cs="Arial"/>
          <w:b/>
          <w:i/>
          <w:sz w:val="22"/>
          <w:szCs w:val="22"/>
          <w:lang w:val="es-CO"/>
        </w:rPr>
        <w:t xml:space="preserve"> </w:t>
      </w:r>
      <w:r w:rsidRPr="00A21B5C">
        <w:rPr>
          <w:rFonts w:ascii="Arial" w:hAnsi="Arial" w:cs="Arial"/>
          <w:bCs/>
          <w:iCs/>
          <w:sz w:val="22"/>
          <w:szCs w:val="22"/>
          <w:lang w:val="es-CO"/>
        </w:rPr>
        <w:t>formulación de los proyectos,</w:t>
      </w:r>
      <w:r w:rsidRPr="00A21B5C">
        <w:rPr>
          <w:rFonts w:ascii="Arial" w:hAnsi="Arial" w:cs="Arial"/>
          <w:b/>
          <w:i/>
          <w:sz w:val="22"/>
          <w:szCs w:val="22"/>
          <w:lang w:val="es-CO"/>
        </w:rPr>
        <w:t xml:space="preserve"> </w:t>
      </w:r>
      <w:r w:rsidRPr="00A21B5C">
        <w:rPr>
          <w:rFonts w:ascii="Arial" w:hAnsi="Arial" w:cs="Arial"/>
          <w:sz w:val="22"/>
          <w:szCs w:val="22"/>
          <w:lang w:val="es-CO"/>
        </w:rPr>
        <w:t>se anota que:</w:t>
      </w:r>
    </w:p>
    <w:p w:rsidR="00294ABF" w:rsidRPr="00A21B5C" w:rsidRDefault="008C2E4A" w:rsidP="00A21B5C">
      <w:pPr>
        <w:contextualSpacing/>
        <w:jc w:val="both"/>
        <w:rPr>
          <w:rFonts w:ascii="Arial" w:hAnsi="Arial" w:cs="Arial"/>
          <w:sz w:val="22"/>
          <w:szCs w:val="22"/>
          <w:lang w:val="es-CO"/>
        </w:rPr>
      </w:pPr>
      <w:r w:rsidRPr="00A21B5C">
        <w:rPr>
          <w:rFonts w:ascii="Arial" w:hAnsi="Arial" w:cs="Arial"/>
          <w:sz w:val="22"/>
          <w:szCs w:val="22"/>
          <w:lang w:val="es-CO"/>
        </w:rPr>
        <w:t xml:space="preserve"> </w:t>
      </w:r>
    </w:p>
    <w:p w:rsidR="008C2E4A" w:rsidRPr="00A21B5C" w:rsidRDefault="00854D49">
      <w:pPr>
        <w:pStyle w:val="Prrafodelista"/>
        <w:numPr>
          <w:ilvl w:val="0"/>
          <w:numId w:val="33"/>
        </w:numPr>
        <w:ind w:left="284"/>
        <w:jc w:val="both"/>
        <w:rPr>
          <w:rFonts w:ascii="Arial" w:hAnsi="Arial" w:cs="Arial"/>
          <w:sz w:val="22"/>
          <w:szCs w:val="22"/>
          <w:lang w:val="es-CO"/>
        </w:rPr>
      </w:pPr>
      <w:r w:rsidRPr="00A21B5C">
        <w:rPr>
          <w:rFonts w:ascii="Arial" w:hAnsi="Arial" w:cs="Arial"/>
          <w:sz w:val="22"/>
          <w:szCs w:val="22"/>
          <w:lang w:val="es-CO"/>
        </w:rPr>
        <w:t>S</w:t>
      </w:r>
      <w:r w:rsidR="009118E0" w:rsidRPr="00A21B5C">
        <w:rPr>
          <w:rFonts w:ascii="Arial" w:hAnsi="Arial" w:cs="Arial"/>
          <w:sz w:val="22"/>
          <w:szCs w:val="22"/>
          <w:lang w:val="es-CO"/>
        </w:rPr>
        <w:t xml:space="preserve">e advierte sobre la falta de articulación entre proyectos </w:t>
      </w:r>
      <w:r w:rsidR="00A86DFB" w:rsidRPr="00A21B5C">
        <w:rPr>
          <w:rFonts w:ascii="Arial" w:hAnsi="Arial" w:cs="Arial"/>
          <w:sz w:val="22"/>
          <w:szCs w:val="22"/>
          <w:lang w:val="es-CO"/>
        </w:rPr>
        <w:t xml:space="preserve">que aparentemente </w:t>
      </w:r>
      <w:r w:rsidR="00227EE7" w:rsidRPr="00A21B5C">
        <w:rPr>
          <w:rFonts w:ascii="Arial" w:hAnsi="Arial" w:cs="Arial"/>
          <w:sz w:val="22"/>
          <w:szCs w:val="22"/>
          <w:lang w:val="es-CO"/>
        </w:rPr>
        <w:t>dependen</w:t>
      </w:r>
      <w:r w:rsidR="00A86DFB" w:rsidRPr="00A21B5C">
        <w:rPr>
          <w:rFonts w:ascii="Arial" w:hAnsi="Arial" w:cs="Arial"/>
          <w:sz w:val="22"/>
          <w:szCs w:val="22"/>
          <w:lang w:val="es-CO"/>
        </w:rPr>
        <w:t xml:space="preserve"> uno del otro</w:t>
      </w:r>
      <w:r w:rsidR="000B52B6" w:rsidRPr="00A21B5C">
        <w:rPr>
          <w:rFonts w:ascii="Arial" w:hAnsi="Arial" w:cs="Arial"/>
          <w:sz w:val="22"/>
          <w:szCs w:val="22"/>
          <w:lang w:val="es-CO"/>
        </w:rPr>
        <w:t>,</w:t>
      </w:r>
      <w:r w:rsidR="00227EE7" w:rsidRPr="00A21B5C">
        <w:rPr>
          <w:rFonts w:ascii="Arial" w:hAnsi="Arial" w:cs="Arial"/>
          <w:sz w:val="22"/>
          <w:szCs w:val="22"/>
          <w:lang w:val="es-CO"/>
        </w:rPr>
        <w:t xml:space="preserve"> como es </w:t>
      </w:r>
      <w:r w:rsidR="00395FB7" w:rsidRPr="00A21B5C">
        <w:rPr>
          <w:rFonts w:ascii="Arial" w:hAnsi="Arial" w:cs="Arial"/>
          <w:sz w:val="22"/>
          <w:szCs w:val="22"/>
          <w:lang w:val="es-CO"/>
        </w:rPr>
        <w:t xml:space="preserve">el caso de </w:t>
      </w:r>
      <w:r w:rsidR="008C2E4A" w:rsidRPr="00A21B5C">
        <w:rPr>
          <w:rFonts w:ascii="Arial" w:hAnsi="Arial" w:cs="Arial"/>
          <w:sz w:val="22"/>
          <w:szCs w:val="22"/>
          <w:lang w:val="es-CO"/>
        </w:rPr>
        <w:t xml:space="preserve">los </w:t>
      </w:r>
      <w:r w:rsidR="009E4A4A" w:rsidRPr="00A21B5C">
        <w:rPr>
          <w:rFonts w:ascii="Arial" w:hAnsi="Arial" w:cs="Arial"/>
          <w:sz w:val="22"/>
          <w:szCs w:val="22"/>
          <w:lang w:val="es-CO"/>
        </w:rPr>
        <w:t>P</w:t>
      </w:r>
      <w:r w:rsidR="008C2E4A" w:rsidRPr="00A21B5C">
        <w:rPr>
          <w:rFonts w:ascii="Arial" w:hAnsi="Arial" w:cs="Arial"/>
          <w:sz w:val="22"/>
          <w:szCs w:val="22"/>
          <w:lang w:val="es-CO"/>
        </w:rPr>
        <w:t xml:space="preserve">royectos </w:t>
      </w:r>
      <w:r w:rsidR="009E4A4A" w:rsidRPr="00A21B5C">
        <w:rPr>
          <w:rFonts w:ascii="Arial" w:hAnsi="Arial" w:cs="Arial"/>
          <w:sz w:val="22"/>
          <w:szCs w:val="22"/>
          <w:lang w:val="es-CO"/>
        </w:rPr>
        <w:t xml:space="preserve">de </w:t>
      </w:r>
      <w:r w:rsidR="008C2E4A" w:rsidRPr="00A21B5C">
        <w:rPr>
          <w:rFonts w:ascii="Arial" w:hAnsi="Arial" w:cs="Arial"/>
          <w:sz w:val="22"/>
          <w:szCs w:val="22"/>
          <w:lang w:val="es-CO"/>
        </w:rPr>
        <w:t>“</w:t>
      </w:r>
      <w:r w:rsidR="008C2E4A" w:rsidRPr="00A21B5C">
        <w:rPr>
          <w:rFonts w:ascii="Arial" w:hAnsi="Arial" w:cs="Arial"/>
          <w:i/>
          <w:iCs/>
          <w:sz w:val="22"/>
          <w:szCs w:val="22"/>
          <w:lang w:val="es-CO"/>
        </w:rPr>
        <w:t>Ampliación y saneamiento del Resguardo Kogui – Malayo- A</w:t>
      </w:r>
      <w:r w:rsidR="0006309C" w:rsidRPr="00A21B5C">
        <w:rPr>
          <w:rFonts w:ascii="Arial" w:hAnsi="Arial" w:cs="Arial"/>
          <w:i/>
          <w:iCs/>
          <w:sz w:val="22"/>
          <w:szCs w:val="22"/>
          <w:lang w:val="es-CO"/>
        </w:rPr>
        <w:t>r</w:t>
      </w:r>
      <w:r w:rsidR="008C2E4A" w:rsidRPr="00A21B5C">
        <w:rPr>
          <w:rFonts w:ascii="Arial" w:hAnsi="Arial" w:cs="Arial"/>
          <w:i/>
          <w:iCs/>
          <w:sz w:val="22"/>
          <w:szCs w:val="22"/>
          <w:lang w:val="es-CO"/>
        </w:rPr>
        <w:t>huaco</w:t>
      </w:r>
      <w:r w:rsidR="008C2E4A" w:rsidRPr="00A21B5C">
        <w:rPr>
          <w:rFonts w:ascii="Arial" w:hAnsi="Arial" w:cs="Arial"/>
          <w:sz w:val="22"/>
          <w:szCs w:val="22"/>
          <w:lang w:val="es-CO"/>
        </w:rPr>
        <w:t>” y “</w:t>
      </w:r>
      <w:r w:rsidR="008C2E4A" w:rsidRPr="00A21B5C">
        <w:rPr>
          <w:rFonts w:ascii="Arial" w:hAnsi="Arial" w:cs="Arial"/>
          <w:i/>
          <w:iCs/>
          <w:sz w:val="22"/>
          <w:szCs w:val="22"/>
          <w:lang w:val="es-CO"/>
        </w:rPr>
        <w:t xml:space="preserve">Pago de levantamiento topográfico, </w:t>
      </w:r>
      <w:r w:rsidR="0091076A" w:rsidRPr="00A21B5C">
        <w:rPr>
          <w:rFonts w:ascii="Arial" w:hAnsi="Arial" w:cs="Arial"/>
          <w:i/>
          <w:iCs/>
          <w:sz w:val="22"/>
          <w:szCs w:val="22"/>
          <w:lang w:val="es-CO"/>
        </w:rPr>
        <w:t xml:space="preserve">diseño </w:t>
      </w:r>
      <w:r w:rsidR="008C2E4A" w:rsidRPr="00A21B5C">
        <w:rPr>
          <w:rFonts w:ascii="Arial" w:hAnsi="Arial" w:cs="Arial"/>
          <w:i/>
          <w:iCs/>
          <w:sz w:val="22"/>
          <w:szCs w:val="22"/>
          <w:lang w:val="es-CO"/>
        </w:rPr>
        <w:t xml:space="preserve">de planos, estudios de títulos, </w:t>
      </w:r>
      <w:r w:rsidR="00613B55" w:rsidRPr="00A21B5C">
        <w:rPr>
          <w:rFonts w:ascii="Arial" w:hAnsi="Arial" w:cs="Arial"/>
          <w:i/>
          <w:iCs/>
          <w:sz w:val="22"/>
          <w:szCs w:val="22"/>
          <w:lang w:val="es-CO"/>
        </w:rPr>
        <w:t xml:space="preserve">realización de </w:t>
      </w:r>
      <w:r w:rsidR="008C2E4A" w:rsidRPr="00A21B5C">
        <w:rPr>
          <w:rFonts w:ascii="Arial" w:hAnsi="Arial" w:cs="Arial"/>
          <w:i/>
          <w:iCs/>
          <w:sz w:val="22"/>
          <w:szCs w:val="22"/>
          <w:lang w:val="es-CO"/>
        </w:rPr>
        <w:t>avalúos,</w:t>
      </w:r>
      <w:r w:rsidR="00613B55" w:rsidRPr="00A21B5C">
        <w:rPr>
          <w:rFonts w:ascii="Arial" w:hAnsi="Arial" w:cs="Arial"/>
          <w:i/>
          <w:iCs/>
          <w:sz w:val="22"/>
          <w:szCs w:val="22"/>
          <w:lang w:val="es-CO"/>
        </w:rPr>
        <w:t xml:space="preserve"> notariado</w:t>
      </w:r>
      <w:r w:rsidR="008C2E4A" w:rsidRPr="00A21B5C">
        <w:rPr>
          <w:rFonts w:ascii="Arial" w:hAnsi="Arial" w:cs="Arial"/>
          <w:i/>
          <w:iCs/>
          <w:sz w:val="22"/>
          <w:szCs w:val="22"/>
          <w:lang w:val="es-CO"/>
        </w:rPr>
        <w:t xml:space="preserve"> y registro de predios y mejoras</w:t>
      </w:r>
      <w:r w:rsidR="0006309C" w:rsidRPr="00A21B5C">
        <w:rPr>
          <w:rFonts w:ascii="Arial" w:hAnsi="Arial" w:cs="Arial"/>
          <w:i/>
          <w:iCs/>
          <w:sz w:val="22"/>
          <w:szCs w:val="22"/>
          <w:lang w:val="es-CO"/>
        </w:rPr>
        <w:t xml:space="preserve"> para saneamiento y ampliación del Resguardo Kogui-Malayo-Arhuaco</w:t>
      </w:r>
      <w:r w:rsidR="008C2E4A" w:rsidRPr="00A21B5C">
        <w:rPr>
          <w:rFonts w:ascii="Arial" w:hAnsi="Arial" w:cs="Arial"/>
          <w:sz w:val="22"/>
          <w:szCs w:val="22"/>
          <w:lang w:val="es-CO"/>
        </w:rPr>
        <w:t xml:space="preserve">” priorizados por </w:t>
      </w:r>
      <w:r w:rsidR="0006309C" w:rsidRPr="00A21B5C">
        <w:rPr>
          <w:rFonts w:ascii="Arial" w:hAnsi="Arial" w:cs="Arial"/>
          <w:sz w:val="22"/>
          <w:szCs w:val="22"/>
          <w:lang w:val="es-CO"/>
        </w:rPr>
        <w:t>el</w:t>
      </w:r>
      <w:r w:rsidR="003615CD" w:rsidRPr="00A21B5C">
        <w:rPr>
          <w:rFonts w:ascii="Arial" w:hAnsi="Arial" w:cs="Arial"/>
          <w:sz w:val="22"/>
          <w:szCs w:val="22"/>
          <w:lang w:val="es-CO"/>
        </w:rPr>
        <w:t xml:space="preserve"> </w:t>
      </w:r>
      <w:r w:rsidR="009E4A4A" w:rsidRPr="00A21B5C">
        <w:rPr>
          <w:rFonts w:ascii="Arial" w:hAnsi="Arial" w:cs="Arial"/>
          <w:sz w:val="22"/>
          <w:szCs w:val="22"/>
          <w:lang w:val="es-CO"/>
        </w:rPr>
        <w:t>P</w:t>
      </w:r>
      <w:r w:rsidR="003615CD" w:rsidRPr="00A21B5C">
        <w:rPr>
          <w:rFonts w:ascii="Arial" w:hAnsi="Arial" w:cs="Arial"/>
          <w:sz w:val="22"/>
          <w:szCs w:val="22"/>
          <w:lang w:val="es-CO"/>
        </w:rPr>
        <w:t>ueblo</w:t>
      </w:r>
      <w:r w:rsidR="008C2E4A" w:rsidRPr="00A21B5C">
        <w:rPr>
          <w:rFonts w:ascii="Arial" w:hAnsi="Arial" w:cs="Arial"/>
          <w:sz w:val="22"/>
          <w:szCs w:val="22"/>
          <w:lang w:val="es-CO"/>
        </w:rPr>
        <w:t xml:space="preserve"> Kogui, </w:t>
      </w:r>
      <w:r w:rsidR="00A86DFB" w:rsidRPr="00A21B5C">
        <w:rPr>
          <w:rFonts w:ascii="Arial" w:hAnsi="Arial" w:cs="Arial"/>
          <w:sz w:val="22"/>
          <w:szCs w:val="22"/>
          <w:lang w:val="es-CO"/>
        </w:rPr>
        <w:t xml:space="preserve">dado que </w:t>
      </w:r>
      <w:r w:rsidR="008C2E4A" w:rsidRPr="00A21B5C">
        <w:rPr>
          <w:rFonts w:ascii="Arial" w:hAnsi="Arial" w:cs="Arial"/>
          <w:sz w:val="22"/>
          <w:szCs w:val="22"/>
          <w:lang w:val="es-CO"/>
        </w:rPr>
        <w:t>pareciera que el segundo es una actividad específica para la consecución del primer</w:t>
      </w:r>
      <w:r w:rsidR="00A86DFB" w:rsidRPr="00A21B5C">
        <w:rPr>
          <w:rFonts w:ascii="Arial" w:hAnsi="Arial" w:cs="Arial"/>
          <w:sz w:val="22"/>
          <w:szCs w:val="22"/>
          <w:lang w:val="es-CO"/>
        </w:rPr>
        <w:t>o</w:t>
      </w:r>
      <w:r w:rsidR="008C2E4A" w:rsidRPr="00A21B5C">
        <w:rPr>
          <w:rFonts w:ascii="Arial" w:hAnsi="Arial" w:cs="Arial"/>
          <w:sz w:val="22"/>
          <w:szCs w:val="22"/>
          <w:lang w:val="es-CO"/>
        </w:rPr>
        <w:t>, en el cual se plantea la compra del terreno únicamente, de tal forma que</w:t>
      </w:r>
      <w:r w:rsidR="00A86E26" w:rsidRPr="00A21B5C">
        <w:rPr>
          <w:rFonts w:ascii="Arial" w:hAnsi="Arial" w:cs="Arial"/>
          <w:sz w:val="22"/>
          <w:szCs w:val="22"/>
          <w:lang w:val="es-CO"/>
        </w:rPr>
        <w:t xml:space="preserve"> de manera articulada</w:t>
      </w:r>
      <w:r w:rsidR="008C2E4A" w:rsidRPr="00A21B5C">
        <w:rPr>
          <w:rFonts w:ascii="Arial" w:hAnsi="Arial" w:cs="Arial"/>
          <w:sz w:val="22"/>
          <w:szCs w:val="22"/>
          <w:lang w:val="es-CO"/>
        </w:rPr>
        <w:t xml:space="preserve"> podría tratarse de un único proyecto </w:t>
      </w:r>
      <w:r w:rsidR="00A86E26" w:rsidRPr="00A21B5C">
        <w:rPr>
          <w:rFonts w:ascii="Arial" w:hAnsi="Arial" w:cs="Arial"/>
          <w:sz w:val="22"/>
          <w:szCs w:val="22"/>
          <w:lang w:val="es-CO"/>
        </w:rPr>
        <w:t xml:space="preserve">de inversión </w:t>
      </w:r>
      <w:r w:rsidR="008C2E4A" w:rsidRPr="00A21B5C">
        <w:rPr>
          <w:rFonts w:ascii="Arial" w:hAnsi="Arial" w:cs="Arial"/>
          <w:sz w:val="22"/>
          <w:szCs w:val="22"/>
          <w:lang w:val="es-CO"/>
        </w:rPr>
        <w:t>y no de dos de forma aislada.</w:t>
      </w:r>
    </w:p>
    <w:p w:rsidR="008C2E4A" w:rsidRPr="00A21B5C" w:rsidRDefault="008C2E4A" w:rsidP="00A21B5C">
      <w:pPr>
        <w:ind w:left="284"/>
        <w:contextualSpacing/>
        <w:jc w:val="both"/>
        <w:rPr>
          <w:rFonts w:ascii="Arial" w:hAnsi="Arial" w:cs="Arial"/>
          <w:sz w:val="22"/>
          <w:szCs w:val="22"/>
          <w:lang w:val="es-CO"/>
        </w:rPr>
      </w:pPr>
    </w:p>
    <w:p w:rsidR="00AD06DE" w:rsidRPr="00A21B5C" w:rsidRDefault="00CC6DFE">
      <w:pPr>
        <w:pStyle w:val="Prrafodelista"/>
        <w:ind w:left="284"/>
        <w:jc w:val="both"/>
        <w:rPr>
          <w:rFonts w:ascii="Arial" w:hAnsi="Arial" w:cs="Arial"/>
          <w:sz w:val="22"/>
          <w:szCs w:val="22"/>
          <w:lang w:val="es-CO"/>
        </w:rPr>
      </w:pPr>
      <w:r w:rsidRPr="00A21B5C">
        <w:rPr>
          <w:rFonts w:ascii="Arial" w:hAnsi="Arial" w:cs="Arial"/>
          <w:sz w:val="22"/>
          <w:szCs w:val="22"/>
          <w:lang w:val="es-CO"/>
        </w:rPr>
        <w:t>De igual forma</w:t>
      </w:r>
      <w:r w:rsidR="008C2E4A" w:rsidRPr="00A21B5C">
        <w:rPr>
          <w:rFonts w:ascii="Arial" w:hAnsi="Arial" w:cs="Arial"/>
          <w:sz w:val="22"/>
          <w:szCs w:val="22"/>
          <w:lang w:val="es-CO"/>
        </w:rPr>
        <w:t>, en el Componente de Salud</w:t>
      </w:r>
      <w:r w:rsidR="003615CD" w:rsidRPr="00A21B5C">
        <w:rPr>
          <w:rFonts w:ascii="Arial" w:hAnsi="Arial" w:cs="Arial"/>
          <w:sz w:val="22"/>
          <w:szCs w:val="22"/>
          <w:lang w:val="es-CO"/>
        </w:rPr>
        <w:t xml:space="preserve"> </w:t>
      </w:r>
      <w:r w:rsidR="004F4893" w:rsidRPr="00A21B5C">
        <w:rPr>
          <w:rFonts w:ascii="Arial" w:hAnsi="Arial" w:cs="Arial"/>
          <w:sz w:val="22"/>
          <w:szCs w:val="22"/>
          <w:lang w:val="es-CO"/>
        </w:rPr>
        <w:t xml:space="preserve">se formulan </w:t>
      </w:r>
      <w:r w:rsidR="003615CD" w:rsidRPr="00A21B5C">
        <w:rPr>
          <w:rFonts w:ascii="Arial" w:hAnsi="Arial" w:cs="Arial"/>
          <w:sz w:val="22"/>
          <w:szCs w:val="22"/>
          <w:lang w:val="es-CO"/>
        </w:rPr>
        <w:t xml:space="preserve">los </w:t>
      </w:r>
      <w:r w:rsidR="009E4A4A" w:rsidRPr="00A21B5C">
        <w:rPr>
          <w:rFonts w:ascii="Arial" w:hAnsi="Arial" w:cs="Arial"/>
          <w:sz w:val="22"/>
          <w:szCs w:val="22"/>
          <w:lang w:val="es-CO"/>
        </w:rPr>
        <w:t>P</w:t>
      </w:r>
      <w:r w:rsidR="003615CD" w:rsidRPr="00A21B5C">
        <w:rPr>
          <w:rFonts w:ascii="Arial" w:hAnsi="Arial" w:cs="Arial"/>
          <w:sz w:val="22"/>
          <w:szCs w:val="22"/>
          <w:lang w:val="es-CO"/>
        </w:rPr>
        <w:t>royectos</w:t>
      </w:r>
      <w:r w:rsidR="008C2E4A" w:rsidRPr="00A21B5C">
        <w:rPr>
          <w:rFonts w:ascii="Arial" w:hAnsi="Arial" w:cs="Arial"/>
          <w:i/>
          <w:sz w:val="22"/>
          <w:szCs w:val="22"/>
          <w:lang w:val="es-CO"/>
        </w:rPr>
        <w:t xml:space="preserve"> “Fortalecimiento institucional de la red de salud pública de carácter especial del Resguardo, mediante la realización de estudios para la creación de una institución prestadora de servicios de salud indígena IPSI para ampliación de la red prestacional de los servicios asistenciales” </w:t>
      </w:r>
      <w:r w:rsidR="008C2E4A" w:rsidRPr="00A21B5C">
        <w:rPr>
          <w:rFonts w:ascii="Arial" w:hAnsi="Arial" w:cs="Arial"/>
          <w:iCs/>
          <w:sz w:val="22"/>
          <w:szCs w:val="22"/>
          <w:lang w:val="es-CO"/>
        </w:rPr>
        <w:t>y</w:t>
      </w:r>
      <w:r w:rsidR="008C2E4A" w:rsidRPr="00A21B5C">
        <w:rPr>
          <w:rFonts w:ascii="Arial" w:hAnsi="Arial" w:cs="Arial"/>
          <w:i/>
          <w:sz w:val="22"/>
          <w:szCs w:val="22"/>
          <w:lang w:val="es-CO"/>
        </w:rPr>
        <w:t xml:space="preserve"> “Fortalecimiento Institucional de la red de salud pública de carácter especial del Resguardo, mediante la adquisición de un lote de terreno para construcción de una institución de salud indígena IPSI para ampliación de la red prestacional de los servicios asistenciales”, </w:t>
      </w:r>
      <w:r w:rsidR="00314F2A" w:rsidRPr="00A21B5C">
        <w:rPr>
          <w:rFonts w:ascii="Arial" w:hAnsi="Arial" w:cs="Arial"/>
          <w:sz w:val="22"/>
          <w:szCs w:val="22"/>
          <w:lang w:val="es-CO"/>
        </w:rPr>
        <w:t>y</w:t>
      </w:r>
      <w:r w:rsidR="008C2E4A" w:rsidRPr="00A21B5C">
        <w:rPr>
          <w:rFonts w:ascii="Arial" w:hAnsi="Arial" w:cs="Arial"/>
          <w:sz w:val="22"/>
          <w:szCs w:val="22"/>
          <w:lang w:val="es-CO"/>
        </w:rPr>
        <w:t xml:space="preserve"> </w:t>
      </w:r>
      <w:r w:rsidR="00314F2A" w:rsidRPr="00A21B5C">
        <w:rPr>
          <w:rFonts w:ascii="Arial" w:hAnsi="Arial" w:cs="Arial"/>
          <w:sz w:val="22"/>
          <w:szCs w:val="22"/>
          <w:lang w:val="es-CO"/>
        </w:rPr>
        <w:t>considerando</w:t>
      </w:r>
      <w:r w:rsidR="008C2E4A" w:rsidRPr="00A21B5C">
        <w:rPr>
          <w:rFonts w:ascii="Arial" w:hAnsi="Arial" w:cs="Arial"/>
          <w:sz w:val="22"/>
          <w:szCs w:val="22"/>
          <w:lang w:val="es-CO"/>
        </w:rPr>
        <w:t xml:space="preserve"> que con el segundo se pretende particularmente la adquisición de un lote, se cuestiona su pertinencia</w:t>
      </w:r>
      <w:r w:rsidR="00302ABC" w:rsidRPr="00A21B5C">
        <w:rPr>
          <w:rFonts w:ascii="Arial" w:hAnsi="Arial" w:cs="Arial"/>
          <w:sz w:val="22"/>
          <w:szCs w:val="22"/>
          <w:lang w:val="es-CO"/>
        </w:rPr>
        <w:t xml:space="preserve">, </w:t>
      </w:r>
      <w:r w:rsidR="008C2E4A" w:rsidRPr="00A21B5C">
        <w:rPr>
          <w:rFonts w:ascii="Arial" w:hAnsi="Arial" w:cs="Arial"/>
          <w:sz w:val="22"/>
          <w:szCs w:val="22"/>
          <w:lang w:val="es-CO"/>
        </w:rPr>
        <w:t>dado que</w:t>
      </w:r>
      <w:r w:rsidR="00302ABC" w:rsidRPr="00A21B5C">
        <w:rPr>
          <w:rFonts w:ascii="Arial" w:hAnsi="Arial" w:cs="Arial"/>
          <w:sz w:val="22"/>
          <w:szCs w:val="22"/>
          <w:lang w:val="es-CO"/>
        </w:rPr>
        <w:t xml:space="preserve"> el primer proyecto </w:t>
      </w:r>
      <w:r w:rsidR="008C2E4A" w:rsidRPr="00A21B5C">
        <w:rPr>
          <w:rFonts w:ascii="Arial" w:hAnsi="Arial" w:cs="Arial"/>
          <w:sz w:val="22"/>
          <w:szCs w:val="22"/>
          <w:lang w:val="es-CO"/>
        </w:rPr>
        <w:t>plantea la realización de estudios para la creación de la institución prestadora, de cuyos resultados dependería la viabilidad de la misma y por tanto, el desprendimiento de otras acciones puntuales al respecto</w:t>
      </w:r>
      <w:r w:rsidR="009118E0" w:rsidRPr="00A21B5C">
        <w:rPr>
          <w:rFonts w:ascii="Arial" w:hAnsi="Arial" w:cs="Arial"/>
          <w:sz w:val="22"/>
          <w:szCs w:val="22"/>
          <w:lang w:val="es-CO"/>
        </w:rPr>
        <w:t>, como la adquisi</w:t>
      </w:r>
      <w:r w:rsidR="00304BEE" w:rsidRPr="00A21B5C">
        <w:rPr>
          <w:rFonts w:ascii="Arial" w:hAnsi="Arial" w:cs="Arial"/>
          <w:sz w:val="22"/>
          <w:szCs w:val="22"/>
          <w:lang w:val="es-CO"/>
        </w:rPr>
        <w:t>ci</w:t>
      </w:r>
      <w:r w:rsidR="009118E0" w:rsidRPr="00A21B5C">
        <w:rPr>
          <w:rFonts w:ascii="Arial" w:hAnsi="Arial" w:cs="Arial"/>
          <w:sz w:val="22"/>
          <w:szCs w:val="22"/>
          <w:lang w:val="es-CO"/>
        </w:rPr>
        <w:t>ón del terreno.</w:t>
      </w:r>
    </w:p>
    <w:p w:rsidR="00AD06DE" w:rsidRPr="00A21B5C" w:rsidRDefault="00AD06DE">
      <w:pPr>
        <w:pStyle w:val="Prrafodelista"/>
        <w:ind w:left="284"/>
        <w:jc w:val="both"/>
        <w:rPr>
          <w:rFonts w:ascii="Arial" w:hAnsi="Arial" w:cs="Arial"/>
          <w:sz w:val="22"/>
          <w:szCs w:val="22"/>
          <w:lang w:val="es-CO"/>
        </w:rPr>
      </w:pPr>
    </w:p>
    <w:p w:rsidR="008C2E4A" w:rsidRPr="00A21B5C" w:rsidRDefault="00302C12">
      <w:pPr>
        <w:pStyle w:val="Prrafodelista"/>
        <w:numPr>
          <w:ilvl w:val="0"/>
          <w:numId w:val="42"/>
        </w:numPr>
        <w:ind w:left="284"/>
        <w:jc w:val="both"/>
        <w:rPr>
          <w:rFonts w:ascii="Arial" w:hAnsi="Arial" w:cs="Arial"/>
          <w:sz w:val="22"/>
          <w:szCs w:val="22"/>
          <w:lang w:val="es-CO"/>
        </w:rPr>
      </w:pPr>
      <w:r w:rsidRPr="00A21B5C">
        <w:rPr>
          <w:rFonts w:ascii="Arial" w:hAnsi="Arial" w:cs="Arial"/>
          <w:sz w:val="22"/>
          <w:szCs w:val="22"/>
          <w:lang w:val="es-CO"/>
        </w:rPr>
        <w:t>En el mismo sentido</w:t>
      </w:r>
      <w:r w:rsidR="00AD06DE" w:rsidRPr="00A21B5C">
        <w:rPr>
          <w:rFonts w:ascii="Arial" w:hAnsi="Arial" w:cs="Arial"/>
          <w:sz w:val="22"/>
          <w:szCs w:val="22"/>
          <w:lang w:val="es-CO"/>
        </w:rPr>
        <w:t>, se evidenció que</w:t>
      </w:r>
      <w:r w:rsidRPr="00A21B5C">
        <w:rPr>
          <w:rFonts w:ascii="Arial" w:hAnsi="Arial" w:cs="Arial"/>
          <w:sz w:val="22"/>
          <w:szCs w:val="22"/>
          <w:lang w:val="es-CO"/>
        </w:rPr>
        <w:t xml:space="preserve"> </w:t>
      </w:r>
      <w:r w:rsidR="000C0FA6" w:rsidRPr="00A21B5C">
        <w:rPr>
          <w:rFonts w:ascii="Arial" w:hAnsi="Arial" w:cs="Arial"/>
          <w:sz w:val="22"/>
          <w:szCs w:val="22"/>
          <w:lang w:val="es-CO"/>
        </w:rPr>
        <w:t>los p</w:t>
      </w:r>
      <w:r w:rsidRPr="00A21B5C">
        <w:rPr>
          <w:rFonts w:ascii="Arial" w:hAnsi="Arial" w:cs="Arial"/>
          <w:sz w:val="22"/>
          <w:szCs w:val="22"/>
          <w:lang w:val="es-CO"/>
        </w:rPr>
        <w:t>royectos</w:t>
      </w:r>
      <w:r w:rsidR="000C0FA6" w:rsidRPr="00A21B5C">
        <w:rPr>
          <w:rFonts w:ascii="Arial" w:hAnsi="Arial" w:cs="Arial"/>
          <w:sz w:val="22"/>
          <w:szCs w:val="22"/>
          <w:lang w:val="es-CO"/>
        </w:rPr>
        <w:t xml:space="preserve"> que requieren de mecanismos de coordinación con otros actores, no contemplan dicha articulación dentro de su formulación, como es el caso de los proyectos</w:t>
      </w:r>
      <w:r w:rsidRPr="00A21B5C">
        <w:rPr>
          <w:rFonts w:ascii="Arial" w:hAnsi="Arial" w:cs="Arial"/>
          <w:sz w:val="22"/>
          <w:szCs w:val="22"/>
          <w:lang w:val="es-CO"/>
        </w:rPr>
        <w:t xml:space="preserve"> asociados al </w:t>
      </w:r>
      <w:r w:rsidR="009E4A4A" w:rsidRPr="00A21B5C">
        <w:rPr>
          <w:rFonts w:ascii="Arial" w:hAnsi="Arial" w:cs="Arial"/>
          <w:sz w:val="22"/>
          <w:szCs w:val="22"/>
          <w:lang w:val="es-CO"/>
        </w:rPr>
        <w:t>S</w:t>
      </w:r>
      <w:r w:rsidRPr="00A21B5C">
        <w:rPr>
          <w:rFonts w:ascii="Arial" w:hAnsi="Arial" w:cs="Arial"/>
          <w:sz w:val="22"/>
          <w:szCs w:val="22"/>
          <w:lang w:val="es-CO"/>
        </w:rPr>
        <w:t xml:space="preserve">ector </w:t>
      </w:r>
      <w:r w:rsidR="009E4A4A" w:rsidRPr="00A21B5C">
        <w:rPr>
          <w:rFonts w:ascii="Arial" w:hAnsi="Arial" w:cs="Arial"/>
          <w:sz w:val="22"/>
          <w:szCs w:val="22"/>
          <w:lang w:val="es-CO"/>
        </w:rPr>
        <w:t>S</w:t>
      </w:r>
      <w:r w:rsidRPr="00A21B5C">
        <w:rPr>
          <w:rFonts w:ascii="Arial" w:hAnsi="Arial" w:cs="Arial"/>
          <w:sz w:val="22"/>
          <w:szCs w:val="22"/>
          <w:lang w:val="es-CO"/>
        </w:rPr>
        <w:t xml:space="preserve">alud, </w:t>
      </w:r>
      <w:r w:rsidR="000C0FA6" w:rsidRPr="00A21B5C">
        <w:rPr>
          <w:rFonts w:ascii="Arial" w:hAnsi="Arial" w:cs="Arial"/>
          <w:sz w:val="22"/>
          <w:szCs w:val="22"/>
          <w:lang w:val="es-CO"/>
        </w:rPr>
        <w:t xml:space="preserve">en los que </w:t>
      </w:r>
      <w:r w:rsidRPr="00A21B5C">
        <w:rPr>
          <w:rFonts w:ascii="Arial" w:hAnsi="Arial" w:cs="Arial"/>
          <w:sz w:val="22"/>
          <w:szCs w:val="22"/>
          <w:lang w:val="es-CO"/>
        </w:rPr>
        <w:t xml:space="preserve">se </w:t>
      </w:r>
      <w:r w:rsidR="000C0FA6" w:rsidRPr="00A21B5C">
        <w:rPr>
          <w:rFonts w:ascii="Arial" w:hAnsi="Arial" w:cs="Arial"/>
          <w:sz w:val="22"/>
          <w:szCs w:val="22"/>
          <w:lang w:val="es-CO"/>
        </w:rPr>
        <w:t xml:space="preserve">hace </w:t>
      </w:r>
      <w:r w:rsidRPr="00A21B5C">
        <w:rPr>
          <w:rFonts w:ascii="Arial" w:hAnsi="Arial" w:cs="Arial"/>
          <w:sz w:val="22"/>
          <w:szCs w:val="22"/>
          <w:lang w:val="es-CO"/>
        </w:rPr>
        <w:t xml:space="preserve">referencia a que </w:t>
      </w:r>
      <w:r w:rsidR="000C0FA6" w:rsidRPr="00A21B5C">
        <w:rPr>
          <w:rFonts w:ascii="Arial" w:hAnsi="Arial" w:cs="Arial"/>
          <w:sz w:val="22"/>
          <w:szCs w:val="22"/>
          <w:lang w:val="es-CO"/>
        </w:rPr>
        <w:t>su</w:t>
      </w:r>
      <w:r w:rsidRPr="00A21B5C">
        <w:rPr>
          <w:rFonts w:ascii="Arial" w:hAnsi="Arial" w:cs="Arial"/>
          <w:sz w:val="22"/>
          <w:szCs w:val="22"/>
          <w:lang w:val="es-CO"/>
        </w:rPr>
        <w:t xml:space="preserve"> desarrollo se hará en el marco </w:t>
      </w:r>
      <w:r w:rsidR="000C0FA6" w:rsidRPr="00A21B5C">
        <w:rPr>
          <w:rFonts w:ascii="Arial" w:hAnsi="Arial" w:cs="Arial"/>
          <w:sz w:val="22"/>
          <w:szCs w:val="22"/>
          <w:lang w:val="es-CO"/>
        </w:rPr>
        <w:t xml:space="preserve">de la </w:t>
      </w:r>
      <w:r w:rsidRPr="00A21B5C">
        <w:rPr>
          <w:rFonts w:ascii="Arial" w:hAnsi="Arial" w:cs="Arial"/>
          <w:sz w:val="22"/>
          <w:szCs w:val="22"/>
          <w:lang w:val="es-CO"/>
        </w:rPr>
        <w:t>red prestacional de los servicios asistenciale</w:t>
      </w:r>
      <w:r w:rsidR="00D43D77" w:rsidRPr="00A21B5C">
        <w:rPr>
          <w:rFonts w:ascii="Arial" w:hAnsi="Arial" w:cs="Arial"/>
          <w:sz w:val="22"/>
          <w:szCs w:val="22"/>
          <w:lang w:val="es-CO"/>
        </w:rPr>
        <w:t>s, dado que,</w:t>
      </w:r>
      <w:r w:rsidRPr="00A21B5C">
        <w:rPr>
          <w:rFonts w:ascii="Arial" w:hAnsi="Arial" w:cs="Arial"/>
          <w:sz w:val="22"/>
          <w:szCs w:val="22"/>
          <w:lang w:val="es-CO"/>
        </w:rPr>
        <w:t xml:space="preserve"> aunque</w:t>
      </w:r>
      <w:r w:rsidR="00AD06DE" w:rsidRPr="00A21B5C">
        <w:rPr>
          <w:rFonts w:ascii="Arial" w:hAnsi="Arial" w:cs="Arial"/>
          <w:sz w:val="22"/>
          <w:szCs w:val="22"/>
          <w:lang w:val="es-CO"/>
        </w:rPr>
        <w:t xml:space="preserve"> si bien en la</w:t>
      </w:r>
      <w:r w:rsidRPr="00A21B5C">
        <w:rPr>
          <w:rFonts w:ascii="Arial" w:hAnsi="Arial" w:cs="Arial"/>
          <w:sz w:val="22"/>
          <w:szCs w:val="22"/>
          <w:lang w:val="es-CO"/>
        </w:rPr>
        <w:t xml:space="preserve"> descripción de </w:t>
      </w:r>
      <w:r w:rsidR="00D43D77" w:rsidRPr="00A21B5C">
        <w:rPr>
          <w:rFonts w:ascii="Arial" w:hAnsi="Arial" w:cs="Arial"/>
          <w:sz w:val="22"/>
          <w:szCs w:val="22"/>
          <w:lang w:val="es-CO"/>
        </w:rPr>
        <w:t xml:space="preserve">estos </w:t>
      </w:r>
      <w:r w:rsidR="00AD06DE" w:rsidRPr="00A21B5C">
        <w:rPr>
          <w:rFonts w:ascii="Arial" w:hAnsi="Arial" w:cs="Arial"/>
          <w:sz w:val="22"/>
          <w:szCs w:val="22"/>
          <w:lang w:val="es-CO"/>
        </w:rPr>
        <w:t>figura que “</w:t>
      </w:r>
      <w:r w:rsidR="009E4A4A" w:rsidRPr="00A21B5C">
        <w:rPr>
          <w:rFonts w:ascii="Arial" w:hAnsi="Arial" w:cs="Arial"/>
          <w:i/>
          <w:sz w:val="22"/>
          <w:szCs w:val="22"/>
          <w:lang w:val="es-CO"/>
        </w:rPr>
        <w:t>[</w:t>
      </w:r>
      <w:r w:rsidR="00D43D77" w:rsidRPr="00A21B5C">
        <w:rPr>
          <w:rFonts w:ascii="Arial" w:hAnsi="Arial" w:cs="Arial"/>
          <w:i/>
          <w:sz w:val="22"/>
          <w:szCs w:val="22"/>
          <w:lang w:val="es-CO"/>
        </w:rPr>
        <w:t>…</w:t>
      </w:r>
      <w:r w:rsidR="009E4A4A" w:rsidRPr="00A21B5C">
        <w:rPr>
          <w:rFonts w:ascii="Arial" w:hAnsi="Arial" w:cs="Arial"/>
          <w:i/>
          <w:sz w:val="22"/>
          <w:szCs w:val="22"/>
          <w:lang w:val="es-CO"/>
        </w:rPr>
        <w:t>]</w:t>
      </w:r>
      <w:r w:rsidR="00D43D77" w:rsidRPr="00A21B5C">
        <w:rPr>
          <w:rFonts w:ascii="Arial" w:hAnsi="Arial" w:cs="Arial"/>
          <w:i/>
          <w:sz w:val="22"/>
          <w:szCs w:val="22"/>
          <w:lang w:val="es-CO"/>
        </w:rPr>
        <w:t xml:space="preserve"> </w:t>
      </w:r>
      <w:r w:rsidR="00AD06DE" w:rsidRPr="00A21B5C">
        <w:rPr>
          <w:rFonts w:ascii="Arial" w:hAnsi="Arial" w:cs="Arial"/>
          <w:i/>
          <w:sz w:val="22"/>
          <w:szCs w:val="22"/>
          <w:lang w:val="es-CO"/>
        </w:rPr>
        <w:t>la organización indígena posee un modelo de salud propio, que puede a bien interactuar con el sistema formal</w:t>
      </w:r>
      <w:r w:rsidR="003D3BFC" w:rsidRPr="00A21B5C">
        <w:rPr>
          <w:rFonts w:ascii="Arial" w:hAnsi="Arial" w:cs="Arial"/>
          <w:i/>
          <w:sz w:val="22"/>
          <w:szCs w:val="22"/>
          <w:lang w:val="es-CO"/>
        </w:rPr>
        <w:t xml:space="preserve">, motivo por el cual se hace necesario la consolidación </w:t>
      </w:r>
      <w:r w:rsidR="00AB32AB" w:rsidRPr="00A21B5C">
        <w:rPr>
          <w:rFonts w:ascii="Arial" w:hAnsi="Arial" w:cs="Arial"/>
          <w:i/>
          <w:sz w:val="22"/>
          <w:szCs w:val="22"/>
          <w:lang w:val="es-CO"/>
        </w:rPr>
        <w:t>de</w:t>
      </w:r>
      <w:r w:rsidR="003D3BFC" w:rsidRPr="00A21B5C">
        <w:rPr>
          <w:rFonts w:ascii="Arial" w:hAnsi="Arial" w:cs="Arial"/>
          <w:i/>
          <w:sz w:val="22"/>
          <w:szCs w:val="22"/>
          <w:lang w:val="es-CO"/>
        </w:rPr>
        <w:t xml:space="preserve"> estudios con enfoque diferencial que dimensionen los niveles político, organizativo, administrativo y operativo para el mejoramiento del servicio de salud mediante la creación de una Institución Prestadora de Servicios de Salud Indígena –IPSI-</w:t>
      </w:r>
      <w:r w:rsidR="00AD06DE" w:rsidRPr="00A21B5C">
        <w:rPr>
          <w:rFonts w:ascii="Arial" w:hAnsi="Arial" w:cs="Arial"/>
          <w:i/>
          <w:sz w:val="22"/>
          <w:szCs w:val="22"/>
          <w:lang w:val="es-CO"/>
        </w:rPr>
        <w:t>”,</w:t>
      </w:r>
      <w:r w:rsidR="00AD06DE" w:rsidRPr="00A21B5C">
        <w:rPr>
          <w:rFonts w:ascii="Arial" w:hAnsi="Arial" w:cs="Arial"/>
          <w:sz w:val="22"/>
          <w:szCs w:val="22"/>
          <w:lang w:val="es-CO"/>
        </w:rPr>
        <w:t xml:space="preserve"> no hay ninguna </w:t>
      </w:r>
      <w:r w:rsidR="00D43D77" w:rsidRPr="00A21B5C">
        <w:rPr>
          <w:rFonts w:ascii="Arial" w:hAnsi="Arial" w:cs="Arial"/>
          <w:sz w:val="22"/>
          <w:szCs w:val="22"/>
          <w:lang w:val="es-CO"/>
        </w:rPr>
        <w:t xml:space="preserve">otra </w:t>
      </w:r>
      <w:r w:rsidR="00AD06DE" w:rsidRPr="00A21B5C">
        <w:rPr>
          <w:rFonts w:ascii="Arial" w:hAnsi="Arial" w:cs="Arial"/>
          <w:sz w:val="22"/>
          <w:szCs w:val="22"/>
          <w:lang w:val="es-CO"/>
        </w:rPr>
        <w:t xml:space="preserve">referencia a la coordinación o articulación </w:t>
      </w:r>
      <w:r w:rsidR="00D43D77" w:rsidRPr="00A21B5C">
        <w:rPr>
          <w:rFonts w:ascii="Arial" w:hAnsi="Arial" w:cs="Arial"/>
          <w:sz w:val="22"/>
          <w:szCs w:val="22"/>
          <w:lang w:val="es-CO"/>
        </w:rPr>
        <w:t xml:space="preserve">que se debe dar </w:t>
      </w:r>
      <w:r w:rsidR="00AD06DE" w:rsidRPr="00A21B5C">
        <w:rPr>
          <w:rFonts w:ascii="Arial" w:hAnsi="Arial" w:cs="Arial"/>
          <w:sz w:val="22"/>
          <w:szCs w:val="22"/>
          <w:lang w:val="es-CO"/>
        </w:rPr>
        <w:t>con la red de prestación de la Guajira</w:t>
      </w:r>
      <w:r w:rsidR="00D43D77" w:rsidRPr="00A21B5C">
        <w:rPr>
          <w:rFonts w:ascii="Arial" w:hAnsi="Arial" w:cs="Arial"/>
          <w:sz w:val="22"/>
          <w:szCs w:val="22"/>
          <w:lang w:val="es-CO"/>
        </w:rPr>
        <w:t xml:space="preserve"> para la adecuada ejecución de estos proyectos.</w:t>
      </w:r>
    </w:p>
    <w:p w:rsidR="00CD0190" w:rsidRPr="00A21B5C" w:rsidRDefault="00CD0190" w:rsidP="00A21B5C">
      <w:pPr>
        <w:contextualSpacing/>
        <w:jc w:val="both"/>
        <w:rPr>
          <w:rFonts w:ascii="Arial" w:hAnsi="Arial" w:cs="Arial"/>
          <w:sz w:val="22"/>
          <w:szCs w:val="22"/>
          <w:lang w:val="es-CO"/>
        </w:rPr>
      </w:pPr>
    </w:p>
    <w:p w:rsidR="00E0010A" w:rsidRPr="00A21B5C" w:rsidRDefault="00302C12">
      <w:pPr>
        <w:pStyle w:val="Prrafodelista"/>
        <w:numPr>
          <w:ilvl w:val="0"/>
          <w:numId w:val="6"/>
        </w:numPr>
        <w:ind w:left="284" w:hanging="284"/>
        <w:jc w:val="both"/>
        <w:rPr>
          <w:rFonts w:ascii="Arial" w:hAnsi="Arial" w:cs="Arial"/>
          <w:sz w:val="22"/>
          <w:szCs w:val="22"/>
          <w:lang w:val="es-CO"/>
        </w:rPr>
      </w:pPr>
      <w:r w:rsidRPr="00A21B5C">
        <w:rPr>
          <w:rFonts w:ascii="Arial" w:hAnsi="Arial" w:cs="Arial"/>
          <w:sz w:val="22"/>
          <w:szCs w:val="22"/>
          <w:lang w:val="es-CO"/>
        </w:rPr>
        <w:lastRenderedPageBreak/>
        <w:t>Asimismo</w:t>
      </w:r>
      <w:r w:rsidR="00CD0190" w:rsidRPr="00A21B5C">
        <w:rPr>
          <w:rFonts w:ascii="Arial" w:hAnsi="Arial" w:cs="Arial"/>
          <w:sz w:val="22"/>
          <w:szCs w:val="22"/>
          <w:lang w:val="es-CO"/>
        </w:rPr>
        <w:t>, la formulación de algunos proyectos se limitó a la compra de insumos, por ejemplo</w:t>
      </w:r>
      <w:r w:rsidR="00CD0190" w:rsidRPr="00A21B5C">
        <w:rPr>
          <w:rFonts w:ascii="Arial" w:hAnsi="Arial" w:cs="Arial"/>
          <w:i/>
          <w:sz w:val="22"/>
          <w:szCs w:val="22"/>
          <w:lang w:val="es-CO"/>
        </w:rPr>
        <w:t>, “Compra de materiales para la construcción de dos (2) Kankwrwas ceremoniales de Munzhi (mujeres) en Gonawimake y Dumingueka”</w:t>
      </w:r>
      <w:r w:rsidR="00CD0190" w:rsidRPr="00A21B5C">
        <w:rPr>
          <w:rFonts w:ascii="Arial" w:hAnsi="Arial" w:cs="Arial"/>
          <w:sz w:val="22"/>
          <w:szCs w:val="22"/>
          <w:lang w:val="es-CO"/>
        </w:rPr>
        <w:t>, y “</w:t>
      </w:r>
      <w:r w:rsidR="00CD0190" w:rsidRPr="00A21B5C">
        <w:rPr>
          <w:rFonts w:ascii="Arial" w:hAnsi="Arial" w:cs="Arial"/>
          <w:i/>
          <w:sz w:val="22"/>
          <w:szCs w:val="22"/>
          <w:lang w:val="es-CO"/>
        </w:rPr>
        <w:t>Compra de materiales tradicionales para construcción y adecuación de casa ceremonial”</w:t>
      </w:r>
      <w:r w:rsidR="00CD0190" w:rsidRPr="00A21B5C">
        <w:rPr>
          <w:rFonts w:ascii="Arial" w:hAnsi="Arial" w:cs="Arial"/>
          <w:sz w:val="22"/>
          <w:szCs w:val="22"/>
          <w:lang w:val="es-CO"/>
        </w:rPr>
        <w:t>, sin contemplarse otras actividades para que se garantice no solo la adquisición del insumo, sino la construcción misma de las casas ceremoniales, siendo esto último el objeto mismo del proyecto, mientras que los proyectos formulados corresponderían a parte de las actividades que deberán adelantarse para el proyecto de inversión.</w:t>
      </w:r>
    </w:p>
    <w:p w:rsidR="00B369FD" w:rsidRPr="00A21B5C" w:rsidRDefault="00B369FD">
      <w:pPr>
        <w:pStyle w:val="Prrafodelista"/>
        <w:ind w:left="284"/>
        <w:jc w:val="both"/>
        <w:rPr>
          <w:rFonts w:ascii="Arial" w:hAnsi="Arial" w:cs="Arial"/>
          <w:sz w:val="22"/>
          <w:szCs w:val="22"/>
          <w:lang w:val="es-CO"/>
        </w:rPr>
      </w:pPr>
    </w:p>
    <w:p w:rsidR="00BB17F1" w:rsidRPr="00A21B5C" w:rsidRDefault="00CD0190" w:rsidP="00A21B5C">
      <w:pPr>
        <w:contextualSpacing/>
        <w:jc w:val="both"/>
        <w:rPr>
          <w:rFonts w:ascii="Arial" w:hAnsi="Arial" w:cs="Arial"/>
          <w:sz w:val="22"/>
          <w:szCs w:val="22"/>
          <w:lang w:val="es-CO"/>
        </w:rPr>
      </w:pPr>
      <w:r w:rsidRPr="00A21B5C">
        <w:rPr>
          <w:rFonts w:ascii="Arial" w:hAnsi="Arial" w:cs="Arial"/>
          <w:sz w:val="22"/>
          <w:szCs w:val="22"/>
          <w:lang w:val="es-CO"/>
        </w:rPr>
        <w:t>Est</w:t>
      </w:r>
      <w:r w:rsidR="00E0010A" w:rsidRPr="00A21B5C">
        <w:rPr>
          <w:rFonts w:ascii="Arial" w:hAnsi="Arial" w:cs="Arial"/>
          <w:sz w:val="22"/>
          <w:szCs w:val="22"/>
          <w:lang w:val="es-CO"/>
        </w:rPr>
        <w:t>as falencias identificadas</w:t>
      </w:r>
      <w:r w:rsidR="004C4E6E" w:rsidRPr="00A21B5C">
        <w:rPr>
          <w:rFonts w:ascii="Arial" w:hAnsi="Arial" w:cs="Arial"/>
          <w:sz w:val="22"/>
          <w:szCs w:val="22"/>
          <w:lang w:val="es-CO"/>
        </w:rPr>
        <w:t xml:space="preserve">, cobran importancia en la medida en que tal como lo </w:t>
      </w:r>
      <w:r w:rsidRPr="00A21B5C">
        <w:rPr>
          <w:rFonts w:ascii="Arial" w:hAnsi="Arial" w:cs="Arial"/>
          <w:sz w:val="22"/>
          <w:szCs w:val="22"/>
          <w:lang w:val="es-CO"/>
        </w:rPr>
        <w:t xml:space="preserve">resalta el DNP en su documento de </w:t>
      </w:r>
      <w:r w:rsidRPr="00A21B5C">
        <w:rPr>
          <w:rFonts w:ascii="Arial" w:hAnsi="Arial" w:cs="Arial"/>
          <w:i/>
          <w:sz w:val="22"/>
          <w:szCs w:val="22"/>
          <w:lang w:val="es-CO"/>
        </w:rPr>
        <w:t>“Orientaciones para la programación, administración y ejecución de los recursos de la Asignación Especial del Sistema General de Participaciones para los Resguardos Indígenas (AESGRI)</w:t>
      </w:r>
      <w:r w:rsidRPr="00A21B5C">
        <w:rPr>
          <w:rFonts w:ascii="Arial" w:hAnsi="Arial" w:cs="Arial"/>
          <w:sz w:val="22"/>
          <w:szCs w:val="22"/>
          <w:lang w:val="es-CO"/>
        </w:rPr>
        <w:t xml:space="preserve"> </w:t>
      </w:r>
      <w:r w:rsidRPr="00A21B5C">
        <w:rPr>
          <w:rFonts w:ascii="Arial" w:hAnsi="Arial" w:cs="Arial"/>
          <w:i/>
          <w:sz w:val="22"/>
          <w:szCs w:val="22"/>
          <w:lang w:val="es-CO"/>
        </w:rPr>
        <w:t>2012</w:t>
      </w:r>
      <w:r w:rsidRPr="00A21B5C">
        <w:rPr>
          <w:rFonts w:ascii="Arial" w:hAnsi="Arial" w:cs="Arial"/>
          <w:sz w:val="22"/>
          <w:szCs w:val="22"/>
          <w:lang w:val="es-CO"/>
        </w:rPr>
        <w:t>”</w:t>
      </w:r>
      <w:r w:rsidR="00BB17F1" w:rsidRPr="00A21B5C">
        <w:rPr>
          <w:rFonts w:ascii="Arial" w:hAnsi="Arial" w:cs="Arial"/>
          <w:sz w:val="22"/>
          <w:szCs w:val="22"/>
          <w:lang w:val="es-CO"/>
        </w:rPr>
        <w:t>:</w:t>
      </w:r>
    </w:p>
    <w:p w:rsidR="0028794F" w:rsidRPr="00A21B5C" w:rsidRDefault="0028794F" w:rsidP="00A21B5C">
      <w:pPr>
        <w:contextualSpacing/>
        <w:jc w:val="both"/>
        <w:rPr>
          <w:rFonts w:ascii="Arial" w:hAnsi="Arial" w:cs="Arial"/>
          <w:sz w:val="22"/>
          <w:szCs w:val="22"/>
          <w:lang w:val="es-CO"/>
        </w:rPr>
      </w:pPr>
    </w:p>
    <w:p w:rsidR="0028794F" w:rsidRPr="00A21B5C" w:rsidRDefault="00E0010A" w:rsidP="00A21B5C">
      <w:pPr>
        <w:pStyle w:val="Prrafodelista"/>
        <w:ind w:left="1416"/>
        <w:jc w:val="both"/>
        <w:rPr>
          <w:rFonts w:ascii="Arial" w:hAnsi="Arial" w:cs="Arial"/>
          <w:i/>
          <w:iCs/>
          <w:sz w:val="18"/>
          <w:szCs w:val="18"/>
          <w:lang w:val="es-CO"/>
        </w:rPr>
      </w:pPr>
      <w:r w:rsidRPr="00A21B5C">
        <w:rPr>
          <w:rFonts w:ascii="Arial" w:hAnsi="Arial" w:cs="Arial"/>
          <w:i/>
          <w:iCs/>
          <w:sz w:val="18"/>
          <w:szCs w:val="18"/>
          <w:lang w:val="es-CO"/>
        </w:rPr>
        <w:t>“</w:t>
      </w:r>
      <w:r w:rsidR="0028794F" w:rsidRPr="00A21B5C">
        <w:rPr>
          <w:rFonts w:ascii="Arial" w:hAnsi="Arial" w:cs="Arial"/>
          <w:i/>
          <w:iCs/>
          <w:sz w:val="18"/>
          <w:szCs w:val="18"/>
          <w:lang w:val="es-CO"/>
        </w:rPr>
        <w:t>El propósito de adelantar el proceso de programación de los recursos es</w:t>
      </w:r>
      <w:r w:rsidRPr="00A21B5C">
        <w:rPr>
          <w:rFonts w:ascii="Arial" w:hAnsi="Arial" w:cs="Arial"/>
          <w:i/>
          <w:iCs/>
          <w:sz w:val="18"/>
          <w:szCs w:val="18"/>
          <w:lang w:val="es-CO"/>
        </w:rPr>
        <w:t xml:space="preserve"> </w:t>
      </w:r>
      <w:r w:rsidR="0028794F" w:rsidRPr="00A21B5C">
        <w:rPr>
          <w:rFonts w:ascii="Arial" w:hAnsi="Arial" w:cs="Arial"/>
          <w:i/>
          <w:iCs/>
          <w:sz w:val="18"/>
          <w:szCs w:val="18"/>
          <w:lang w:val="es-CO"/>
        </w:rPr>
        <w:t>que las autoridades indígenas y, en general, los habitantes del resguardo, tengan en cuenta la importancia de canalizar dichos recursos a proyectos de alto</w:t>
      </w:r>
      <w:r w:rsidRPr="00A21B5C">
        <w:rPr>
          <w:rFonts w:ascii="Arial" w:hAnsi="Arial" w:cs="Arial"/>
          <w:i/>
          <w:iCs/>
          <w:sz w:val="18"/>
          <w:szCs w:val="18"/>
          <w:lang w:val="es-CO"/>
        </w:rPr>
        <w:t xml:space="preserve"> </w:t>
      </w:r>
      <w:r w:rsidR="0028794F" w:rsidRPr="00A21B5C">
        <w:rPr>
          <w:rFonts w:ascii="Arial" w:hAnsi="Arial" w:cs="Arial"/>
          <w:i/>
          <w:iCs/>
          <w:sz w:val="18"/>
          <w:szCs w:val="18"/>
          <w:lang w:val="es-CO"/>
        </w:rPr>
        <w:t>impacto que incidan en la reducción de las necesidades básicas insatisfechas</w:t>
      </w:r>
      <w:r w:rsidRPr="00A21B5C">
        <w:rPr>
          <w:rFonts w:ascii="Arial" w:hAnsi="Arial" w:cs="Arial"/>
          <w:i/>
          <w:iCs/>
          <w:sz w:val="18"/>
          <w:szCs w:val="18"/>
          <w:lang w:val="es-CO"/>
        </w:rPr>
        <w:t xml:space="preserve"> </w:t>
      </w:r>
      <w:r w:rsidR="0028794F" w:rsidRPr="00A21B5C">
        <w:rPr>
          <w:rFonts w:ascii="Arial" w:hAnsi="Arial" w:cs="Arial"/>
          <w:i/>
          <w:iCs/>
          <w:sz w:val="18"/>
          <w:szCs w:val="18"/>
          <w:lang w:val="es-CO"/>
        </w:rPr>
        <w:t>de la población indígena del resguardo, y, a la vez, evitar la atomización de los</w:t>
      </w:r>
      <w:r w:rsidRPr="00A21B5C">
        <w:rPr>
          <w:rFonts w:ascii="Arial" w:hAnsi="Arial" w:cs="Arial"/>
          <w:i/>
          <w:iCs/>
          <w:sz w:val="18"/>
          <w:szCs w:val="18"/>
          <w:lang w:val="es-CO"/>
        </w:rPr>
        <w:t xml:space="preserve"> </w:t>
      </w:r>
      <w:r w:rsidR="0028794F" w:rsidRPr="00A21B5C">
        <w:rPr>
          <w:rFonts w:ascii="Arial" w:hAnsi="Arial" w:cs="Arial"/>
          <w:i/>
          <w:iCs/>
          <w:sz w:val="18"/>
          <w:szCs w:val="18"/>
          <w:lang w:val="es-CO"/>
        </w:rPr>
        <w:t>recursos en la proliferación de proyectos de bajo impacto en el mejoramiento de</w:t>
      </w:r>
      <w:r w:rsidRPr="00A21B5C">
        <w:rPr>
          <w:rFonts w:ascii="Arial" w:hAnsi="Arial" w:cs="Arial"/>
          <w:i/>
          <w:iCs/>
          <w:sz w:val="18"/>
          <w:szCs w:val="18"/>
          <w:lang w:val="es-CO"/>
        </w:rPr>
        <w:t xml:space="preserve"> </w:t>
      </w:r>
      <w:r w:rsidR="0028794F" w:rsidRPr="00A21B5C">
        <w:rPr>
          <w:rFonts w:ascii="Arial" w:hAnsi="Arial" w:cs="Arial"/>
          <w:i/>
          <w:iCs/>
          <w:sz w:val="18"/>
          <w:szCs w:val="18"/>
          <w:lang w:val="es-CO"/>
        </w:rPr>
        <w:t>la calidad de vida de la población indígena que habita en el resguardo</w:t>
      </w:r>
      <w:r w:rsidRPr="00A21B5C">
        <w:rPr>
          <w:rFonts w:ascii="Arial" w:hAnsi="Arial" w:cs="Arial"/>
          <w:i/>
          <w:iCs/>
          <w:sz w:val="18"/>
          <w:szCs w:val="18"/>
          <w:lang w:val="es-CO"/>
        </w:rPr>
        <w:t>”</w:t>
      </w:r>
      <w:r w:rsidR="009E4A4A" w:rsidRPr="00A21B5C">
        <w:rPr>
          <w:rFonts w:ascii="Arial" w:hAnsi="Arial" w:cs="Arial"/>
          <w:i/>
          <w:iCs/>
          <w:sz w:val="18"/>
          <w:szCs w:val="18"/>
          <w:lang w:val="es-CO"/>
        </w:rPr>
        <w:t>.</w:t>
      </w:r>
    </w:p>
    <w:p w:rsidR="00BB17F1" w:rsidRPr="00A21B5C" w:rsidRDefault="00BB17F1" w:rsidP="00A21B5C">
      <w:pPr>
        <w:jc w:val="both"/>
        <w:rPr>
          <w:rFonts w:ascii="Arial" w:hAnsi="Arial" w:cs="Arial"/>
          <w:i/>
          <w:iCs/>
          <w:sz w:val="22"/>
          <w:szCs w:val="22"/>
          <w:lang w:val="es-CO"/>
        </w:rPr>
      </w:pPr>
    </w:p>
    <w:p w:rsidR="00BB17F1" w:rsidRPr="00A21B5C" w:rsidRDefault="00592E63">
      <w:pPr>
        <w:pStyle w:val="Prrafodelista"/>
        <w:ind w:left="0"/>
        <w:jc w:val="both"/>
        <w:rPr>
          <w:rFonts w:ascii="Arial" w:hAnsi="Arial" w:cs="Arial"/>
          <w:sz w:val="22"/>
          <w:szCs w:val="22"/>
          <w:lang w:val="es-CO"/>
        </w:rPr>
      </w:pPr>
      <w:r w:rsidRPr="00A21B5C">
        <w:rPr>
          <w:rFonts w:ascii="Arial" w:hAnsi="Arial" w:cs="Arial"/>
          <w:sz w:val="22"/>
          <w:szCs w:val="22"/>
          <w:lang w:val="es-CO"/>
        </w:rPr>
        <w:t>Así</w:t>
      </w:r>
      <w:r w:rsidR="007B13EA" w:rsidRPr="00A21B5C">
        <w:rPr>
          <w:rFonts w:ascii="Arial" w:hAnsi="Arial" w:cs="Arial"/>
          <w:sz w:val="22"/>
          <w:szCs w:val="22"/>
          <w:lang w:val="es-CO"/>
        </w:rPr>
        <w:t>,</w:t>
      </w:r>
      <w:r w:rsidR="00A8787E" w:rsidRPr="00A21B5C">
        <w:rPr>
          <w:rFonts w:ascii="Arial" w:hAnsi="Arial" w:cs="Arial"/>
          <w:sz w:val="22"/>
          <w:szCs w:val="22"/>
          <w:lang w:val="es-CO"/>
        </w:rPr>
        <w:t xml:space="preserve"> y</w:t>
      </w:r>
      <w:r w:rsidR="007B13EA" w:rsidRPr="00A21B5C">
        <w:rPr>
          <w:rFonts w:ascii="Arial" w:hAnsi="Arial" w:cs="Arial"/>
          <w:sz w:val="22"/>
          <w:szCs w:val="22"/>
          <w:lang w:val="es-CO"/>
        </w:rPr>
        <w:t xml:space="preserve"> </w:t>
      </w:r>
      <w:r w:rsidR="00A8787E" w:rsidRPr="00A21B5C">
        <w:rPr>
          <w:rFonts w:ascii="Arial" w:hAnsi="Arial" w:cs="Arial"/>
          <w:sz w:val="22"/>
          <w:szCs w:val="22"/>
          <w:lang w:val="es-CO"/>
        </w:rPr>
        <w:t xml:space="preserve">teniendo en cuenta que </w:t>
      </w:r>
      <w:r w:rsidR="00A8787E" w:rsidRPr="00A21B5C">
        <w:rPr>
          <w:rFonts w:ascii="Arial" w:hAnsi="Arial" w:cs="Arial"/>
          <w:i/>
          <w:sz w:val="22"/>
          <w:szCs w:val="22"/>
          <w:lang w:val="es-CO"/>
        </w:rPr>
        <w:t xml:space="preserve">“Los proyectos son aquellos documentos que simulan las condiciones de la producción de bienes y servicios”, </w:t>
      </w:r>
      <w:r w:rsidR="007B5023" w:rsidRPr="00A21B5C">
        <w:rPr>
          <w:rFonts w:ascii="Arial" w:hAnsi="Arial" w:cs="Arial"/>
          <w:sz w:val="22"/>
          <w:szCs w:val="22"/>
          <w:lang w:val="es-CO"/>
        </w:rPr>
        <w:t xml:space="preserve">es necesario que se </w:t>
      </w:r>
      <w:r w:rsidR="00E71989" w:rsidRPr="00A21B5C">
        <w:rPr>
          <w:rFonts w:ascii="Arial" w:hAnsi="Arial" w:cs="Arial"/>
          <w:sz w:val="22"/>
          <w:szCs w:val="22"/>
          <w:lang w:val="es-CO"/>
        </w:rPr>
        <w:t>contempl</w:t>
      </w:r>
      <w:r w:rsidR="007B5023" w:rsidRPr="00A21B5C">
        <w:rPr>
          <w:rFonts w:ascii="Arial" w:hAnsi="Arial" w:cs="Arial"/>
          <w:sz w:val="22"/>
          <w:szCs w:val="22"/>
          <w:lang w:val="es-CO"/>
        </w:rPr>
        <w:t>en</w:t>
      </w:r>
      <w:r w:rsidR="00CA1380" w:rsidRPr="00A21B5C">
        <w:rPr>
          <w:rFonts w:ascii="Arial" w:hAnsi="Arial" w:cs="Arial"/>
          <w:sz w:val="22"/>
          <w:szCs w:val="22"/>
          <w:lang w:val="es-CO"/>
        </w:rPr>
        <w:t xml:space="preserve"> y articulen</w:t>
      </w:r>
      <w:r w:rsidR="00A8787E" w:rsidRPr="00A21B5C">
        <w:rPr>
          <w:rFonts w:ascii="Arial" w:hAnsi="Arial" w:cs="Arial"/>
          <w:sz w:val="22"/>
          <w:szCs w:val="22"/>
          <w:lang w:val="es-CO"/>
        </w:rPr>
        <w:t xml:space="preserve"> todas las actividades necesarias para</w:t>
      </w:r>
      <w:r w:rsidR="00D10267" w:rsidRPr="00A21B5C">
        <w:rPr>
          <w:rFonts w:ascii="Arial" w:hAnsi="Arial" w:cs="Arial"/>
          <w:sz w:val="22"/>
          <w:szCs w:val="22"/>
          <w:lang w:val="es-CO"/>
        </w:rPr>
        <w:t xml:space="preserve"> </w:t>
      </w:r>
      <w:r w:rsidR="00964112" w:rsidRPr="00A21B5C">
        <w:rPr>
          <w:rFonts w:ascii="Arial" w:hAnsi="Arial" w:cs="Arial"/>
          <w:sz w:val="22"/>
          <w:szCs w:val="22"/>
          <w:lang w:val="es-CO"/>
        </w:rPr>
        <w:t xml:space="preserve">la consecución de </w:t>
      </w:r>
      <w:r w:rsidR="00CA1380" w:rsidRPr="00A21B5C">
        <w:rPr>
          <w:rFonts w:ascii="Arial" w:hAnsi="Arial" w:cs="Arial"/>
          <w:sz w:val="22"/>
          <w:szCs w:val="22"/>
          <w:lang w:val="es-CO"/>
        </w:rPr>
        <w:t xml:space="preserve">proyectos de inversión que efectivamente estén orientados al mejoramiento de las condiciones de vida de los habitantes del Resguardo, </w:t>
      </w:r>
      <w:r w:rsidR="00D10267" w:rsidRPr="00A21B5C">
        <w:rPr>
          <w:rFonts w:ascii="Arial" w:hAnsi="Arial" w:cs="Arial"/>
          <w:sz w:val="22"/>
          <w:szCs w:val="22"/>
          <w:lang w:val="es-CO"/>
        </w:rPr>
        <w:t>puesto que limitarse a una de ella, no permitiría alcanzar los objetivos o metas planteadas</w:t>
      </w:r>
      <w:r w:rsidR="00BB17F1" w:rsidRPr="00A21B5C">
        <w:rPr>
          <w:rFonts w:ascii="Arial" w:hAnsi="Arial" w:cs="Arial"/>
          <w:sz w:val="22"/>
          <w:szCs w:val="22"/>
          <w:lang w:val="es-CO"/>
        </w:rPr>
        <w:t>, implicando ello, un desperdicio de los recursos públicos.</w:t>
      </w:r>
      <w:r w:rsidR="005B3B41" w:rsidRPr="00A21B5C">
        <w:rPr>
          <w:rFonts w:ascii="Arial" w:hAnsi="Arial" w:cs="Arial"/>
          <w:sz w:val="22"/>
          <w:szCs w:val="22"/>
          <w:lang w:val="es-CO"/>
        </w:rPr>
        <w:t xml:space="preserve"> Por ejemplo, la comprar </w:t>
      </w:r>
      <w:r w:rsidR="00C90838" w:rsidRPr="00A21B5C">
        <w:rPr>
          <w:rFonts w:ascii="Arial" w:hAnsi="Arial" w:cs="Arial"/>
          <w:sz w:val="22"/>
          <w:szCs w:val="22"/>
          <w:lang w:val="es-CO"/>
        </w:rPr>
        <w:t xml:space="preserve">de </w:t>
      </w:r>
      <w:r w:rsidR="005B3B41" w:rsidRPr="00A21B5C">
        <w:rPr>
          <w:rFonts w:ascii="Arial" w:hAnsi="Arial" w:cs="Arial"/>
          <w:sz w:val="22"/>
          <w:szCs w:val="22"/>
          <w:lang w:val="es-CO"/>
        </w:rPr>
        <w:t xml:space="preserve">los insumos para </w:t>
      </w:r>
      <w:r w:rsidR="00C90838" w:rsidRPr="00A21B5C">
        <w:rPr>
          <w:rFonts w:ascii="Arial" w:hAnsi="Arial" w:cs="Arial"/>
          <w:sz w:val="22"/>
          <w:szCs w:val="22"/>
          <w:lang w:val="es-CO"/>
        </w:rPr>
        <w:t>la construcción de una edificación</w:t>
      </w:r>
      <w:r w:rsidR="005B3B41" w:rsidRPr="00A21B5C">
        <w:rPr>
          <w:rFonts w:ascii="Arial" w:hAnsi="Arial" w:cs="Arial"/>
          <w:sz w:val="22"/>
          <w:szCs w:val="22"/>
          <w:lang w:val="es-CO"/>
        </w:rPr>
        <w:t>, no garantiza que</w:t>
      </w:r>
      <w:r w:rsidR="00C90838" w:rsidRPr="00A21B5C">
        <w:rPr>
          <w:rFonts w:ascii="Arial" w:hAnsi="Arial" w:cs="Arial"/>
          <w:sz w:val="22"/>
          <w:szCs w:val="22"/>
          <w:lang w:val="es-CO"/>
        </w:rPr>
        <w:t xml:space="preserve"> la obra</w:t>
      </w:r>
      <w:r w:rsidR="005B3B41" w:rsidRPr="00A21B5C">
        <w:rPr>
          <w:rFonts w:ascii="Arial" w:hAnsi="Arial" w:cs="Arial"/>
          <w:sz w:val="22"/>
          <w:szCs w:val="22"/>
          <w:lang w:val="es-CO"/>
        </w:rPr>
        <w:t xml:space="preserve"> </w:t>
      </w:r>
      <w:r w:rsidR="00C90838" w:rsidRPr="00A21B5C">
        <w:rPr>
          <w:rFonts w:ascii="Arial" w:hAnsi="Arial" w:cs="Arial"/>
          <w:sz w:val="22"/>
          <w:szCs w:val="22"/>
          <w:lang w:val="es-CO"/>
        </w:rPr>
        <w:t>se ejecute</w:t>
      </w:r>
      <w:r w:rsidR="005B3B41" w:rsidRPr="00A21B5C">
        <w:rPr>
          <w:rFonts w:ascii="Arial" w:hAnsi="Arial" w:cs="Arial"/>
          <w:sz w:val="22"/>
          <w:szCs w:val="22"/>
          <w:lang w:val="es-CO"/>
        </w:rPr>
        <w:t>.</w:t>
      </w:r>
    </w:p>
    <w:p w:rsidR="00CD0190" w:rsidRPr="00A21B5C" w:rsidRDefault="00CD0190">
      <w:pPr>
        <w:pStyle w:val="Prrafodelista"/>
        <w:ind w:left="284"/>
        <w:jc w:val="both"/>
        <w:rPr>
          <w:rFonts w:ascii="Arial" w:hAnsi="Arial" w:cs="Arial"/>
          <w:sz w:val="22"/>
          <w:szCs w:val="22"/>
          <w:lang w:val="es-CO"/>
        </w:rPr>
      </w:pPr>
    </w:p>
    <w:p w:rsidR="008C2E4A" w:rsidRPr="00A21B5C" w:rsidRDefault="0088750B">
      <w:pPr>
        <w:pStyle w:val="Prrafodelista"/>
        <w:numPr>
          <w:ilvl w:val="0"/>
          <w:numId w:val="6"/>
        </w:numPr>
        <w:ind w:left="284" w:hanging="284"/>
        <w:jc w:val="both"/>
        <w:rPr>
          <w:rFonts w:ascii="Arial" w:hAnsi="Arial" w:cs="Arial"/>
          <w:sz w:val="22"/>
          <w:szCs w:val="22"/>
          <w:lang w:val="es-CO"/>
        </w:rPr>
      </w:pPr>
      <w:r w:rsidRPr="00A21B5C">
        <w:rPr>
          <w:rFonts w:ascii="Arial" w:hAnsi="Arial" w:cs="Arial"/>
          <w:sz w:val="22"/>
          <w:szCs w:val="22"/>
          <w:lang w:val="es-CO"/>
        </w:rPr>
        <w:t>Ahora bien</w:t>
      </w:r>
      <w:r w:rsidR="008C2E4A" w:rsidRPr="00A21B5C">
        <w:rPr>
          <w:rFonts w:ascii="Arial" w:hAnsi="Arial" w:cs="Arial"/>
          <w:sz w:val="22"/>
          <w:szCs w:val="22"/>
          <w:lang w:val="es-CO"/>
        </w:rPr>
        <w:t>, de manera transversal, se evidenció en la totalidad de las fichas de perfil de proyecto adjuntas a los Contratos de Administración de las vigencias 2017</w:t>
      </w:r>
      <w:r w:rsidRPr="00A21B5C">
        <w:rPr>
          <w:rFonts w:ascii="Arial" w:hAnsi="Arial" w:cs="Arial"/>
          <w:sz w:val="22"/>
          <w:szCs w:val="22"/>
          <w:lang w:val="es-CO"/>
        </w:rPr>
        <w:t>,</w:t>
      </w:r>
      <w:r w:rsidR="008C2E4A" w:rsidRPr="00A21B5C">
        <w:rPr>
          <w:rFonts w:ascii="Arial" w:hAnsi="Arial" w:cs="Arial"/>
          <w:sz w:val="22"/>
          <w:szCs w:val="22"/>
          <w:lang w:val="es-CO"/>
        </w:rPr>
        <w:t xml:space="preserve"> 2018 </w:t>
      </w:r>
      <w:r w:rsidRPr="00A21B5C">
        <w:rPr>
          <w:rFonts w:ascii="Arial" w:hAnsi="Arial" w:cs="Arial"/>
          <w:sz w:val="22"/>
          <w:szCs w:val="22"/>
          <w:lang w:val="es-CO"/>
        </w:rPr>
        <w:t xml:space="preserve">y 2019 </w:t>
      </w:r>
      <w:r w:rsidR="008C2E4A" w:rsidRPr="00A21B5C">
        <w:rPr>
          <w:rFonts w:ascii="Arial" w:hAnsi="Arial" w:cs="Arial"/>
          <w:sz w:val="22"/>
          <w:szCs w:val="22"/>
          <w:lang w:val="es-CO"/>
        </w:rPr>
        <w:t xml:space="preserve">que, si bien el Resguardo Indígena logra consolidar una ficha técnica clara y coherente entre la necesidad, la alternativa de solución y la justificación dada, logrando determinar objetivos, metas e indicadores, no se determinaron las actividades puntuales para la realización del proyecto, en el caso de proyectos que se limitaron a la compra de materiales, sin definirse qué bienes, con qué especificaciones y en qué cantidades. Lo anterior, </w:t>
      </w:r>
      <w:r w:rsidR="00724BF6" w:rsidRPr="00A21B5C">
        <w:rPr>
          <w:rFonts w:ascii="Arial" w:hAnsi="Arial" w:cs="Arial"/>
          <w:sz w:val="22"/>
          <w:szCs w:val="22"/>
          <w:lang w:val="es-CO"/>
        </w:rPr>
        <w:t>es</w:t>
      </w:r>
      <w:r w:rsidR="008C2E4A" w:rsidRPr="00A21B5C">
        <w:rPr>
          <w:rFonts w:ascii="Arial" w:hAnsi="Arial" w:cs="Arial"/>
          <w:sz w:val="22"/>
          <w:szCs w:val="22"/>
          <w:lang w:val="es-CO"/>
        </w:rPr>
        <w:t xml:space="preserve"> relevante en cuanto los proyectos son ejecutados por la Entidad Territorial con quien se firmó el </w:t>
      </w:r>
      <w:r w:rsidR="009E4A4A" w:rsidRPr="00A21B5C">
        <w:rPr>
          <w:rFonts w:ascii="Arial" w:hAnsi="Arial" w:cs="Arial"/>
          <w:sz w:val="22"/>
          <w:szCs w:val="22"/>
          <w:lang w:val="es-CO"/>
        </w:rPr>
        <w:t xml:space="preserve">Convenio </w:t>
      </w:r>
      <w:r w:rsidR="008C2E4A" w:rsidRPr="00A21B5C">
        <w:rPr>
          <w:rFonts w:ascii="Arial" w:hAnsi="Arial" w:cs="Arial"/>
          <w:sz w:val="22"/>
          <w:szCs w:val="22"/>
          <w:lang w:val="es-CO"/>
        </w:rPr>
        <w:t xml:space="preserve">de Administración, de tal forma que es necesario que estos proyectos </w:t>
      </w:r>
      <w:r w:rsidR="002C330C" w:rsidRPr="00A21B5C">
        <w:rPr>
          <w:rFonts w:ascii="Arial" w:hAnsi="Arial" w:cs="Arial"/>
          <w:sz w:val="22"/>
          <w:szCs w:val="22"/>
          <w:lang w:val="es-CO"/>
        </w:rPr>
        <w:t xml:space="preserve">sean detallados y </w:t>
      </w:r>
      <w:r w:rsidR="00BA1754" w:rsidRPr="00A21B5C">
        <w:rPr>
          <w:rFonts w:ascii="Arial" w:hAnsi="Arial" w:cs="Arial"/>
          <w:sz w:val="22"/>
          <w:szCs w:val="22"/>
          <w:lang w:val="es-CO"/>
        </w:rPr>
        <w:t>específicos</w:t>
      </w:r>
      <w:r w:rsidR="008C2E4A" w:rsidRPr="00A21B5C">
        <w:rPr>
          <w:rFonts w:ascii="Arial" w:hAnsi="Arial" w:cs="Arial"/>
          <w:sz w:val="22"/>
          <w:szCs w:val="22"/>
          <w:lang w:val="es-CO"/>
        </w:rPr>
        <w:t xml:space="preserve"> para que el Municipio adelante los procesos contractuales a los que haya lugar de manera asertiva</w:t>
      </w:r>
      <w:r w:rsidR="00BA1754" w:rsidRPr="00A21B5C">
        <w:rPr>
          <w:rFonts w:ascii="Arial" w:hAnsi="Arial" w:cs="Arial"/>
          <w:sz w:val="22"/>
          <w:szCs w:val="22"/>
          <w:lang w:val="es-CO"/>
        </w:rPr>
        <w:t>, y en el mismo sentido se facilite el control sobre la ejecución de estos.</w:t>
      </w:r>
    </w:p>
    <w:p w:rsidR="0088750B" w:rsidRPr="00A21B5C" w:rsidRDefault="0088750B" w:rsidP="00A21B5C">
      <w:pPr>
        <w:contextualSpacing/>
        <w:jc w:val="both"/>
        <w:rPr>
          <w:rFonts w:ascii="Arial" w:hAnsi="Arial" w:cs="Arial"/>
          <w:sz w:val="22"/>
          <w:szCs w:val="22"/>
          <w:lang w:val="es-CO"/>
        </w:rPr>
      </w:pPr>
    </w:p>
    <w:p w:rsidR="008C2E4A" w:rsidRPr="00A21B5C" w:rsidRDefault="008C2E4A" w:rsidP="00A21B5C">
      <w:pPr>
        <w:spacing w:after="120"/>
        <w:contextualSpacing/>
        <w:jc w:val="both"/>
        <w:rPr>
          <w:rFonts w:ascii="Arial" w:hAnsi="Arial" w:cs="Arial"/>
          <w:sz w:val="22"/>
          <w:szCs w:val="22"/>
          <w:lang w:val="es-CO"/>
        </w:rPr>
      </w:pPr>
      <w:r w:rsidRPr="00A21B5C">
        <w:rPr>
          <w:rFonts w:ascii="Arial" w:hAnsi="Arial" w:cs="Arial"/>
          <w:sz w:val="22"/>
          <w:szCs w:val="22"/>
          <w:lang w:val="es-CO"/>
        </w:rPr>
        <w:t xml:space="preserve">En resumen, se </w:t>
      </w:r>
      <w:r w:rsidR="007074DC" w:rsidRPr="00A21B5C">
        <w:rPr>
          <w:rFonts w:ascii="Arial" w:hAnsi="Arial" w:cs="Arial"/>
          <w:sz w:val="22"/>
          <w:szCs w:val="22"/>
          <w:lang w:val="es-CO"/>
        </w:rPr>
        <w:t xml:space="preserve">evidencian </w:t>
      </w:r>
      <w:r w:rsidRPr="00A21B5C">
        <w:rPr>
          <w:rFonts w:ascii="Arial" w:hAnsi="Arial" w:cs="Arial"/>
          <w:sz w:val="22"/>
          <w:szCs w:val="22"/>
          <w:lang w:val="es-CO"/>
        </w:rPr>
        <w:t>algunas deficiencias en la</w:t>
      </w:r>
      <w:r w:rsidR="00AB4CD2" w:rsidRPr="00A21B5C">
        <w:rPr>
          <w:rFonts w:ascii="Arial" w:hAnsi="Arial" w:cs="Arial"/>
          <w:sz w:val="22"/>
          <w:szCs w:val="22"/>
          <w:lang w:val="es-CO"/>
        </w:rPr>
        <w:t xml:space="preserve"> orientación</w:t>
      </w:r>
      <w:r w:rsidRPr="00A21B5C">
        <w:rPr>
          <w:rFonts w:ascii="Arial" w:hAnsi="Arial" w:cs="Arial"/>
          <w:sz w:val="22"/>
          <w:szCs w:val="22"/>
          <w:lang w:val="es-CO"/>
        </w:rPr>
        <w:t xml:space="preserve"> de la destinación de los recursos y en la formulación de los proyectos de inversión, por lo cual se recomienda a la Entidad Territorial que desde la Secretaría de Planeación amplíe el alcance de su acompañamiento al Resguardo Indígena, particularmente en la formulación de los proyectos de inversión</w:t>
      </w:r>
      <w:r w:rsidR="008C2EED" w:rsidRPr="00A21B5C">
        <w:rPr>
          <w:rFonts w:ascii="Arial" w:hAnsi="Arial" w:cs="Arial"/>
          <w:sz w:val="22"/>
          <w:szCs w:val="22"/>
          <w:lang w:val="es-CO"/>
        </w:rPr>
        <w:t>,</w:t>
      </w:r>
      <w:r w:rsidR="00FB25B3" w:rsidRPr="00A21B5C">
        <w:rPr>
          <w:rFonts w:ascii="Arial" w:hAnsi="Arial" w:cs="Arial"/>
          <w:sz w:val="22"/>
          <w:szCs w:val="22"/>
          <w:lang w:val="es-CO"/>
        </w:rPr>
        <w:t xml:space="preserve"> para que estos </w:t>
      </w:r>
      <w:r w:rsidR="009343D6" w:rsidRPr="00A21B5C">
        <w:rPr>
          <w:rFonts w:ascii="Arial" w:hAnsi="Arial" w:cs="Arial"/>
          <w:sz w:val="22"/>
          <w:szCs w:val="22"/>
          <w:lang w:val="es-CO"/>
        </w:rPr>
        <w:t>se ajusten a los lineamientos técnicos y normativos vigentes</w:t>
      </w:r>
      <w:r w:rsidRPr="00A21B5C">
        <w:rPr>
          <w:rFonts w:ascii="Arial" w:hAnsi="Arial" w:cs="Arial"/>
          <w:sz w:val="22"/>
          <w:szCs w:val="22"/>
          <w:lang w:val="es-CO"/>
        </w:rPr>
        <w:t xml:space="preserve">, ya que se conoció en visita de reconocimiento institucional (reunión del 8 de mayo </w:t>
      </w:r>
      <w:r w:rsidRPr="00A21B5C">
        <w:rPr>
          <w:rFonts w:ascii="Arial" w:hAnsi="Arial" w:cs="Arial"/>
          <w:sz w:val="22"/>
          <w:szCs w:val="22"/>
          <w:lang w:val="es-CO"/>
        </w:rPr>
        <w:lastRenderedPageBreak/>
        <w:t>de 2019) que el acompañamiento dado por la Secretaría de Planeación no se da en todos los proyectos</w:t>
      </w:r>
      <w:r w:rsidR="008C2EED" w:rsidRPr="00A21B5C">
        <w:rPr>
          <w:rFonts w:ascii="Arial" w:hAnsi="Arial" w:cs="Arial"/>
          <w:sz w:val="22"/>
          <w:szCs w:val="22"/>
          <w:lang w:val="es-CO"/>
        </w:rPr>
        <w:t>,</w:t>
      </w:r>
      <w:r w:rsidRPr="00A21B5C">
        <w:rPr>
          <w:rFonts w:ascii="Arial" w:hAnsi="Arial" w:cs="Arial"/>
          <w:sz w:val="22"/>
          <w:szCs w:val="22"/>
          <w:lang w:val="es-CO"/>
        </w:rPr>
        <w:t xml:space="preserve"> sino solamente en aquellos proyectos que implican actividades de obra, puntualmente en los requerimientos técnicos, como consta en el acta de visita de reconocimiento levantada y suscrita con el Municipio de Dibulla – La Guajira. Lo anterior, en pro de que la debida formulación de los proyectos desemboque en un proceso de ejecución debido y asertivo para la generación de un beneficio real para las comunidades indígenas beneficiarias de los recursos de la AESGPRI.</w:t>
      </w:r>
    </w:p>
    <w:p w:rsidR="00C90838" w:rsidRPr="00A21B5C" w:rsidRDefault="00C90838" w:rsidP="00A21B5C">
      <w:pPr>
        <w:spacing w:after="120"/>
        <w:contextualSpacing/>
        <w:jc w:val="both"/>
        <w:rPr>
          <w:rFonts w:ascii="Arial" w:hAnsi="Arial" w:cs="Arial"/>
          <w:sz w:val="22"/>
          <w:szCs w:val="22"/>
          <w:lang w:val="es-CO"/>
        </w:rPr>
      </w:pPr>
    </w:p>
    <w:p w:rsidR="008C2E4A" w:rsidRPr="00A21B5C" w:rsidRDefault="008C2E4A">
      <w:pPr>
        <w:pStyle w:val="Prrafodelista"/>
        <w:numPr>
          <w:ilvl w:val="0"/>
          <w:numId w:val="28"/>
        </w:numPr>
        <w:pBdr>
          <w:bottom w:val="single" w:sz="4" w:space="1" w:color="auto"/>
        </w:pBdr>
        <w:tabs>
          <w:tab w:val="left" w:pos="8460"/>
        </w:tabs>
        <w:ind w:left="284" w:hanging="284"/>
        <w:jc w:val="both"/>
        <w:rPr>
          <w:rFonts w:ascii="Arial" w:hAnsi="Arial" w:cs="Arial"/>
          <w:b/>
          <w:sz w:val="22"/>
          <w:szCs w:val="22"/>
          <w:lang w:val="es-CO"/>
        </w:rPr>
      </w:pPr>
      <w:r w:rsidRPr="00A21B5C">
        <w:rPr>
          <w:rFonts w:ascii="Arial" w:hAnsi="Arial" w:cs="Arial"/>
          <w:b/>
          <w:sz w:val="22"/>
          <w:szCs w:val="22"/>
          <w:lang w:val="es-CO"/>
        </w:rPr>
        <w:t xml:space="preserve"> CONTRATACIÓN Y EJECUCIÓN</w:t>
      </w:r>
      <w:r w:rsidR="009E4A4A" w:rsidRPr="00A21B5C">
        <w:rPr>
          <w:rFonts w:ascii="Arial" w:hAnsi="Arial" w:cs="Arial"/>
          <w:b/>
          <w:sz w:val="22"/>
          <w:szCs w:val="22"/>
          <w:lang w:val="es-CO"/>
        </w:rPr>
        <w:t>:</w:t>
      </w:r>
    </w:p>
    <w:p w:rsidR="008C2E4A" w:rsidRPr="00A21B5C" w:rsidRDefault="008C2E4A" w:rsidP="00A21B5C">
      <w:pPr>
        <w:contextualSpacing/>
        <w:rPr>
          <w:rFonts w:ascii="Arial" w:hAnsi="Arial" w:cs="Arial"/>
          <w:b/>
          <w:sz w:val="22"/>
          <w:szCs w:val="22"/>
          <w:lang w:val="es-CO"/>
        </w:rPr>
      </w:pPr>
    </w:p>
    <w:p w:rsidR="008C2E4A" w:rsidRPr="00A21B5C" w:rsidRDefault="009E4A4A">
      <w:pPr>
        <w:pStyle w:val="Prrafodelista"/>
        <w:numPr>
          <w:ilvl w:val="1"/>
          <w:numId w:val="28"/>
        </w:numPr>
        <w:ind w:left="284" w:hanging="284"/>
        <w:rPr>
          <w:rFonts w:ascii="Arial" w:hAnsi="Arial" w:cs="Arial"/>
          <w:b/>
          <w:sz w:val="22"/>
          <w:szCs w:val="22"/>
          <w:lang w:val="es-CO"/>
        </w:rPr>
      </w:pPr>
      <w:r w:rsidRPr="00A21B5C">
        <w:rPr>
          <w:rFonts w:ascii="Arial" w:hAnsi="Arial" w:cs="Arial"/>
          <w:b/>
          <w:sz w:val="22"/>
          <w:szCs w:val="22"/>
          <w:lang w:val="es-CO"/>
        </w:rPr>
        <w:t xml:space="preserve">CONVENIOS </w:t>
      </w:r>
      <w:r w:rsidR="00A078CE" w:rsidRPr="00A21B5C">
        <w:rPr>
          <w:rFonts w:ascii="Arial" w:hAnsi="Arial" w:cs="Arial"/>
          <w:b/>
          <w:sz w:val="22"/>
          <w:szCs w:val="22"/>
          <w:lang w:val="es-CO"/>
        </w:rPr>
        <w:t>DE ADMINISTRACIÓN</w:t>
      </w:r>
      <w:r w:rsidRPr="00A21B5C">
        <w:rPr>
          <w:rFonts w:ascii="Arial" w:hAnsi="Arial" w:cs="Arial"/>
          <w:b/>
          <w:sz w:val="22"/>
          <w:szCs w:val="22"/>
          <w:lang w:val="es-CO"/>
        </w:rPr>
        <w:t>.</w:t>
      </w:r>
    </w:p>
    <w:p w:rsidR="008C2E4A" w:rsidRPr="00A21B5C" w:rsidRDefault="008C2E4A" w:rsidP="00A21B5C">
      <w:pPr>
        <w:contextualSpacing/>
        <w:jc w:val="both"/>
        <w:rPr>
          <w:rFonts w:ascii="Arial" w:hAnsi="Arial" w:cs="Arial"/>
          <w:b/>
          <w:sz w:val="22"/>
          <w:szCs w:val="22"/>
          <w:lang w:val="es-CO"/>
        </w:rPr>
      </w:pPr>
    </w:p>
    <w:p w:rsidR="008C2E4A" w:rsidRPr="00A21B5C" w:rsidRDefault="000529D2" w:rsidP="00A21B5C">
      <w:pPr>
        <w:contextualSpacing/>
        <w:jc w:val="both"/>
        <w:rPr>
          <w:rFonts w:ascii="Arial" w:hAnsi="Arial" w:cs="Arial"/>
          <w:sz w:val="22"/>
          <w:szCs w:val="22"/>
          <w:lang w:val="es-CO"/>
        </w:rPr>
      </w:pPr>
      <w:r w:rsidRPr="00A21B5C">
        <w:rPr>
          <w:rFonts w:ascii="Arial" w:hAnsi="Arial" w:cs="Arial"/>
          <w:sz w:val="22"/>
          <w:szCs w:val="22"/>
          <w:lang w:val="es-CO"/>
        </w:rPr>
        <w:t>E</w:t>
      </w:r>
      <w:r w:rsidR="008C2E4A" w:rsidRPr="00A21B5C">
        <w:rPr>
          <w:rFonts w:ascii="Arial" w:hAnsi="Arial" w:cs="Arial"/>
          <w:sz w:val="22"/>
          <w:szCs w:val="22"/>
          <w:lang w:val="es-CO"/>
        </w:rPr>
        <w:t xml:space="preserve">l inciso 2 del </w:t>
      </w:r>
      <w:r w:rsidR="009E4A4A" w:rsidRPr="00A21B5C">
        <w:rPr>
          <w:rFonts w:ascii="Arial" w:hAnsi="Arial" w:cs="Arial"/>
          <w:sz w:val="22"/>
          <w:szCs w:val="22"/>
          <w:lang w:val="es-CO"/>
        </w:rPr>
        <w:t>a</w:t>
      </w:r>
      <w:r w:rsidR="008C2E4A" w:rsidRPr="00A21B5C">
        <w:rPr>
          <w:rFonts w:ascii="Arial" w:hAnsi="Arial" w:cs="Arial"/>
          <w:sz w:val="22"/>
          <w:szCs w:val="22"/>
          <w:lang w:val="es-CO"/>
        </w:rPr>
        <w:t>rtículo 83 de la Ley 715 de 2001 y el artículo 3</w:t>
      </w:r>
      <w:r w:rsidR="000D2D90" w:rsidRPr="00A21B5C">
        <w:rPr>
          <w:rFonts w:ascii="Arial" w:hAnsi="Arial" w:cs="Arial"/>
          <w:sz w:val="22"/>
          <w:szCs w:val="22"/>
          <w:lang w:val="es-CO"/>
        </w:rPr>
        <w:t>4</w:t>
      </w:r>
      <w:r w:rsidR="008C2E4A" w:rsidRPr="00A21B5C">
        <w:rPr>
          <w:rFonts w:ascii="Arial" w:hAnsi="Arial" w:cs="Arial"/>
          <w:sz w:val="22"/>
          <w:szCs w:val="22"/>
          <w:lang w:val="es-CO"/>
        </w:rPr>
        <w:t xml:space="preserve"> </w:t>
      </w:r>
      <w:r w:rsidR="00476F24" w:rsidRPr="00A21B5C">
        <w:rPr>
          <w:rFonts w:ascii="Arial" w:hAnsi="Arial" w:cs="Arial"/>
          <w:sz w:val="22"/>
          <w:szCs w:val="22"/>
          <w:lang w:val="es-CO"/>
        </w:rPr>
        <w:t>del Decreto</w:t>
      </w:r>
      <w:r w:rsidR="008C2E4A" w:rsidRPr="00A21B5C">
        <w:rPr>
          <w:rFonts w:ascii="Arial" w:hAnsi="Arial" w:cs="Arial"/>
          <w:sz w:val="22"/>
          <w:szCs w:val="22"/>
          <w:lang w:val="es-CO"/>
        </w:rPr>
        <w:t xml:space="preserve"> 1953 de 2014 establecen que </w:t>
      </w:r>
      <w:r w:rsidR="00487B6E" w:rsidRPr="00A21B5C">
        <w:rPr>
          <w:rFonts w:ascii="Arial" w:hAnsi="Arial" w:cs="Arial"/>
          <w:sz w:val="22"/>
          <w:szCs w:val="22"/>
          <w:lang w:val="es-CO"/>
        </w:rPr>
        <w:t xml:space="preserve">en caso </w:t>
      </w:r>
      <w:r w:rsidR="006C299F" w:rsidRPr="00A21B5C">
        <w:rPr>
          <w:rFonts w:ascii="Arial" w:hAnsi="Arial" w:cs="Arial"/>
          <w:sz w:val="22"/>
          <w:szCs w:val="22"/>
          <w:lang w:val="es-CO"/>
        </w:rPr>
        <w:t xml:space="preserve">de </w:t>
      </w:r>
      <w:r w:rsidR="00487B6E" w:rsidRPr="00A21B5C">
        <w:rPr>
          <w:rFonts w:ascii="Arial" w:hAnsi="Arial" w:cs="Arial"/>
          <w:sz w:val="22"/>
          <w:szCs w:val="22"/>
          <w:lang w:val="es-CO"/>
        </w:rPr>
        <w:t xml:space="preserve">que un resguardo indígena no administre la </w:t>
      </w:r>
      <w:r w:rsidR="00F7188A" w:rsidRPr="00A21B5C">
        <w:rPr>
          <w:rFonts w:ascii="Arial" w:hAnsi="Arial" w:cs="Arial"/>
          <w:sz w:val="22"/>
          <w:szCs w:val="22"/>
          <w:lang w:val="es-CO"/>
        </w:rPr>
        <w:t>A</w:t>
      </w:r>
      <w:r w:rsidR="00487B6E" w:rsidRPr="00A21B5C">
        <w:rPr>
          <w:rFonts w:ascii="Arial" w:hAnsi="Arial" w:cs="Arial"/>
          <w:sz w:val="22"/>
          <w:szCs w:val="22"/>
          <w:lang w:val="es-CO"/>
        </w:rPr>
        <w:t xml:space="preserve">signación </w:t>
      </w:r>
      <w:r w:rsidR="00F7188A" w:rsidRPr="00A21B5C">
        <w:rPr>
          <w:rFonts w:ascii="Arial" w:hAnsi="Arial" w:cs="Arial"/>
          <w:sz w:val="22"/>
          <w:szCs w:val="22"/>
          <w:lang w:val="es-CO"/>
        </w:rPr>
        <w:t>E</w:t>
      </w:r>
      <w:r w:rsidR="00487B6E" w:rsidRPr="00A21B5C">
        <w:rPr>
          <w:rFonts w:ascii="Arial" w:hAnsi="Arial" w:cs="Arial"/>
          <w:sz w:val="22"/>
          <w:szCs w:val="22"/>
          <w:lang w:val="es-CO"/>
        </w:rPr>
        <w:t>special del Sistema General de Participaciones, o no se haya asociado con otros para administrarlos</w:t>
      </w:r>
      <w:r w:rsidR="006C299F" w:rsidRPr="00A21B5C">
        <w:rPr>
          <w:rFonts w:ascii="Arial" w:hAnsi="Arial" w:cs="Arial"/>
          <w:sz w:val="22"/>
          <w:szCs w:val="22"/>
          <w:lang w:val="es-CO"/>
        </w:rPr>
        <w:t>, como es el caso del Resguardo Kogui – Malayo – Arhuaco</w:t>
      </w:r>
      <w:r w:rsidR="00481FD1" w:rsidRPr="00A21B5C">
        <w:rPr>
          <w:rFonts w:ascii="Arial" w:hAnsi="Arial" w:cs="Arial"/>
          <w:sz w:val="22"/>
          <w:szCs w:val="22"/>
          <w:lang w:val="es-CO"/>
        </w:rPr>
        <w:t xml:space="preserve"> ubicado en jurisdicción del Municipio de Dibulla – La Guajira</w:t>
      </w:r>
      <w:r w:rsidR="006C299F" w:rsidRPr="00A21B5C">
        <w:rPr>
          <w:rFonts w:ascii="Arial" w:hAnsi="Arial" w:cs="Arial"/>
          <w:sz w:val="22"/>
          <w:szCs w:val="22"/>
          <w:lang w:val="es-CO"/>
        </w:rPr>
        <w:t xml:space="preserve">, </w:t>
      </w:r>
      <w:r w:rsidR="008C2E4A" w:rsidRPr="00A21B5C">
        <w:rPr>
          <w:rFonts w:ascii="Arial" w:hAnsi="Arial" w:cs="Arial"/>
          <w:sz w:val="22"/>
          <w:szCs w:val="22"/>
          <w:lang w:val="es-CO"/>
        </w:rPr>
        <w:t>los recursos asignados a los Resguardos Indígenas</w:t>
      </w:r>
      <w:r w:rsidR="00F7188A" w:rsidRPr="00A21B5C">
        <w:rPr>
          <w:rFonts w:ascii="Arial" w:hAnsi="Arial" w:cs="Arial"/>
          <w:sz w:val="22"/>
          <w:szCs w:val="22"/>
          <w:lang w:val="es-CO"/>
        </w:rPr>
        <w:t xml:space="preserve"> </w:t>
      </w:r>
      <w:r w:rsidR="008C2E4A" w:rsidRPr="00A21B5C">
        <w:rPr>
          <w:rFonts w:ascii="Arial" w:hAnsi="Arial" w:cs="Arial"/>
          <w:sz w:val="22"/>
          <w:szCs w:val="22"/>
          <w:lang w:val="es-CO"/>
        </w:rPr>
        <w:t xml:space="preserve">serán administrados por el </w:t>
      </w:r>
      <w:r w:rsidR="0098726C" w:rsidRPr="00A21B5C">
        <w:rPr>
          <w:rFonts w:ascii="Arial" w:hAnsi="Arial" w:cs="Arial"/>
          <w:sz w:val="22"/>
          <w:szCs w:val="22"/>
          <w:lang w:val="es-CO"/>
        </w:rPr>
        <w:t>m</w:t>
      </w:r>
      <w:r w:rsidR="008C2E4A" w:rsidRPr="00A21B5C">
        <w:rPr>
          <w:rFonts w:ascii="Arial" w:hAnsi="Arial" w:cs="Arial"/>
          <w:sz w:val="22"/>
          <w:szCs w:val="22"/>
          <w:lang w:val="es-CO"/>
        </w:rPr>
        <w:t xml:space="preserve">unicipio o </w:t>
      </w:r>
      <w:r w:rsidR="0098726C" w:rsidRPr="00A21B5C">
        <w:rPr>
          <w:rFonts w:ascii="Arial" w:hAnsi="Arial" w:cs="Arial"/>
          <w:sz w:val="22"/>
          <w:szCs w:val="22"/>
          <w:lang w:val="es-CO"/>
        </w:rPr>
        <w:t>d</w:t>
      </w:r>
      <w:r w:rsidR="008C2E4A" w:rsidRPr="00A21B5C">
        <w:rPr>
          <w:rFonts w:ascii="Arial" w:hAnsi="Arial" w:cs="Arial"/>
          <w:sz w:val="22"/>
          <w:szCs w:val="22"/>
          <w:lang w:val="es-CO"/>
        </w:rPr>
        <w:t xml:space="preserve">epartamento en el que </w:t>
      </w:r>
      <w:r w:rsidR="00931046" w:rsidRPr="00A21B5C">
        <w:rPr>
          <w:rFonts w:ascii="Arial" w:hAnsi="Arial" w:cs="Arial"/>
          <w:sz w:val="22"/>
          <w:szCs w:val="22"/>
          <w:lang w:val="es-CO"/>
        </w:rPr>
        <w:t xml:space="preserve">estos </w:t>
      </w:r>
      <w:r w:rsidR="008C2E4A" w:rsidRPr="00A21B5C">
        <w:rPr>
          <w:rFonts w:ascii="Arial" w:hAnsi="Arial" w:cs="Arial"/>
          <w:sz w:val="22"/>
          <w:szCs w:val="22"/>
          <w:lang w:val="es-CO"/>
        </w:rPr>
        <w:t>se encuentre</w:t>
      </w:r>
      <w:r w:rsidR="00931046" w:rsidRPr="00A21B5C">
        <w:rPr>
          <w:rFonts w:ascii="Arial" w:hAnsi="Arial" w:cs="Arial"/>
          <w:sz w:val="22"/>
          <w:szCs w:val="22"/>
          <w:lang w:val="es-CO"/>
        </w:rPr>
        <w:t>n</w:t>
      </w:r>
      <w:r w:rsidR="008C2E4A" w:rsidRPr="00A21B5C">
        <w:rPr>
          <w:rFonts w:ascii="Arial" w:hAnsi="Arial" w:cs="Arial"/>
          <w:sz w:val="22"/>
          <w:szCs w:val="22"/>
          <w:lang w:val="es-CO"/>
        </w:rPr>
        <w:t xml:space="preserve"> ubicado</w:t>
      </w:r>
      <w:r w:rsidR="00931046" w:rsidRPr="00A21B5C">
        <w:rPr>
          <w:rFonts w:ascii="Arial" w:hAnsi="Arial" w:cs="Arial"/>
          <w:sz w:val="22"/>
          <w:szCs w:val="22"/>
          <w:lang w:val="es-CO"/>
        </w:rPr>
        <w:t>s</w:t>
      </w:r>
      <w:r w:rsidR="008C2E4A" w:rsidRPr="00A21B5C">
        <w:rPr>
          <w:rFonts w:ascii="Arial" w:hAnsi="Arial" w:cs="Arial"/>
          <w:sz w:val="22"/>
          <w:szCs w:val="22"/>
          <w:lang w:val="es-CO"/>
        </w:rPr>
        <w:t xml:space="preserve">, a través </w:t>
      </w:r>
      <w:r w:rsidR="00722ADE" w:rsidRPr="00A21B5C">
        <w:rPr>
          <w:rFonts w:ascii="Arial" w:hAnsi="Arial" w:cs="Arial"/>
          <w:sz w:val="22"/>
          <w:szCs w:val="22"/>
          <w:lang w:val="es-CO"/>
        </w:rPr>
        <w:t xml:space="preserve">de </w:t>
      </w:r>
      <w:r w:rsidR="008C2E4A" w:rsidRPr="00A21B5C">
        <w:rPr>
          <w:rFonts w:ascii="Arial" w:hAnsi="Arial" w:cs="Arial"/>
          <w:sz w:val="22"/>
          <w:szCs w:val="22"/>
          <w:lang w:val="es-CO"/>
        </w:rPr>
        <w:t xml:space="preserve">un </w:t>
      </w:r>
      <w:r w:rsidR="0098726C" w:rsidRPr="00A21B5C">
        <w:rPr>
          <w:rFonts w:ascii="Arial" w:hAnsi="Arial" w:cs="Arial"/>
          <w:sz w:val="22"/>
          <w:szCs w:val="22"/>
          <w:lang w:val="es-CO"/>
        </w:rPr>
        <w:t xml:space="preserve">convenio </w:t>
      </w:r>
      <w:r w:rsidR="008C2E4A" w:rsidRPr="00A21B5C">
        <w:rPr>
          <w:rFonts w:ascii="Arial" w:hAnsi="Arial" w:cs="Arial"/>
          <w:sz w:val="22"/>
          <w:szCs w:val="22"/>
          <w:lang w:val="es-CO"/>
        </w:rPr>
        <w:t xml:space="preserve">de </w:t>
      </w:r>
      <w:r w:rsidR="0098726C" w:rsidRPr="00A21B5C">
        <w:rPr>
          <w:rFonts w:ascii="Arial" w:hAnsi="Arial" w:cs="Arial"/>
          <w:sz w:val="22"/>
          <w:szCs w:val="22"/>
          <w:lang w:val="es-CO"/>
        </w:rPr>
        <w:t>a</w:t>
      </w:r>
      <w:r w:rsidR="008C2E4A" w:rsidRPr="00A21B5C">
        <w:rPr>
          <w:rFonts w:ascii="Arial" w:hAnsi="Arial" w:cs="Arial"/>
          <w:sz w:val="22"/>
          <w:szCs w:val="22"/>
          <w:lang w:val="es-CO"/>
        </w:rPr>
        <w:t xml:space="preserve">dministración entre la </w:t>
      </w:r>
      <w:r w:rsidR="0098726C" w:rsidRPr="00A21B5C">
        <w:rPr>
          <w:rFonts w:ascii="Arial" w:hAnsi="Arial" w:cs="Arial"/>
          <w:sz w:val="22"/>
          <w:szCs w:val="22"/>
          <w:lang w:val="es-CO"/>
        </w:rPr>
        <w:t>e</w:t>
      </w:r>
      <w:r w:rsidR="008C2E4A" w:rsidRPr="00A21B5C">
        <w:rPr>
          <w:rFonts w:ascii="Arial" w:hAnsi="Arial" w:cs="Arial"/>
          <w:sz w:val="22"/>
          <w:szCs w:val="22"/>
          <w:lang w:val="es-CO"/>
        </w:rPr>
        <w:t xml:space="preserve">ntidad </w:t>
      </w:r>
      <w:r w:rsidR="0098726C" w:rsidRPr="00A21B5C">
        <w:rPr>
          <w:rFonts w:ascii="Arial" w:hAnsi="Arial" w:cs="Arial"/>
          <w:sz w:val="22"/>
          <w:szCs w:val="22"/>
          <w:lang w:val="es-CO"/>
        </w:rPr>
        <w:t>t</w:t>
      </w:r>
      <w:r w:rsidR="008C2E4A" w:rsidRPr="00A21B5C">
        <w:rPr>
          <w:rFonts w:ascii="Arial" w:hAnsi="Arial" w:cs="Arial"/>
          <w:sz w:val="22"/>
          <w:szCs w:val="22"/>
          <w:lang w:val="es-CO"/>
        </w:rPr>
        <w:t xml:space="preserve">erritorial y el </w:t>
      </w:r>
      <w:r w:rsidR="0098726C" w:rsidRPr="00A21B5C">
        <w:rPr>
          <w:rFonts w:ascii="Arial" w:hAnsi="Arial" w:cs="Arial"/>
          <w:sz w:val="22"/>
          <w:szCs w:val="22"/>
          <w:lang w:val="es-CO"/>
        </w:rPr>
        <w:t>r</w:t>
      </w:r>
      <w:r w:rsidR="008C2E4A" w:rsidRPr="00A21B5C">
        <w:rPr>
          <w:rFonts w:ascii="Arial" w:hAnsi="Arial" w:cs="Arial"/>
          <w:sz w:val="22"/>
          <w:szCs w:val="22"/>
          <w:lang w:val="es-CO"/>
        </w:rPr>
        <w:t xml:space="preserve">epresentante </w:t>
      </w:r>
      <w:r w:rsidR="0098726C" w:rsidRPr="00A21B5C">
        <w:rPr>
          <w:rFonts w:ascii="Arial" w:hAnsi="Arial" w:cs="Arial"/>
          <w:sz w:val="22"/>
          <w:szCs w:val="22"/>
          <w:lang w:val="es-CO"/>
        </w:rPr>
        <w:t>l</w:t>
      </w:r>
      <w:r w:rsidR="008C2E4A" w:rsidRPr="00A21B5C">
        <w:rPr>
          <w:rFonts w:ascii="Arial" w:hAnsi="Arial" w:cs="Arial"/>
          <w:sz w:val="22"/>
          <w:szCs w:val="22"/>
          <w:lang w:val="es-CO"/>
        </w:rPr>
        <w:t xml:space="preserve">egal designado por las autoridades del </w:t>
      </w:r>
      <w:r w:rsidR="0098726C" w:rsidRPr="00A21B5C">
        <w:rPr>
          <w:rFonts w:ascii="Arial" w:hAnsi="Arial" w:cs="Arial"/>
          <w:sz w:val="22"/>
          <w:szCs w:val="22"/>
          <w:lang w:val="es-CO"/>
        </w:rPr>
        <w:t>r</w:t>
      </w:r>
      <w:r w:rsidR="008C2E4A" w:rsidRPr="00A21B5C">
        <w:rPr>
          <w:rFonts w:ascii="Arial" w:hAnsi="Arial" w:cs="Arial"/>
          <w:sz w:val="22"/>
          <w:szCs w:val="22"/>
          <w:lang w:val="es-CO"/>
        </w:rPr>
        <w:t xml:space="preserve">esguardo </w:t>
      </w:r>
      <w:r w:rsidR="0098726C" w:rsidRPr="00A21B5C">
        <w:rPr>
          <w:rFonts w:ascii="Arial" w:hAnsi="Arial" w:cs="Arial"/>
          <w:sz w:val="22"/>
          <w:szCs w:val="22"/>
          <w:lang w:val="es-CO"/>
        </w:rPr>
        <w:t>i</w:t>
      </w:r>
      <w:r w:rsidR="008C2E4A" w:rsidRPr="00A21B5C">
        <w:rPr>
          <w:rFonts w:ascii="Arial" w:hAnsi="Arial" w:cs="Arial"/>
          <w:sz w:val="22"/>
          <w:szCs w:val="22"/>
          <w:lang w:val="es-CO"/>
        </w:rPr>
        <w:t>ndígena</w:t>
      </w:r>
      <w:r w:rsidR="00722ADE" w:rsidRPr="00A21B5C">
        <w:rPr>
          <w:rFonts w:ascii="Arial" w:hAnsi="Arial" w:cs="Arial"/>
          <w:sz w:val="22"/>
          <w:szCs w:val="22"/>
          <w:lang w:val="es-CO"/>
        </w:rPr>
        <w:t xml:space="preserve">, que deberá celebrarse </w:t>
      </w:r>
      <w:r w:rsidR="008C2E4A" w:rsidRPr="00A21B5C">
        <w:rPr>
          <w:rFonts w:ascii="Arial" w:hAnsi="Arial" w:cs="Arial"/>
          <w:sz w:val="22"/>
          <w:szCs w:val="22"/>
          <w:lang w:val="es-CO"/>
        </w:rPr>
        <w:t>antes del 31 de diciembre de cada año</w:t>
      </w:r>
      <w:r w:rsidR="00622B9D" w:rsidRPr="00A21B5C">
        <w:rPr>
          <w:rFonts w:ascii="Arial" w:hAnsi="Arial" w:cs="Arial"/>
          <w:sz w:val="22"/>
          <w:szCs w:val="22"/>
          <w:lang w:val="es-CO"/>
        </w:rPr>
        <w:t xml:space="preserve"> y</w:t>
      </w:r>
      <w:r w:rsidR="008C2E4A" w:rsidRPr="00A21B5C">
        <w:rPr>
          <w:rFonts w:ascii="Arial" w:hAnsi="Arial" w:cs="Arial"/>
          <w:sz w:val="22"/>
          <w:szCs w:val="22"/>
          <w:lang w:val="es-CO"/>
        </w:rPr>
        <w:t xml:space="preserve"> en el que</w:t>
      </w:r>
      <w:r w:rsidR="00622B9D" w:rsidRPr="00A21B5C">
        <w:rPr>
          <w:rFonts w:ascii="Arial" w:hAnsi="Arial" w:cs="Arial"/>
          <w:sz w:val="22"/>
          <w:szCs w:val="22"/>
          <w:lang w:val="es-CO"/>
        </w:rPr>
        <w:t xml:space="preserve"> debe </w:t>
      </w:r>
      <w:r w:rsidR="008C2E4A" w:rsidRPr="00A21B5C">
        <w:rPr>
          <w:rFonts w:ascii="Arial" w:hAnsi="Arial" w:cs="Arial"/>
          <w:sz w:val="22"/>
          <w:szCs w:val="22"/>
          <w:lang w:val="es-CO"/>
        </w:rPr>
        <w:t>determin</w:t>
      </w:r>
      <w:r w:rsidR="00622B9D" w:rsidRPr="00A21B5C">
        <w:rPr>
          <w:rFonts w:ascii="Arial" w:hAnsi="Arial" w:cs="Arial"/>
          <w:sz w:val="22"/>
          <w:szCs w:val="22"/>
          <w:lang w:val="es-CO"/>
        </w:rPr>
        <w:t>arse</w:t>
      </w:r>
      <w:r w:rsidR="008C2E4A" w:rsidRPr="00A21B5C">
        <w:rPr>
          <w:rFonts w:ascii="Arial" w:hAnsi="Arial" w:cs="Arial"/>
          <w:sz w:val="22"/>
          <w:szCs w:val="22"/>
          <w:lang w:val="es-CO"/>
        </w:rPr>
        <w:t xml:space="preserve"> el uso de los recursos </w:t>
      </w:r>
      <w:r w:rsidR="00B65B05" w:rsidRPr="00A21B5C">
        <w:rPr>
          <w:rFonts w:ascii="Arial" w:hAnsi="Arial" w:cs="Arial"/>
          <w:sz w:val="22"/>
          <w:szCs w:val="22"/>
          <w:lang w:val="es-CO"/>
        </w:rPr>
        <w:t>para</w:t>
      </w:r>
      <w:r w:rsidR="008C2E4A" w:rsidRPr="00A21B5C">
        <w:rPr>
          <w:rFonts w:ascii="Arial" w:hAnsi="Arial" w:cs="Arial"/>
          <w:sz w:val="22"/>
          <w:szCs w:val="22"/>
          <w:lang w:val="es-CO"/>
        </w:rPr>
        <w:t xml:space="preserve"> el año siguiente</w:t>
      </w:r>
      <w:r w:rsidR="008C2EED" w:rsidRPr="00A21B5C">
        <w:rPr>
          <w:rFonts w:ascii="Arial" w:hAnsi="Arial" w:cs="Arial"/>
          <w:sz w:val="22"/>
          <w:szCs w:val="22"/>
          <w:lang w:val="es-CO"/>
        </w:rPr>
        <w:t>. Al respecto, s</w:t>
      </w:r>
      <w:r w:rsidR="008C2E4A" w:rsidRPr="00A21B5C">
        <w:rPr>
          <w:rFonts w:ascii="Arial" w:hAnsi="Arial" w:cs="Arial"/>
          <w:sz w:val="22"/>
          <w:szCs w:val="22"/>
          <w:lang w:val="es-CO"/>
        </w:rPr>
        <w:t xml:space="preserve">e inspeccionaron los </w:t>
      </w:r>
      <w:r w:rsidR="0098726C" w:rsidRPr="00A21B5C">
        <w:rPr>
          <w:rFonts w:ascii="Arial" w:hAnsi="Arial" w:cs="Arial"/>
          <w:sz w:val="22"/>
          <w:szCs w:val="22"/>
          <w:lang w:val="es-CO"/>
        </w:rPr>
        <w:t xml:space="preserve">Convenios </w:t>
      </w:r>
      <w:r w:rsidR="008C2E4A" w:rsidRPr="00A21B5C">
        <w:rPr>
          <w:rFonts w:ascii="Arial" w:hAnsi="Arial" w:cs="Arial"/>
          <w:sz w:val="22"/>
          <w:szCs w:val="22"/>
          <w:lang w:val="es-CO"/>
        </w:rPr>
        <w:t xml:space="preserve">de Administración suscritos entre el Municipio de Dibulla – La Guajira y el Resguardo </w:t>
      </w:r>
      <w:r w:rsidR="008C2E4A" w:rsidRPr="00A21B5C">
        <w:rPr>
          <w:rFonts w:ascii="Arial" w:hAnsi="Arial" w:cs="Arial"/>
          <w:iCs/>
          <w:sz w:val="22"/>
          <w:szCs w:val="22"/>
          <w:lang w:val="es-CO"/>
        </w:rPr>
        <w:t>Kogui – Malayo – Arhuaco</w:t>
      </w:r>
      <w:r w:rsidR="008C2E4A" w:rsidRPr="00A21B5C">
        <w:rPr>
          <w:rFonts w:ascii="Arial" w:hAnsi="Arial" w:cs="Arial"/>
          <w:sz w:val="22"/>
          <w:szCs w:val="22"/>
          <w:lang w:val="es-CO"/>
        </w:rPr>
        <w:t xml:space="preserve"> para la ejecución de recursos </w:t>
      </w:r>
      <w:r w:rsidR="00B65B05" w:rsidRPr="00A21B5C">
        <w:rPr>
          <w:rFonts w:ascii="Arial" w:hAnsi="Arial" w:cs="Arial"/>
          <w:sz w:val="22"/>
          <w:szCs w:val="22"/>
          <w:lang w:val="es-CO"/>
        </w:rPr>
        <w:t xml:space="preserve">de la </w:t>
      </w:r>
      <w:r w:rsidR="008C2E4A" w:rsidRPr="00A21B5C">
        <w:rPr>
          <w:rFonts w:ascii="Arial" w:hAnsi="Arial" w:cs="Arial"/>
          <w:sz w:val="22"/>
          <w:szCs w:val="22"/>
          <w:lang w:val="es-CO"/>
        </w:rPr>
        <w:t>AESGPRI en las vigencias 2016, 2017</w:t>
      </w:r>
      <w:r w:rsidR="00E751DE" w:rsidRPr="00A21B5C">
        <w:rPr>
          <w:rFonts w:ascii="Arial" w:hAnsi="Arial" w:cs="Arial"/>
          <w:sz w:val="22"/>
          <w:szCs w:val="22"/>
          <w:lang w:val="es-CO"/>
        </w:rPr>
        <w:t xml:space="preserve">, </w:t>
      </w:r>
      <w:r w:rsidR="008C2E4A" w:rsidRPr="00A21B5C">
        <w:rPr>
          <w:rFonts w:ascii="Arial" w:hAnsi="Arial" w:cs="Arial"/>
          <w:sz w:val="22"/>
          <w:szCs w:val="22"/>
          <w:lang w:val="es-CO"/>
        </w:rPr>
        <w:t>2018</w:t>
      </w:r>
      <w:r w:rsidR="00E751DE" w:rsidRPr="00A21B5C">
        <w:rPr>
          <w:rFonts w:ascii="Arial" w:hAnsi="Arial" w:cs="Arial"/>
          <w:sz w:val="22"/>
          <w:szCs w:val="22"/>
          <w:lang w:val="es-CO"/>
        </w:rPr>
        <w:t xml:space="preserve"> y 2019</w:t>
      </w:r>
      <w:r w:rsidR="00617095" w:rsidRPr="00A21B5C">
        <w:rPr>
          <w:rFonts w:ascii="Arial" w:hAnsi="Arial" w:cs="Arial"/>
          <w:sz w:val="22"/>
          <w:szCs w:val="22"/>
          <w:lang w:val="es-CO"/>
        </w:rPr>
        <w:t>,</w:t>
      </w:r>
      <w:r w:rsidR="008C2E4A" w:rsidRPr="00A21B5C">
        <w:rPr>
          <w:rFonts w:ascii="Arial" w:hAnsi="Arial" w:cs="Arial"/>
          <w:sz w:val="22"/>
          <w:szCs w:val="22"/>
          <w:lang w:val="es-CO"/>
        </w:rPr>
        <w:t xml:space="preserve"> encontrándose algunas faltas en los requerimientos legales </w:t>
      </w:r>
      <w:r w:rsidR="009471A7" w:rsidRPr="00A21B5C">
        <w:rPr>
          <w:rFonts w:ascii="Arial" w:hAnsi="Arial" w:cs="Arial"/>
          <w:sz w:val="22"/>
          <w:szCs w:val="22"/>
          <w:lang w:val="es-CO"/>
        </w:rPr>
        <w:t xml:space="preserve">establecidos en </w:t>
      </w:r>
      <w:r w:rsidR="008C2E4A" w:rsidRPr="00A21B5C">
        <w:rPr>
          <w:rFonts w:ascii="Arial" w:hAnsi="Arial" w:cs="Arial"/>
          <w:sz w:val="22"/>
          <w:szCs w:val="22"/>
          <w:lang w:val="es-CO"/>
        </w:rPr>
        <w:t>los citados artículos</w:t>
      </w:r>
      <w:r w:rsidR="00617095" w:rsidRPr="00A21B5C">
        <w:rPr>
          <w:rFonts w:ascii="Arial" w:hAnsi="Arial" w:cs="Arial"/>
          <w:sz w:val="22"/>
          <w:szCs w:val="22"/>
          <w:lang w:val="es-CO"/>
        </w:rPr>
        <w:t>, así como</w:t>
      </w:r>
      <w:r w:rsidR="008C2E4A" w:rsidRPr="00A21B5C">
        <w:rPr>
          <w:rFonts w:ascii="Arial" w:hAnsi="Arial" w:cs="Arial"/>
          <w:sz w:val="22"/>
          <w:szCs w:val="22"/>
          <w:lang w:val="es-CO"/>
        </w:rPr>
        <w:t xml:space="preserve"> en los requerimientos formales </w:t>
      </w:r>
      <w:r w:rsidR="006B22CE" w:rsidRPr="00A21B5C">
        <w:rPr>
          <w:rFonts w:ascii="Arial" w:hAnsi="Arial" w:cs="Arial"/>
          <w:sz w:val="22"/>
          <w:szCs w:val="22"/>
          <w:lang w:val="es-CO"/>
        </w:rPr>
        <w:t>estipulados por</w:t>
      </w:r>
      <w:r w:rsidR="008C2E4A" w:rsidRPr="00A21B5C">
        <w:rPr>
          <w:rFonts w:ascii="Arial" w:hAnsi="Arial" w:cs="Arial"/>
          <w:sz w:val="22"/>
          <w:szCs w:val="22"/>
          <w:lang w:val="es-CO"/>
        </w:rPr>
        <w:t xml:space="preserve"> la Circular Externa 12 </w:t>
      </w:r>
      <w:r w:rsidR="0057117B" w:rsidRPr="00A21B5C">
        <w:rPr>
          <w:rFonts w:ascii="Arial" w:hAnsi="Arial" w:cs="Arial"/>
          <w:sz w:val="22"/>
          <w:szCs w:val="22"/>
          <w:lang w:val="es-CO"/>
        </w:rPr>
        <w:t>del</w:t>
      </w:r>
      <w:r w:rsidR="00037308" w:rsidRPr="00A21B5C">
        <w:rPr>
          <w:rFonts w:ascii="Arial" w:hAnsi="Arial" w:cs="Arial"/>
          <w:sz w:val="22"/>
          <w:szCs w:val="22"/>
          <w:lang w:val="es-CO"/>
        </w:rPr>
        <w:t xml:space="preserve"> 29 de octubre de 2012 emitida por la Dirección de Asuntos Indígenas, </w:t>
      </w:r>
      <w:r w:rsidR="0098726C" w:rsidRPr="00A21B5C">
        <w:rPr>
          <w:rFonts w:ascii="Arial" w:hAnsi="Arial" w:cs="Arial"/>
          <w:sz w:val="22"/>
          <w:szCs w:val="22"/>
          <w:lang w:val="es-CO"/>
        </w:rPr>
        <w:t xml:space="preserve">ROM </w:t>
      </w:r>
      <w:r w:rsidR="00037308" w:rsidRPr="00A21B5C">
        <w:rPr>
          <w:rFonts w:ascii="Arial" w:hAnsi="Arial" w:cs="Arial"/>
          <w:sz w:val="22"/>
          <w:szCs w:val="22"/>
          <w:lang w:val="es-CO"/>
        </w:rPr>
        <w:t>y Minorías del Ministerio del Interior</w:t>
      </w:r>
      <w:r w:rsidR="008C2E4A" w:rsidRPr="00A21B5C">
        <w:rPr>
          <w:rFonts w:ascii="Arial" w:hAnsi="Arial" w:cs="Arial"/>
          <w:sz w:val="22"/>
          <w:szCs w:val="22"/>
          <w:lang w:val="es-CO"/>
        </w:rPr>
        <w:t>, las cuales se resumen y describen a continuación:</w:t>
      </w:r>
    </w:p>
    <w:p w:rsidR="00613441" w:rsidRPr="00A21B5C" w:rsidRDefault="00613441" w:rsidP="00A21B5C">
      <w:pPr>
        <w:contextualSpacing/>
        <w:rPr>
          <w:rFonts w:ascii="Arial" w:hAnsi="Arial" w:cs="Arial"/>
          <w:b/>
          <w:sz w:val="22"/>
          <w:szCs w:val="22"/>
          <w:lang w:val="es-CO"/>
        </w:rPr>
      </w:pPr>
    </w:p>
    <w:p w:rsidR="008C2E4A" w:rsidRPr="00A21B5C" w:rsidRDefault="00175643" w:rsidP="00A21B5C">
      <w:pPr>
        <w:spacing w:after="160"/>
        <w:ind w:left="644"/>
        <w:contextualSpacing/>
        <w:jc w:val="center"/>
        <w:rPr>
          <w:rFonts w:ascii="Arial" w:hAnsi="Arial" w:cs="Arial"/>
          <w:sz w:val="22"/>
          <w:szCs w:val="22"/>
          <w:lang w:val="es-CO"/>
        </w:rPr>
      </w:pPr>
      <w:r w:rsidRPr="00A21B5C">
        <w:rPr>
          <w:rFonts w:ascii="Arial" w:hAnsi="Arial" w:cs="Arial"/>
          <w:b/>
          <w:sz w:val="22"/>
          <w:szCs w:val="22"/>
          <w:lang w:val="es-CO"/>
        </w:rPr>
        <w:t xml:space="preserve">Tabla N° </w:t>
      </w:r>
      <w:r w:rsidR="00DA1D8E" w:rsidRPr="00A21B5C">
        <w:rPr>
          <w:rFonts w:ascii="Arial" w:hAnsi="Arial" w:cs="Arial"/>
          <w:b/>
          <w:sz w:val="22"/>
          <w:szCs w:val="22"/>
          <w:lang w:val="es-CO"/>
        </w:rPr>
        <w:t>6</w:t>
      </w:r>
      <w:r w:rsidR="008C2E4A" w:rsidRPr="00A21B5C">
        <w:rPr>
          <w:rFonts w:ascii="Arial" w:hAnsi="Arial" w:cs="Arial"/>
          <w:sz w:val="22"/>
          <w:szCs w:val="22"/>
          <w:lang w:val="es-CO"/>
        </w:rPr>
        <w:t>: Relación de los Contratos de Administración de los recursos AESGPRI suscri</w:t>
      </w:r>
      <w:r w:rsidRPr="00A21B5C">
        <w:rPr>
          <w:rFonts w:ascii="Arial" w:hAnsi="Arial" w:cs="Arial"/>
          <w:sz w:val="22"/>
          <w:szCs w:val="22"/>
          <w:lang w:val="es-CO"/>
        </w:rPr>
        <w:t>tos por el Municipio de Dibulla – La Guajira</w:t>
      </w:r>
      <w:r w:rsidR="008C2E4A" w:rsidRPr="00A21B5C">
        <w:rPr>
          <w:rFonts w:ascii="Arial" w:hAnsi="Arial" w:cs="Arial"/>
          <w:sz w:val="22"/>
          <w:szCs w:val="22"/>
          <w:lang w:val="es-CO"/>
        </w:rPr>
        <w:t xml:space="preserve"> durante las vigencias 2016 a 201</w:t>
      </w:r>
      <w:r w:rsidR="00CE423F" w:rsidRPr="00A21B5C">
        <w:rPr>
          <w:rFonts w:ascii="Arial" w:hAnsi="Arial" w:cs="Arial"/>
          <w:sz w:val="22"/>
          <w:szCs w:val="22"/>
          <w:lang w:val="es-CO"/>
        </w:rPr>
        <w:t>9</w:t>
      </w:r>
      <w:r w:rsidR="008C2E4A" w:rsidRPr="00A21B5C">
        <w:rPr>
          <w:rFonts w:ascii="Arial" w:hAnsi="Arial" w:cs="Arial"/>
          <w:sz w:val="22"/>
          <w:szCs w:val="22"/>
          <w:lang w:val="es-CO"/>
        </w:rPr>
        <w:t>.</w:t>
      </w:r>
    </w:p>
    <w:tbl>
      <w:tblPr>
        <w:tblW w:w="9470" w:type="dxa"/>
        <w:jc w:val="center"/>
        <w:tblLayout w:type="fixed"/>
        <w:tblCellMar>
          <w:left w:w="70" w:type="dxa"/>
          <w:right w:w="70" w:type="dxa"/>
        </w:tblCellMar>
        <w:tblLook w:val="04A0" w:firstRow="1" w:lastRow="0" w:firstColumn="1" w:lastColumn="0" w:noHBand="0" w:noVBand="1"/>
      </w:tblPr>
      <w:tblGrid>
        <w:gridCol w:w="993"/>
        <w:gridCol w:w="3260"/>
        <w:gridCol w:w="1248"/>
        <w:gridCol w:w="3969"/>
      </w:tblGrid>
      <w:tr w:rsidR="008C2E4A" w:rsidRPr="00A21B5C" w:rsidTr="00A21B5C">
        <w:trPr>
          <w:trHeight w:val="251"/>
          <w:tblHeader/>
          <w:jc w:val="center"/>
        </w:trPr>
        <w:tc>
          <w:tcPr>
            <w:tcW w:w="993" w:type="dxa"/>
            <w:tcBorders>
              <w:top w:val="single" w:sz="4" w:space="0" w:color="auto"/>
              <w:left w:val="nil"/>
              <w:bottom w:val="dashSmallGap" w:sz="4" w:space="0" w:color="A6A6A6" w:themeColor="background1" w:themeShade="A6"/>
              <w:right w:val="nil"/>
            </w:tcBorders>
            <w:shd w:val="clear" w:color="auto" w:fill="215868" w:themeFill="accent5" w:themeFillShade="80"/>
            <w:vAlign w:val="center"/>
            <w:hideMark/>
          </w:tcPr>
          <w:p w:rsidR="008C2E4A" w:rsidRPr="00A21B5C" w:rsidRDefault="008C2E4A" w:rsidP="00A21B5C">
            <w:pPr>
              <w:contextualSpacing/>
              <w:jc w:val="center"/>
              <w:rPr>
                <w:rFonts w:ascii="Arial" w:eastAsia="Times New Roman" w:hAnsi="Arial" w:cs="Arial"/>
                <w:b/>
                <w:color w:val="FFFFFF" w:themeColor="background1"/>
                <w:sz w:val="18"/>
                <w:szCs w:val="18"/>
                <w:lang w:val="es-CO" w:eastAsia="es-CO"/>
              </w:rPr>
            </w:pPr>
            <w:r w:rsidRPr="00A21B5C">
              <w:rPr>
                <w:rFonts w:ascii="Arial" w:eastAsia="Times New Roman" w:hAnsi="Arial" w:cs="Arial"/>
                <w:b/>
                <w:color w:val="FFFFFF" w:themeColor="background1"/>
                <w:sz w:val="18"/>
                <w:szCs w:val="18"/>
                <w:lang w:val="es-CO" w:eastAsia="es-CO"/>
              </w:rPr>
              <w:t xml:space="preserve">FECHA </w:t>
            </w:r>
          </w:p>
        </w:tc>
        <w:tc>
          <w:tcPr>
            <w:tcW w:w="3260" w:type="dxa"/>
            <w:tcBorders>
              <w:top w:val="single" w:sz="4" w:space="0" w:color="auto"/>
              <w:left w:val="nil"/>
              <w:bottom w:val="dashSmallGap" w:sz="4" w:space="0" w:color="A6A6A6" w:themeColor="background1" w:themeShade="A6"/>
              <w:right w:val="nil"/>
            </w:tcBorders>
            <w:shd w:val="clear" w:color="auto" w:fill="215868" w:themeFill="accent5" w:themeFillShade="80"/>
            <w:vAlign w:val="center"/>
            <w:hideMark/>
          </w:tcPr>
          <w:p w:rsidR="008C2E4A" w:rsidRPr="00A21B5C" w:rsidRDefault="008C2E4A" w:rsidP="00A21B5C">
            <w:pPr>
              <w:contextualSpacing/>
              <w:jc w:val="center"/>
              <w:rPr>
                <w:rFonts w:ascii="Arial" w:eastAsia="Times New Roman" w:hAnsi="Arial" w:cs="Arial"/>
                <w:b/>
                <w:color w:val="FFFFFF" w:themeColor="background1"/>
                <w:sz w:val="18"/>
                <w:szCs w:val="18"/>
                <w:lang w:val="es-CO" w:eastAsia="es-CO"/>
              </w:rPr>
            </w:pPr>
            <w:r w:rsidRPr="00A21B5C">
              <w:rPr>
                <w:rFonts w:ascii="Arial" w:eastAsia="Times New Roman" w:hAnsi="Arial" w:cs="Arial"/>
                <w:b/>
                <w:color w:val="FFFFFF" w:themeColor="background1"/>
                <w:sz w:val="18"/>
                <w:szCs w:val="18"/>
                <w:lang w:val="es-CO" w:eastAsia="es-CO"/>
              </w:rPr>
              <w:t>OBJETO</w:t>
            </w:r>
          </w:p>
        </w:tc>
        <w:tc>
          <w:tcPr>
            <w:tcW w:w="1248" w:type="dxa"/>
            <w:tcBorders>
              <w:top w:val="single" w:sz="4" w:space="0" w:color="auto"/>
              <w:left w:val="nil"/>
              <w:bottom w:val="dashSmallGap" w:sz="4" w:space="0" w:color="A6A6A6" w:themeColor="background1" w:themeShade="A6"/>
              <w:right w:val="nil"/>
            </w:tcBorders>
            <w:shd w:val="clear" w:color="auto" w:fill="215868" w:themeFill="accent5" w:themeFillShade="80"/>
            <w:vAlign w:val="center"/>
            <w:hideMark/>
          </w:tcPr>
          <w:p w:rsidR="008C2E4A" w:rsidRPr="00A21B5C" w:rsidRDefault="008C2E4A" w:rsidP="00A21B5C">
            <w:pPr>
              <w:contextualSpacing/>
              <w:jc w:val="center"/>
              <w:rPr>
                <w:rFonts w:ascii="Arial" w:eastAsia="Times New Roman" w:hAnsi="Arial" w:cs="Arial"/>
                <w:b/>
                <w:color w:val="FFFFFF" w:themeColor="background1"/>
                <w:sz w:val="18"/>
                <w:szCs w:val="18"/>
                <w:lang w:val="es-CO" w:eastAsia="es-CO"/>
              </w:rPr>
            </w:pPr>
            <w:r w:rsidRPr="00A21B5C">
              <w:rPr>
                <w:rFonts w:ascii="Arial" w:eastAsia="Times New Roman" w:hAnsi="Arial" w:cs="Arial"/>
                <w:b/>
                <w:color w:val="FFFFFF" w:themeColor="background1"/>
                <w:sz w:val="18"/>
                <w:szCs w:val="18"/>
                <w:lang w:val="es-CO" w:eastAsia="es-CO"/>
              </w:rPr>
              <w:t>VALOR</w:t>
            </w:r>
          </w:p>
        </w:tc>
        <w:tc>
          <w:tcPr>
            <w:tcW w:w="3969" w:type="dxa"/>
            <w:tcBorders>
              <w:top w:val="single" w:sz="4" w:space="0" w:color="auto"/>
              <w:left w:val="nil"/>
              <w:bottom w:val="dashSmallGap" w:sz="4" w:space="0" w:color="A6A6A6" w:themeColor="background1" w:themeShade="A6"/>
              <w:right w:val="nil"/>
            </w:tcBorders>
            <w:shd w:val="clear" w:color="auto" w:fill="215868" w:themeFill="accent5" w:themeFillShade="80"/>
            <w:vAlign w:val="center"/>
            <w:hideMark/>
          </w:tcPr>
          <w:p w:rsidR="008C2E4A" w:rsidRPr="00A21B5C" w:rsidRDefault="008C2E4A" w:rsidP="00A21B5C">
            <w:pPr>
              <w:contextualSpacing/>
              <w:jc w:val="center"/>
              <w:rPr>
                <w:rFonts w:ascii="Arial" w:eastAsia="Times New Roman" w:hAnsi="Arial" w:cs="Arial"/>
                <w:b/>
                <w:color w:val="FFFFFF" w:themeColor="background1"/>
                <w:sz w:val="18"/>
                <w:szCs w:val="18"/>
                <w:lang w:val="es-CO" w:eastAsia="es-CO"/>
              </w:rPr>
            </w:pPr>
            <w:r w:rsidRPr="00A21B5C">
              <w:rPr>
                <w:rFonts w:ascii="Arial" w:eastAsia="Times New Roman" w:hAnsi="Arial" w:cs="Arial"/>
                <w:b/>
                <w:color w:val="FFFFFF" w:themeColor="background1"/>
                <w:sz w:val="18"/>
                <w:szCs w:val="18"/>
                <w:lang w:val="es-CO" w:eastAsia="es-CO"/>
              </w:rPr>
              <w:t>OBSERVACIONES</w:t>
            </w:r>
          </w:p>
        </w:tc>
      </w:tr>
      <w:tr w:rsidR="008C2E4A" w:rsidRPr="00A21B5C" w:rsidTr="00EB0973">
        <w:trPr>
          <w:trHeight w:val="1047"/>
          <w:jc w:val="center"/>
        </w:trPr>
        <w:tc>
          <w:tcPr>
            <w:tcW w:w="993" w:type="dxa"/>
            <w:tcBorders>
              <w:top w:val="dashSmallGap" w:sz="4" w:space="0" w:color="A6A6A6" w:themeColor="background1" w:themeShade="A6"/>
              <w:left w:val="nil"/>
              <w:bottom w:val="single" w:sz="4" w:space="0" w:color="000000" w:themeColor="text1"/>
              <w:right w:val="nil"/>
            </w:tcBorders>
            <w:vAlign w:val="center"/>
            <w:hideMark/>
          </w:tcPr>
          <w:p w:rsidR="008C2E4A" w:rsidRPr="00A21B5C" w:rsidRDefault="008C2E4A" w:rsidP="00A21B5C">
            <w:pPr>
              <w:contextualSpacing/>
              <w:jc w:val="right"/>
              <w:rPr>
                <w:rFonts w:ascii="Arial" w:eastAsia="Times New Roman" w:hAnsi="Arial" w:cs="Arial"/>
                <w:color w:val="000000"/>
                <w:sz w:val="18"/>
                <w:szCs w:val="18"/>
                <w:lang w:val="es-CO" w:eastAsia="es-CO"/>
              </w:rPr>
            </w:pPr>
            <w:r w:rsidRPr="00A21B5C">
              <w:rPr>
                <w:rFonts w:ascii="Arial" w:eastAsia="Calibri" w:hAnsi="Arial" w:cs="Arial"/>
                <w:sz w:val="18"/>
                <w:szCs w:val="18"/>
                <w:lang w:val="es-CO" w:eastAsia="en-US"/>
              </w:rPr>
              <w:t>11/04/2016</w:t>
            </w:r>
          </w:p>
        </w:tc>
        <w:tc>
          <w:tcPr>
            <w:tcW w:w="3260" w:type="dxa"/>
            <w:tcBorders>
              <w:top w:val="dashSmallGap" w:sz="4" w:space="0" w:color="A6A6A6" w:themeColor="background1" w:themeShade="A6"/>
              <w:left w:val="nil"/>
              <w:bottom w:val="single" w:sz="4" w:space="0" w:color="000000" w:themeColor="text1"/>
              <w:right w:val="nil"/>
            </w:tcBorders>
            <w:vAlign w:val="center"/>
            <w:hideMark/>
          </w:tcPr>
          <w:p w:rsidR="008C2E4A" w:rsidRPr="00A21B5C" w:rsidRDefault="0098726C" w:rsidP="00A21B5C">
            <w:pPr>
              <w:contextualSpacing/>
              <w:jc w:val="both"/>
              <w:rPr>
                <w:rFonts w:ascii="Arial" w:eastAsia="Times New Roman" w:hAnsi="Arial" w:cs="Arial"/>
                <w:color w:val="000000"/>
                <w:sz w:val="18"/>
                <w:szCs w:val="18"/>
                <w:lang w:val="es-CO" w:eastAsia="es-CO"/>
              </w:rPr>
            </w:pPr>
            <w:r w:rsidRPr="00A21B5C">
              <w:rPr>
                <w:rFonts w:ascii="Arial" w:eastAsia="Calibri" w:hAnsi="Arial" w:cs="Arial"/>
                <w:sz w:val="18"/>
                <w:szCs w:val="18"/>
                <w:lang w:val="es-CO" w:eastAsia="en-US"/>
              </w:rPr>
              <w:t xml:space="preserve">Convenio </w:t>
            </w:r>
            <w:r w:rsidR="008C2E4A" w:rsidRPr="00A21B5C">
              <w:rPr>
                <w:rFonts w:ascii="Arial" w:eastAsia="Calibri" w:hAnsi="Arial" w:cs="Arial"/>
                <w:sz w:val="18"/>
                <w:szCs w:val="18"/>
                <w:lang w:val="es-CO" w:eastAsia="en-US"/>
              </w:rPr>
              <w:t xml:space="preserve">N° 001 para la </w:t>
            </w:r>
            <w:r w:rsidR="00155230" w:rsidRPr="00A21B5C">
              <w:rPr>
                <w:rFonts w:ascii="Arial" w:eastAsia="Calibri" w:hAnsi="Arial" w:cs="Arial"/>
                <w:sz w:val="18"/>
                <w:szCs w:val="18"/>
                <w:lang w:val="es-CO" w:eastAsia="en-US"/>
              </w:rPr>
              <w:t>a</w:t>
            </w:r>
            <w:r w:rsidR="008C2E4A" w:rsidRPr="00A21B5C">
              <w:rPr>
                <w:rFonts w:ascii="Arial" w:eastAsia="Calibri" w:hAnsi="Arial" w:cs="Arial"/>
                <w:sz w:val="18"/>
                <w:szCs w:val="18"/>
                <w:lang w:val="es-CO" w:eastAsia="en-US"/>
              </w:rPr>
              <w:t xml:space="preserve">dministración de los </w:t>
            </w:r>
            <w:r w:rsidR="00155230" w:rsidRPr="00A21B5C">
              <w:rPr>
                <w:rFonts w:ascii="Arial" w:eastAsia="Calibri" w:hAnsi="Arial" w:cs="Arial"/>
                <w:sz w:val="18"/>
                <w:szCs w:val="18"/>
                <w:lang w:val="es-CO" w:eastAsia="en-US"/>
              </w:rPr>
              <w:t>r</w:t>
            </w:r>
            <w:r w:rsidR="008C2E4A" w:rsidRPr="00A21B5C">
              <w:rPr>
                <w:rFonts w:ascii="Arial" w:eastAsia="Calibri" w:hAnsi="Arial" w:cs="Arial"/>
                <w:sz w:val="18"/>
                <w:szCs w:val="18"/>
                <w:lang w:val="es-CO" w:eastAsia="en-US"/>
              </w:rPr>
              <w:t xml:space="preserve">ecursos de la Asignación Especial del Sistema General de Participaciones para los Resguardos Indígenas celebrado entre el Municipio de Dibulla y </w:t>
            </w:r>
            <w:r w:rsidR="0076691C" w:rsidRPr="00A21B5C">
              <w:rPr>
                <w:rFonts w:ascii="Arial" w:eastAsia="Calibri" w:hAnsi="Arial" w:cs="Arial"/>
                <w:sz w:val="18"/>
                <w:szCs w:val="18"/>
                <w:lang w:val="es-CO" w:eastAsia="en-US"/>
              </w:rPr>
              <w:t xml:space="preserve">el </w:t>
            </w:r>
            <w:r w:rsidR="008C2E4A" w:rsidRPr="00A21B5C">
              <w:rPr>
                <w:rFonts w:ascii="Arial" w:eastAsia="Calibri" w:hAnsi="Arial" w:cs="Arial"/>
                <w:sz w:val="18"/>
                <w:szCs w:val="18"/>
                <w:lang w:val="es-CO" w:eastAsia="en-US"/>
              </w:rPr>
              <w:t>Resguardo Indígena del Resguardo Kogui</w:t>
            </w:r>
            <w:r w:rsidR="00484518" w:rsidRPr="00A21B5C">
              <w:rPr>
                <w:rFonts w:ascii="Arial" w:eastAsia="Calibri" w:hAnsi="Arial" w:cs="Arial"/>
                <w:sz w:val="18"/>
                <w:szCs w:val="18"/>
                <w:lang w:val="es-CO" w:eastAsia="en-US"/>
              </w:rPr>
              <w:t xml:space="preserve"> –</w:t>
            </w:r>
            <w:r w:rsidR="008C2E4A" w:rsidRPr="00A21B5C">
              <w:rPr>
                <w:rFonts w:ascii="Arial" w:eastAsia="Calibri" w:hAnsi="Arial" w:cs="Arial"/>
                <w:sz w:val="18"/>
                <w:szCs w:val="18"/>
                <w:lang w:val="es-CO" w:eastAsia="en-US"/>
              </w:rPr>
              <w:t xml:space="preserve"> Malayo</w:t>
            </w:r>
            <w:r w:rsidR="00484518" w:rsidRPr="00A21B5C">
              <w:rPr>
                <w:rFonts w:ascii="Arial" w:eastAsia="Calibri" w:hAnsi="Arial" w:cs="Arial"/>
                <w:sz w:val="18"/>
                <w:szCs w:val="18"/>
                <w:lang w:val="es-CO" w:eastAsia="en-US"/>
              </w:rPr>
              <w:t xml:space="preserve"> </w:t>
            </w:r>
            <w:r w:rsidR="00155230" w:rsidRPr="00A21B5C">
              <w:rPr>
                <w:rFonts w:ascii="Arial" w:eastAsia="Calibri" w:hAnsi="Arial" w:cs="Arial"/>
                <w:sz w:val="18"/>
                <w:szCs w:val="18"/>
                <w:lang w:val="es-CO" w:eastAsia="en-US"/>
              </w:rPr>
              <w:t>-</w:t>
            </w:r>
            <w:r w:rsidR="008C2E4A" w:rsidRPr="00A21B5C">
              <w:rPr>
                <w:rFonts w:ascii="Arial" w:eastAsia="Calibri" w:hAnsi="Arial" w:cs="Arial"/>
                <w:sz w:val="18"/>
                <w:szCs w:val="18"/>
                <w:lang w:val="es-CO" w:eastAsia="en-US"/>
              </w:rPr>
              <w:t xml:space="preserve"> Arhuaco. </w:t>
            </w:r>
            <w:r w:rsidR="008C2E4A" w:rsidRPr="00A21B5C">
              <w:rPr>
                <w:rFonts w:ascii="Arial" w:eastAsia="Calibri" w:hAnsi="Arial" w:cs="Arial"/>
                <w:bCs/>
                <w:sz w:val="18"/>
                <w:szCs w:val="18"/>
                <w:lang w:val="es-CO" w:eastAsia="en-US"/>
              </w:rPr>
              <w:t>(2016)</w:t>
            </w:r>
          </w:p>
        </w:tc>
        <w:tc>
          <w:tcPr>
            <w:tcW w:w="1248" w:type="dxa"/>
            <w:tcBorders>
              <w:top w:val="dashSmallGap" w:sz="4" w:space="0" w:color="A6A6A6" w:themeColor="background1" w:themeShade="A6"/>
              <w:left w:val="nil"/>
              <w:bottom w:val="single" w:sz="4" w:space="0" w:color="000000" w:themeColor="text1"/>
              <w:right w:val="nil"/>
            </w:tcBorders>
            <w:vAlign w:val="center"/>
            <w:hideMark/>
          </w:tcPr>
          <w:p w:rsidR="008C2E4A" w:rsidRPr="00A21B5C" w:rsidRDefault="008C2E4A" w:rsidP="00A21B5C">
            <w:pPr>
              <w:contextualSpacing/>
              <w:jc w:val="right"/>
              <w:rPr>
                <w:rFonts w:ascii="Arial" w:eastAsia="Times New Roman" w:hAnsi="Arial" w:cs="Arial"/>
                <w:color w:val="000000"/>
                <w:sz w:val="18"/>
                <w:szCs w:val="18"/>
                <w:lang w:val="es-CO" w:eastAsia="es-CO"/>
              </w:rPr>
            </w:pPr>
            <w:r w:rsidRPr="00A21B5C">
              <w:rPr>
                <w:rFonts w:ascii="Arial" w:eastAsia="Calibri" w:hAnsi="Arial" w:cs="Arial"/>
                <w:sz w:val="18"/>
                <w:szCs w:val="18"/>
                <w:lang w:val="es-CO" w:eastAsia="en-US"/>
              </w:rPr>
              <w:t>$4.623.217.302</w:t>
            </w:r>
          </w:p>
        </w:tc>
        <w:tc>
          <w:tcPr>
            <w:tcW w:w="3969" w:type="dxa"/>
            <w:tcBorders>
              <w:top w:val="dashSmallGap" w:sz="4" w:space="0" w:color="A6A6A6" w:themeColor="background1" w:themeShade="A6"/>
              <w:left w:val="nil"/>
              <w:bottom w:val="single" w:sz="4" w:space="0" w:color="000000" w:themeColor="text1"/>
              <w:right w:val="nil"/>
            </w:tcBorders>
            <w:vAlign w:val="center"/>
          </w:tcPr>
          <w:p w:rsidR="008C2E4A" w:rsidRPr="00A21B5C" w:rsidRDefault="008C2E4A" w:rsidP="00A21B5C">
            <w:pPr>
              <w:pStyle w:val="Prrafodelista"/>
              <w:numPr>
                <w:ilvl w:val="0"/>
                <w:numId w:val="30"/>
              </w:numPr>
              <w:ind w:left="384" w:hanging="284"/>
              <w:jc w:val="both"/>
              <w:rPr>
                <w:rFonts w:ascii="Arial" w:eastAsia="Times New Roman" w:hAnsi="Arial" w:cs="Arial"/>
                <w:color w:val="000000"/>
                <w:sz w:val="18"/>
                <w:szCs w:val="18"/>
                <w:lang w:val="es-CO" w:eastAsia="es-CO"/>
              </w:rPr>
            </w:pPr>
            <w:r w:rsidRPr="00A21B5C">
              <w:rPr>
                <w:rFonts w:ascii="Arial" w:eastAsia="Times New Roman" w:hAnsi="Arial" w:cs="Arial"/>
                <w:color w:val="000000"/>
                <w:sz w:val="18"/>
                <w:szCs w:val="18"/>
                <w:lang w:val="es-CO" w:eastAsia="es-CO"/>
              </w:rPr>
              <w:t>Suscrito después del 31 de diciembre del año anterior.</w:t>
            </w:r>
          </w:p>
          <w:p w:rsidR="008C2E4A" w:rsidRPr="00A21B5C" w:rsidRDefault="008C2E4A" w:rsidP="00A21B5C">
            <w:pPr>
              <w:contextualSpacing/>
              <w:jc w:val="both"/>
              <w:rPr>
                <w:rFonts w:ascii="Arial" w:eastAsia="Times New Roman" w:hAnsi="Arial" w:cs="Arial"/>
                <w:color w:val="000000"/>
                <w:sz w:val="18"/>
                <w:szCs w:val="18"/>
                <w:lang w:val="es-CO" w:eastAsia="es-CO"/>
              </w:rPr>
            </w:pPr>
          </w:p>
        </w:tc>
      </w:tr>
      <w:tr w:rsidR="008C2E4A" w:rsidRPr="00A21B5C" w:rsidTr="00EB0973">
        <w:trPr>
          <w:trHeight w:val="1047"/>
          <w:jc w:val="center"/>
        </w:trPr>
        <w:tc>
          <w:tcPr>
            <w:tcW w:w="993" w:type="dxa"/>
            <w:tcBorders>
              <w:top w:val="single" w:sz="4" w:space="0" w:color="000000" w:themeColor="text1"/>
              <w:left w:val="nil"/>
              <w:bottom w:val="dashSmallGap" w:sz="4" w:space="0" w:color="A6A6A6" w:themeColor="background1" w:themeShade="A6"/>
              <w:right w:val="nil"/>
            </w:tcBorders>
            <w:vAlign w:val="center"/>
            <w:hideMark/>
          </w:tcPr>
          <w:p w:rsidR="008C2E4A" w:rsidRPr="00A21B5C" w:rsidRDefault="008C2E4A" w:rsidP="00A21B5C">
            <w:pPr>
              <w:contextualSpacing/>
              <w:jc w:val="right"/>
              <w:rPr>
                <w:rFonts w:ascii="Arial" w:eastAsia="Times New Roman" w:hAnsi="Arial" w:cs="Arial"/>
                <w:color w:val="000000"/>
                <w:sz w:val="18"/>
                <w:szCs w:val="18"/>
                <w:lang w:val="es-CO" w:eastAsia="es-CO"/>
              </w:rPr>
            </w:pPr>
            <w:r w:rsidRPr="00A21B5C">
              <w:rPr>
                <w:rFonts w:ascii="Arial" w:eastAsia="Times New Roman" w:hAnsi="Arial" w:cs="Arial"/>
                <w:color w:val="000000"/>
                <w:sz w:val="18"/>
                <w:szCs w:val="18"/>
                <w:lang w:val="es-CO" w:eastAsia="es-CO"/>
              </w:rPr>
              <w:t>26/01/2017</w:t>
            </w:r>
          </w:p>
        </w:tc>
        <w:tc>
          <w:tcPr>
            <w:tcW w:w="3260" w:type="dxa"/>
            <w:tcBorders>
              <w:top w:val="single" w:sz="4" w:space="0" w:color="000000" w:themeColor="text1"/>
              <w:left w:val="nil"/>
              <w:bottom w:val="dashSmallGap" w:sz="4" w:space="0" w:color="A6A6A6" w:themeColor="background1" w:themeShade="A6"/>
              <w:right w:val="nil"/>
            </w:tcBorders>
            <w:vAlign w:val="center"/>
            <w:hideMark/>
          </w:tcPr>
          <w:p w:rsidR="008C2E4A" w:rsidRPr="00A21B5C" w:rsidRDefault="0098726C" w:rsidP="00A21B5C">
            <w:pPr>
              <w:contextualSpacing/>
              <w:jc w:val="both"/>
              <w:rPr>
                <w:rFonts w:ascii="Arial" w:eastAsia="Times New Roman" w:hAnsi="Arial" w:cs="Arial"/>
                <w:color w:val="000000"/>
                <w:sz w:val="18"/>
                <w:szCs w:val="18"/>
                <w:lang w:val="es-CO" w:eastAsia="es-CO"/>
              </w:rPr>
            </w:pPr>
            <w:r w:rsidRPr="00A21B5C">
              <w:rPr>
                <w:rFonts w:ascii="Arial" w:eastAsia="Times New Roman" w:hAnsi="Arial" w:cs="Arial"/>
                <w:color w:val="000000"/>
                <w:sz w:val="18"/>
                <w:szCs w:val="18"/>
                <w:lang w:val="es-CO" w:eastAsia="es-CO"/>
              </w:rPr>
              <w:t xml:space="preserve">Convenio </w:t>
            </w:r>
            <w:r w:rsidR="008C2E4A" w:rsidRPr="00A21B5C">
              <w:rPr>
                <w:rFonts w:ascii="Arial" w:eastAsia="Times New Roman" w:hAnsi="Arial" w:cs="Arial"/>
                <w:color w:val="000000"/>
                <w:sz w:val="18"/>
                <w:szCs w:val="18"/>
                <w:lang w:val="es-CO" w:eastAsia="es-CO"/>
              </w:rPr>
              <w:t xml:space="preserve">N° 001 para la administración de los recursos de la </w:t>
            </w:r>
            <w:r w:rsidR="00155230" w:rsidRPr="00A21B5C">
              <w:rPr>
                <w:rFonts w:ascii="Arial" w:eastAsia="Times New Roman" w:hAnsi="Arial" w:cs="Arial"/>
                <w:color w:val="000000"/>
                <w:sz w:val="18"/>
                <w:szCs w:val="18"/>
                <w:lang w:val="es-CO" w:eastAsia="es-CO"/>
              </w:rPr>
              <w:t>A</w:t>
            </w:r>
            <w:r w:rsidR="008C2E4A" w:rsidRPr="00A21B5C">
              <w:rPr>
                <w:rFonts w:ascii="Arial" w:eastAsia="Times New Roman" w:hAnsi="Arial" w:cs="Arial"/>
                <w:color w:val="000000"/>
                <w:sz w:val="18"/>
                <w:szCs w:val="18"/>
                <w:lang w:val="es-CO" w:eastAsia="es-CO"/>
              </w:rPr>
              <w:t xml:space="preserve">signación </w:t>
            </w:r>
            <w:r w:rsidR="00155230" w:rsidRPr="00A21B5C">
              <w:rPr>
                <w:rFonts w:ascii="Arial" w:eastAsia="Times New Roman" w:hAnsi="Arial" w:cs="Arial"/>
                <w:color w:val="000000"/>
                <w:sz w:val="18"/>
                <w:szCs w:val="18"/>
                <w:lang w:val="es-CO" w:eastAsia="es-CO"/>
              </w:rPr>
              <w:t>E</w:t>
            </w:r>
            <w:r w:rsidR="008C2E4A" w:rsidRPr="00A21B5C">
              <w:rPr>
                <w:rFonts w:ascii="Arial" w:eastAsia="Times New Roman" w:hAnsi="Arial" w:cs="Arial"/>
                <w:color w:val="000000"/>
                <w:sz w:val="18"/>
                <w:szCs w:val="18"/>
                <w:lang w:val="es-CO" w:eastAsia="es-CO"/>
              </w:rPr>
              <w:t>special del Sistema General de Participaciones para los Resguardos Indígenas celebrado entre el Municipio de Dibulla y el Resguardo Indígena Kogui – Malayo – Arhuaco.</w:t>
            </w:r>
            <w:r w:rsidR="004C7207" w:rsidRPr="00A21B5C">
              <w:rPr>
                <w:rFonts w:ascii="Arial" w:eastAsia="Times New Roman" w:hAnsi="Arial" w:cs="Arial"/>
                <w:color w:val="000000"/>
                <w:sz w:val="18"/>
                <w:szCs w:val="18"/>
                <w:lang w:val="es-CO" w:eastAsia="es-CO"/>
              </w:rPr>
              <w:t xml:space="preserve"> (2017)</w:t>
            </w:r>
          </w:p>
        </w:tc>
        <w:tc>
          <w:tcPr>
            <w:tcW w:w="1248" w:type="dxa"/>
            <w:tcBorders>
              <w:top w:val="single" w:sz="4" w:space="0" w:color="000000" w:themeColor="text1"/>
              <w:left w:val="nil"/>
              <w:bottom w:val="dashSmallGap" w:sz="4" w:space="0" w:color="A6A6A6" w:themeColor="background1" w:themeShade="A6"/>
              <w:right w:val="nil"/>
            </w:tcBorders>
            <w:vAlign w:val="center"/>
            <w:hideMark/>
          </w:tcPr>
          <w:p w:rsidR="008C2E4A" w:rsidRPr="00A21B5C" w:rsidRDefault="008C2E4A" w:rsidP="00A21B5C">
            <w:pPr>
              <w:contextualSpacing/>
              <w:jc w:val="right"/>
              <w:rPr>
                <w:rFonts w:ascii="Arial" w:eastAsia="Times New Roman" w:hAnsi="Arial" w:cs="Arial"/>
                <w:color w:val="000000"/>
                <w:sz w:val="18"/>
                <w:szCs w:val="18"/>
                <w:lang w:val="es-CO" w:eastAsia="es-CO"/>
              </w:rPr>
            </w:pPr>
            <w:r w:rsidRPr="00A21B5C">
              <w:rPr>
                <w:rFonts w:ascii="Arial" w:eastAsia="Times New Roman" w:hAnsi="Arial" w:cs="Arial"/>
                <w:color w:val="000000"/>
                <w:sz w:val="18"/>
                <w:szCs w:val="18"/>
                <w:lang w:val="es-CO" w:eastAsia="es-CO"/>
              </w:rPr>
              <w:t>$4.106.854.744</w:t>
            </w:r>
          </w:p>
        </w:tc>
        <w:tc>
          <w:tcPr>
            <w:tcW w:w="3969" w:type="dxa"/>
            <w:tcBorders>
              <w:top w:val="single" w:sz="4" w:space="0" w:color="000000" w:themeColor="text1"/>
              <w:left w:val="nil"/>
              <w:bottom w:val="dashSmallGap" w:sz="4" w:space="0" w:color="A6A6A6" w:themeColor="background1" w:themeShade="A6"/>
              <w:right w:val="nil"/>
            </w:tcBorders>
            <w:vAlign w:val="center"/>
            <w:hideMark/>
          </w:tcPr>
          <w:p w:rsidR="008C2E4A" w:rsidRPr="00A21B5C" w:rsidRDefault="008C2E4A" w:rsidP="00A21B5C">
            <w:pPr>
              <w:pStyle w:val="Prrafodelista"/>
              <w:numPr>
                <w:ilvl w:val="0"/>
                <w:numId w:val="30"/>
              </w:numPr>
              <w:ind w:left="384" w:hanging="284"/>
              <w:jc w:val="both"/>
              <w:rPr>
                <w:rFonts w:ascii="Arial" w:eastAsia="Times New Roman" w:hAnsi="Arial" w:cs="Arial"/>
                <w:color w:val="000000"/>
                <w:sz w:val="18"/>
                <w:szCs w:val="18"/>
                <w:lang w:val="es-CO" w:eastAsia="es-CO"/>
              </w:rPr>
            </w:pPr>
            <w:r w:rsidRPr="00A21B5C">
              <w:rPr>
                <w:rFonts w:ascii="Arial" w:eastAsia="Times New Roman" w:hAnsi="Arial" w:cs="Arial"/>
                <w:color w:val="000000"/>
                <w:sz w:val="18"/>
                <w:szCs w:val="18"/>
                <w:lang w:val="es-CO" w:eastAsia="es-CO"/>
              </w:rPr>
              <w:t>Suscrito después del 31 de diciembre del año anterior.</w:t>
            </w:r>
          </w:p>
        </w:tc>
      </w:tr>
      <w:tr w:rsidR="008C2E4A" w:rsidRPr="00A21B5C" w:rsidTr="00EB0973">
        <w:trPr>
          <w:trHeight w:val="251"/>
          <w:jc w:val="center"/>
        </w:trPr>
        <w:tc>
          <w:tcPr>
            <w:tcW w:w="993" w:type="dxa"/>
            <w:tcBorders>
              <w:top w:val="dashSmallGap" w:sz="4" w:space="0" w:color="A6A6A6" w:themeColor="background1" w:themeShade="A6"/>
              <w:left w:val="nil"/>
              <w:bottom w:val="dashSmallGap" w:sz="4" w:space="0" w:color="A6A6A6" w:themeColor="background1" w:themeShade="A6"/>
              <w:right w:val="nil"/>
            </w:tcBorders>
            <w:vAlign w:val="center"/>
          </w:tcPr>
          <w:p w:rsidR="008C2E4A" w:rsidRPr="00A21B5C" w:rsidRDefault="00DE53F5" w:rsidP="00A21B5C">
            <w:pPr>
              <w:contextualSpacing/>
              <w:jc w:val="center"/>
              <w:rPr>
                <w:rFonts w:ascii="Arial" w:eastAsia="Times New Roman" w:hAnsi="Arial" w:cs="Arial"/>
                <w:color w:val="000000"/>
                <w:sz w:val="18"/>
                <w:szCs w:val="18"/>
                <w:lang w:val="es-CO" w:eastAsia="es-CO"/>
              </w:rPr>
            </w:pPr>
            <w:r w:rsidRPr="00A21B5C">
              <w:rPr>
                <w:rFonts w:ascii="Arial" w:eastAsia="Times New Roman" w:hAnsi="Arial" w:cs="Arial"/>
                <w:color w:val="000000"/>
                <w:sz w:val="18"/>
                <w:szCs w:val="18"/>
                <w:lang w:val="es-CO" w:eastAsia="es-CO"/>
              </w:rPr>
              <w:lastRenderedPageBreak/>
              <w:t>---</w:t>
            </w:r>
          </w:p>
        </w:tc>
        <w:tc>
          <w:tcPr>
            <w:tcW w:w="3260" w:type="dxa"/>
            <w:tcBorders>
              <w:top w:val="dashSmallGap" w:sz="4" w:space="0" w:color="A6A6A6" w:themeColor="background1" w:themeShade="A6"/>
              <w:left w:val="nil"/>
              <w:bottom w:val="dashSmallGap" w:sz="4" w:space="0" w:color="A6A6A6" w:themeColor="background1" w:themeShade="A6"/>
              <w:right w:val="nil"/>
            </w:tcBorders>
            <w:vAlign w:val="center"/>
            <w:hideMark/>
          </w:tcPr>
          <w:p w:rsidR="008C2E4A" w:rsidRPr="00A21B5C" w:rsidRDefault="0098726C" w:rsidP="00A21B5C">
            <w:pPr>
              <w:contextualSpacing/>
              <w:jc w:val="both"/>
              <w:rPr>
                <w:rFonts w:ascii="Arial" w:eastAsia="Times New Roman" w:hAnsi="Arial" w:cs="Arial"/>
                <w:color w:val="000000"/>
                <w:sz w:val="18"/>
                <w:szCs w:val="18"/>
                <w:lang w:val="es-CO" w:eastAsia="es-CO"/>
              </w:rPr>
            </w:pPr>
            <w:r w:rsidRPr="00A21B5C">
              <w:rPr>
                <w:rFonts w:ascii="Arial" w:eastAsia="Times New Roman" w:hAnsi="Arial" w:cs="Arial"/>
                <w:color w:val="000000"/>
                <w:sz w:val="18"/>
                <w:szCs w:val="18"/>
                <w:lang w:val="es-CO" w:eastAsia="es-CO"/>
              </w:rPr>
              <w:t>Otrosí</w:t>
            </w:r>
            <w:r w:rsidR="008C2E4A" w:rsidRPr="00A21B5C">
              <w:rPr>
                <w:rFonts w:ascii="Arial" w:eastAsia="Times New Roman" w:hAnsi="Arial" w:cs="Arial"/>
                <w:color w:val="000000"/>
                <w:sz w:val="18"/>
                <w:szCs w:val="18"/>
                <w:lang w:val="es-CO" w:eastAsia="es-CO"/>
              </w:rPr>
              <w:t xml:space="preserve"> N° 1</w:t>
            </w:r>
          </w:p>
        </w:tc>
        <w:tc>
          <w:tcPr>
            <w:tcW w:w="1248" w:type="dxa"/>
            <w:tcBorders>
              <w:top w:val="dashSmallGap" w:sz="4" w:space="0" w:color="A6A6A6" w:themeColor="background1" w:themeShade="A6"/>
              <w:left w:val="nil"/>
              <w:bottom w:val="dashSmallGap" w:sz="4" w:space="0" w:color="A6A6A6" w:themeColor="background1" w:themeShade="A6"/>
              <w:right w:val="nil"/>
            </w:tcBorders>
            <w:vAlign w:val="center"/>
            <w:hideMark/>
          </w:tcPr>
          <w:p w:rsidR="008C2E4A" w:rsidRPr="00A21B5C" w:rsidRDefault="008C2E4A" w:rsidP="00A21B5C">
            <w:pPr>
              <w:contextualSpacing/>
              <w:jc w:val="right"/>
              <w:rPr>
                <w:rFonts w:ascii="Arial" w:eastAsia="Times New Roman" w:hAnsi="Arial" w:cs="Arial"/>
                <w:color w:val="000000"/>
                <w:sz w:val="18"/>
                <w:szCs w:val="18"/>
                <w:lang w:val="es-CO" w:eastAsia="es-CO"/>
              </w:rPr>
            </w:pPr>
            <w:r w:rsidRPr="00A21B5C">
              <w:rPr>
                <w:rFonts w:ascii="Arial" w:eastAsia="Times New Roman" w:hAnsi="Arial" w:cs="Arial"/>
                <w:color w:val="000000"/>
                <w:sz w:val="18"/>
                <w:szCs w:val="18"/>
                <w:lang w:val="es-CO" w:eastAsia="es-CO"/>
              </w:rPr>
              <w:t>$4.106.854.744</w:t>
            </w:r>
          </w:p>
        </w:tc>
        <w:tc>
          <w:tcPr>
            <w:tcW w:w="3969" w:type="dxa"/>
            <w:tcBorders>
              <w:top w:val="dashSmallGap" w:sz="4" w:space="0" w:color="A6A6A6" w:themeColor="background1" w:themeShade="A6"/>
              <w:left w:val="nil"/>
              <w:bottom w:val="dashSmallGap" w:sz="4" w:space="0" w:color="A6A6A6" w:themeColor="background1" w:themeShade="A6"/>
              <w:right w:val="nil"/>
            </w:tcBorders>
            <w:vAlign w:val="center"/>
            <w:hideMark/>
          </w:tcPr>
          <w:p w:rsidR="008C2E4A" w:rsidRPr="00A21B5C" w:rsidRDefault="008C2E4A" w:rsidP="00A21B5C">
            <w:pPr>
              <w:pStyle w:val="Prrafodelista"/>
              <w:numPr>
                <w:ilvl w:val="0"/>
                <w:numId w:val="7"/>
              </w:numPr>
              <w:ind w:left="388" w:hanging="284"/>
              <w:jc w:val="both"/>
              <w:rPr>
                <w:rFonts w:ascii="Arial" w:eastAsia="Times New Roman" w:hAnsi="Arial" w:cs="Arial"/>
                <w:color w:val="000000"/>
                <w:sz w:val="18"/>
                <w:szCs w:val="18"/>
                <w:lang w:val="es-CO" w:eastAsia="es-CO"/>
              </w:rPr>
            </w:pPr>
            <w:r w:rsidRPr="00A21B5C">
              <w:rPr>
                <w:rFonts w:ascii="Arial" w:eastAsia="Times New Roman" w:hAnsi="Arial" w:cs="Arial"/>
                <w:color w:val="000000"/>
                <w:sz w:val="18"/>
                <w:szCs w:val="18"/>
                <w:lang w:val="es-CO" w:eastAsia="es-CO"/>
              </w:rPr>
              <w:t>Se modificó el nombre de dos de los proyectos formulados.</w:t>
            </w:r>
          </w:p>
          <w:p w:rsidR="008C2E4A" w:rsidRPr="00A21B5C" w:rsidRDefault="008C2E4A" w:rsidP="00A21B5C">
            <w:pPr>
              <w:pStyle w:val="Prrafodelista"/>
              <w:numPr>
                <w:ilvl w:val="0"/>
                <w:numId w:val="7"/>
              </w:numPr>
              <w:ind w:left="388" w:hanging="284"/>
              <w:jc w:val="both"/>
              <w:rPr>
                <w:rFonts w:ascii="Arial" w:eastAsia="Times New Roman" w:hAnsi="Arial" w:cs="Arial"/>
                <w:color w:val="000000"/>
                <w:sz w:val="18"/>
                <w:szCs w:val="18"/>
                <w:lang w:val="es-CO" w:eastAsia="es-CO"/>
              </w:rPr>
            </w:pPr>
            <w:r w:rsidRPr="00A21B5C">
              <w:rPr>
                <w:rFonts w:ascii="Arial" w:eastAsia="Times New Roman" w:hAnsi="Arial" w:cs="Arial"/>
                <w:color w:val="000000"/>
                <w:sz w:val="18"/>
                <w:szCs w:val="18"/>
                <w:lang w:val="es-CO" w:eastAsia="es-CO"/>
              </w:rPr>
              <w:t>No se especificó la fecha del modificatorio.</w:t>
            </w:r>
          </w:p>
        </w:tc>
      </w:tr>
      <w:tr w:rsidR="008C2E4A" w:rsidRPr="00A21B5C" w:rsidTr="00EB0973">
        <w:trPr>
          <w:trHeight w:val="251"/>
          <w:jc w:val="center"/>
        </w:trPr>
        <w:tc>
          <w:tcPr>
            <w:tcW w:w="993" w:type="dxa"/>
            <w:tcBorders>
              <w:top w:val="dashSmallGap" w:sz="4" w:space="0" w:color="A6A6A6" w:themeColor="background1" w:themeShade="A6"/>
              <w:left w:val="nil"/>
              <w:bottom w:val="single" w:sz="4" w:space="0" w:color="000000" w:themeColor="text1"/>
              <w:right w:val="nil"/>
            </w:tcBorders>
            <w:vAlign w:val="center"/>
            <w:hideMark/>
          </w:tcPr>
          <w:p w:rsidR="008C2E4A" w:rsidRPr="00A21B5C" w:rsidRDefault="008C2E4A" w:rsidP="00A21B5C">
            <w:pPr>
              <w:contextualSpacing/>
              <w:jc w:val="right"/>
              <w:rPr>
                <w:rFonts w:ascii="Arial" w:eastAsia="Times New Roman" w:hAnsi="Arial" w:cs="Arial"/>
                <w:color w:val="000000"/>
                <w:sz w:val="18"/>
                <w:szCs w:val="18"/>
                <w:lang w:val="es-CO" w:eastAsia="es-CO"/>
              </w:rPr>
            </w:pPr>
            <w:r w:rsidRPr="00A21B5C">
              <w:rPr>
                <w:rFonts w:ascii="Arial" w:eastAsia="Times New Roman" w:hAnsi="Arial" w:cs="Arial"/>
                <w:color w:val="000000"/>
                <w:sz w:val="18"/>
                <w:szCs w:val="18"/>
                <w:lang w:val="es-CO" w:eastAsia="es-CO"/>
              </w:rPr>
              <w:t>18/09/2017</w:t>
            </w:r>
          </w:p>
        </w:tc>
        <w:tc>
          <w:tcPr>
            <w:tcW w:w="3260" w:type="dxa"/>
            <w:tcBorders>
              <w:top w:val="dashSmallGap" w:sz="4" w:space="0" w:color="A6A6A6" w:themeColor="background1" w:themeShade="A6"/>
              <w:left w:val="nil"/>
              <w:bottom w:val="single" w:sz="4" w:space="0" w:color="000000" w:themeColor="text1"/>
              <w:right w:val="nil"/>
            </w:tcBorders>
            <w:vAlign w:val="center"/>
            <w:hideMark/>
          </w:tcPr>
          <w:p w:rsidR="008C2E4A" w:rsidRPr="00A21B5C" w:rsidRDefault="0098726C" w:rsidP="00A21B5C">
            <w:pPr>
              <w:contextualSpacing/>
              <w:jc w:val="both"/>
              <w:rPr>
                <w:rFonts w:ascii="Arial" w:eastAsia="Times New Roman" w:hAnsi="Arial" w:cs="Arial"/>
                <w:color w:val="000000"/>
                <w:sz w:val="18"/>
                <w:szCs w:val="18"/>
                <w:lang w:val="es-CO" w:eastAsia="es-CO"/>
              </w:rPr>
            </w:pPr>
            <w:r w:rsidRPr="00A21B5C">
              <w:rPr>
                <w:rFonts w:ascii="Arial" w:eastAsia="Times New Roman" w:hAnsi="Arial" w:cs="Arial"/>
                <w:color w:val="000000"/>
                <w:sz w:val="18"/>
                <w:szCs w:val="18"/>
                <w:lang w:val="es-CO" w:eastAsia="es-CO"/>
              </w:rPr>
              <w:t>Otrosí</w:t>
            </w:r>
            <w:r w:rsidR="008C2E4A" w:rsidRPr="00A21B5C">
              <w:rPr>
                <w:rFonts w:ascii="Arial" w:eastAsia="Times New Roman" w:hAnsi="Arial" w:cs="Arial"/>
                <w:color w:val="000000"/>
                <w:sz w:val="18"/>
                <w:szCs w:val="18"/>
                <w:lang w:val="es-CO" w:eastAsia="es-CO"/>
              </w:rPr>
              <w:t xml:space="preserve"> N° 2</w:t>
            </w:r>
          </w:p>
        </w:tc>
        <w:tc>
          <w:tcPr>
            <w:tcW w:w="1248" w:type="dxa"/>
            <w:tcBorders>
              <w:top w:val="dashSmallGap" w:sz="4" w:space="0" w:color="A6A6A6" w:themeColor="background1" w:themeShade="A6"/>
              <w:left w:val="nil"/>
              <w:bottom w:val="single" w:sz="4" w:space="0" w:color="000000" w:themeColor="text1"/>
              <w:right w:val="nil"/>
            </w:tcBorders>
            <w:vAlign w:val="center"/>
            <w:hideMark/>
          </w:tcPr>
          <w:p w:rsidR="008C2E4A" w:rsidRPr="00A21B5C" w:rsidRDefault="008C2E4A" w:rsidP="00A21B5C">
            <w:pPr>
              <w:contextualSpacing/>
              <w:jc w:val="right"/>
              <w:rPr>
                <w:rFonts w:ascii="Arial" w:eastAsia="Times New Roman" w:hAnsi="Arial" w:cs="Arial"/>
                <w:color w:val="000000"/>
                <w:sz w:val="18"/>
                <w:szCs w:val="18"/>
                <w:lang w:val="es-CO" w:eastAsia="es-CO"/>
              </w:rPr>
            </w:pPr>
            <w:r w:rsidRPr="00A21B5C">
              <w:rPr>
                <w:rFonts w:ascii="Arial" w:eastAsia="Times New Roman" w:hAnsi="Arial" w:cs="Arial"/>
                <w:color w:val="000000"/>
                <w:sz w:val="18"/>
                <w:szCs w:val="18"/>
                <w:lang w:val="es-CO" w:eastAsia="es-CO"/>
              </w:rPr>
              <w:t>$4.261.111.654</w:t>
            </w:r>
          </w:p>
        </w:tc>
        <w:tc>
          <w:tcPr>
            <w:tcW w:w="3969" w:type="dxa"/>
            <w:tcBorders>
              <w:top w:val="dashSmallGap" w:sz="4" w:space="0" w:color="A6A6A6" w:themeColor="background1" w:themeShade="A6"/>
              <w:left w:val="nil"/>
              <w:bottom w:val="single" w:sz="4" w:space="0" w:color="000000" w:themeColor="text1"/>
              <w:right w:val="nil"/>
            </w:tcBorders>
            <w:vAlign w:val="center"/>
            <w:hideMark/>
          </w:tcPr>
          <w:p w:rsidR="004D0241" w:rsidRPr="00A21B5C" w:rsidRDefault="001451FA" w:rsidP="00A21B5C">
            <w:pPr>
              <w:pStyle w:val="Prrafodelista"/>
              <w:numPr>
                <w:ilvl w:val="0"/>
                <w:numId w:val="31"/>
              </w:numPr>
              <w:ind w:left="384" w:hanging="284"/>
              <w:jc w:val="both"/>
              <w:rPr>
                <w:rFonts w:ascii="Arial" w:eastAsia="Times New Roman" w:hAnsi="Arial" w:cs="Arial"/>
                <w:color w:val="000000"/>
                <w:sz w:val="18"/>
                <w:szCs w:val="18"/>
                <w:lang w:val="es-CO" w:eastAsia="es-CO"/>
              </w:rPr>
            </w:pPr>
            <w:r w:rsidRPr="00A21B5C">
              <w:rPr>
                <w:rFonts w:ascii="Arial" w:eastAsia="Times New Roman" w:hAnsi="Arial" w:cs="Arial"/>
                <w:color w:val="000000"/>
                <w:sz w:val="18"/>
                <w:szCs w:val="18"/>
                <w:lang w:val="es-CO" w:eastAsia="es-CO"/>
              </w:rPr>
              <w:t xml:space="preserve">Considerando </w:t>
            </w:r>
            <w:r w:rsidR="00104A85" w:rsidRPr="00A21B5C">
              <w:rPr>
                <w:rFonts w:ascii="Arial" w:eastAsia="Times New Roman" w:hAnsi="Arial" w:cs="Arial"/>
                <w:color w:val="000000"/>
                <w:sz w:val="18"/>
                <w:szCs w:val="18"/>
                <w:lang w:val="es-CO" w:eastAsia="es-CO"/>
              </w:rPr>
              <w:t xml:space="preserve">el monto de </w:t>
            </w:r>
            <w:r w:rsidR="005A5605" w:rsidRPr="00A21B5C">
              <w:rPr>
                <w:rFonts w:ascii="Arial" w:eastAsia="Times New Roman" w:hAnsi="Arial" w:cs="Arial"/>
                <w:color w:val="000000"/>
                <w:sz w:val="18"/>
                <w:szCs w:val="18"/>
                <w:lang w:val="es-CO" w:eastAsia="es-CO"/>
              </w:rPr>
              <w:t>recursos</w:t>
            </w:r>
            <w:r w:rsidR="00104A85" w:rsidRPr="00A21B5C">
              <w:rPr>
                <w:rFonts w:ascii="Arial" w:eastAsia="Times New Roman" w:hAnsi="Arial" w:cs="Arial"/>
                <w:color w:val="000000"/>
                <w:sz w:val="18"/>
                <w:szCs w:val="18"/>
                <w:lang w:val="es-CO" w:eastAsia="es-CO"/>
              </w:rPr>
              <w:t xml:space="preserve"> efectivamente asignado</w:t>
            </w:r>
            <w:r w:rsidR="0049457D" w:rsidRPr="00A21B5C">
              <w:rPr>
                <w:rFonts w:ascii="Arial" w:eastAsia="Times New Roman" w:hAnsi="Arial" w:cs="Arial"/>
                <w:color w:val="000000"/>
                <w:sz w:val="18"/>
                <w:szCs w:val="18"/>
                <w:lang w:val="es-CO" w:eastAsia="es-CO"/>
              </w:rPr>
              <w:t xml:space="preserve">s al Resguardo por concepto de la AESGPRI para la vigencia 2017: </w:t>
            </w:r>
            <w:r w:rsidR="00857AC8" w:rsidRPr="00A21B5C">
              <w:rPr>
                <w:rFonts w:ascii="Arial" w:eastAsia="Times New Roman" w:hAnsi="Arial" w:cs="Arial"/>
                <w:color w:val="000000"/>
                <w:sz w:val="18"/>
                <w:szCs w:val="18"/>
                <w:lang w:val="es-CO" w:eastAsia="es-CO"/>
              </w:rPr>
              <w:t xml:space="preserve"> s</w:t>
            </w:r>
            <w:r w:rsidR="008C2E4A" w:rsidRPr="00A21B5C">
              <w:rPr>
                <w:rFonts w:ascii="Arial" w:eastAsia="Times New Roman" w:hAnsi="Arial" w:cs="Arial"/>
                <w:color w:val="000000"/>
                <w:sz w:val="18"/>
                <w:szCs w:val="18"/>
                <w:lang w:val="es-CO" w:eastAsia="es-CO"/>
              </w:rPr>
              <w:t xml:space="preserve">e modificaron los valores asignados a algunos de </w:t>
            </w:r>
            <w:r w:rsidR="0057117B" w:rsidRPr="00A21B5C">
              <w:rPr>
                <w:rFonts w:ascii="Arial" w:eastAsia="Times New Roman" w:hAnsi="Arial" w:cs="Arial"/>
                <w:color w:val="000000"/>
                <w:sz w:val="18"/>
                <w:szCs w:val="18"/>
                <w:lang w:val="es-CO" w:eastAsia="es-CO"/>
              </w:rPr>
              <w:t xml:space="preserve">los </w:t>
            </w:r>
            <w:r w:rsidR="008C2E4A" w:rsidRPr="00A21B5C">
              <w:rPr>
                <w:rFonts w:ascii="Arial" w:eastAsia="Times New Roman" w:hAnsi="Arial" w:cs="Arial"/>
                <w:color w:val="000000"/>
                <w:sz w:val="18"/>
                <w:szCs w:val="18"/>
                <w:lang w:val="es-CO" w:eastAsia="es-CO"/>
              </w:rPr>
              <w:t>proyectos de inversión</w:t>
            </w:r>
            <w:r w:rsidR="00921B87" w:rsidRPr="00A21B5C">
              <w:rPr>
                <w:rFonts w:ascii="Arial" w:eastAsia="Times New Roman" w:hAnsi="Arial" w:cs="Arial"/>
                <w:color w:val="000000"/>
                <w:sz w:val="18"/>
                <w:szCs w:val="18"/>
                <w:lang w:val="es-CO" w:eastAsia="es-CO"/>
              </w:rPr>
              <w:t xml:space="preserve">, </w:t>
            </w:r>
            <w:r w:rsidR="00675583" w:rsidRPr="00A21B5C">
              <w:rPr>
                <w:rFonts w:ascii="Arial" w:eastAsia="Times New Roman" w:hAnsi="Arial" w:cs="Arial"/>
                <w:color w:val="000000"/>
                <w:sz w:val="18"/>
                <w:szCs w:val="18"/>
                <w:lang w:val="es-CO" w:eastAsia="es-CO"/>
              </w:rPr>
              <w:t>s</w:t>
            </w:r>
            <w:r w:rsidR="004D0241" w:rsidRPr="00A21B5C">
              <w:rPr>
                <w:rFonts w:ascii="Arial" w:eastAsia="Times New Roman" w:hAnsi="Arial" w:cs="Arial"/>
                <w:color w:val="000000"/>
                <w:sz w:val="18"/>
                <w:szCs w:val="18"/>
                <w:lang w:val="es-CO" w:eastAsia="es-CO"/>
              </w:rPr>
              <w:t xml:space="preserve">e </w:t>
            </w:r>
            <w:r w:rsidR="0077635A" w:rsidRPr="00A21B5C">
              <w:rPr>
                <w:rFonts w:ascii="Arial" w:eastAsia="Times New Roman" w:hAnsi="Arial" w:cs="Arial"/>
                <w:color w:val="000000"/>
                <w:sz w:val="18"/>
                <w:szCs w:val="18"/>
                <w:lang w:val="es-CO" w:eastAsia="es-CO"/>
              </w:rPr>
              <w:t xml:space="preserve">eliminaron algunos de los proyectos priorizados inicialmente y se adicionaron otros. </w:t>
            </w:r>
          </w:p>
        </w:tc>
      </w:tr>
      <w:tr w:rsidR="008C2E4A" w:rsidRPr="00A21B5C" w:rsidTr="00EB0973">
        <w:trPr>
          <w:trHeight w:val="251"/>
          <w:jc w:val="center"/>
        </w:trPr>
        <w:tc>
          <w:tcPr>
            <w:tcW w:w="993" w:type="dxa"/>
            <w:tcBorders>
              <w:top w:val="single" w:sz="4" w:space="0" w:color="000000" w:themeColor="text1"/>
              <w:left w:val="nil"/>
              <w:bottom w:val="single" w:sz="4" w:space="0" w:color="000000" w:themeColor="text1"/>
              <w:right w:val="nil"/>
            </w:tcBorders>
            <w:vAlign w:val="center"/>
            <w:hideMark/>
          </w:tcPr>
          <w:p w:rsidR="008C2E4A" w:rsidRPr="00A21B5C" w:rsidRDefault="008C2E4A" w:rsidP="00A21B5C">
            <w:pPr>
              <w:contextualSpacing/>
              <w:jc w:val="right"/>
              <w:rPr>
                <w:rFonts w:ascii="Arial" w:eastAsia="Times New Roman" w:hAnsi="Arial" w:cs="Arial"/>
                <w:color w:val="000000"/>
                <w:sz w:val="18"/>
                <w:szCs w:val="18"/>
                <w:lang w:val="es-CO" w:eastAsia="es-CO"/>
              </w:rPr>
            </w:pPr>
            <w:r w:rsidRPr="00A21B5C">
              <w:rPr>
                <w:rFonts w:ascii="Arial" w:eastAsia="Times New Roman" w:hAnsi="Arial" w:cs="Arial"/>
                <w:color w:val="000000"/>
                <w:sz w:val="18"/>
                <w:szCs w:val="18"/>
                <w:lang w:val="es-CO" w:eastAsia="es-CO"/>
              </w:rPr>
              <w:t>15/05/2018</w:t>
            </w:r>
          </w:p>
        </w:tc>
        <w:tc>
          <w:tcPr>
            <w:tcW w:w="3260" w:type="dxa"/>
            <w:tcBorders>
              <w:top w:val="single" w:sz="4" w:space="0" w:color="000000" w:themeColor="text1"/>
              <w:left w:val="nil"/>
              <w:bottom w:val="single" w:sz="4" w:space="0" w:color="000000" w:themeColor="text1"/>
              <w:right w:val="nil"/>
            </w:tcBorders>
            <w:vAlign w:val="center"/>
            <w:hideMark/>
          </w:tcPr>
          <w:p w:rsidR="008C2E4A" w:rsidRPr="00A21B5C" w:rsidRDefault="0098726C" w:rsidP="00A21B5C">
            <w:pPr>
              <w:contextualSpacing/>
              <w:jc w:val="both"/>
              <w:rPr>
                <w:rFonts w:ascii="Arial" w:eastAsia="Times New Roman" w:hAnsi="Arial" w:cs="Arial"/>
                <w:color w:val="000000"/>
                <w:sz w:val="18"/>
                <w:szCs w:val="18"/>
                <w:lang w:val="es-CO" w:eastAsia="es-CO"/>
              </w:rPr>
            </w:pPr>
            <w:r w:rsidRPr="00A21B5C">
              <w:rPr>
                <w:rFonts w:ascii="Arial" w:eastAsia="Times New Roman" w:hAnsi="Arial" w:cs="Arial"/>
                <w:color w:val="000000"/>
                <w:sz w:val="18"/>
                <w:szCs w:val="18"/>
                <w:lang w:val="es-CO" w:eastAsia="es-CO"/>
              </w:rPr>
              <w:t xml:space="preserve">Comvenio </w:t>
            </w:r>
            <w:r w:rsidR="008C2E4A" w:rsidRPr="00A21B5C">
              <w:rPr>
                <w:rFonts w:ascii="Arial" w:eastAsia="Times New Roman" w:hAnsi="Arial" w:cs="Arial"/>
                <w:color w:val="000000"/>
                <w:sz w:val="18"/>
                <w:szCs w:val="18"/>
                <w:lang w:val="es-CO" w:eastAsia="es-CO"/>
              </w:rPr>
              <w:t xml:space="preserve">N° 001 para la administración de los recursos de la </w:t>
            </w:r>
            <w:r w:rsidR="000F6668" w:rsidRPr="00A21B5C">
              <w:rPr>
                <w:rFonts w:ascii="Arial" w:eastAsia="Times New Roman" w:hAnsi="Arial" w:cs="Arial"/>
                <w:color w:val="000000"/>
                <w:sz w:val="18"/>
                <w:szCs w:val="18"/>
                <w:lang w:val="es-CO" w:eastAsia="es-CO"/>
              </w:rPr>
              <w:t>A</w:t>
            </w:r>
            <w:r w:rsidR="008C2E4A" w:rsidRPr="00A21B5C">
              <w:rPr>
                <w:rFonts w:ascii="Arial" w:eastAsia="Times New Roman" w:hAnsi="Arial" w:cs="Arial"/>
                <w:color w:val="000000"/>
                <w:sz w:val="18"/>
                <w:szCs w:val="18"/>
                <w:lang w:val="es-CO" w:eastAsia="es-CO"/>
              </w:rPr>
              <w:t xml:space="preserve">signación </w:t>
            </w:r>
            <w:r w:rsidR="000F6668" w:rsidRPr="00A21B5C">
              <w:rPr>
                <w:rFonts w:ascii="Arial" w:eastAsia="Times New Roman" w:hAnsi="Arial" w:cs="Arial"/>
                <w:color w:val="000000"/>
                <w:sz w:val="18"/>
                <w:szCs w:val="18"/>
                <w:lang w:val="es-CO" w:eastAsia="es-CO"/>
              </w:rPr>
              <w:t>E</w:t>
            </w:r>
            <w:r w:rsidR="008C2E4A" w:rsidRPr="00A21B5C">
              <w:rPr>
                <w:rFonts w:ascii="Arial" w:eastAsia="Times New Roman" w:hAnsi="Arial" w:cs="Arial"/>
                <w:color w:val="000000"/>
                <w:sz w:val="18"/>
                <w:szCs w:val="18"/>
                <w:lang w:val="es-CO" w:eastAsia="es-CO"/>
              </w:rPr>
              <w:t>special del Sistema General de Participaciones para los Resguardos Indígenas celebrado entre el Municipio de Dibulla y el Resguardo Indígena Kogui – Malayo – Arhuaco.</w:t>
            </w:r>
            <w:r w:rsidR="003D6351" w:rsidRPr="00A21B5C">
              <w:rPr>
                <w:rFonts w:ascii="Arial" w:eastAsia="Times New Roman" w:hAnsi="Arial" w:cs="Arial"/>
                <w:color w:val="000000"/>
                <w:sz w:val="18"/>
                <w:szCs w:val="18"/>
                <w:lang w:val="es-CO" w:eastAsia="es-CO"/>
              </w:rPr>
              <w:t xml:space="preserve"> (2018)</w:t>
            </w:r>
          </w:p>
        </w:tc>
        <w:tc>
          <w:tcPr>
            <w:tcW w:w="1248" w:type="dxa"/>
            <w:tcBorders>
              <w:top w:val="single" w:sz="4" w:space="0" w:color="000000" w:themeColor="text1"/>
              <w:left w:val="nil"/>
              <w:bottom w:val="single" w:sz="4" w:space="0" w:color="000000" w:themeColor="text1"/>
              <w:right w:val="nil"/>
            </w:tcBorders>
            <w:vAlign w:val="center"/>
            <w:hideMark/>
          </w:tcPr>
          <w:p w:rsidR="008C2E4A" w:rsidRPr="00A21B5C" w:rsidRDefault="008C2E4A" w:rsidP="00A21B5C">
            <w:pPr>
              <w:contextualSpacing/>
              <w:jc w:val="right"/>
              <w:rPr>
                <w:rFonts w:ascii="Arial" w:eastAsia="Times New Roman" w:hAnsi="Arial" w:cs="Arial"/>
                <w:color w:val="000000"/>
                <w:sz w:val="18"/>
                <w:szCs w:val="18"/>
                <w:lang w:val="es-CO" w:eastAsia="es-CO"/>
              </w:rPr>
            </w:pPr>
            <w:r w:rsidRPr="00A21B5C">
              <w:rPr>
                <w:rFonts w:ascii="Arial" w:eastAsia="Times New Roman" w:hAnsi="Arial" w:cs="Arial"/>
                <w:color w:val="000000"/>
                <w:sz w:val="18"/>
                <w:szCs w:val="18"/>
                <w:lang w:val="es-CO" w:eastAsia="es-CO"/>
              </w:rPr>
              <w:t>$4.447.970.943</w:t>
            </w:r>
          </w:p>
        </w:tc>
        <w:tc>
          <w:tcPr>
            <w:tcW w:w="3969" w:type="dxa"/>
            <w:tcBorders>
              <w:top w:val="single" w:sz="4" w:space="0" w:color="000000" w:themeColor="text1"/>
              <w:left w:val="nil"/>
              <w:bottom w:val="single" w:sz="4" w:space="0" w:color="auto"/>
              <w:right w:val="nil"/>
            </w:tcBorders>
            <w:vAlign w:val="center"/>
          </w:tcPr>
          <w:p w:rsidR="008C2E4A" w:rsidRPr="00A21B5C" w:rsidRDefault="008C2E4A" w:rsidP="00A21B5C">
            <w:pPr>
              <w:pStyle w:val="Prrafodelista"/>
              <w:numPr>
                <w:ilvl w:val="0"/>
                <w:numId w:val="8"/>
              </w:numPr>
              <w:jc w:val="both"/>
              <w:rPr>
                <w:rFonts w:ascii="Arial" w:eastAsia="Times New Roman" w:hAnsi="Arial" w:cs="Arial"/>
                <w:color w:val="000000"/>
                <w:sz w:val="18"/>
                <w:szCs w:val="18"/>
                <w:lang w:val="es-CO" w:eastAsia="es-CO"/>
              </w:rPr>
            </w:pPr>
            <w:r w:rsidRPr="00A21B5C">
              <w:rPr>
                <w:rFonts w:ascii="Arial" w:eastAsia="Times New Roman" w:hAnsi="Arial" w:cs="Arial"/>
                <w:color w:val="000000"/>
                <w:sz w:val="18"/>
                <w:szCs w:val="18"/>
                <w:lang w:val="es-CO" w:eastAsia="es-CO"/>
              </w:rPr>
              <w:t>Suscrito después del 31 de diciembre del año anterior.</w:t>
            </w:r>
          </w:p>
          <w:p w:rsidR="008C2E4A" w:rsidRPr="00A21B5C" w:rsidRDefault="008C2E4A" w:rsidP="00A21B5C">
            <w:pPr>
              <w:pStyle w:val="Prrafodelista"/>
              <w:numPr>
                <w:ilvl w:val="0"/>
                <w:numId w:val="8"/>
              </w:numPr>
              <w:jc w:val="both"/>
              <w:rPr>
                <w:rFonts w:ascii="Arial" w:eastAsia="Times New Roman" w:hAnsi="Arial" w:cs="Arial"/>
                <w:color w:val="000000"/>
                <w:sz w:val="18"/>
                <w:szCs w:val="18"/>
                <w:lang w:val="es-CO" w:eastAsia="es-CO"/>
              </w:rPr>
            </w:pPr>
            <w:r w:rsidRPr="00A21B5C">
              <w:rPr>
                <w:rFonts w:ascii="Arial" w:eastAsia="Times New Roman" w:hAnsi="Arial" w:cs="Arial"/>
                <w:color w:val="000000"/>
                <w:sz w:val="18"/>
                <w:szCs w:val="18"/>
                <w:lang w:val="es-CO" w:eastAsia="es-CO"/>
              </w:rPr>
              <w:t xml:space="preserve">El valor del </w:t>
            </w:r>
            <w:r w:rsidR="0098726C" w:rsidRPr="00A21B5C">
              <w:rPr>
                <w:rFonts w:ascii="Arial" w:eastAsia="Times New Roman" w:hAnsi="Arial" w:cs="Arial"/>
                <w:color w:val="000000"/>
                <w:sz w:val="18"/>
                <w:szCs w:val="18"/>
                <w:lang w:val="es-CO" w:eastAsia="es-CO"/>
              </w:rPr>
              <w:t xml:space="preserve">Convenio </w:t>
            </w:r>
            <w:r w:rsidR="008576B9" w:rsidRPr="00A21B5C">
              <w:rPr>
                <w:rFonts w:ascii="Arial" w:eastAsia="Times New Roman" w:hAnsi="Arial" w:cs="Arial"/>
                <w:color w:val="000000"/>
                <w:sz w:val="18"/>
                <w:szCs w:val="18"/>
                <w:lang w:val="es-CO" w:eastAsia="es-CO"/>
              </w:rPr>
              <w:t>no contempla la totalidad de</w:t>
            </w:r>
            <w:r w:rsidRPr="00A21B5C">
              <w:rPr>
                <w:rFonts w:ascii="Arial" w:eastAsia="Times New Roman" w:hAnsi="Arial" w:cs="Arial"/>
                <w:color w:val="000000"/>
                <w:sz w:val="18"/>
                <w:szCs w:val="18"/>
                <w:lang w:val="es-CO" w:eastAsia="es-CO"/>
              </w:rPr>
              <w:t xml:space="preserve"> los recursos disponibles</w:t>
            </w:r>
            <w:r w:rsidR="0074067A" w:rsidRPr="00A21B5C">
              <w:rPr>
                <w:rFonts w:ascii="Arial" w:eastAsia="Times New Roman" w:hAnsi="Arial" w:cs="Arial"/>
                <w:color w:val="000000"/>
                <w:sz w:val="18"/>
                <w:szCs w:val="18"/>
                <w:lang w:val="es-CO" w:eastAsia="es-CO"/>
              </w:rPr>
              <w:t xml:space="preserve"> del Resguardo, que</w:t>
            </w:r>
            <w:r w:rsidRPr="00A21B5C">
              <w:rPr>
                <w:rFonts w:ascii="Arial" w:eastAsia="Times New Roman" w:hAnsi="Arial" w:cs="Arial"/>
                <w:color w:val="000000"/>
                <w:sz w:val="18"/>
                <w:szCs w:val="18"/>
                <w:lang w:val="es-CO" w:eastAsia="es-CO"/>
              </w:rPr>
              <w:t xml:space="preserve"> según la Ejecución Presupuestal </w:t>
            </w:r>
            <w:r w:rsidR="00B75718" w:rsidRPr="00A21B5C">
              <w:rPr>
                <w:rFonts w:ascii="Arial" w:eastAsia="Times New Roman" w:hAnsi="Arial" w:cs="Arial"/>
                <w:color w:val="000000"/>
                <w:sz w:val="18"/>
                <w:szCs w:val="18"/>
                <w:lang w:val="es-CO" w:eastAsia="es-CO"/>
              </w:rPr>
              <w:t xml:space="preserve">de Ingresos </w:t>
            </w:r>
            <w:r w:rsidRPr="00A21B5C">
              <w:rPr>
                <w:rFonts w:ascii="Arial" w:eastAsia="Times New Roman" w:hAnsi="Arial" w:cs="Arial"/>
                <w:color w:val="000000"/>
                <w:sz w:val="18"/>
                <w:szCs w:val="18"/>
                <w:lang w:val="es-CO" w:eastAsia="es-CO"/>
              </w:rPr>
              <w:t>de la vigencia 2018 ascendían</w:t>
            </w:r>
            <w:r w:rsidR="00E62A5B" w:rsidRPr="00A21B5C">
              <w:rPr>
                <w:rFonts w:ascii="Arial" w:eastAsia="Times New Roman" w:hAnsi="Arial" w:cs="Arial"/>
                <w:color w:val="000000"/>
                <w:sz w:val="18"/>
                <w:szCs w:val="18"/>
                <w:lang w:val="es-CO" w:eastAsia="es-CO"/>
              </w:rPr>
              <w:t xml:space="preserve"> a</w:t>
            </w:r>
            <w:r w:rsidRPr="00A21B5C">
              <w:rPr>
                <w:rFonts w:ascii="Arial" w:eastAsia="Times New Roman" w:hAnsi="Arial" w:cs="Arial"/>
                <w:color w:val="000000"/>
                <w:sz w:val="18"/>
                <w:szCs w:val="18"/>
                <w:lang w:val="es-CO" w:eastAsia="es-CO"/>
              </w:rPr>
              <w:t xml:space="preserve"> </w:t>
            </w:r>
            <w:r w:rsidR="00E62A5B" w:rsidRPr="00A21B5C">
              <w:rPr>
                <w:rFonts w:ascii="Arial" w:eastAsia="Times New Roman" w:hAnsi="Arial" w:cs="Arial"/>
                <w:color w:val="000000"/>
                <w:sz w:val="18"/>
                <w:szCs w:val="18"/>
                <w:lang w:val="es-CO" w:eastAsia="es-CO"/>
              </w:rPr>
              <w:t>$4.452.721.988.</w:t>
            </w:r>
            <w:r w:rsidR="009A0EB0" w:rsidRPr="00A21B5C">
              <w:rPr>
                <w:rFonts w:ascii="Arial" w:eastAsia="Times New Roman" w:hAnsi="Arial" w:cs="Arial"/>
                <w:color w:val="000000"/>
                <w:sz w:val="18"/>
                <w:szCs w:val="18"/>
                <w:lang w:val="es-CO" w:eastAsia="es-CO"/>
              </w:rPr>
              <w:t xml:space="preserve"> </w:t>
            </w:r>
          </w:p>
        </w:tc>
      </w:tr>
      <w:tr w:rsidR="008C2E4A" w:rsidRPr="00A21B5C" w:rsidTr="00A96D69">
        <w:trPr>
          <w:trHeight w:val="251"/>
          <w:jc w:val="center"/>
        </w:trPr>
        <w:tc>
          <w:tcPr>
            <w:tcW w:w="993" w:type="dxa"/>
            <w:tcBorders>
              <w:top w:val="single" w:sz="4" w:space="0" w:color="000000" w:themeColor="text1"/>
              <w:left w:val="nil"/>
              <w:bottom w:val="single" w:sz="4" w:space="0" w:color="000000" w:themeColor="text1"/>
              <w:right w:val="nil"/>
            </w:tcBorders>
            <w:vAlign w:val="center"/>
            <w:hideMark/>
          </w:tcPr>
          <w:p w:rsidR="008C2E4A" w:rsidRPr="00A21B5C" w:rsidRDefault="008C2E4A" w:rsidP="00A21B5C">
            <w:pPr>
              <w:contextualSpacing/>
              <w:jc w:val="right"/>
              <w:rPr>
                <w:rFonts w:ascii="Arial" w:eastAsia="Times New Roman" w:hAnsi="Arial" w:cs="Arial"/>
                <w:color w:val="000000"/>
                <w:sz w:val="18"/>
                <w:szCs w:val="18"/>
                <w:lang w:val="es-CO" w:eastAsia="es-CO"/>
              </w:rPr>
            </w:pPr>
            <w:r w:rsidRPr="00A21B5C">
              <w:rPr>
                <w:rFonts w:ascii="Arial" w:eastAsia="Times New Roman" w:hAnsi="Arial" w:cs="Arial"/>
                <w:color w:val="000000"/>
                <w:sz w:val="18"/>
                <w:szCs w:val="18"/>
                <w:lang w:val="es-CO" w:eastAsia="es-CO"/>
              </w:rPr>
              <w:t>06/02/2019</w:t>
            </w:r>
          </w:p>
        </w:tc>
        <w:tc>
          <w:tcPr>
            <w:tcW w:w="3260" w:type="dxa"/>
            <w:tcBorders>
              <w:top w:val="single" w:sz="4" w:space="0" w:color="000000" w:themeColor="text1"/>
              <w:left w:val="nil"/>
              <w:bottom w:val="single" w:sz="4" w:space="0" w:color="000000" w:themeColor="text1"/>
              <w:right w:val="nil"/>
            </w:tcBorders>
            <w:vAlign w:val="center"/>
            <w:hideMark/>
          </w:tcPr>
          <w:p w:rsidR="008C2E4A" w:rsidRPr="00A21B5C" w:rsidRDefault="0098726C" w:rsidP="00A21B5C">
            <w:pPr>
              <w:contextualSpacing/>
              <w:jc w:val="both"/>
              <w:rPr>
                <w:rFonts w:ascii="Arial" w:eastAsia="Times New Roman" w:hAnsi="Arial" w:cs="Arial"/>
                <w:color w:val="000000"/>
                <w:sz w:val="18"/>
                <w:szCs w:val="18"/>
                <w:lang w:val="es-CO" w:eastAsia="es-CO"/>
              </w:rPr>
            </w:pPr>
            <w:r w:rsidRPr="00A21B5C">
              <w:rPr>
                <w:rFonts w:ascii="Arial" w:eastAsia="Times New Roman" w:hAnsi="Arial" w:cs="Arial"/>
                <w:color w:val="000000"/>
                <w:sz w:val="18"/>
                <w:szCs w:val="18"/>
                <w:lang w:val="es-CO" w:eastAsia="es-CO"/>
              </w:rPr>
              <w:t xml:space="preserve">Convenio </w:t>
            </w:r>
            <w:r w:rsidR="008C2E4A" w:rsidRPr="00A21B5C">
              <w:rPr>
                <w:rFonts w:ascii="Arial" w:eastAsia="Times New Roman" w:hAnsi="Arial" w:cs="Arial"/>
                <w:color w:val="000000"/>
                <w:sz w:val="18"/>
                <w:szCs w:val="18"/>
                <w:lang w:val="es-CO" w:eastAsia="es-CO"/>
              </w:rPr>
              <w:t xml:space="preserve">N° 001 para la administración de los recursos de la </w:t>
            </w:r>
            <w:r w:rsidR="005B4358" w:rsidRPr="00A21B5C">
              <w:rPr>
                <w:rFonts w:ascii="Arial" w:eastAsia="Times New Roman" w:hAnsi="Arial" w:cs="Arial"/>
                <w:color w:val="000000"/>
                <w:sz w:val="18"/>
                <w:szCs w:val="18"/>
                <w:lang w:val="es-CO" w:eastAsia="es-CO"/>
              </w:rPr>
              <w:t>A</w:t>
            </w:r>
            <w:r w:rsidR="008C2E4A" w:rsidRPr="00A21B5C">
              <w:rPr>
                <w:rFonts w:ascii="Arial" w:eastAsia="Times New Roman" w:hAnsi="Arial" w:cs="Arial"/>
                <w:color w:val="000000"/>
                <w:sz w:val="18"/>
                <w:szCs w:val="18"/>
                <w:lang w:val="es-CO" w:eastAsia="es-CO"/>
              </w:rPr>
              <w:t xml:space="preserve">signación </w:t>
            </w:r>
            <w:r w:rsidR="005B4358" w:rsidRPr="00A21B5C">
              <w:rPr>
                <w:rFonts w:ascii="Arial" w:eastAsia="Times New Roman" w:hAnsi="Arial" w:cs="Arial"/>
                <w:color w:val="000000"/>
                <w:sz w:val="18"/>
                <w:szCs w:val="18"/>
                <w:lang w:val="es-CO" w:eastAsia="es-CO"/>
              </w:rPr>
              <w:t>E</w:t>
            </w:r>
            <w:r w:rsidR="008C2E4A" w:rsidRPr="00A21B5C">
              <w:rPr>
                <w:rFonts w:ascii="Arial" w:eastAsia="Times New Roman" w:hAnsi="Arial" w:cs="Arial"/>
                <w:color w:val="000000"/>
                <w:sz w:val="18"/>
                <w:szCs w:val="18"/>
                <w:lang w:val="es-CO" w:eastAsia="es-CO"/>
              </w:rPr>
              <w:t>special del Sistema General de Participaciones para los Resguardos Indígenas celebrado entre el Municipio de Dibulla y el Resguardo Indígena Kogui – Malayo – Arhuaco.</w:t>
            </w:r>
            <w:r w:rsidR="005B4358" w:rsidRPr="00A21B5C">
              <w:rPr>
                <w:rFonts w:ascii="Arial" w:eastAsia="Times New Roman" w:hAnsi="Arial" w:cs="Arial"/>
                <w:color w:val="000000"/>
                <w:sz w:val="18"/>
                <w:szCs w:val="18"/>
                <w:lang w:val="es-CO" w:eastAsia="es-CO"/>
              </w:rPr>
              <w:t xml:space="preserve"> (2019)</w:t>
            </w:r>
          </w:p>
        </w:tc>
        <w:tc>
          <w:tcPr>
            <w:tcW w:w="1248" w:type="dxa"/>
            <w:tcBorders>
              <w:top w:val="single" w:sz="4" w:space="0" w:color="000000" w:themeColor="text1"/>
              <w:left w:val="nil"/>
              <w:bottom w:val="single" w:sz="4" w:space="0" w:color="auto"/>
              <w:right w:val="nil"/>
            </w:tcBorders>
            <w:vAlign w:val="center"/>
            <w:hideMark/>
          </w:tcPr>
          <w:p w:rsidR="008C2E4A" w:rsidRPr="00A21B5C" w:rsidRDefault="008C2E4A" w:rsidP="00A21B5C">
            <w:pPr>
              <w:contextualSpacing/>
              <w:jc w:val="right"/>
              <w:rPr>
                <w:rFonts w:ascii="Arial" w:eastAsia="Times New Roman" w:hAnsi="Arial" w:cs="Arial"/>
                <w:color w:val="000000"/>
                <w:sz w:val="18"/>
                <w:szCs w:val="18"/>
                <w:lang w:val="es-CO" w:eastAsia="es-CO"/>
              </w:rPr>
            </w:pPr>
            <w:r w:rsidRPr="00A21B5C">
              <w:rPr>
                <w:rFonts w:ascii="Arial" w:eastAsia="Times New Roman" w:hAnsi="Arial" w:cs="Arial"/>
                <w:color w:val="000000"/>
                <w:sz w:val="18"/>
                <w:szCs w:val="18"/>
                <w:lang w:val="es-CO" w:eastAsia="es-CO"/>
              </w:rPr>
              <w:t xml:space="preserve">$4.082.079.882 </w:t>
            </w:r>
          </w:p>
        </w:tc>
        <w:tc>
          <w:tcPr>
            <w:tcW w:w="3969" w:type="dxa"/>
            <w:tcBorders>
              <w:top w:val="single" w:sz="4" w:space="0" w:color="auto"/>
              <w:left w:val="nil"/>
              <w:bottom w:val="dashSmallGap" w:sz="4" w:space="0" w:color="A6A6A6" w:themeColor="background1" w:themeShade="A6"/>
              <w:right w:val="nil"/>
            </w:tcBorders>
            <w:vAlign w:val="center"/>
            <w:hideMark/>
          </w:tcPr>
          <w:p w:rsidR="008C2E4A" w:rsidRPr="00A21B5C" w:rsidRDefault="008C2E4A" w:rsidP="00A21B5C">
            <w:pPr>
              <w:pStyle w:val="Prrafodelista"/>
              <w:numPr>
                <w:ilvl w:val="0"/>
                <w:numId w:val="9"/>
              </w:numPr>
              <w:jc w:val="both"/>
              <w:rPr>
                <w:rFonts w:ascii="Arial" w:eastAsia="Times New Roman" w:hAnsi="Arial" w:cs="Arial"/>
                <w:color w:val="000000"/>
                <w:sz w:val="18"/>
                <w:szCs w:val="18"/>
                <w:lang w:val="es-CO" w:eastAsia="es-CO"/>
              </w:rPr>
            </w:pPr>
            <w:r w:rsidRPr="00A21B5C">
              <w:rPr>
                <w:rFonts w:ascii="Arial" w:eastAsia="Times New Roman" w:hAnsi="Arial" w:cs="Arial"/>
                <w:color w:val="000000"/>
                <w:sz w:val="18"/>
                <w:szCs w:val="18"/>
                <w:lang w:val="es-CO" w:eastAsia="es-CO"/>
              </w:rPr>
              <w:t>Suscrito después del 31 de diciembre del año anterior.</w:t>
            </w:r>
          </w:p>
          <w:p w:rsidR="008C2E4A" w:rsidRPr="00A21B5C" w:rsidRDefault="008C2E4A" w:rsidP="00A21B5C">
            <w:pPr>
              <w:pStyle w:val="Prrafodelista"/>
              <w:numPr>
                <w:ilvl w:val="0"/>
                <w:numId w:val="9"/>
              </w:numPr>
              <w:jc w:val="both"/>
              <w:rPr>
                <w:rFonts w:ascii="Arial" w:eastAsia="Times New Roman" w:hAnsi="Arial" w:cs="Arial"/>
                <w:color w:val="000000"/>
                <w:sz w:val="18"/>
                <w:szCs w:val="18"/>
                <w:lang w:val="es-CO" w:eastAsia="es-CO"/>
              </w:rPr>
            </w:pPr>
            <w:r w:rsidRPr="00A21B5C">
              <w:rPr>
                <w:rFonts w:ascii="Arial" w:eastAsia="Times New Roman" w:hAnsi="Arial" w:cs="Arial"/>
                <w:color w:val="000000"/>
                <w:sz w:val="18"/>
                <w:szCs w:val="18"/>
                <w:lang w:val="es-CO" w:eastAsia="es-CO"/>
              </w:rPr>
              <w:t xml:space="preserve">El valor del </w:t>
            </w:r>
            <w:r w:rsidR="0098726C" w:rsidRPr="00A21B5C">
              <w:rPr>
                <w:rFonts w:ascii="Arial" w:eastAsia="Times New Roman" w:hAnsi="Arial" w:cs="Arial"/>
                <w:color w:val="000000"/>
                <w:sz w:val="18"/>
                <w:szCs w:val="18"/>
                <w:lang w:val="es-CO" w:eastAsia="es-CO"/>
              </w:rPr>
              <w:t xml:space="preserve">Convenio </w:t>
            </w:r>
            <w:r w:rsidR="0031794E" w:rsidRPr="00A21B5C">
              <w:rPr>
                <w:rFonts w:ascii="Arial" w:eastAsia="Times New Roman" w:hAnsi="Arial" w:cs="Arial"/>
                <w:color w:val="000000"/>
                <w:sz w:val="18"/>
                <w:szCs w:val="18"/>
                <w:lang w:val="es-CO" w:eastAsia="es-CO"/>
              </w:rPr>
              <w:t xml:space="preserve">solo contempla los recursos </w:t>
            </w:r>
            <w:r w:rsidR="00E12959" w:rsidRPr="00A21B5C">
              <w:rPr>
                <w:rFonts w:ascii="Arial" w:eastAsia="Times New Roman" w:hAnsi="Arial" w:cs="Arial"/>
                <w:color w:val="000000"/>
                <w:sz w:val="18"/>
                <w:szCs w:val="18"/>
                <w:lang w:val="es-CO" w:eastAsia="es-CO"/>
              </w:rPr>
              <w:t xml:space="preserve">que </w:t>
            </w:r>
            <w:r w:rsidR="00B75718" w:rsidRPr="00A21B5C">
              <w:rPr>
                <w:rFonts w:ascii="Arial" w:eastAsia="Times New Roman" w:hAnsi="Arial" w:cs="Arial"/>
                <w:color w:val="000000"/>
                <w:sz w:val="18"/>
                <w:szCs w:val="18"/>
                <w:lang w:val="es-CO" w:eastAsia="es-CO"/>
              </w:rPr>
              <w:t>de acuerdo con</w:t>
            </w:r>
            <w:r w:rsidR="00E12959" w:rsidRPr="00A21B5C">
              <w:rPr>
                <w:rFonts w:ascii="Arial" w:eastAsia="Times New Roman" w:hAnsi="Arial" w:cs="Arial"/>
                <w:color w:val="000000"/>
                <w:sz w:val="18"/>
                <w:szCs w:val="18"/>
                <w:lang w:val="es-CO" w:eastAsia="es-CO"/>
              </w:rPr>
              <w:t xml:space="preserve"> la distribución interna fueron asignados al Pueblo Kogui, </w:t>
            </w:r>
            <w:r w:rsidRPr="00A21B5C">
              <w:rPr>
                <w:rFonts w:ascii="Arial" w:eastAsia="Times New Roman" w:hAnsi="Arial" w:cs="Arial"/>
                <w:color w:val="000000"/>
                <w:sz w:val="18"/>
                <w:szCs w:val="18"/>
                <w:lang w:val="es-CO" w:eastAsia="es-CO"/>
              </w:rPr>
              <w:t>difi</w:t>
            </w:r>
            <w:r w:rsidR="00E12959" w:rsidRPr="00A21B5C">
              <w:rPr>
                <w:rFonts w:ascii="Arial" w:eastAsia="Times New Roman" w:hAnsi="Arial" w:cs="Arial"/>
                <w:color w:val="000000"/>
                <w:sz w:val="18"/>
                <w:szCs w:val="18"/>
                <w:lang w:val="es-CO" w:eastAsia="es-CO"/>
              </w:rPr>
              <w:t>riendo así</w:t>
            </w:r>
            <w:r w:rsidRPr="00A21B5C">
              <w:rPr>
                <w:rFonts w:ascii="Arial" w:eastAsia="Times New Roman" w:hAnsi="Arial" w:cs="Arial"/>
                <w:color w:val="000000"/>
                <w:sz w:val="18"/>
                <w:szCs w:val="18"/>
                <w:lang w:val="es-CO" w:eastAsia="es-CO"/>
              </w:rPr>
              <w:t xml:space="preserve"> del valor </w:t>
            </w:r>
            <w:r w:rsidR="00EE00BF" w:rsidRPr="00A21B5C">
              <w:rPr>
                <w:rFonts w:ascii="Arial" w:eastAsia="Times New Roman" w:hAnsi="Arial" w:cs="Arial"/>
                <w:color w:val="000000"/>
                <w:sz w:val="18"/>
                <w:szCs w:val="18"/>
                <w:lang w:val="es-CO" w:eastAsia="es-CO"/>
              </w:rPr>
              <w:t xml:space="preserve">total </w:t>
            </w:r>
            <w:r w:rsidRPr="00A21B5C">
              <w:rPr>
                <w:rFonts w:ascii="Arial" w:eastAsia="Times New Roman" w:hAnsi="Arial" w:cs="Arial"/>
                <w:color w:val="000000"/>
                <w:sz w:val="18"/>
                <w:szCs w:val="18"/>
                <w:lang w:val="es-CO" w:eastAsia="es-CO"/>
              </w:rPr>
              <w:t xml:space="preserve">de los recursos disponibles </w:t>
            </w:r>
            <w:r w:rsidR="00EE00BF" w:rsidRPr="00A21B5C">
              <w:rPr>
                <w:rFonts w:ascii="Arial" w:eastAsia="Times New Roman" w:hAnsi="Arial" w:cs="Arial"/>
                <w:color w:val="000000"/>
                <w:sz w:val="18"/>
                <w:szCs w:val="18"/>
                <w:lang w:val="es-CO" w:eastAsia="es-CO"/>
              </w:rPr>
              <w:t xml:space="preserve">del Resguardo, que </w:t>
            </w:r>
            <w:r w:rsidRPr="00A21B5C">
              <w:rPr>
                <w:rFonts w:ascii="Arial" w:eastAsia="Times New Roman" w:hAnsi="Arial" w:cs="Arial"/>
                <w:color w:val="000000"/>
                <w:sz w:val="18"/>
                <w:szCs w:val="18"/>
                <w:lang w:val="es-CO" w:eastAsia="es-CO"/>
              </w:rPr>
              <w:t xml:space="preserve">según </w:t>
            </w:r>
            <w:r w:rsidR="00EE00BF" w:rsidRPr="00A21B5C">
              <w:rPr>
                <w:rFonts w:ascii="Arial" w:eastAsia="Times New Roman" w:hAnsi="Arial" w:cs="Arial"/>
                <w:color w:val="000000"/>
                <w:sz w:val="18"/>
                <w:szCs w:val="18"/>
                <w:lang w:val="es-CO" w:eastAsia="es-CO"/>
              </w:rPr>
              <w:t xml:space="preserve">la Ejecución Presupuestal </w:t>
            </w:r>
            <w:r w:rsidR="00B75718" w:rsidRPr="00A21B5C">
              <w:rPr>
                <w:rFonts w:ascii="Arial" w:eastAsia="Times New Roman" w:hAnsi="Arial" w:cs="Arial"/>
                <w:color w:val="000000"/>
                <w:sz w:val="18"/>
                <w:szCs w:val="18"/>
                <w:lang w:val="es-CO" w:eastAsia="es-CO"/>
              </w:rPr>
              <w:t xml:space="preserve">de Ingresos </w:t>
            </w:r>
            <w:r w:rsidR="00EE00BF" w:rsidRPr="00A21B5C">
              <w:rPr>
                <w:rFonts w:ascii="Arial" w:eastAsia="Times New Roman" w:hAnsi="Arial" w:cs="Arial"/>
                <w:color w:val="000000"/>
                <w:sz w:val="18"/>
                <w:szCs w:val="18"/>
                <w:lang w:val="es-CO" w:eastAsia="es-CO"/>
              </w:rPr>
              <w:t xml:space="preserve">de la vigencia </w:t>
            </w:r>
            <w:r w:rsidRPr="00A21B5C">
              <w:rPr>
                <w:rFonts w:ascii="Arial" w:eastAsia="Times New Roman" w:hAnsi="Arial" w:cs="Arial"/>
                <w:color w:val="000000"/>
                <w:sz w:val="18"/>
                <w:szCs w:val="18"/>
                <w:lang w:val="es-CO" w:eastAsia="es-CO"/>
              </w:rPr>
              <w:t>2019 ascendían</w:t>
            </w:r>
            <w:r w:rsidR="00B75718" w:rsidRPr="00A21B5C">
              <w:rPr>
                <w:rFonts w:ascii="Arial" w:eastAsia="Times New Roman" w:hAnsi="Arial" w:cs="Arial"/>
                <w:color w:val="000000"/>
                <w:sz w:val="18"/>
                <w:szCs w:val="18"/>
                <w:lang w:val="es-CO" w:eastAsia="es-CO"/>
              </w:rPr>
              <w:t xml:space="preserve"> a</w:t>
            </w:r>
            <w:r w:rsidRPr="00A21B5C">
              <w:rPr>
                <w:rFonts w:ascii="Arial" w:eastAsia="Times New Roman" w:hAnsi="Arial" w:cs="Arial"/>
                <w:color w:val="000000"/>
                <w:sz w:val="18"/>
                <w:szCs w:val="18"/>
                <w:lang w:val="es-CO" w:eastAsia="es-CO"/>
              </w:rPr>
              <w:t xml:space="preserve"> $6.223.753.891.</w:t>
            </w:r>
          </w:p>
        </w:tc>
      </w:tr>
      <w:tr w:rsidR="008C2E4A" w:rsidRPr="00A21B5C" w:rsidTr="00A96D69">
        <w:trPr>
          <w:trHeight w:val="251"/>
          <w:jc w:val="center"/>
        </w:trPr>
        <w:tc>
          <w:tcPr>
            <w:tcW w:w="993" w:type="dxa"/>
            <w:tcBorders>
              <w:top w:val="dashSmallGap" w:sz="4" w:space="0" w:color="A6A6A6" w:themeColor="background1" w:themeShade="A6"/>
              <w:left w:val="nil"/>
              <w:bottom w:val="single" w:sz="4" w:space="0" w:color="000000" w:themeColor="text1"/>
              <w:right w:val="nil"/>
            </w:tcBorders>
            <w:vAlign w:val="center"/>
            <w:hideMark/>
          </w:tcPr>
          <w:p w:rsidR="008C2E4A" w:rsidRPr="00A21B5C" w:rsidRDefault="008C2E4A" w:rsidP="00A21B5C">
            <w:pPr>
              <w:contextualSpacing/>
              <w:jc w:val="right"/>
              <w:rPr>
                <w:rFonts w:ascii="Arial" w:eastAsia="Times New Roman" w:hAnsi="Arial" w:cs="Arial"/>
                <w:color w:val="000000"/>
                <w:sz w:val="18"/>
                <w:szCs w:val="18"/>
                <w:lang w:val="es-CO" w:eastAsia="es-CO"/>
              </w:rPr>
            </w:pPr>
            <w:r w:rsidRPr="00A21B5C">
              <w:rPr>
                <w:rFonts w:ascii="Arial" w:eastAsia="Times New Roman" w:hAnsi="Arial" w:cs="Arial"/>
                <w:color w:val="000000"/>
                <w:sz w:val="18"/>
                <w:szCs w:val="18"/>
                <w:lang w:val="es-CO" w:eastAsia="es-CO"/>
              </w:rPr>
              <w:t>24/04/2019</w:t>
            </w:r>
          </w:p>
        </w:tc>
        <w:tc>
          <w:tcPr>
            <w:tcW w:w="3260" w:type="dxa"/>
            <w:tcBorders>
              <w:top w:val="dashSmallGap" w:sz="4" w:space="0" w:color="A6A6A6" w:themeColor="background1" w:themeShade="A6"/>
              <w:left w:val="nil"/>
              <w:bottom w:val="single" w:sz="4" w:space="0" w:color="000000" w:themeColor="text1"/>
              <w:right w:val="nil"/>
            </w:tcBorders>
            <w:vAlign w:val="center"/>
            <w:hideMark/>
          </w:tcPr>
          <w:p w:rsidR="008C2E4A" w:rsidRPr="00A21B5C" w:rsidRDefault="008C2E4A" w:rsidP="00A21B5C">
            <w:pPr>
              <w:contextualSpacing/>
              <w:jc w:val="both"/>
              <w:rPr>
                <w:rFonts w:ascii="Arial" w:eastAsia="Times New Roman" w:hAnsi="Arial" w:cs="Arial"/>
                <w:color w:val="000000"/>
                <w:sz w:val="18"/>
                <w:szCs w:val="18"/>
                <w:lang w:val="es-CO" w:eastAsia="es-CO"/>
              </w:rPr>
            </w:pPr>
            <w:r w:rsidRPr="00A21B5C">
              <w:rPr>
                <w:rFonts w:ascii="Arial" w:eastAsia="Times New Roman" w:hAnsi="Arial" w:cs="Arial"/>
                <w:color w:val="000000"/>
                <w:sz w:val="18"/>
                <w:szCs w:val="18"/>
                <w:lang w:val="es-CO" w:eastAsia="es-CO"/>
              </w:rPr>
              <w:t xml:space="preserve">Otrosí N° 1 </w:t>
            </w:r>
          </w:p>
        </w:tc>
        <w:tc>
          <w:tcPr>
            <w:tcW w:w="1248" w:type="dxa"/>
            <w:tcBorders>
              <w:top w:val="dashSmallGap" w:sz="4" w:space="0" w:color="A6A6A6" w:themeColor="background1" w:themeShade="A6"/>
              <w:left w:val="nil"/>
              <w:bottom w:val="single" w:sz="4" w:space="0" w:color="000000" w:themeColor="text1"/>
              <w:right w:val="nil"/>
            </w:tcBorders>
            <w:vAlign w:val="center"/>
            <w:hideMark/>
          </w:tcPr>
          <w:p w:rsidR="008C2E4A" w:rsidRPr="00A21B5C" w:rsidRDefault="008C2E4A" w:rsidP="00A21B5C">
            <w:pPr>
              <w:contextualSpacing/>
              <w:jc w:val="right"/>
              <w:rPr>
                <w:rFonts w:ascii="Arial" w:eastAsia="Times New Roman" w:hAnsi="Arial" w:cs="Arial"/>
                <w:color w:val="000000"/>
                <w:sz w:val="18"/>
                <w:szCs w:val="18"/>
                <w:lang w:val="es-CO" w:eastAsia="es-CO"/>
              </w:rPr>
            </w:pPr>
            <w:r w:rsidRPr="00A21B5C">
              <w:rPr>
                <w:rFonts w:ascii="Arial" w:eastAsia="Times New Roman" w:hAnsi="Arial" w:cs="Arial"/>
                <w:color w:val="000000"/>
                <w:sz w:val="18"/>
                <w:szCs w:val="18"/>
                <w:lang w:val="es-CO" w:eastAsia="es-CO"/>
              </w:rPr>
              <w:t>$4.691.894.993</w:t>
            </w:r>
          </w:p>
        </w:tc>
        <w:tc>
          <w:tcPr>
            <w:tcW w:w="3969" w:type="dxa"/>
            <w:tcBorders>
              <w:top w:val="dashSmallGap" w:sz="4" w:space="0" w:color="A6A6A6" w:themeColor="background1" w:themeShade="A6"/>
              <w:left w:val="nil"/>
              <w:bottom w:val="single" w:sz="4" w:space="0" w:color="000000" w:themeColor="text1"/>
              <w:right w:val="nil"/>
            </w:tcBorders>
            <w:vAlign w:val="center"/>
          </w:tcPr>
          <w:p w:rsidR="001016DF" w:rsidRPr="00A21B5C" w:rsidRDefault="001016DF" w:rsidP="00A21B5C">
            <w:pPr>
              <w:pStyle w:val="Prrafodelista"/>
              <w:numPr>
                <w:ilvl w:val="0"/>
                <w:numId w:val="10"/>
              </w:numPr>
              <w:jc w:val="both"/>
              <w:rPr>
                <w:rFonts w:ascii="Arial" w:eastAsia="Times New Roman" w:hAnsi="Arial" w:cs="Arial"/>
                <w:color w:val="000000"/>
                <w:sz w:val="18"/>
                <w:szCs w:val="18"/>
                <w:lang w:val="es-CO" w:eastAsia="es-CO"/>
              </w:rPr>
            </w:pPr>
            <w:r w:rsidRPr="00A21B5C">
              <w:rPr>
                <w:rFonts w:ascii="Arial" w:eastAsia="Times New Roman" w:hAnsi="Arial" w:cs="Arial"/>
                <w:color w:val="000000"/>
                <w:sz w:val="18"/>
                <w:szCs w:val="18"/>
                <w:lang w:val="es-CO" w:eastAsia="es-CO"/>
              </w:rPr>
              <w:t>Se incorpora</w:t>
            </w:r>
            <w:r w:rsidR="0030384D" w:rsidRPr="00A21B5C">
              <w:rPr>
                <w:rFonts w:ascii="Arial" w:eastAsia="Times New Roman" w:hAnsi="Arial" w:cs="Arial"/>
                <w:color w:val="000000"/>
                <w:sz w:val="18"/>
                <w:szCs w:val="18"/>
                <w:lang w:val="es-CO" w:eastAsia="es-CO"/>
              </w:rPr>
              <w:t>ron</w:t>
            </w:r>
            <w:r w:rsidRPr="00A21B5C">
              <w:rPr>
                <w:rFonts w:ascii="Arial" w:eastAsia="Times New Roman" w:hAnsi="Arial" w:cs="Arial"/>
                <w:color w:val="000000"/>
                <w:sz w:val="18"/>
                <w:szCs w:val="18"/>
                <w:lang w:val="es-CO" w:eastAsia="es-CO"/>
              </w:rPr>
              <w:t xml:space="preserve"> los recursos y la programación del </w:t>
            </w:r>
            <w:r w:rsidR="00560D61" w:rsidRPr="00A21B5C">
              <w:rPr>
                <w:rFonts w:ascii="Arial" w:eastAsia="Times New Roman" w:hAnsi="Arial" w:cs="Arial"/>
                <w:color w:val="000000"/>
                <w:sz w:val="18"/>
                <w:szCs w:val="18"/>
                <w:lang w:val="es-CO" w:eastAsia="es-CO"/>
              </w:rPr>
              <w:t>P</w:t>
            </w:r>
            <w:r w:rsidRPr="00A21B5C">
              <w:rPr>
                <w:rFonts w:ascii="Arial" w:eastAsia="Times New Roman" w:hAnsi="Arial" w:cs="Arial"/>
                <w:color w:val="000000"/>
                <w:sz w:val="18"/>
                <w:szCs w:val="18"/>
                <w:lang w:val="es-CO" w:eastAsia="es-CO"/>
              </w:rPr>
              <w:t>ueblo Arhuaco</w:t>
            </w:r>
          </w:p>
          <w:p w:rsidR="00133DD6" w:rsidRPr="00A21B5C" w:rsidRDefault="008C2E4A" w:rsidP="00A21B5C">
            <w:pPr>
              <w:pStyle w:val="Prrafodelista"/>
              <w:numPr>
                <w:ilvl w:val="0"/>
                <w:numId w:val="10"/>
              </w:numPr>
              <w:jc w:val="both"/>
              <w:rPr>
                <w:rFonts w:ascii="Arial" w:eastAsia="Times New Roman" w:hAnsi="Arial" w:cs="Arial"/>
                <w:color w:val="000000"/>
                <w:sz w:val="18"/>
                <w:szCs w:val="18"/>
                <w:lang w:val="es-CO" w:eastAsia="es-CO"/>
              </w:rPr>
            </w:pPr>
            <w:r w:rsidRPr="00A21B5C">
              <w:rPr>
                <w:rFonts w:ascii="Arial" w:eastAsia="Times New Roman" w:hAnsi="Arial" w:cs="Arial"/>
                <w:color w:val="000000"/>
                <w:sz w:val="18"/>
                <w:szCs w:val="18"/>
                <w:lang w:val="es-CO" w:eastAsia="es-CO"/>
              </w:rPr>
              <w:t xml:space="preserve">El valor del </w:t>
            </w:r>
            <w:r w:rsidR="0098726C" w:rsidRPr="00A21B5C">
              <w:rPr>
                <w:rFonts w:ascii="Arial" w:eastAsia="Times New Roman" w:hAnsi="Arial" w:cs="Arial"/>
                <w:color w:val="000000"/>
                <w:sz w:val="18"/>
                <w:szCs w:val="18"/>
                <w:lang w:val="es-CO" w:eastAsia="es-CO"/>
              </w:rPr>
              <w:t xml:space="preserve">Convenio </w:t>
            </w:r>
            <w:r w:rsidR="0030384D" w:rsidRPr="00A21B5C">
              <w:rPr>
                <w:rFonts w:ascii="Arial" w:eastAsia="Times New Roman" w:hAnsi="Arial" w:cs="Arial"/>
                <w:color w:val="000000"/>
                <w:sz w:val="18"/>
                <w:szCs w:val="18"/>
                <w:lang w:val="es-CO" w:eastAsia="es-CO"/>
              </w:rPr>
              <w:t xml:space="preserve">sigue difiriendo </w:t>
            </w:r>
            <w:r w:rsidR="00133DD6" w:rsidRPr="00A21B5C">
              <w:rPr>
                <w:rFonts w:ascii="Arial" w:eastAsia="Times New Roman" w:hAnsi="Arial" w:cs="Arial"/>
                <w:color w:val="000000"/>
                <w:sz w:val="18"/>
                <w:szCs w:val="18"/>
                <w:lang w:val="es-CO" w:eastAsia="es-CO"/>
              </w:rPr>
              <w:t>del valor total de los recursos disponibles del Resguardo, que según la Ejecución Presupuestal de Ingresos de la vigencia 2019 ascendían a $6.223.753.891.</w:t>
            </w:r>
          </w:p>
          <w:p w:rsidR="008C2E4A" w:rsidRPr="00A21B5C" w:rsidRDefault="00B310B4" w:rsidP="00A21B5C">
            <w:pPr>
              <w:pStyle w:val="Prrafodelista"/>
              <w:numPr>
                <w:ilvl w:val="0"/>
                <w:numId w:val="10"/>
              </w:numPr>
              <w:jc w:val="both"/>
              <w:rPr>
                <w:rFonts w:ascii="Arial" w:eastAsia="Times New Roman" w:hAnsi="Arial" w:cs="Arial"/>
                <w:color w:val="000000"/>
                <w:sz w:val="18"/>
                <w:szCs w:val="18"/>
                <w:lang w:val="es-CO" w:eastAsia="es-CO"/>
              </w:rPr>
            </w:pPr>
            <w:r w:rsidRPr="00A21B5C">
              <w:rPr>
                <w:rFonts w:ascii="Arial" w:eastAsia="Times New Roman" w:hAnsi="Arial" w:cs="Arial"/>
                <w:color w:val="000000"/>
                <w:sz w:val="18"/>
                <w:szCs w:val="18"/>
                <w:lang w:val="es-CO" w:eastAsia="es-CO"/>
              </w:rPr>
              <w:t xml:space="preserve">Además de ser firmado por el Gobernador del </w:t>
            </w:r>
            <w:r w:rsidR="008C2E4A" w:rsidRPr="00A21B5C">
              <w:rPr>
                <w:rFonts w:ascii="Arial" w:eastAsia="Times New Roman" w:hAnsi="Arial" w:cs="Arial"/>
                <w:color w:val="000000"/>
                <w:sz w:val="18"/>
                <w:szCs w:val="18"/>
                <w:lang w:val="es-CO" w:eastAsia="es-CO"/>
              </w:rPr>
              <w:t xml:space="preserve">Cabildo </w:t>
            </w:r>
            <w:r w:rsidRPr="00A21B5C">
              <w:rPr>
                <w:rFonts w:ascii="Arial" w:eastAsia="Times New Roman" w:hAnsi="Arial" w:cs="Arial"/>
                <w:color w:val="000000"/>
                <w:sz w:val="18"/>
                <w:szCs w:val="18"/>
                <w:lang w:val="es-CO" w:eastAsia="es-CO"/>
              </w:rPr>
              <w:t xml:space="preserve">Indígena del Resguardo Indígena Kogui – Malayo – Arhuaco, fue firmado también por el </w:t>
            </w:r>
            <w:r w:rsidR="008C2E4A" w:rsidRPr="00A21B5C">
              <w:rPr>
                <w:rFonts w:ascii="Arial" w:eastAsia="Times New Roman" w:hAnsi="Arial" w:cs="Arial"/>
                <w:color w:val="000000"/>
                <w:sz w:val="18"/>
                <w:szCs w:val="18"/>
                <w:lang w:val="es-CO" w:eastAsia="es-CO"/>
              </w:rPr>
              <w:t>Cabildo Gobernador de la Comunidad Arhuaco</w:t>
            </w:r>
            <w:r w:rsidR="00517A8D" w:rsidRPr="00A21B5C">
              <w:rPr>
                <w:rFonts w:ascii="Arial" w:eastAsia="Times New Roman" w:hAnsi="Arial" w:cs="Arial"/>
                <w:color w:val="000000"/>
                <w:sz w:val="18"/>
                <w:szCs w:val="18"/>
                <w:lang w:val="es-CO" w:eastAsia="es-CO"/>
              </w:rPr>
              <w:t>.</w:t>
            </w:r>
          </w:p>
        </w:tc>
      </w:tr>
    </w:tbl>
    <w:p w:rsidR="00EB0973" w:rsidRPr="00A21B5C" w:rsidRDefault="00EB0973" w:rsidP="00A21B5C">
      <w:pPr>
        <w:contextualSpacing/>
        <w:jc w:val="center"/>
        <w:rPr>
          <w:rFonts w:ascii="Arial" w:hAnsi="Arial" w:cs="Arial"/>
          <w:sz w:val="20"/>
          <w:szCs w:val="20"/>
          <w:lang w:val="es-CO"/>
        </w:rPr>
      </w:pPr>
      <w:r w:rsidRPr="00A21B5C">
        <w:rPr>
          <w:rFonts w:ascii="Arial" w:hAnsi="Arial" w:cs="Arial"/>
          <w:b/>
          <w:bCs/>
          <w:noProof/>
          <w:sz w:val="20"/>
          <w:szCs w:val="20"/>
        </w:rPr>
        <w:t xml:space="preserve">Fuente: </w:t>
      </w:r>
      <w:r w:rsidRPr="00A21B5C">
        <w:rPr>
          <w:rFonts w:ascii="Arial" w:hAnsi="Arial" w:cs="Arial"/>
          <w:noProof/>
          <w:sz w:val="20"/>
          <w:szCs w:val="20"/>
        </w:rPr>
        <w:t>Contratos de Administración suscritos entre</w:t>
      </w:r>
      <w:r w:rsidR="004F193A" w:rsidRPr="00A21B5C">
        <w:rPr>
          <w:rFonts w:ascii="Arial" w:hAnsi="Arial" w:cs="Arial"/>
          <w:noProof/>
          <w:sz w:val="20"/>
          <w:szCs w:val="20"/>
        </w:rPr>
        <w:t xml:space="preserve"> </w:t>
      </w:r>
      <w:r w:rsidRPr="00A21B5C">
        <w:rPr>
          <w:rFonts w:ascii="Arial" w:hAnsi="Arial" w:cs="Arial"/>
          <w:noProof/>
          <w:sz w:val="20"/>
          <w:szCs w:val="20"/>
        </w:rPr>
        <w:t xml:space="preserve">el Resguardo Indígena Kogui – Malayo – Arhuaco </w:t>
      </w:r>
      <w:r w:rsidR="004F193A" w:rsidRPr="00A21B5C">
        <w:rPr>
          <w:rFonts w:ascii="Arial" w:hAnsi="Arial" w:cs="Arial"/>
          <w:noProof/>
          <w:sz w:val="20"/>
          <w:szCs w:val="20"/>
        </w:rPr>
        <w:t xml:space="preserve">y el Municipio de Dibulla – La Guajira para </w:t>
      </w:r>
      <w:r w:rsidRPr="00A21B5C">
        <w:rPr>
          <w:rFonts w:ascii="Arial" w:hAnsi="Arial" w:cs="Arial"/>
          <w:noProof/>
          <w:sz w:val="20"/>
          <w:szCs w:val="20"/>
        </w:rPr>
        <w:t>las vigencias 2017, 2018 y 2019</w:t>
      </w:r>
      <w:r w:rsidR="00E92106" w:rsidRPr="00A21B5C">
        <w:rPr>
          <w:rFonts w:ascii="Arial" w:hAnsi="Arial" w:cs="Arial"/>
          <w:noProof/>
          <w:sz w:val="20"/>
          <w:szCs w:val="20"/>
        </w:rPr>
        <w:t>.</w:t>
      </w:r>
    </w:p>
    <w:p w:rsidR="0048736A" w:rsidRPr="00A21B5C" w:rsidRDefault="0048736A" w:rsidP="00A21B5C">
      <w:pPr>
        <w:contextualSpacing/>
        <w:jc w:val="both"/>
        <w:rPr>
          <w:rFonts w:ascii="Arial" w:hAnsi="Arial" w:cs="Arial"/>
          <w:sz w:val="22"/>
          <w:szCs w:val="22"/>
          <w:lang w:val="es-CO"/>
        </w:rPr>
      </w:pPr>
    </w:p>
    <w:p w:rsidR="00455505" w:rsidRPr="00A21B5C" w:rsidRDefault="008C2E4A" w:rsidP="00A21B5C">
      <w:pPr>
        <w:contextualSpacing/>
        <w:jc w:val="both"/>
        <w:rPr>
          <w:rFonts w:ascii="Arial" w:hAnsi="Arial" w:cs="Arial"/>
          <w:sz w:val="22"/>
          <w:szCs w:val="22"/>
          <w:lang w:val="es-CO"/>
        </w:rPr>
      </w:pPr>
      <w:r w:rsidRPr="00A21B5C">
        <w:rPr>
          <w:rFonts w:ascii="Arial" w:hAnsi="Arial" w:cs="Arial"/>
          <w:sz w:val="22"/>
          <w:szCs w:val="22"/>
          <w:lang w:val="es-CO"/>
        </w:rPr>
        <w:t>Con base en estas observaciones</w:t>
      </w:r>
      <w:r w:rsidR="008A49D7" w:rsidRPr="00A21B5C">
        <w:rPr>
          <w:rFonts w:ascii="Arial" w:hAnsi="Arial" w:cs="Arial"/>
          <w:sz w:val="22"/>
          <w:szCs w:val="22"/>
          <w:lang w:val="es-CO"/>
        </w:rPr>
        <w:t>,</w:t>
      </w:r>
      <w:r w:rsidRPr="00A21B5C">
        <w:rPr>
          <w:rFonts w:ascii="Arial" w:hAnsi="Arial" w:cs="Arial"/>
          <w:sz w:val="22"/>
          <w:szCs w:val="22"/>
          <w:lang w:val="es-CO"/>
        </w:rPr>
        <w:t xml:space="preserve"> se evidencia que </w:t>
      </w:r>
      <w:r w:rsidR="00095F43" w:rsidRPr="00A21B5C">
        <w:rPr>
          <w:rFonts w:ascii="Arial" w:hAnsi="Arial" w:cs="Arial"/>
          <w:sz w:val="22"/>
          <w:szCs w:val="22"/>
          <w:lang w:val="es-CO"/>
        </w:rPr>
        <w:t xml:space="preserve">es recurrente </w:t>
      </w:r>
      <w:r w:rsidRPr="00A21B5C">
        <w:rPr>
          <w:rFonts w:ascii="Arial" w:hAnsi="Arial" w:cs="Arial"/>
          <w:sz w:val="22"/>
          <w:szCs w:val="22"/>
          <w:lang w:val="es-CO"/>
        </w:rPr>
        <w:t xml:space="preserve">el incumplimiento en la fecha límite para la firma de los </w:t>
      </w:r>
      <w:r w:rsidR="0098726C" w:rsidRPr="00A21B5C">
        <w:rPr>
          <w:rFonts w:ascii="Arial" w:hAnsi="Arial" w:cs="Arial"/>
          <w:sz w:val="22"/>
          <w:szCs w:val="22"/>
          <w:lang w:val="es-CO"/>
        </w:rPr>
        <w:t xml:space="preserve">Convenios </w:t>
      </w:r>
      <w:r w:rsidRPr="00A21B5C">
        <w:rPr>
          <w:rFonts w:ascii="Arial" w:hAnsi="Arial" w:cs="Arial"/>
          <w:sz w:val="22"/>
          <w:szCs w:val="22"/>
          <w:lang w:val="es-CO"/>
        </w:rPr>
        <w:t xml:space="preserve">de Administración </w:t>
      </w:r>
      <w:r w:rsidR="00DD212E" w:rsidRPr="00A21B5C">
        <w:rPr>
          <w:rFonts w:ascii="Arial" w:hAnsi="Arial" w:cs="Arial"/>
          <w:sz w:val="22"/>
          <w:szCs w:val="22"/>
          <w:lang w:val="es-CO"/>
        </w:rPr>
        <w:t>estipulada por la normativa vigente</w:t>
      </w:r>
      <w:r w:rsidRPr="00A21B5C">
        <w:rPr>
          <w:rFonts w:ascii="Arial" w:hAnsi="Arial" w:cs="Arial"/>
          <w:sz w:val="22"/>
          <w:szCs w:val="22"/>
          <w:lang w:val="es-CO"/>
        </w:rPr>
        <w:t xml:space="preserve">, </w:t>
      </w:r>
      <w:r w:rsidR="008A49D7" w:rsidRPr="00A21B5C">
        <w:rPr>
          <w:rFonts w:ascii="Arial" w:hAnsi="Arial" w:cs="Arial"/>
          <w:sz w:val="22"/>
          <w:szCs w:val="22"/>
          <w:lang w:val="es-CO"/>
        </w:rPr>
        <w:t xml:space="preserve">ya </w:t>
      </w:r>
      <w:r w:rsidRPr="00A21B5C">
        <w:rPr>
          <w:rFonts w:ascii="Arial" w:hAnsi="Arial" w:cs="Arial"/>
          <w:sz w:val="22"/>
          <w:szCs w:val="22"/>
          <w:lang w:val="es-CO"/>
        </w:rPr>
        <w:t xml:space="preserve">que los </w:t>
      </w:r>
      <w:r w:rsidR="0098726C" w:rsidRPr="00A21B5C">
        <w:rPr>
          <w:rFonts w:ascii="Arial" w:hAnsi="Arial" w:cs="Arial"/>
          <w:sz w:val="22"/>
          <w:szCs w:val="22"/>
          <w:lang w:val="es-CO"/>
        </w:rPr>
        <w:t xml:space="preserve">Convenios </w:t>
      </w:r>
      <w:r w:rsidRPr="00A21B5C">
        <w:rPr>
          <w:rFonts w:ascii="Arial" w:hAnsi="Arial" w:cs="Arial"/>
          <w:sz w:val="22"/>
          <w:szCs w:val="22"/>
          <w:lang w:val="es-CO"/>
        </w:rPr>
        <w:t xml:space="preserve">con el Resguardo Indígena </w:t>
      </w:r>
      <w:r w:rsidRPr="00A21B5C">
        <w:rPr>
          <w:rFonts w:ascii="Arial" w:hAnsi="Arial" w:cs="Arial"/>
          <w:iCs/>
          <w:sz w:val="22"/>
          <w:szCs w:val="22"/>
          <w:lang w:val="es-CO"/>
        </w:rPr>
        <w:t>Kogui – Malayo – Arhuaco</w:t>
      </w:r>
      <w:r w:rsidRPr="00A21B5C">
        <w:rPr>
          <w:rFonts w:ascii="Arial" w:hAnsi="Arial" w:cs="Arial"/>
          <w:sz w:val="22"/>
          <w:szCs w:val="22"/>
          <w:lang w:val="es-CO"/>
        </w:rPr>
        <w:t xml:space="preserve"> fueron firmados para las vigencias</w:t>
      </w:r>
      <w:r w:rsidR="00D77AD9" w:rsidRPr="00A21B5C">
        <w:rPr>
          <w:rFonts w:ascii="Arial" w:hAnsi="Arial" w:cs="Arial"/>
          <w:sz w:val="22"/>
          <w:szCs w:val="22"/>
          <w:lang w:val="es-CO"/>
        </w:rPr>
        <w:t xml:space="preserve"> 2016,</w:t>
      </w:r>
      <w:r w:rsidRPr="00A21B5C">
        <w:rPr>
          <w:rFonts w:ascii="Arial" w:hAnsi="Arial" w:cs="Arial"/>
          <w:sz w:val="22"/>
          <w:szCs w:val="22"/>
          <w:lang w:val="es-CO"/>
        </w:rPr>
        <w:t xml:space="preserve"> 2017</w:t>
      </w:r>
      <w:r w:rsidR="00D77AD9" w:rsidRPr="00A21B5C">
        <w:rPr>
          <w:rFonts w:ascii="Arial" w:hAnsi="Arial" w:cs="Arial"/>
          <w:sz w:val="22"/>
          <w:szCs w:val="22"/>
          <w:lang w:val="es-CO"/>
        </w:rPr>
        <w:t xml:space="preserve">, </w:t>
      </w:r>
      <w:r w:rsidRPr="00A21B5C">
        <w:rPr>
          <w:rFonts w:ascii="Arial" w:hAnsi="Arial" w:cs="Arial"/>
          <w:sz w:val="22"/>
          <w:szCs w:val="22"/>
          <w:lang w:val="es-CO"/>
        </w:rPr>
        <w:t>2018</w:t>
      </w:r>
      <w:r w:rsidR="00D77AD9" w:rsidRPr="00A21B5C">
        <w:rPr>
          <w:rFonts w:ascii="Arial" w:hAnsi="Arial" w:cs="Arial"/>
          <w:sz w:val="22"/>
          <w:szCs w:val="22"/>
          <w:lang w:val="es-CO"/>
        </w:rPr>
        <w:t xml:space="preserve"> y 2019</w:t>
      </w:r>
      <w:r w:rsidRPr="00A21B5C">
        <w:rPr>
          <w:rFonts w:ascii="Arial" w:hAnsi="Arial" w:cs="Arial"/>
          <w:sz w:val="22"/>
          <w:szCs w:val="22"/>
          <w:lang w:val="es-CO"/>
        </w:rPr>
        <w:t xml:space="preserve"> durante el transcurso de la vigencia misma, reflejo </w:t>
      </w:r>
      <w:r w:rsidR="000E362A" w:rsidRPr="00A21B5C">
        <w:rPr>
          <w:rFonts w:ascii="Arial" w:hAnsi="Arial" w:cs="Arial"/>
          <w:sz w:val="22"/>
          <w:szCs w:val="22"/>
          <w:lang w:val="es-CO"/>
        </w:rPr>
        <w:t xml:space="preserve">además </w:t>
      </w:r>
      <w:r w:rsidRPr="00A21B5C">
        <w:rPr>
          <w:rFonts w:ascii="Arial" w:hAnsi="Arial" w:cs="Arial"/>
          <w:sz w:val="22"/>
          <w:szCs w:val="22"/>
          <w:lang w:val="es-CO"/>
        </w:rPr>
        <w:t>de la inoportuna programación de los recursos detallada en la sección anterior.</w:t>
      </w:r>
    </w:p>
    <w:p w:rsidR="00455505" w:rsidRPr="00A21B5C" w:rsidRDefault="00455505" w:rsidP="00A21B5C">
      <w:pPr>
        <w:contextualSpacing/>
        <w:jc w:val="both"/>
        <w:rPr>
          <w:rFonts w:ascii="Arial" w:hAnsi="Arial" w:cs="Arial"/>
          <w:sz w:val="22"/>
          <w:szCs w:val="22"/>
          <w:lang w:val="es-CO"/>
        </w:rPr>
      </w:pPr>
    </w:p>
    <w:p w:rsidR="008C2E4A" w:rsidRPr="00A21B5C" w:rsidRDefault="00455505" w:rsidP="00A21B5C">
      <w:pPr>
        <w:contextualSpacing/>
        <w:jc w:val="both"/>
        <w:rPr>
          <w:rFonts w:ascii="Arial" w:hAnsi="Arial" w:cs="Arial"/>
          <w:sz w:val="22"/>
          <w:szCs w:val="22"/>
          <w:lang w:val="es-CO"/>
        </w:rPr>
      </w:pPr>
      <w:r w:rsidRPr="00A21B5C">
        <w:rPr>
          <w:rFonts w:ascii="Arial" w:hAnsi="Arial" w:cs="Arial"/>
          <w:sz w:val="22"/>
          <w:szCs w:val="22"/>
          <w:lang w:val="es-CO"/>
        </w:rPr>
        <w:t>Por otra parte</w:t>
      </w:r>
      <w:r w:rsidR="008C2E4A" w:rsidRPr="00A21B5C">
        <w:rPr>
          <w:rFonts w:ascii="Arial" w:hAnsi="Arial" w:cs="Arial"/>
          <w:sz w:val="22"/>
          <w:szCs w:val="22"/>
          <w:lang w:val="es-CO"/>
        </w:rPr>
        <w:t xml:space="preserve">, es de destacar que durante la vigencia 2018 el </w:t>
      </w:r>
      <w:r w:rsidR="0098726C" w:rsidRPr="00A21B5C">
        <w:rPr>
          <w:rFonts w:ascii="Arial" w:hAnsi="Arial" w:cs="Arial"/>
          <w:sz w:val="22"/>
          <w:szCs w:val="22"/>
          <w:lang w:val="es-CO"/>
        </w:rPr>
        <w:t xml:space="preserve">Convenio </w:t>
      </w:r>
      <w:r w:rsidR="008C2E4A" w:rsidRPr="00A21B5C">
        <w:rPr>
          <w:rFonts w:ascii="Arial" w:hAnsi="Arial" w:cs="Arial"/>
          <w:sz w:val="22"/>
          <w:szCs w:val="22"/>
          <w:lang w:val="es-CO"/>
        </w:rPr>
        <w:t>de Administración presentó inconsistencias en el valor total por el cual fue suscrito</w:t>
      </w:r>
      <w:r w:rsidR="00205026" w:rsidRPr="00A21B5C">
        <w:rPr>
          <w:rFonts w:ascii="Arial" w:hAnsi="Arial" w:cs="Arial"/>
          <w:sz w:val="22"/>
          <w:szCs w:val="22"/>
          <w:lang w:val="es-CO"/>
        </w:rPr>
        <w:t>,</w:t>
      </w:r>
      <w:r w:rsidR="008C2E4A" w:rsidRPr="00A21B5C">
        <w:rPr>
          <w:rFonts w:ascii="Arial" w:hAnsi="Arial" w:cs="Arial"/>
          <w:sz w:val="22"/>
          <w:szCs w:val="22"/>
          <w:lang w:val="es-CO"/>
        </w:rPr>
        <w:t xml:space="preserve"> dado que no fue realizado el </w:t>
      </w:r>
      <w:r w:rsidR="0098726C" w:rsidRPr="00A21B5C">
        <w:rPr>
          <w:rFonts w:ascii="Arial" w:hAnsi="Arial" w:cs="Arial"/>
          <w:sz w:val="22"/>
          <w:szCs w:val="22"/>
          <w:lang w:val="es-CO"/>
        </w:rPr>
        <w:t xml:space="preserve">Otrosí al Convenio </w:t>
      </w:r>
      <w:r w:rsidR="008C2E4A" w:rsidRPr="00A21B5C">
        <w:rPr>
          <w:rFonts w:ascii="Arial" w:hAnsi="Arial" w:cs="Arial"/>
          <w:sz w:val="22"/>
          <w:szCs w:val="22"/>
          <w:lang w:val="es-CO"/>
        </w:rPr>
        <w:t>para</w:t>
      </w:r>
      <w:r w:rsidR="00B37117" w:rsidRPr="00A21B5C">
        <w:rPr>
          <w:rFonts w:ascii="Arial" w:hAnsi="Arial" w:cs="Arial"/>
          <w:sz w:val="22"/>
          <w:szCs w:val="22"/>
          <w:lang w:val="es-CO"/>
        </w:rPr>
        <w:t xml:space="preserve"> ajustar su valor al </w:t>
      </w:r>
      <w:r w:rsidR="00DE1213" w:rsidRPr="00A21B5C">
        <w:rPr>
          <w:rFonts w:ascii="Arial" w:hAnsi="Arial" w:cs="Arial"/>
          <w:sz w:val="22"/>
          <w:szCs w:val="22"/>
          <w:lang w:val="es-CO"/>
        </w:rPr>
        <w:t>monto definitivo de</w:t>
      </w:r>
      <w:r w:rsidR="008C2E4A" w:rsidRPr="00A21B5C">
        <w:rPr>
          <w:rFonts w:ascii="Arial" w:hAnsi="Arial" w:cs="Arial"/>
          <w:sz w:val="22"/>
          <w:szCs w:val="22"/>
          <w:lang w:val="es-CO"/>
        </w:rPr>
        <w:t xml:space="preserve"> recursos asignado</w:t>
      </w:r>
      <w:r w:rsidR="002557B6" w:rsidRPr="00A21B5C">
        <w:rPr>
          <w:rFonts w:ascii="Arial" w:hAnsi="Arial" w:cs="Arial"/>
          <w:sz w:val="22"/>
          <w:szCs w:val="22"/>
          <w:lang w:val="es-CO"/>
        </w:rPr>
        <w:t xml:space="preserve"> al Resguardo por concepto de la AESGPRI para</w:t>
      </w:r>
      <w:r w:rsidR="008C2E4A" w:rsidRPr="00A21B5C">
        <w:rPr>
          <w:rFonts w:ascii="Arial" w:hAnsi="Arial" w:cs="Arial"/>
          <w:sz w:val="22"/>
          <w:szCs w:val="22"/>
          <w:lang w:val="es-CO"/>
        </w:rPr>
        <w:t xml:space="preserve"> </w:t>
      </w:r>
      <w:r w:rsidR="002E75C4" w:rsidRPr="00A21B5C">
        <w:rPr>
          <w:rFonts w:ascii="Arial" w:hAnsi="Arial" w:cs="Arial"/>
          <w:sz w:val="22"/>
          <w:szCs w:val="22"/>
          <w:lang w:val="es-CO"/>
        </w:rPr>
        <w:t xml:space="preserve">la </w:t>
      </w:r>
      <w:r w:rsidR="008C2E4A" w:rsidRPr="00A21B5C">
        <w:rPr>
          <w:rFonts w:ascii="Arial" w:hAnsi="Arial" w:cs="Arial"/>
          <w:sz w:val="22"/>
          <w:szCs w:val="22"/>
          <w:lang w:val="es-CO"/>
        </w:rPr>
        <w:t>vigencia 2018.</w:t>
      </w:r>
      <w:r w:rsidR="002557B6" w:rsidRPr="00A21B5C">
        <w:rPr>
          <w:rFonts w:ascii="Arial" w:hAnsi="Arial" w:cs="Arial"/>
          <w:sz w:val="22"/>
          <w:szCs w:val="22"/>
          <w:lang w:val="es-CO"/>
        </w:rPr>
        <w:t xml:space="preserve"> En el mismo sentido, </w:t>
      </w:r>
      <w:r w:rsidR="009471A7" w:rsidRPr="00A21B5C">
        <w:rPr>
          <w:rFonts w:ascii="Arial" w:hAnsi="Arial" w:cs="Arial"/>
          <w:sz w:val="22"/>
          <w:szCs w:val="22"/>
          <w:lang w:val="es-CO"/>
        </w:rPr>
        <w:t>se</w:t>
      </w:r>
      <w:r w:rsidR="008C2E4A" w:rsidRPr="00A21B5C">
        <w:rPr>
          <w:rFonts w:ascii="Arial" w:hAnsi="Arial" w:cs="Arial"/>
          <w:sz w:val="22"/>
          <w:szCs w:val="22"/>
          <w:lang w:val="es-CO"/>
        </w:rPr>
        <w:t xml:space="preserve"> </w:t>
      </w:r>
      <w:r w:rsidR="00934611" w:rsidRPr="00A21B5C">
        <w:rPr>
          <w:rFonts w:ascii="Arial" w:hAnsi="Arial" w:cs="Arial"/>
          <w:sz w:val="22"/>
          <w:szCs w:val="22"/>
          <w:lang w:val="es-CO"/>
        </w:rPr>
        <w:lastRenderedPageBreak/>
        <w:t xml:space="preserve">evidencia </w:t>
      </w:r>
      <w:r w:rsidR="008C2E4A" w:rsidRPr="00A21B5C">
        <w:rPr>
          <w:rFonts w:ascii="Arial" w:hAnsi="Arial" w:cs="Arial"/>
          <w:sz w:val="22"/>
          <w:szCs w:val="22"/>
          <w:lang w:val="es-CO"/>
        </w:rPr>
        <w:t xml:space="preserve">que para la vigencia 2019, el </w:t>
      </w:r>
      <w:r w:rsidR="0098726C" w:rsidRPr="00A21B5C">
        <w:rPr>
          <w:rFonts w:ascii="Arial" w:hAnsi="Arial" w:cs="Arial"/>
          <w:sz w:val="22"/>
          <w:szCs w:val="22"/>
          <w:lang w:val="es-CO"/>
        </w:rPr>
        <w:t xml:space="preserve">Convenio </w:t>
      </w:r>
      <w:r w:rsidR="008C2E4A" w:rsidRPr="00A21B5C">
        <w:rPr>
          <w:rFonts w:ascii="Arial" w:hAnsi="Arial" w:cs="Arial"/>
          <w:sz w:val="22"/>
          <w:szCs w:val="22"/>
          <w:lang w:val="es-CO"/>
        </w:rPr>
        <w:t xml:space="preserve">de Administración </w:t>
      </w:r>
      <w:r w:rsidR="004220B2" w:rsidRPr="00A21B5C">
        <w:rPr>
          <w:rFonts w:ascii="Arial" w:hAnsi="Arial" w:cs="Arial"/>
          <w:sz w:val="22"/>
          <w:szCs w:val="22"/>
          <w:lang w:val="es-CO"/>
        </w:rPr>
        <w:t>fue</w:t>
      </w:r>
      <w:r w:rsidR="008C2E4A" w:rsidRPr="00A21B5C">
        <w:rPr>
          <w:rFonts w:ascii="Arial" w:hAnsi="Arial" w:cs="Arial"/>
          <w:sz w:val="22"/>
          <w:szCs w:val="22"/>
          <w:lang w:val="es-CO"/>
        </w:rPr>
        <w:t xml:space="preserve"> suscrito de manera parcial</w:t>
      </w:r>
      <w:r w:rsidR="00934611" w:rsidRPr="00A21B5C">
        <w:rPr>
          <w:rFonts w:ascii="Arial" w:hAnsi="Arial" w:cs="Arial"/>
          <w:sz w:val="22"/>
          <w:szCs w:val="22"/>
          <w:lang w:val="es-CO"/>
        </w:rPr>
        <w:t>,</w:t>
      </w:r>
      <w:r w:rsidR="008C2E4A" w:rsidRPr="00A21B5C">
        <w:rPr>
          <w:rFonts w:ascii="Arial" w:hAnsi="Arial" w:cs="Arial"/>
          <w:sz w:val="22"/>
          <w:szCs w:val="22"/>
          <w:lang w:val="es-CO"/>
        </w:rPr>
        <w:t xml:space="preserve"> en la medida en que </w:t>
      </w:r>
      <w:r w:rsidR="006331D7" w:rsidRPr="00A21B5C">
        <w:rPr>
          <w:rFonts w:ascii="Arial" w:hAnsi="Arial" w:cs="Arial"/>
          <w:sz w:val="22"/>
          <w:szCs w:val="22"/>
          <w:lang w:val="es-CO"/>
        </w:rPr>
        <w:t>no fueron</w:t>
      </w:r>
      <w:r w:rsidR="008C2E4A" w:rsidRPr="00A21B5C">
        <w:rPr>
          <w:rFonts w:ascii="Arial" w:hAnsi="Arial" w:cs="Arial"/>
          <w:sz w:val="22"/>
          <w:szCs w:val="22"/>
          <w:lang w:val="es-CO"/>
        </w:rPr>
        <w:t xml:space="preserve"> incluidos los recursos y los proyectos de cada </w:t>
      </w:r>
      <w:r w:rsidR="004220B2" w:rsidRPr="00A21B5C">
        <w:rPr>
          <w:rFonts w:ascii="Arial" w:hAnsi="Arial" w:cs="Arial"/>
          <w:sz w:val="22"/>
          <w:szCs w:val="22"/>
          <w:lang w:val="es-CO"/>
        </w:rPr>
        <w:t xml:space="preserve">uno de los tres pueblos </w:t>
      </w:r>
      <w:r w:rsidR="008C2E4A" w:rsidRPr="00A21B5C">
        <w:rPr>
          <w:rFonts w:ascii="Arial" w:hAnsi="Arial" w:cs="Arial"/>
          <w:sz w:val="22"/>
          <w:szCs w:val="22"/>
          <w:lang w:val="es-CO"/>
        </w:rPr>
        <w:t>indígena</w:t>
      </w:r>
      <w:r w:rsidR="004220B2" w:rsidRPr="00A21B5C">
        <w:rPr>
          <w:rFonts w:ascii="Arial" w:hAnsi="Arial" w:cs="Arial"/>
          <w:sz w:val="22"/>
          <w:szCs w:val="22"/>
          <w:lang w:val="es-CO"/>
        </w:rPr>
        <w:t>s</w:t>
      </w:r>
      <w:r w:rsidR="00F817DF" w:rsidRPr="00A21B5C">
        <w:rPr>
          <w:rFonts w:ascii="Arial" w:hAnsi="Arial" w:cs="Arial"/>
          <w:sz w:val="22"/>
          <w:szCs w:val="22"/>
          <w:lang w:val="es-CO"/>
        </w:rPr>
        <w:t xml:space="preserve"> que habitan el Resguardo;</w:t>
      </w:r>
      <w:r w:rsidR="008C2E4A" w:rsidRPr="00A21B5C">
        <w:rPr>
          <w:rFonts w:ascii="Arial" w:hAnsi="Arial" w:cs="Arial"/>
          <w:sz w:val="22"/>
          <w:szCs w:val="22"/>
          <w:lang w:val="es-CO"/>
        </w:rPr>
        <w:t xml:space="preserve"> </w:t>
      </w:r>
      <w:r w:rsidR="00F817DF" w:rsidRPr="00A21B5C">
        <w:rPr>
          <w:rFonts w:ascii="Arial" w:hAnsi="Arial" w:cs="Arial"/>
          <w:sz w:val="22"/>
          <w:szCs w:val="22"/>
          <w:lang w:val="es-CO"/>
        </w:rPr>
        <w:t>n</w:t>
      </w:r>
      <w:r w:rsidR="008C2E4A" w:rsidRPr="00A21B5C">
        <w:rPr>
          <w:rFonts w:ascii="Arial" w:hAnsi="Arial" w:cs="Arial"/>
          <w:sz w:val="22"/>
          <w:szCs w:val="22"/>
          <w:lang w:val="es-CO"/>
        </w:rPr>
        <w:t xml:space="preserve">o obstante, </w:t>
      </w:r>
      <w:r w:rsidR="00C43388" w:rsidRPr="00A21B5C">
        <w:rPr>
          <w:rFonts w:ascii="Arial" w:hAnsi="Arial" w:cs="Arial"/>
          <w:sz w:val="22"/>
          <w:szCs w:val="22"/>
          <w:lang w:val="es-CO"/>
        </w:rPr>
        <w:t xml:space="preserve">y </w:t>
      </w:r>
      <w:r w:rsidR="008C2E4A" w:rsidRPr="00A21B5C">
        <w:rPr>
          <w:rFonts w:ascii="Arial" w:hAnsi="Arial" w:cs="Arial"/>
          <w:sz w:val="22"/>
          <w:szCs w:val="22"/>
          <w:lang w:val="es-CO"/>
        </w:rPr>
        <w:t xml:space="preserve">sin perjuicio de la manera operativa que encontró el Resguardo Indígena para la programación y suscripción del </w:t>
      </w:r>
      <w:r w:rsidR="0098726C" w:rsidRPr="00A21B5C">
        <w:rPr>
          <w:rFonts w:ascii="Arial" w:hAnsi="Arial" w:cs="Arial"/>
          <w:sz w:val="22"/>
          <w:szCs w:val="22"/>
          <w:lang w:val="es-CO"/>
        </w:rPr>
        <w:t xml:space="preserve">Convenio </w:t>
      </w:r>
      <w:r w:rsidR="008C2E4A" w:rsidRPr="00A21B5C">
        <w:rPr>
          <w:rFonts w:ascii="Arial" w:hAnsi="Arial" w:cs="Arial"/>
          <w:sz w:val="22"/>
          <w:szCs w:val="22"/>
          <w:lang w:val="es-CO"/>
        </w:rPr>
        <w:t xml:space="preserve">de Administración, en atención a los lineamientos mínimos que deben quedar dentro del </w:t>
      </w:r>
      <w:r w:rsidR="0098726C" w:rsidRPr="00A21B5C">
        <w:rPr>
          <w:rFonts w:ascii="Arial" w:hAnsi="Arial" w:cs="Arial"/>
          <w:sz w:val="22"/>
          <w:szCs w:val="22"/>
          <w:lang w:val="es-CO"/>
        </w:rPr>
        <w:t xml:space="preserve">Convenio </w:t>
      </w:r>
      <w:r w:rsidR="008C2E4A" w:rsidRPr="00A21B5C">
        <w:rPr>
          <w:rFonts w:ascii="Arial" w:hAnsi="Arial" w:cs="Arial"/>
          <w:sz w:val="22"/>
          <w:szCs w:val="22"/>
          <w:lang w:val="es-CO"/>
        </w:rPr>
        <w:t xml:space="preserve">de Administración de acuerdo con </w:t>
      </w:r>
      <w:r w:rsidR="002A13E6" w:rsidRPr="00A21B5C">
        <w:rPr>
          <w:rFonts w:ascii="Arial" w:hAnsi="Arial" w:cs="Arial"/>
          <w:sz w:val="22"/>
          <w:szCs w:val="22"/>
          <w:lang w:val="es-CO"/>
        </w:rPr>
        <w:t>el</w:t>
      </w:r>
      <w:r w:rsidR="008C2E4A" w:rsidRPr="00A21B5C">
        <w:rPr>
          <w:rFonts w:ascii="Arial" w:hAnsi="Arial" w:cs="Arial"/>
          <w:sz w:val="22"/>
          <w:szCs w:val="22"/>
          <w:lang w:val="es-CO"/>
        </w:rPr>
        <w:t xml:space="preserve"> Ministerio del Interior</w:t>
      </w:r>
      <w:r w:rsidR="008C2E4A" w:rsidRPr="00A21B5C">
        <w:rPr>
          <w:rStyle w:val="Refdenotaalpie"/>
          <w:rFonts w:ascii="Arial" w:hAnsi="Arial" w:cs="Arial"/>
          <w:sz w:val="22"/>
          <w:szCs w:val="22"/>
          <w:lang w:val="es-CO"/>
        </w:rPr>
        <w:footnoteReference w:id="31"/>
      </w:r>
      <w:r w:rsidR="008C2E4A" w:rsidRPr="00A21B5C">
        <w:rPr>
          <w:rFonts w:ascii="Arial" w:hAnsi="Arial" w:cs="Arial"/>
          <w:sz w:val="22"/>
          <w:szCs w:val="22"/>
          <w:lang w:val="es-CO"/>
        </w:rPr>
        <w:t xml:space="preserve">, es </w:t>
      </w:r>
      <w:r w:rsidR="00214594" w:rsidRPr="00A21B5C">
        <w:rPr>
          <w:rFonts w:ascii="Arial" w:hAnsi="Arial" w:cs="Arial"/>
          <w:sz w:val="22"/>
          <w:szCs w:val="22"/>
          <w:lang w:val="es-CO"/>
        </w:rPr>
        <w:t xml:space="preserve">indispensable </w:t>
      </w:r>
      <w:r w:rsidR="008C2E4A" w:rsidRPr="00A21B5C">
        <w:rPr>
          <w:rFonts w:ascii="Arial" w:hAnsi="Arial" w:cs="Arial"/>
          <w:sz w:val="22"/>
          <w:szCs w:val="22"/>
          <w:lang w:val="es-CO"/>
        </w:rPr>
        <w:t xml:space="preserve">que dentro de este queden detallados y a la vista </w:t>
      </w:r>
      <w:r w:rsidR="0021673B" w:rsidRPr="00A21B5C">
        <w:rPr>
          <w:rFonts w:ascii="Arial" w:hAnsi="Arial" w:cs="Arial"/>
          <w:sz w:val="22"/>
          <w:szCs w:val="22"/>
          <w:lang w:val="es-CO"/>
        </w:rPr>
        <w:t xml:space="preserve">la totalidad de </w:t>
      </w:r>
      <w:r w:rsidR="008C2E4A" w:rsidRPr="00A21B5C">
        <w:rPr>
          <w:rFonts w:ascii="Arial" w:hAnsi="Arial" w:cs="Arial"/>
          <w:sz w:val="22"/>
          <w:szCs w:val="22"/>
          <w:lang w:val="es-CO"/>
        </w:rPr>
        <w:t>los recursos disponibles para la vigencia, indistintamente de que sean</w:t>
      </w:r>
      <w:r w:rsidR="0021673B" w:rsidRPr="00A21B5C">
        <w:rPr>
          <w:rFonts w:ascii="Arial" w:hAnsi="Arial" w:cs="Arial"/>
          <w:sz w:val="22"/>
          <w:szCs w:val="22"/>
          <w:lang w:val="es-CO"/>
        </w:rPr>
        <w:t xml:space="preserve"> o no</w:t>
      </w:r>
      <w:r w:rsidR="008C2E4A" w:rsidRPr="00A21B5C">
        <w:rPr>
          <w:rFonts w:ascii="Arial" w:hAnsi="Arial" w:cs="Arial"/>
          <w:sz w:val="22"/>
          <w:szCs w:val="22"/>
          <w:lang w:val="es-CO"/>
        </w:rPr>
        <w:t xml:space="preserve"> programados todos los recursos.</w:t>
      </w:r>
    </w:p>
    <w:p w:rsidR="008C2E4A" w:rsidRPr="00A21B5C" w:rsidRDefault="008C2E4A" w:rsidP="00A21B5C">
      <w:pPr>
        <w:ind w:left="928"/>
        <w:contextualSpacing/>
        <w:rPr>
          <w:rFonts w:ascii="Arial" w:hAnsi="Arial" w:cs="Arial"/>
          <w:b/>
          <w:sz w:val="22"/>
          <w:szCs w:val="22"/>
          <w:lang w:val="es-CO"/>
        </w:rPr>
      </w:pPr>
    </w:p>
    <w:p w:rsidR="008C2E4A" w:rsidRPr="00A21B5C" w:rsidRDefault="00DA1D8E">
      <w:pPr>
        <w:pStyle w:val="Prrafodelista"/>
        <w:numPr>
          <w:ilvl w:val="1"/>
          <w:numId w:val="28"/>
        </w:numPr>
        <w:ind w:left="284" w:hanging="284"/>
        <w:rPr>
          <w:rFonts w:ascii="Arial" w:hAnsi="Arial" w:cs="Arial"/>
          <w:b/>
          <w:sz w:val="22"/>
          <w:szCs w:val="22"/>
          <w:lang w:val="es-CO"/>
        </w:rPr>
      </w:pPr>
      <w:r w:rsidRPr="00A21B5C">
        <w:rPr>
          <w:rFonts w:ascii="Arial" w:hAnsi="Arial" w:cs="Arial"/>
          <w:b/>
          <w:sz w:val="22"/>
          <w:szCs w:val="22"/>
          <w:lang w:val="es-CO"/>
        </w:rPr>
        <w:t>CONTRATOS DE EJECUCIÓN</w:t>
      </w:r>
      <w:r w:rsidR="0098726C" w:rsidRPr="00A21B5C">
        <w:rPr>
          <w:rFonts w:ascii="Arial" w:hAnsi="Arial" w:cs="Arial"/>
          <w:b/>
          <w:sz w:val="22"/>
          <w:szCs w:val="22"/>
          <w:lang w:val="es-CO"/>
        </w:rPr>
        <w:t>.</w:t>
      </w:r>
    </w:p>
    <w:p w:rsidR="008C2E4A" w:rsidRPr="00A21B5C" w:rsidRDefault="008C2E4A" w:rsidP="00A21B5C">
      <w:pPr>
        <w:contextualSpacing/>
        <w:rPr>
          <w:rFonts w:ascii="Arial" w:hAnsi="Arial" w:cs="Arial"/>
          <w:sz w:val="22"/>
          <w:szCs w:val="22"/>
          <w:lang w:val="es-CO"/>
        </w:rPr>
      </w:pPr>
    </w:p>
    <w:p w:rsidR="008C2E4A" w:rsidRPr="00A21B5C" w:rsidRDefault="008C2E4A" w:rsidP="00A21B5C">
      <w:pPr>
        <w:contextualSpacing/>
        <w:jc w:val="both"/>
        <w:rPr>
          <w:rFonts w:ascii="Arial" w:hAnsi="Arial" w:cs="Arial"/>
          <w:sz w:val="22"/>
          <w:szCs w:val="22"/>
          <w:lang w:val="es-CO"/>
        </w:rPr>
      </w:pPr>
      <w:r w:rsidRPr="00A21B5C">
        <w:rPr>
          <w:rFonts w:ascii="Arial" w:hAnsi="Arial" w:cs="Arial"/>
          <w:sz w:val="22"/>
          <w:szCs w:val="22"/>
          <w:lang w:val="es-CO"/>
        </w:rPr>
        <w:t>En relación con los contratos suscritos por el Municipio de Dibulla – La Guajira para la ejecución de los recursos administrados a nombre del Resguardo Kogui – Malayo - Arhuaco, se inspeccionó la información contractual de las vigencias 2016, 2017, 2018 y primer trimestre de 2019</w:t>
      </w:r>
      <w:r w:rsidRPr="00A21B5C">
        <w:rPr>
          <w:rStyle w:val="Refdenotaalpie"/>
          <w:rFonts w:ascii="Arial" w:hAnsi="Arial" w:cs="Arial"/>
          <w:sz w:val="22"/>
          <w:szCs w:val="22"/>
          <w:lang w:val="es-CO"/>
        </w:rPr>
        <w:footnoteReference w:id="32"/>
      </w:r>
      <w:r w:rsidRPr="00A21B5C">
        <w:rPr>
          <w:rFonts w:ascii="Arial" w:hAnsi="Arial" w:cs="Arial"/>
          <w:sz w:val="22"/>
          <w:szCs w:val="22"/>
          <w:lang w:val="es-CO"/>
        </w:rPr>
        <w:t>, compartida por la Entidad Territorial</w:t>
      </w:r>
      <w:r w:rsidRPr="00A21B5C">
        <w:rPr>
          <w:rStyle w:val="Refdenotaalpie"/>
          <w:rFonts w:ascii="Arial" w:hAnsi="Arial" w:cs="Arial"/>
          <w:sz w:val="22"/>
          <w:szCs w:val="22"/>
          <w:lang w:val="es-CO"/>
        </w:rPr>
        <w:footnoteReference w:id="33"/>
      </w:r>
      <w:r w:rsidRPr="00A21B5C">
        <w:rPr>
          <w:rFonts w:ascii="Arial" w:hAnsi="Arial" w:cs="Arial"/>
          <w:sz w:val="22"/>
          <w:szCs w:val="22"/>
          <w:lang w:val="es-CO"/>
        </w:rPr>
        <w:t xml:space="preserve">, así como los contratos publicados en el SECOP. A partir de dicha inspección, se encontró que durante estas vigencias fueron suscritos 23 contratos con cargo a los recursos </w:t>
      </w:r>
      <w:r w:rsidR="009E09A7" w:rsidRPr="00A21B5C">
        <w:rPr>
          <w:rFonts w:ascii="Arial" w:hAnsi="Arial" w:cs="Arial"/>
          <w:sz w:val="22"/>
          <w:szCs w:val="22"/>
          <w:lang w:val="es-CO"/>
        </w:rPr>
        <w:t>de la AE</w:t>
      </w:r>
      <w:r w:rsidRPr="00A21B5C">
        <w:rPr>
          <w:rFonts w:ascii="Arial" w:hAnsi="Arial" w:cs="Arial"/>
          <w:sz w:val="22"/>
          <w:szCs w:val="22"/>
          <w:lang w:val="es-CO"/>
        </w:rPr>
        <w:t>SGP</w:t>
      </w:r>
      <w:r w:rsidR="009E09A7" w:rsidRPr="00A21B5C">
        <w:rPr>
          <w:rFonts w:ascii="Arial" w:hAnsi="Arial" w:cs="Arial"/>
          <w:sz w:val="22"/>
          <w:szCs w:val="22"/>
          <w:lang w:val="es-CO"/>
        </w:rPr>
        <w:t>RI</w:t>
      </w:r>
      <w:r w:rsidRPr="00A21B5C">
        <w:rPr>
          <w:rFonts w:ascii="Arial" w:hAnsi="Arial" w:cs="Arial"/>
          <w:sz w:val="22"/>
          <w:szCs w:val="22"/>
          <w:lang w:val="es-CO"/>
        </w:rPr>
        <w:t>: 9 contratos en 2016, 8 contratos en 2017, 1 contrato en 2018 y 5 contratos durante los tres primeros meses de 2019, los cuales se relacionan a continuación:</w:t>
      </w:r>
    </w:p>
    <w:p w:rsidR="00A21B5C" w:rsidRPr="00A21B5C" w:rsidRDefault="00A21B5C" w:rsidP="00A21B5C">
      <w:pPr>
        <w:contextualSpacing/>
        <w:jc w:val="both"/>
        <w:rPr>
          <w:rFonts w:ascii="Arial" w:hAnsi="Arial" w:cs="Arial"/>
          <w:sz w:val="22"/>
          <w:szCs w:val="22"/>
          <w:lang w:val="es-CO"/>
        </w:rPr>
      </w:pPr>
    </w:p>
    <w:p w:rsidR="008C2E4A" w:rsidRPr="00A21B5C" w:rsidRDefault="00175643" w:rsidP="00A21B5C">
      <w:pPr>
        <w:spacing w:before="240" w:after="120"/>
        <w:ind w:left="928"/>
        <w:contextualSpacing/>
        <w:jc w:val="center"/>
        <w:rPr>
          <w:rFonts w:ascii="Arial" w:hAnsi="Arial" w:cs="Arial"/>
          <w:sz w:val="22"/>
          <w:szCs w:val="22"/>
          <w:lang w:val="es-CO"/>
        </w:rPr>
      </w:pPr>
      <w:r w:rsidRPr="00A21B5C">
        <w:rPr>
          <w:rFonts w:ascii="Arial" w:hAnsi="Arial" w:cs="Arial"/>
          <w:b/>
          <w:sz w:val="22"/>
          <w:szCs w:val="22"/>
          <w:lang w:val="es-CO"/>
        </w:rPr>
        <w:t xml:space="preserve">Tabla N° </w:t>
      </w:r>
      <w:r w:rsidR="000E475F" w:rsidRPr="00A21B5C">
        <w:rPr>
          <w:rFonts w:ascii="Arial" w:hAnsi="Arial" w:cs="Arial"/>
          <w:b/>
          <w:sz w:val="22"/>
          <w:szCs w:val="22"/>
          <w:lang w:val="es-CO"/>
        </w:rPr>
        <w:t>7</w:t>
      </w:r>
      <w:r w:rsidR="008C2E4A" w:rsidRPr="00A21B5C">
        <w:rPr>
          <w:rFonts w:ascii="Arial" w:hAnsi="Arial" w:cs="Arial"/>
          <w:b/>
          <w:sz w:val="22"/>
          <w:szCs w:val="22"/>
          <w:lang w:val="es-CO"/>
        </w:rPr>
        <w:t>:</w:t>
      </w:r>
      <w:r w:rsidR="008C2E4A" w:rsidRPr="00A21B5C">
        <w:rPr>
          <w:rFonts w:ascii="Arial" w:hAnsi="Arial" w:cs="Arial"/>
          <w:sz w:val="22"/>
          <w:szCs w:val="22"/>
          <w:lang w:val="es-CO"/>
        </w:rPr>
        <w:t xml:space="preserve"> Relación de los Contratos de Ejecución adelantados en la administración de los recursos AESGPRI por parte del Municipio de Dibulla </w:t>
      </w:r>
      <w:r w:rsidR="00ED1F7A" w:rsidRPr="00A21B5C">
        <w:rPr>
          <w:rFonts w:ascii="Arial" w:hAnsi="Arial" w:cs="Arial"/>
          <w:sz w:val="22"/>
          <w:szCs w:val="22"/>
          <w:lang w:val="es-CO"/>
        </w:rPr>
        <w:t xml:space="preserve">- </w:t>
      </w:r>
      <w:r w:rsidR="008C2E4A" w:rsidRPr="00A21B5C">
        <w:rPr>
          <w:rFonts w:ascii="Arial" w:hAnsi="Arial" w:cs="Arial"/>
          <w:sz w:val="22"/>
          <w:szCs w:val="22"/>
          <w:lang w:val="es-CO"/>
        </w:rPr>
        <w:t>La Guajira. 2016 – 201</w:t>
      </w:r>
      <w:r w:rsidR="00D6179D" w:rsidRPr="00A21B5C">
        <w:rPr>
          <w:rFonts w:ascii="Arial" w:hAnsi="Arial" w:cs="Arial"/>
          <w:sz w:val="22"/>
          <w:szCs w:val="22"/>
          <w:lang w:val="es-CO"/>
        </w:rPr>
        <w:t>9</w:t>
      </w:r>
      <w:r w:rsidR="008C2E4A" w:rsidRPr="00A21B5C">
        <w:rPr>
          <w:rFonts w:ascii="Arial" w:hAnsi="Arial" w:cs="Arial"/>
          <w:sz w:val="22"/>
          <w:szCs w:val="22"/>
          <w:lang w:val="es-CO"/>
        </w:rPr>
        <w:t>.</w:t>
      </w:r>
    </w:p>
    <w:tbl>
      <w:tblPr>
        <w:tblW w:w="10731" w:type="dxa"/>
        <w:jc w:val="center"/>
        <w:tblCellMar>
          <w:left w:w="70" w:type="dxa"/>
          <w:right w:w="70" w:type="dxa"/>
        </w:tblCellMar>
        <w:tblLook w:val="04A0" w:firstRow="1" w:lastRow="0" w:firstColumn="1" w:lastColumn="0" w:noHBand="0" w:noVBand="1"/>
      </w:tblPr>
      <w:tblGrid>
        <w:gridCol w:w="1391"/>
        <w:gridCol w:w="1327"/>
        <w:gridCol w:w="1601"/>
        <w:gridCol w:w="1693"/>
        <w:gridCol w:w="4041"/>
        <w:gridCol w:w="1392"/>
      </w:tblGrid>
      <w:tr w:rsidR="008C2E4A" w:rsidRPr="00A21B5C" w:rsidTr="00A21B5C">
        <w:trPr>
          <w:trHeight w:val="301"/>
          <w:tblHeader/>
          <w:jc w:val="center"/>
        </w:trPr>
        <w:tc>
          <w:tcPr>
            <w:tcW w:w="1165" w:type="dxa"/>
            <w:tcBorders>
              <w:top w:val="single" w:sz="4" w:space="0" w:color="auto"/>
              <w:left w:val="single" w:sz="4" w:space="0" w:color="auto"/>
              <w:bottom w:val="single" w:sz="4" w:space="0" w:color="auto"/>
              <w:right w:val="dashSmallGap" w:sz="4" w:space="0" w:color="A6A6A6" w:themeColor="background1" w:themeShade="A6"/>
            </w:tcBorders>
            <w:shd w:val="clear" w:color="auto" w:fill="215868" w:themeFill="accent5" w:themeFillShade="80"/>
            <w:noWrap/>
            <w:vAlign w:val="center"/>
            <w:hideMark/>
          </w:tcPr>
          <w:p w:rsidR="008C2E4A" w:rsidRPr="00A21B5C" w:rsidRDefault="00FC2107" w:rsidP="00A21B5C">
            <w:pPr>
              <w:contextualSpacing/>
              <w:jc w:val="center"/>
              <w:rPr>
                <w:rFonts w:ascii="Arial" w:eastAsia="Times New Roman" w:hAnsi="Arial" w:cs="Arial"/>
                <w:b/>
                <w:color w:val="FFFFFF" w:themeColor="background1"/>
                <w:sz w:val="18"/>
                <w:szCs w:val="20"/>
                <w:lang w:val="es-CO" w:eastAsia="es-CO"/>
              </w:rPr>
            </w:pPr>
            <w:r w:rsidRPr="00A21B5C">
              <w:rPr>
                <w:rFonts w:ascii="Arial" w:eastAsia="Times New Roman" w:hAnsi="Arial" w:cs="Arial"/>
                <w:b/>
                <w:color w:val="FFFFFF" w:themeColor="background1"/>
                <w:sz w:val="18"/>
                <w:szCs w:val="20"/>
                <w:lang w:val="es-CO" w:eastAsia="es-CO"/>
              </w:rPr>
              <w:t>FECHA</w:t>
            </w:r>
          </w:p>
          <w:p w:rsidR="00FC2107" w:rsidRPr="00A21B5C" w:rsidRDefault="00FC2107" w:rsidP="00A21B5C">
            <w:pPr>
              <w:contextualSpacing/>
              <w:jc w:val="center"/>
              <w:rPr>
                <w:rFonts w:ascii="Arial" w:eastAsia="Times New Roman" w:hAnsi="Arial" w:cs="Arial"/>
                <w:b/>
                <w:color w:val="FFFFFF" w:themeColor="background1"/>
                <w:sz w:val="18"/>
                <w:szCs w:val="20"/>
                <w:lang w:val="es-CO" w:eastAsia="es-CO"/>
              </w:rPr>
            </w:pPr>
            <w:r w:rsidRPr="00A21B5C">
              <w:rPr>
                <w:rFonts w:ascii="Arial" w:eastAsia="Times New Roman" w:hAnsi="Arial" w:cs="Arial"/>
                <w:b/>
                <w:color w:val="FFFFFF" w:themeColor="background1"/>
                <w:sz w:val="18"/>
                <w:szCs w:val="20"/>
                <w:lang w:val="es-CO" w:eastAsia="es-CO"/>
              </w:rPr>
              <w:t>SUSCRIPCIÓN</w:t>
            </w:r>
          </w:p>
        </w:tc>
        <w:tc>
          <w:tcPr>
            <w:tcW w:w="1327" w:type="dxa"/>
            <w:tcBorders>
              <w:top w:val="single" w:sz="4" w:space="0" w:color="auto"/>
              <w:left w:val="dashSmallGap" w:sz="4" w:space="0" w:color="A6A6A6" w:themeColor="background1" w:themeShade="A6"/>
              <w:bottom w:val="single" w:sz="4" w:space="0" w:color="auto"/>
              <w:right w:val="dashSmallGap" w:sz="4" w:space="0" w:color="A6A6A6" w:themeColor="background1" w:themeShade="A6"/>
            </w:tcBorders>
            <w:shd w:val="clear" w:color="auto" w:fill="215868" w:themeFill="accent5" w:themeFillShade="80"/>
            <w:noWrap/>
            <w:vAlign w:val="center"/>
            <w:hideMark/>
          </w:tcPr>
          <w:p w:rsidR="008C2E4A" w:rsidRPr="00A21B5C" w:rsidRDefault="008C2E4A" w:rsidP="00A21B5C">
            <w:pPr>
              <w:contextualSpacing/>
              <w:jc w:val="center"/>
              <w:rPr>
                <w:rFonts w:ascii="Arial" w:eastAsia="Times New Roman" w:hAnsi="Arial" w:cs="Arial"/>
                <w:b/>
                <w:color w:val="FFFFFF" w:themeColor="background1"/>
                <w:sz w:val="18"/>
                <w:szCs w:val="20"/>
                <w:lang w:val="es-CO" w:eastAsia="es-CO"/>
              </w:rPr>
            </w:pPr>
            <w:r w:rsidRPr="00A21B5C">
              <w:rPr>
                <w:rFonts w:ascii="Arial" w:eastAsia="Times New Roman" w:hAnsi="Arial" w:cs="Arial"/>
                <w:b/>
                <w:color w:val="FFFFFF" w:themeColor="background1"/>
                <w:sz w:val="18"/>
                <w:szCs w:val="20"/>
                <w:lang w:val="es-CO" w:eastAsia="es-CO"/>
              </w:rPr>
              <w:t>N° CONTRATO</w:t>
            </w:r>
          </w:p>
        </w:tc>
        <w:tc>
          <w:tcPr>
            <w:tcW w:w="1338" w:type="dxa"/>
            <w:tcBorders>
              <w:top w:val="single" w:sz="4" w:space="0" w:color="auto"/>
              <w:left w:val="dashSmallGap" w:sz="4" w:space="0" w:color="A6A6A6" w:themeColor="background1" w:themeShade="A6"/>
              <w:bottom w:val="single" w:sz="4" w:space="0" w:color="auto"/>
              <w:right w:val="dashSmallGap" w:sz="4" w:space="0" w:color="A6A6A6" w:themeColor="background1" w:themeShade="A6"/>
            </w:tcBorders>
            <w:shd w:val="clear" w:color="auto" w:fill="215868" w:themeFill="accent5" w:themeFillShade="80"/>
            <w:noWrap/>
            <w:vAlign w:val="center"/>
            <w:hideMark/>
          </w:tcPr>
          <w:p w:rsidR="008C2E4A" w:rsidRPr="00A21B5C" w:rsidRDefault="008C2E4A" w:rsidP="00A21B5C">
            <w:pPr>
              <w:contextualSpacing/>
              <w:jc w:val="center"/>
              <w:rPr>
                <w:rFonts w:ascii="Arial" w:eastAsia="Times New Roman" w:hAnsi="Arial" w:cs="Arial"/>
                <w:b/>
                <w:color w:val="FFFFFF" w:themeColor="background1"/>
                <w:sz w:val="18"/>
                <w:szCs w:val="20"/>
                <w:lang w:val="es-CO" w:eastAsia="es-CO"/>
              </w:rPr>
            </w:pPr>
            <w:r w:rsidRPr="00A21B5C">
              <w:rPr>
                <w:rFonts w:ascii="Arial" w:eastAsia="Times New Roman" w:hAnsi="Arial" w:cs="Arial"/>
                <w:b/>
                <w:color w:val="FFFFFF" w:themeColor="background1"/>
                <w:sz w:val="18"/>
                <w:szCs w:val="20"/>
                <w:lang w:val="es-CO" w:eastAsia="es-CO"/>
              </w:rPr>
              <w:t>TIPO /MODALIDAD</w:t>
            </w:r>
          </w:p>
        </w:tc>
        <w:tc>
          <w:tcPr>
            <w:tcW w:w="1693" w:type="dxa"/>
            <w:tcBorders>
              <w:top w:val="single" w:sz="4" w:space="0" w:color="auto"/>
              <w:left w:val="dashSmallGap" w:sz="4" w:space="0" w:color="A6A6A6" w:themeColor="background1" w:themeShade="A6"/>
              <w:bottom w:val="single" w:sz="4" w:space="0" w:color="auto"/>
              <w:right w:val="dashSmallGap" w:sz="4" w:space="0" w:color="A6A6A6" w:themeColor="background1" w:themeShade="A6"/>
            </w:tcBorders>
            <w:shd w:val="clear" w:color="auto" w:fill="215868" w:themeFill="accent5" w:themeFillShade="80"/>
            <w:noWrap/>
            <w:vAlign w:val="center"/>
            <w:hideMark/>
          </w:tcPr>
          <w:p w:rsidR="008C2E4A" w:rsidRPr="00A21B5C" w:rsidRDefault="008C2E4A" w:rsidP="00A21B5C">
            <w:pPr>
              <w:contextualSpacing/>
              <w:jc w:val="center"/>
              <w:rPr>
                <w:rFonts w:ascii="Arial" w:eastAsia="Times New Roman" w:hAnsi="Arial" w:cs="Arial"/>
                <w:b/>
                <w:color w:val="FFFFFF" w:themeColor="background1"/>
                <w:sz w:val="18"/>
                <w:szCs w:val="20"/>
                <w:lang w:val="es-CO" w:eastAsia="es-CO"/>
              </w:rPr>
            </w:pPr>
            <w:r w:rsidRPr="00A21B5C">
              <w:rPr>
                <w:rFonts w:ascii="Arial" w:eastAsia="Times New Roman" w:hAnsi="Arial" w:cs="Arial"/>
                <w:b/>
                <w:color w:val="FFFFFF" w:themeColor="background1"/>
                <w:sz w:val="18"/>
                <w:szCs w:val="20"/>
                <w:lang w:val="es-CO" w:eastAsia="es-CO"/>
              </w:rPr>
              <w:t>FECHA SUSCRIPCIÓN</w:t>
            </w:r>
          </w:p>
        </w:tc>
        <w:tc>
          <w:tcPr>
            <w:tcW w:w="4041" w:type="dxa"/>
            <w:tcBorders>
              <w:top w:val="single" w:sz="4" w:space="0" w:color="auto"/>
              <w:left w:val="dashSmallGap" w:sz="4" w:space="0" w:color="A6A6A6" w:themeColor="background1" w:themeShade="A6"/>
              <w:bottom w:val="single" w:sz="4" w:space="0" w:color="auto"/>
              <w:right w:val="dashSmallGap" w:sz="4" w:space="0" w:color="A6A6A6" w:themeColor="background1" w:themeShade="A6"/>
            </w:tcBorders>
            <w:shd w:val="clear" w:color="auto" w:fill="215868" w:themeFill="accent5" w:themeFillShade="80"/>
            <w:noWrap/>
            <w:vAlign w:val="center"/>
            <w:hideMark/>
          </w:tcPr>
          <w:p w:rsidR="008C2E4A" w:rsidRPr="00A21B5C" w:rsidRDefault="008C2E4A" w:rsidP="00A21B5C">
            <w:pPr>
              <w:contextualSpacing/>
              <w:jc w:val="center"/>
              <w:rPr>
                <w:rFonts w:ascii="Arial" w:eastAsia="Times New Roman" w:hAnsi="Arial" w:cs="Arial"/>
                <w:b/>
                <w:color w:val="FFFFFF" w:themeColor="background1"/>
                <w:sz w:val="18"/>
                <w:szCs w:val="20"/>
                <w:lang w:val="es-CO" w:eastAsia="es-CO"/>
              </w:rPr>
            </w:pPr>
            <w:r w:rsidRPr="00A21B5C">
              <w:rPr>
                <w:rFonts w:ascii="Arial" w:eastAsia="Times New Roman" w:hAnsi="Arial" w:cs="Arial"/>
                <w:b/>
                <w:color w:val="FFFFFF" w:themeColor="background1"/>
                <w:sz w:val="18"/>
                <w:szCs w:val="20"/>
                <w:lang w:val="es-CO" w:eastAsia="es-CO"/>
              </w:rPr>
              <w:t>OBJETO</w:t>
            </w:r>
          </w:p>
        </w:tc>
        <w:tc>
          <w:tcPr>
            <w:tcW w:w="1167" w:type="dxa"/>
            <w:tcBorders>
              <w:top w:val="single" w:sz="4" w:space="0" w:color="auto"/>
              <w:left w:val="dashSmallGap" w:sz="4" w:space="0" w:color="A6A6A6" w:themeColor="background1" w:themeShade="A6"/>
              <w:bottom w:val="single" w:sz="4" w:space="0" w:color="auto"/>
              <w:right w:val="single" w:sz="4" w:space="0" w:color="auto"/>
            </w:tcBorders>
            <w:shd w:val="clear" w:color="auto" w:fill="215868" w:themeFill="accent5" w:themeFillShade="80"/>
            <w:noWrap/>
            <w:vAlign w:val="center"/>
            <w:hideMark/>
          </w:tcPr>
          <w:p w:rsidR="008C2E4A" w:rsidRPr="00A21B5C" w:rsidRDefault="008C2E4A" w:rsidP="00A21B5C">
            <w:pPr>
              <w:contextualSpacing/>
              <w:jc w:val="center"/>
              <w:rPr>
                <w:rFonts w:ascii="Arial" w:eastAsia="Times New Roman" w:hAnsi="Arial" w:cs="Arial"/>
                <w:b/>
                <w:color w:val="FFFFFF" w:themeColor="background1"/>
                <w:sz w:val="18"/>
                <w:szCs w:val="20"/>
                <w:lang w:val="es-CO" w:eastAsia="es-CO"/>
              </w:rPr>
            </w:pPr>
            <w:r w:rsidRPr="00A21B5C">
              <w:rPr>
                <w:rFonts w:ascii="Arial" w:eastAsia="Times New Roman" w:hAnsi="Arial" w:cs="Arial"/>
                <w:b/>
                <w:color w:val="FFFFFF" w:themeColor="background1"/>
                <w:sz w:val="18"/>
                <w:szCs w:val="20"/>
                <w:lang w:val="es-CO" w:eastAsia="es-CO"/>
              </w:rPr>
              <w:t>VALOR</w:t>
            </w:r>
          </w:p>
        </w:tc>
      </w:tr>
      <w:tr w:rsidR="00FC2107" w:rsidRPr="00A21B5C" w:rsidTr="00613441">
        <w:trPr>
          <w:trHeight w:val="803"/>
          <w:jc w:val="center"/>
        </w:trPr>
        <w:tc>
          <w:tcPr>
            <w:tcW w:w="1165"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hideMark/>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5/12/2016</w:t>
            </w:r>
          </w:p>
        </w:tc>
        <w:tc>
          <w:tcPr>
            <w:tcW w:w="1327"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hideMark/>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N° 004 de 2016</w:t>
            </w:r>
          </w:p>
        </w:tc>
        <w:tc>
          <w:tcPr>
            <w:tcW w:w="1338"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hideMark/>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 xml:space="preserve">Contrato de compraventa </w:t>
            </w:r>
          </w:p>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 Contratación Directa</w:t>
            </w:r>
          </w:p>
        </w:tc>
        <w:tc>
          <w:tcPr>
            <w:tcW w:w="1693"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Kellys Jhohana Teheran Alcala</w:t>
            </w:r>
          </w:p>
        </w:tc>
        <w:tc>
          <w:tcPr>
            <w:tcW w:w="4041" w:type="dxa"/>
            <w:tcBorders>
              <w:top w:val="nil"/>
              <w:left w:val="dashSmallGap" w:sz="4" w:space="0" w:color="A6A6A6" w:themeColor="background1" w:themeShade="A6"/>
              <w:bottom w:val="single" w:sz="4" w:space="0" w:color="auto"/>
              <w:right w:val="dashSmallGap" w:sz="4" w:space="0" w:color="A6A6A6" w:themeColor="background1" w:themeShade="A6"/>
            </w:tcBorders>
            <w:vAlign w:val="center"/>
            <w:hideMark/>
          </w:tcPr>
          <w:p w:rsidR="00FC2107" w:rsidRPr="00A21B5C" w:rsidRDefault="00FC2107" w:rsidP="00A21B5C">
            <w:pPr>
              <w:contextualSpacing/>
              <w:jc w:val="both"/>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Adquisición de títulos de compraventa de mejoras rurales para el saneamiento del Territorio del Resguardo Indígena Kogui - Malayo - Arhuaco en jurisdicción del corregimiento de Rio Ancho - Municipio de Dibulla - La Guajira.</w:t>
            </w:r>
          </w:p>
        </w:tc>
        <w:tc>
          <w:tcPr>
            <w:tcW w:w="1167" w:type="dxa"/>
            <w:tcBorders>
              <w:top w:val="nil"/>
              <w:left w:val="dashSmallGap" w:sz="4" w:space="0" w:color="A6A6A6" w:themeColor="background1" w:themeShade="A6"/>
              <w:bottom w:val="single" w:sz="4" w:space="0" w:color="auto"/>
              <w:right w:val="single" w:sz="4" w:space="0" w:color="auto"/>
            </w:tcBorders>
            <w:noWrap/>
            <w:vAlign w:val="center"/>
            <w:hideMark/>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$157.500.000</w:t>
            </w:r>
          </w:p>
        </w:tc>
      </w:tr>
      <w:tr w:rsidR="00FC2107" w:rsidRPr="00A21B5C" w:rsidTr="00613441">
        <w:trPr>
          <w:trHeight w:val="830"/>
          <w:jc w:val="center"/>
        </w:trPr>
        <w:tc>
          <w:tcPr>
            <w:tcW w:w="1165"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hideMark/>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5/12/2016</w:t>
            </w:r>
          </w:p>
        </w:tc>
        <w:tc>
          <w:tcPr>
            <w:tcW w:w="1327"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hideMark/>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N° 005 de 2016</w:t>
            </w:r>
          </w:p>
        </w:tc>
        <w:tc>
          <w:tcPr>
            <w:tcW w:w="1338"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hideMark/>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Contrato de compraventa</w:t>
            </w:r>
          </w:p>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 Contratación Directa</w:t>
            </w:r>
          </w:p>
        </w:tc>
        <w:tc>
          <w:tcPr>
            <w:tcW w:w="1693"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Julio Alcides Orozco Sanchez</w:t>
            </w:r>
          </w:p>
        </w:tc>
        <w:tc>
          <w:tcPr>
            <w:tcW w:w="4041" w:type="dxa"/>
            <w:tcBorders>
              <w:top w:val="nil"/>
              <w:left w:val="dashSmallGap" w:sz="4" w:space="0" w:color="A6A6A6" w:themeColor="background1" w:themeShade="A6"/>
              <w:bottom w:val="single" w:sz="4" w:space="0" w:color="auto"/>
              <w:right w:val="dashSmallGap" w:sz="4" w:space="0" w:color="A6A6A6" w:themeColor="background1" w:themeShade="A6"/>
            </w:tcBorders>
            <w:vAlign w:val="center"/>
            <w:hideMark/>
          </w:tcPr>
          <w:p w:rsidR="00FC2107" w:rsidRPr="00A21B5C" w:rsidRDefault="00FC2107" w:rsidP="00A21B5C">
            <w:pPr>
              <w:contextualSpacing/>
              <w:jc w:val="both"/>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Adquisición de títulos de compraventa de mejoras rurales para el saneamiento del Territorio del Resguardo Indígena Kogui - Malayo - Arhuaco en jurisdicción del corregimiento de Mingueo - Municipio de Dibulla - La Guajira.</w:t>
            </w:r>
          </w:p>
        </w:tc>
        <w:tc>
          <w:tcPr>
            <w:tcW w:w="1167" w:type="dxa"/>
            <w:tcBorders>
              <w:top w:val="nil"/>
              <w:left w:val="dashSmallGap" w:sz="4" w:space="0" w:color="A6A6A6" w:themeColor="background1" w:themeShade="A6"/>
              <w:bottom w:val="single" w:sz="4" w:space="0" w:color="auto"/>
              <w:right w:val="single" w:sz="4" w:space="0" w:color="auto"/>
            </w:tcBorders>
            <w:noWrap/>
            <w:vAlign w:val="center"/>
            <w:hideMark/>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$171.000.000</w:t>
            </w:r>
          </w:p>
        </w:tc>
      </w:tr>
      <w:tr w:rsidR="00FC2107" w:rsidRPr="00A21B5C" w:rsidTr="00613441">
        <w:trPr>
          <w:trHeight w:val="983"/>
          <w:jc w:val="center"/>
        </w:trPr>
        <w:tc>
          <w:tcPr>
            <w:tcW w:w="1165"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hideMark/>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5/12/2016</w:t>
            </w:r>
          </w:p>
        </w:tc>
        <w:tc>
          <w:tcPr>
            <w:tcW w:w="1327"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hideMark/>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N° 006 de 2016</w:t>
            </w:r>
          </w:p>
        </w:tc>
        <w:tc>
          <w:tcPr>
            <w:tcW w:w="1338"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hideMark/>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Contrato de compraventa</w:t>
            </w:r>
          </w:p>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 Contratación Directa</w:t>
            </w:r>
          </w:p>
        </w:tc>
        <w:tc>
          <w:tcPr>
            <w:tcW w:w="1693"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Adain Enrique Amaya Campo</w:t>
            </w:r>
          </w:p>
        </w:tc>
        <w:tc>
          <w:tcPr>
            <w:tcW w:w="4041" w:type="dxa"/>
            <w:tcBorders>
              <w:top w:val="nil"/>
              <w:left w:val="dashSmallGap" w:sz="4" w:space="0" w:color="A6A6A6" w:themeColor="background1" w:themeShade="A6"/>
              <w:bottom w:val="single" w:sz="4" w:space="0" w:color="auto"/>
              <w:right w:val="dashSmallGap" w:sz="4" w:space="0" w:color="A6A6A6" w:themeColor="background1" w:themeShade="A6"/>
            </w:tcBorders>
            <w:vAlign w:val="center"/>
            <w:hideMark/>
          </w:tcPr>
          <w:p w:rsidR="00FC2107" w:rsidRPr="00A21B5C" w:rsidRDefault="00FC2107" w:rsidP="00A21B5C">
            <w:pPr>
              <w:contextualSpacing/>
              <w:jc w:val="both"/>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Adquisición de títulos de compraventa de mejoras rurales para el saneamiento del Territorio del Resguardo Indígena Kogui - Malayo - Arhuaco en jurisdicción del corregimiento de Rio Ancho - Municipio de Dibulla - La Guajira.</w:t>
            </w:r>
          </w:p>
        </w:tc>
        <w:tc>
          <w:tcPr>
            <w:tcW w:w="1167" w:type="dxa"/>
            <w:tcBorders>
              <w:top w:val="nil"/>
              <w:left w:val="dashSmallGap" w:sz="4" w:space="0" w:color="A6A6A6" w:themeColor="background1" w:themeShade="A6"/>
              <w:bottom w:val="single" w:sz="4" w:space="0" w:color="auto"/>
              <w:right w:val="single" w:sz="4" w:space="0" w:color="auto"/>
            </w:tcBorders>
            <w:noWrap/>
            <w:vAlign w:val="center"/>
            <w:hideMark/>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$200.000.000</w:t>
            </w:r>
          </w:p>
        </w:tc>
      </w:tr>
      <w:tr w:rsidR="00FC2107" w:rsidRPr="00A21B5C" w:rsidTr="00613441">
        <w:trPr>
          <w:trHeight w:val="969"/>
          <w:jc w:val="center"/>
        </w:trPr>
        <w:tc>
          <w:tcPr>
            <w:tcW w:w="1165"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hideMark/>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26/12/2016</w:t>
            </w:r>
          </w:p>
        </w:tc>
        <w:tc>
          <w:tcPr>
            <w:tcW w:w="1327"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hideMark/>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N° 011 de 2016</w:t>
            </w:r>
          </w:p>
        </w:tc>
        <w:tc>
          <w:tcPr>
            <w:tcW w:w="1338"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hideMark/>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 xml:space="preserve">Contrato de compraventa </w:t>
            </w:r>
          </w:p>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 Contratación Directa</w:t>
            </w:r>
          </w:p>
        </w:tc>
        <w:tc>
          <w:tcPr>
            <w:tcW w:w="1693"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Yohanis Yolaida Miranda Danies</w:t>
            </w:r>
          </w:p>
        </w:tc>
        <w:tc>
          <w:tcPr>
            <w:tcW w:w="4041" w:type="dxa"/>
            <w:tcBorders>
              <w:top w:val="nil"/>
              <w:left w:val="dashSmallGap" w:sz="4" w:space="0" w:color="A6A6A6" w:themeColor="background1" w:themeShade="A6"/>
              <w:bottom w:val="single" w:sz="4" w:space="0" w:color="auto"/>
              <w:right w:val="dashSmallGap" w:sz="4" w:space="0" w:color="A6A6A6" w:themeColor="background1" w:themeShade="A6"/>
            </w:tcBorders>
            <w:vAlign w:val="center"/>
            <w:hideMark/>
          </w:tcPr>
          <w:p w:rsidR="00FC2107" w:rsidRPr="00A21B5C" w:rsidRDefault="00FC2107" w:rsidP="00A21B5C">
            <w:pPr>
              <w:contextualSpacing/>
              <w:jc w:val="both"/>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Adquisición de títulos de compraventa de mejoras rurales para el saneamiento del Territorio del Resguardo Indígena Kogui - Malayo - Arhuaco en jurisdicción del corregimiento de Rio Ancho - Municipio de Dibulla - La Guajira.</w:t>
            </w:r>
          </w:p>
        </w:tc>
        <w:tc>
          <w:tcPr>
            <w:tcW w:w="1167" w:type="dxa"/>
            <w:tcBorders>
              <w:top w:val="nil"/>
              <w:left w:val="dashSmallGap" w:sz="4" w:space="0" w:color="A6A6A6" w:themeColor="background1" w:themeShade="A6"/>
              <w:bottom w:val="single" w:sz="4" w:space="0" w:color="auto"/>
              <w:right w:val="single" w:sz="4" w:space="0" w:color="auto"/>
            </w:tcBorders>
            <w:noWrap/>
            <w:vAlign w:val="center"/>
            <w:hideMark/>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$200.000.000</w:t>
            </w:r>
          </w:p>
        </w:tc>
      </w:tr>
      <w:tr w:rsidR="00FC2107" w:rsidRPr="00A21B5C" w:rsidTr="00613441">
        <w:trPr>
          <w:trHeight w:val="1124"/>
          <w:jc w:val="center"/>
        </w:trPr>
        <w:tc>
          <w:tcPr>
            <w:tcW w:w="1165"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hideMark/>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lastRenderedPageBreak/>
              <w:t>11/11/2016</w:t>
            </w:r>
          </w:p>
        </w:tc>
        <w:tc>
          <w:tcPr>
            <w:tcW w:w="1327"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hideMark/>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N° 003  de 2016</w:t>
            </w:r>
          </w:p>
        </w:tc>
        <w:tc>
          <w:tcPr>
            <w:tcW w:w="1338"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Contrato de interventoría</w:t>
            </w:r>
          </w:p>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/Concurso de méritos</w:t>
            </w:r>
          </w:p>
        </w:tc>
        <w:tc>
          <w:tcPr>
            <w:tcW w:w="1693"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tcPr>
          <w:p w:rsidR="00FC2107" w:rsidRPr="00A21B5C" w:rsidRDefault="0057148A"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Unión Temporal Dibulla (Representante legal: Lorena Molinares)</w:t>
            </w:r>
            <w:r w:rsidRPr="00A21B5C" w:rsidDel="00FC2107">
              <w:rPr>
                <w:rFonts w:ascii="Arial" w:eastAsia="Times New Roman" w:hAnsi="Arial" w:cs="Arial"/>
                <w:color w:val="000000"/>
                <w:sz w:val="18"/>
                <w:szCs w:val="20"/>
                <w:lang w:val="es-CO" w:eastAsia="es-CO"/>
              </w:rPr>
              <w:t xml:space="preserve"> </w:t>
            </w:r>
          </w:p>
        </w:tc>
        <w:tc>
          <w:tcPr>
            <w:tcW w:w="4041" w:type="dxa"/>
            <w:tcBorders>
              <w:top w:val="nil"/>
              <w:left w:val="dashSmallGap" w:sz="4" w:space="0" w:color="A6A6A6" w:themeColor="background1" w:themeShade="A6"/>
              <w:bottom w:val="single" w:sz="4" w:space="0" w:color="auto"/>
              <w:right w:val="dashSmallGap" w:sz="4" w:space="0" w:color="A6A6A6" w:themeColor="background1" w:themeShade="A6"/>
            </w:tcBorders>
            <w:vAlign w:val="center"/>
            <w:hideMark/>
          </w:tcPr>
          <w:p w:rsidR="00FC2107" w:rsidRPr="00A21B5C" w:rsidRDefault="00FC2107" w:rsidP="00A21B5C">
            <w:pPr>
              <w:contextualSpacing/>
              <w:jc w:val="both"/>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Interventoría técnica, administrativa, financiera, y ambiental, para la ejecución de las obras de construcción de dos bodegas para la instalación de trilladora y adecuación y construcción de oficinas de funcionamiento de Mingueo Municipio de Dibulla - La Guajira Caribe.</w:t>
            </w:r>
          </w:p>
        </w:tc>
        <w:tc>
          <w:tcPr>
            <w:tcW w:w="1167" w:type="dxa"/>
            <w:tcBorders>
              <w:top w:val="nil"/>
              <w:left w:val="dashSmallGap" w:sz="4" w:space="0" w:color="A6A6A6" w:themeColor="background1" w:themeShade="A6"/>
              <w:bottom w:val="single" w:sz="4" w:space="0" w:color="auto"/>
              <w:right w:val="single" w:sz="4" w:space="0" w:color="auto"/>
            </w:tcBorders>
            <w:noWrap/>
            <w:vAlign w:val="center"/>
            <w:hideMark/>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$24.060.800</w:t>
            </w:r>
          </w:p>
        </w:tc>
      </w:tr>
      <w:tr w:rsidR="00FC2107" w:rsidRPr="00A21B5C" w:rsidTr="00613441">
        <w:trPr>
          <w:trHeight w:val="409"/>
          <w:jc w:val="center"/>
        </w:trPr>
        <w:tc>
          <w:tcPr>
            <w:tcW w:w="1165"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hideMark/>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8/09/2016</w:t>
            </w:r>
          </w:p>
        </w:tc>
        <w:tc>
          <w:tcPr>
            <w:tcW w:w="1327"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hideMark/>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N° 004 de 2016</w:t>
            </w:r>
          </w:p>
        </w:tc>
        <w:tc>
          <w:tcPr>
            <w:tcW w:w="1338"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Contrato de obra pública</w:t>
            </w:r>
          </w:p>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/Licitación pública</w:t>
            </w:r>
          </w:p>
        </w:tc>
        <w:tc>
          <w:tcPr>
            <w:tcW w:w="1693"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Antonio Cesar Ragonesi Redondo</w:t>
            </w:r>
          </w:p>
        </w:tc>
        <w:tc>
          <w:tcPr>
            <w:tcW w:w="4041" w:type="dxa"/>
            <w:tcBorders>
              <w:top w:val="nil"/>
              <w:left w:val="dashSmallGap" w:sz="4" w:space="0" w:color="A6A6A6" w:themeColor="background1" w:themeShade="A6"/>
              <w:bottom w:val="single" w:sz="4" w:space="0" w:color="auto"/>
              <w:right w:val="dashSmallGap" w:sz="4" w:space="0" w:color="A6A6A6" w:themeColor="background1" w:themeShade="A6"/>
            </w:tcBorders>
            <w:vAlign w:val="center"/>
            <w:hideMark/>
          </w:tcPr>
          <w:p w:rsidR="00FC2107" w:rsidRPr="00A21B5C" w:rsidRDefault="00FC2107" w:rsidP="00A21B5C">
            <w:pPr>
              <w:contextualSpacing/>
              <w:jc w:val="both"/>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Construcción de dos bodegas para la instalación de trilladora y adecuación de construcción de oficinas para el funcionamiento del programa de desarrollo del pueblo Kogui en el corregimiento de Mingueo Municipio de Dibulla - La Guajira</w:t>
            </w:r>
          </w:p>
        </w:tc>
        <w:tc>
          <w:tcPr>
            <w:tcW w:w="1167" w:type="dxa"/>
            <w:tcBorders>
              <w:top w:val="nil"/>
              <w:left w:val="dashSmallGap" w:sz="4" w:space="0" w:color="A6A6A6" w:themeColor="background1" w:themeShade="A6"/>
              <w:bottom w:val="single" w:sz="4" w:space="0" w:color="auto"/>
              <w:right w:val="single" w:sz="4" w:space="0" w:color="auto"/>
            </w:tcBorders>
            <w:noWrap/>
            <w:vAlign w:val="center"/>
            <w:hideMark/>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$424.060.786</w:t>
            </w:r>
          </w:p>
        </w:tc>
      </w:tr>
      <w:tr w:rsidR="00FC2107" w:rsidRPr="00A21B5C" w:rsidTr="00613441">
        <w:trPr>
          <w:trHeight w:val="1259"/>
          <w:jc w:val="center"/>
        </w:trPr>
        <w:tc>
          <w:tcPr>
            <w:tcW w:w="1165"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hideMark/>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15/07/2016</w:t>
            </w:r>
          </w:p>
        </w:tc>
        <w:tc>
          <w:tcPr>
            <w:tcW w:w="1327"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hideMark/>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N° 01</w:t>
            </w:r>
            <w:r w:rsidR="000B6A09" w:rsidRPr="00A21B5C">
              <w:rPr>
                <w:rFonts w:ascii="Arial" w:eastAsia="Times New Roman" w:hAnsi="Arial" w:cs="Arial"/>
                <w:color w:val="000000"/>
                <w:sz w:val="18"/>
                <w:szCs w:val="20"/>
                <w:lang w:val="es-CO" w:eastAsia="es-CO"/>
              </w:rPr>
              <w:t>0</w:t>
            </w:r>
            <w:r w:rsidRPr="00A21B5C">
              <w:rPr>
                <w:rFonts w:ascii="Arial" w:eastAsia="Times New Roman" w:hAnsi="Arial" w:cs="Arial"/>
                <w:color w:val="000000"/>
                <w:sz w:val="18"/>
                <w:szCs w:val="20"/>
                <w:lang w:val="es-CO" w:eastAsia="es-CO"/>
              </w:rPr>
              <w:t xml:space="preserve"> de 2016</w:t>
            </w:r>
          </w:p>
        </w:tc>
        <w:tc>
          <w:tcPr>
            <w:tcW w:w="1338"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hideMark/>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Contrato interadministrativo</w:t>
            </w:r>
          </w:p>
        </w:tc>
        <w:tc>
          <w:tcPr>
            <w:tcW w:w="1693"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tcPr>
          <w:p w:rsidR="00FC2107" w:rsidRPr="00A21B5C" w:rsidRDefault="000B6A09"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Gonawindua ETTE ENNAKA IPS Indígena (Representante legal: Alfonso Torres Villafañe)</w:t>
            </w:r>
          </w:p>
        </w:tc>
        <w:tc>
          <w:tcPr>
            <w:tcW w:w="4041" w:type="dxa"/>
            <w:tcBorders>
              <w:top w:val="nil"/>
              <w:left w:val="dashSmallGap" w:sz="4" w:space="0" w:color="A6A6A6" w:themeColor="background1" w:themeShade="A6"/>
              <w:bottom w:val="single" w:sz="4" w:space="0" w:color="auto"/>
              <w:right w:val="dashSmallGap" w:sz="4" w:space="0" w:color="A6A6A6" w:themeColor="background1" w:themeShade="A6"/>
            </w:tcBorders>
            <w:vAlign w:val="center"/>
            <w:hideMark/>
          </w:tcPr>
          <w:p w:rsidR="00FC2107" w:rsidRPr="00A21B5C" w:rsidRDefault="00FC2107" w:rsidP="00A21B5C">
            <w:pPr>
              <w:contextualSpacing/>
              <w:jc w:val="both"/>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 xml:space="preserve">Programa de </w:t>
            </w:r>
            <w:r w:rsidR="0098726C" w:rsidRPr="00A21B5C">
              <w:rPr>
                <w:rFonts w:ascii="Arial" w:eastAsia="Times New Roman" w:hAnsi="Arial" w:cs="Arial"/>
                <w:color w:val="000000"/>
                <w:sz w:val="18"/>
                <w:szCs w:val="20"/>
                <w:lang w:val="es-CO" w:eastAsia="es-CO"/>
              </w:rPr>
              <w:t>S</w:t>
            </w:r>
            <w:r w:rsidRPr="00A21B5C">
              <w:rPr>
                <w:rFonts w:ascii="Arial" w:eastAsia="Times New Roman" w:hAnsi="Arial" w:cs="Arial"/>
                <w:color w:val="000000"/>
                <w:sz w:val="18"/>
                <w:szCs w:val="20"/>
                <w:lang w:val="es-CO" w:eastAsia="es-CO"/>
              </w:rPr>
              <w:t>alud 02 proyecto 01: Fortalecimiento institucional de la red de salud pública de carácter especial del Resguardo Kogui - Malayo - Arhuaco, mediante la atención y prestación de servicios interlocutores de salud a pacientes de niveles superiores y apoyo a programas de salud pública de interés de los pueblos Kogui y Arhuaco asentados en el Municipio de Dibulla - La Guajira.</w:t>
            </w:r>
          </w:p>
        </w:tc>
        <w:tc>
          <w:tcPr>
            <w:tcW w:w="1167" w:type="dxa"/>
            <w:tcBorders>
              <w:top w:val="nil"/>
              <w:left w:val="dashSmallGap" w:sz="4" w:space="0" w:color="A6A6A6" w:themeColor="background1" w:themeShade="A6"/>
              <w:bottom w:val="single" w:sz="4" w:space="0" w:color="auto"/>
              <w:right w:val="single" w:sz="4" w:space="0" w:color="auto"/>
            </w:tcBorders>
            <w:noWrap/>
            <w:vAlign w:val="center"/>
            <w:hideMark/>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$290.000.000</w:t>
            </w:r>
          </w:p>
        </w:tc>
      </w:tr>
      <w:tr w:rsidR="00FC2107" w:rsidRPr="00A21B5C" w:rsidTr="00613441">
        <w:trPr>
          <w:trHeight w:val="1197"/>
          <w:jc w:val="center"/>
        </w:trPr>
        <w:tc>
          <w:tcPr>
            <w:tcW w:w="1165"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hideMark/>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27/12/2016</w:t>
            </w:r>
          </w:p>
        </w:tc>
        <w:tc>
          <w:tcPr>
            <w:tcW w:w="1327"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hideMark/>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N° 032 de 2016</w:t>
            </w:r>
          </w:p>
        </w:tc>
        <w:tc>
          <w:tcPr>
            <w:tcW w:w="1338"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hideMark/>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Convenio de asociación</w:t>
            </w:r>
          </w:p>
        </w:tc>
        <w:tc>
          <w:tcPr>
            <w:tcW w:w="1693"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tcPr>
          <w:p w:rsidR="00FC2107" w:rsidRPr="00A21B5C" w:rsidRDefault="000B6A09"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Organización Gonawindua Tayrona (Representante legal: José de los Santos Sauna Limaco)</w:t>
            </w:r>
          </w:p>
        </w:tc>
        <w:tc>
          <w:tcPr>
            <w:tcW w:w="4041" w:type="dxa"/>
            <w:tcBorders>
              <w:top w:val="nil"/>
              <w:left w:val="dashSmallGap" w:sz="4" w:space="0" w:color="A6A6A6" w:themeColor="background1" w:themeShade="A6"/>
              <w:bottom w:val="single" w:sz="4" w:space="0" w:color="auto"/>
              <w:right w:val="dashSmallGap" w:sz="4" w:space="0" w:color="A6A6A6" w:themeColor="background1" w:themeShade="A6"/>
            </w:tcBorders>
            <w:vAlign w:val="center"/>
            <w:hideMark/>
          </w:tcPr>
          <w:p w:rsidR="00FC2107" w:rsidRPr="00A21B5C" w:rsidRDefault="00FC2107" w:rsidP="00A21B5C">
            <w:pPr>
              <w:contextualSpacing/>
              <w:jc w:val="both"/>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Aunar esfuerzos técnicos administrativos y financieros para fortalecer el sistema educativo, de salud, gobierno propio, y territorio de los pueblos Indígenas Kogui Wiwa y Arhuaco de la Sierra Nevada de Santa Marta asentados en la jurisdicción del Municipio de Dibulla La Guajira, Caribe.</w:t>
            </w:r>
          </w:p>
        </w:tc>
        <w:tc>
          <w:tcPr>
            <w:tcW w:w="1167" w:type="dxa"/>
            <w:tcBorders>
              <w:top w:val="nil"/>
              <w:left w:val="dashSmallGap" w:sz="4" w:space="0" w:color="A6A6A6" w:themeColor="background1" w:themeShade="A6"/>
              <w:bottom w:val="single" w:sz="4" w:space="0" w:color="auto"/>
              <w:right w:val="single" w:sz="4" w:space="0" w:color="auto"/>
            </w:tcBorders>
            <w:noWrap/>
            <w:vAlign w:val="center"/>
            <w:hideMark/>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$785.492.144</w:t>
            </w:r>
          </w:p>
        </w:tc>
      </w:tr>
      <w:tr w:rsidR="00FC2107" w:rsidRPr="00A21B5C" w:rsidTr="00613441">
        <w:trPr>
          <w:trHeight w:val="755"/>
          <w:jc w:val="center"/>
        </w:trPr>
        <w:tc>
          <w:tcPr>
            <w:tcW w:w="1165"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hideMark/>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2/08/2016</w:t>
            </w:r>
          </w:p>
        </w:tc>
        <w:tc>
          <w:tcPr>
            <w:tcW w:w="1327"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hideMark/>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N° 003  de 2016</w:t>
            </w:r>
          </w:p>
        </w:tc>
        <w:tc>
          <w:tcPr>
            <w:tcW w:w="1338"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Contrato de consultoría</w:t>
            </w:r>
          </w:p>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 Mínima cuantía</w:t>
            </w:r>
          </w:p>
        </w:tc>
        <w:tc>
          <w:tcPr>
            <w:tcW w:w="1693"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tcPr>
          <w:p w:rsidR="00FC2107" w:rsidRPr="00A21B5C" w:rsidRDefault="00AC4836"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 xml:space="preserve">Larry Rafael Sierra Robles </w:t>
            </w:r>
          </w:p>
        </w:tc>
        <w:tc>
          <w:tcPr>
            <w:tcW w:w="4041" w:type="dxa"/>
            <w:tcBorders>
              <w:top w:val="nil"/>
              <w:left w:val="dashSmallGap" w:sz="4" w:space="0" w:color="A6A6A6" w:themeColor="background1" w:themeShade="A6"/>
              <w:bottom w:val="single" w:sz="4" w:space="0" w:color="auto"/>
              <w:right w:val="dashSmallGap" w:sz="4" w:space="0" w:color="A6A6A6" w:themeColor="background1" w:themeShade="A6"/>
            </w:tcBorders>
            <w:vAlign w:val="center"/>
            <w:hideMark/>
          </w:tcPr>
          <w:p w:rsidR="00FC2107" w:rsidRPr="00A21B5C" w:rsidRDefault="00FC2107" w:rsidP="00A21B5C">
            <w:pPr>
              <w:contextualSpacing/>
              <w:jc w:val="both"/>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Realización de levantamiento topográfico, diseño de planos y avalúos de predios rurales con el fin de realizar ampliación y/o saneamiento del Resguardo Kogui - Malayo - Arhuaco en la jurisdicción de Dibulla - La Guajira, Caribe.</w:t>
            </w:r>
          </w:p>
        </w:tc>
        <w:tc>
          <w:tcPr>
            <w:tcW w:w="1167" w:type="dxa"/>
            <w:tcBorders>
              <w:top w:val="nil"/>
              <w:left w:val="dashSmallGap" w:sz="4" w:space="0" w:color="A6A6A6" w:themeColor="background1" w:themeShade="A6"/>
              <w:bottom w:val="single" w:sz="4" w:space="0" w:color="auto"/>
              <w:right w:val="single" w:sz="4" w:space="0" w:color="auto"/>
            </w:tcBorders>
            <w:noWrap/>
            <w:vAlign w:val="center"/>
            <w:hideMark/>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$19.000.000</w:t>
            </w:r>
          </w:p>
        </w:tc>
      </w:tr>
      <w:tr w:rsidR="00FC2107" w:rsidRPr="00A21B5C" w:rsidTr="00613441">
        <w:trPr>
          <w:trHeight w:val="265"/>
          <w:jc w:val="center"/>
        </w:trPr>
        <w:tc>
          <w:tcPr>
            <w:tcW w:w="9564" w:type="dxa"/>
            <w:gridSpan w:val="5"/>
            <w:tcBorders>
              <w:top w:val="nil"/>
              <w:left w:val="single" w:sz="4" w:space="0" w:color="auto"/>
              <w:bottom w:val="single" w:sz="4" w:space="0" w:color="auto"/>
              <w:right w:val="dashSmallGap" w:sz="4" w:space="0" w:color="A6A6A6" w:themeColor="background1" w:themeShade="A6"/>
            </w:tcBorders>
            <w:shd w:val="clear" w:color="auto" w:fill="B6DDE8" w:themeFill="accent5" w:themeFillTint="66"/>
            <w:noWrap/>
            <w:vAlign w:val="center"/>
            <w:hideMark/>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b/>
                <w:color w:val="000000"/>
                <w:sz w:val="18"/>
                <w:szCs w:val="20"/>
                <w:lang w:val="es-CO" w:eastAsia="es-CO"/>
              </w:rPr>
              <w:t>TOTAL CONTRATOS VIGENCIA 2016</w:t>
            </w:r>
          </w:p>
        </w:tc>
        <w:tc>
          <w:tcPr>
            <w:tcW w:w="1167" w:type="dxa"/>
            <w:tcBorders>
              <w:top w:val="nil"/>
              <w:left w:val="dashSmallGap" w:sz="4" w:space="0" w:color="A6A6A6" w:themeColor="background1" w:themeShade="A6"/>
              <w:bottom w:val="single" w:sz="4" w:space="0" w:color="auto"/>
              <w:right w:val="single" w:sz="4" w:space="0" w:color="auto"/>
            </w:tcBorders>
            <w:shd w:val="clear" w:color="auto" w:fill="B6DDE8" w:themeFill="accent5" w:themeFillTint="66"/>
            <w:noWrap/>
            <w:vAlign w:val="center"/>
            <w:hideMark/>
          </w:tcPr>
          <w:p w:rsidR="00FC2107" w:rsidRPr="00A21B5C" w:rsidRDefault="00FC2107" w:rsidP="00A21B5C">
            <w:pPr>
              <w:contextualSpacing/>
              <w:jc w:val="center"/>
              <w:rPr>
                <w:rFonts w:ascii="Arial" w:eastAsia="Times New Roman" w:hAnsi="Arial" w:cs="Arial"/>
                <w:b/>
                <w:color w:val="000000"/>
                <w:sz w:val="18"/>
                <w:szCs w:val="20"/>
                <w:lang w:val="es-CO" w:eastAsia="es-CO"/>
              </w:rPr>
            </w:pPr>
            <w:r w:rsidRPr="00A21B5C">
              <w:rPr>
                <w:rFonts w:ascii="Arial" w:eastAsia="Times New Roman" w:hAnsi="Arial" w:cs="Arial"/>
                <w:b/>
                <w:color w:val="000000"/>
                <w:sz w:val="18"/>
                <w:szCs w:val="20"/>
                <w:lang w:val="es-CO" w:eastAsia="es-CO"/>
              </w:rPr>
              <w:t>$2.271.113.730</w:t>
            </w:r>
          </w:p>
        </w:tc>
      </w:tr>
      <w:tr w:rsidR="00FC2107" w:rsidRPr="00A21B5C" w:rsidTr="00613441">
        <w:trPr>
          <w:trHeight w:val="743"/>
          <w:jc w:val="center"/>
        </w:trPr>
        <w:tc>
          <w:tcPr>
            <w:tcW w:w="1165" w:type="dxa"/>
            <w:tcBorders>
              <w:top w:val="single" w:sz="4" w:space="0" w:color="auto"/>
              <w:left w:val="dashSmallGap" w:sz="4" w:space="0" w:color="A6A6A6" w:themeColor="background1" w:themeShade="A6"/>
              <w:bottom w:val="single" w:sz="4" w:space="0" w:color="auto"/>
              <w:right w:val="dashSmallGap" w:sz="4" w:space="0" w:color="A6A6A6" w:themeColor="background1" w:themeShade="A6"/>
            </w:tcBorders>
            <w:noWrap/>
            <w:vAlign w:val="center"/>
            <w:hideMark/>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29/06/2017</w:t>
            </w:r>
          </w:p>
        </w:tc>
        <w:tc>
          <w:tcPr>
            <w:tcW w:w="1327" w:type="dxa"/>
            <w:tcBorders>
              <w:top w:val="single" w:sz="4" w:space="0" w:color="auto"/>
              <w:left w:val="dashSmallGap" w:sz="4" w:space="0" w:color="A6A6A6" w:themeColor="background1" w:themeShade="A6"/>
              <w:bottom w:val="single" w:sz="4" w:space="0" w:color="auto"/>
              <w:right w:val="dashSmallGap" w:sz="4" w:space="0" w:color="A6A6A6" w:themeColor="background1" w:themeShade="A6"/>
            </w:tcBorders>
            <w:noWrap/>
            <w:vAlign w:val="center"/>
            <w:hideMark/>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N° 006 de 2017</w:t>
            </w:r>
          </w:p>
        </w:tc>
        <w:tc>
          <w:tcPr>
            <w:tcW w:w="1338" w:type="dxa"/>
            <w:tcBorders>
              <w:top w:val="single" w:sz="4" w:space="0" w:color="auto"/>
              <w:left w:val="dashSmallGap" w:sz="4" w:space="0" w:color="A6A6A6" w:themeColor="background1" w:themeShade="A6"/>
              <w:bottom w:val="single" w:sz="4" w:space="0" w:color="auto"/>
              <w:right w:val="dashSmallGap" w:sz="4" w:space="0" w:color="A6A6A6" w:themeColor="background1" w:themeShade="A6"/>
            </w:tcBorders>
            <w:noWrap/>
            <w:vAlign w:val="center"/>
            <w:hideMark/>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Contrato de compraventa</w:t>
            </w:r>
          </w:p>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 Contratación Directa</w:t>
            </w:r>
          </w:p>
        </w:tc>
        <w:tc>
          <w:tcPr>
            <w:tcW w:w="1693" w:type="dxa"/>
            <w:tcBorders>
              <w:top w:val="single" w:sz="4" w:space="0" w:color="auto"/>
              <w:left w:val="dashSmallGap" w:sz="4" w:space="0" w:color="A6A6A6" w:themeColor="background1" w:themeShade="A6"/>
              <w:bottom w:val="single" w:sz="4" w:space="0" w:color="auto"/>
              <w:right w:val="dashSmallGap" w:sz="4" w:space="0" w:color="A6A6A6" w:themeColor="background1" w:themeShade="A6"/>
            </w:tcBorders>
            <w:noWrap/>
            <w:vAlign w:val="center"/>
          </w:tcPr>
          <w:p w:rsidR="00FC2107" w:rsidRPr="00A21B5C" w:rsidRDefault="00C44931"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Luisa Maria Mier Cueto</w:t>
            </w:r>
          </w:p>
        </w:tc>
        <w:tc>
          <w:tcPr>
            <w:tcW w:w="4041" w:type="dxa"/>
            <w:tcBorders>
              <w:top w:val="single" w:sz="4" w:space="0" w:color="auto"/>
              <w:left w:val="dashSmallGap" w:sz="4" w:space="0" w:color="A6A6A6" w:themeColor="background1" w:themeShade="A6"/>
              <w:bottom w:val="single" w:sz="4" w:space="0" w:color="auto"/>
              <w:right w:val="dashSmallGap" w:sz="4" w:space="0" w:color="A6A6A6" w:themeColor="background1" w:themeShade="A6"/>
            </w:tcBorders>
            <w:vAlign w:val="center"/>
            <w:hideMark/>
          </w:tcPr>
          <w:p w:rsidR="00FC2107" w:rsidRPr="00A21B5C" w:rsidRDefault="00FC2107" w:rsidP="00A21B5C">
            <w:pPr>
              <w:contextualSpacing/>
              <w:jc w:val="both"/>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Compraventa de mejoras rurales para el saneamiento del Territorio del Resguardo Indígena Kogui - Malayo - Arhhuaco en el corregimiento de Mingueo Municipio de Dibulla - La Guajira</w:t>
            </w:r>
          </w:p>
        </w:tc>
        <w:tc>
          <w:tcPr>
            <w:tcW w:w="1167" w:type="dxa"/>
            <w:tcBorders>
              <w:top w:val="single" w:sz="4" w:space="0" w:color="auto"/>
              <w:left w:val="dashSmallGap" w:sz="4" w:space="0" w:color="A6A6A6" w:themeColor="background1" w:themeShade="A6"/>
              <w:bottom w:val="single" w:sz="4" w:space="0" w:color="auto"/>
              <w:right w:val="single" w:sz="4" w:space="0" w:color="auto"/>
            </w:tcBorders>
            <w:noWrap/>
            <w:vAlign w:val="center"/>
            <w:hideMark/>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$130.000.000</w:t>
            </w:r>
          </w:p>
        </w:tc>
      </w:tr>
      <w:tr w:rsidR="00FC2107" w:rsidRPr="00A21B5C" w:rsidTr="00613441">
        <w:trPr>
          <w:trHeight w:val="981"/>
          <w:jc w:val="center"/>
        </w:trPr>
        <w:tc>
          <w:tcPr>
            <w:tcW w:w="1165"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hideMark/>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15/09/2017</w:t>
            </w:r>
          </w:p>
        </w:tc>
        <w:tc>
          <w:tcPr>
            <w:tcW w:w="1327"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hideMark/>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N° 010 de 2017</w:t>
            </w:r>
          </w:p>
        </w:tc>
        <w:tc>
          <w:tcPr>
            <w:tcW w:w="1338"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Contrato de compraventa</w:t>
            </w:r>
          </w:p>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/Contratación Directa</w:t>
            </w:r>
          </w:p>
        </w:tc>
        <w:tc>
          <w:tcPr>
            <w:tcW w:w="1693"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tcPr>
          <w:p w:rsidR="00FC2107" w:rsidRPr="00A21B5C" w:rsidRDefault="00C44931"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Luis Camilo Valdeblanquez Mena</w:t>
            </w:r>
            <w:r w:rsidRPr="00A21B5C" w:rsidDel="00FC2107">
              <w:rPr>
                <w:rFonts w:ascii="Arial" w:eastAsia="Times New Roman" w:hAnsi="Arial" w:cs="Arial"/>
                <w:color w:val="000000"/>
                <w:sz w:val="18"/>
                <w:szCs w:val="20"/>
                <w:lang w:val="es-CO" w:eastAsia="es-CO"/>
              </w:rPr>
              <w:t xml:space="preserve"> </w:t>
            </w:r>
          </w:p>
        </w:tc>
        <w:tc>
          <w:tcPr>
            <w:tcW w:w="4041" w:type="dxa"/>
            <w:tcBorders>
              <w:top w:val="nil"/>
              <w:left w:val="dashSmallGap" w:sz="4" w:space="0" w:color="A6A6A6" w:themeColor="background1" w:themeShade="A6"/>
              <w:bottom w:val="single" w:sz="4" w:space="0" w:color="auto"/>
              <w:right w:val="dashSmallGap" w:sz="4" w:space="0" w:color="A6A6A6" w:themeColor="background1" w:themeShade="A6"/>
            </w:tcBorders>
            <w:vAlign w:val="center"/>
            <w:hideMark/>
          </w:tcPr>
          <w:p w:rsidR="00FC2107" w:rsidRPr="00A21B5C" w:rsidRDefault="00FC2107" w:rsidP="00A21B5C">
            <w:pPr>
              <w:contextualSpacing/>
              <w:jc w:val="both"/>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Compraventa de un predio rural denominado "La Estrella" ubicado dentro del área comprendida en la Resolución N°  256/11 del INCODER para el saneamiento del Territorio del RI Kogui - Malayo - Arhuaco en el corregimiento de punta de los Remedio - Municipio de Dibulla (La Guajira)</w:t>
            </w:r>
          </w:p>
        </w:tc>
        <w:tc>
          <w:tcPr>
            <w:tcW w:w="1167" w:type="dxa"/>
            <w:tcBorders>
              <w:top w:val="nil"/>
              <w:left w:val="dashSmallGap" w:sz="4" w:space="0" w:color="A6A6A6" w:themeColor="background1" w:themeShade="A6"/>
              <w:bottom w:val="single" w:sz="4" w:space="0" w:color="auto"/>
              <w:right w:val="single" w:sz="4" w:space="0" w:color="auto"/>
            </w:tcBorders>
            <w:noWrap/>
            <w:vAlign w:val="center"/>
            <w:hideMark/>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$316.139.284</w:t>
            </w:r>
          </w:p>
        </w:tc>
      </w:tr>
      <w:tr w:rsidR="00FC2107" w:rsidRPr="00A21B5C" w:rsidTr="00613441">
        <w:trPr>
          <w:trHeight w:val="939"/>
          <w:jc w:val="center"/>
        </w:trPr>
        <w:tc>
          <w:tcPr>
            <w:tcW w:w="1165"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hideMark/>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23/06/2017</w:t>
            </w:r>
          </w:p>
        </w:tc>
        <w:tc>
          <w:tcPr>
            <w:tcW w:w="1327"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hideMark/>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N° 004 de 2017</w:t>
            </w:r>
          </w:p>
        </w:tc>
        <w:tc>
          <w:tcPr>
            <w:tcW w:w="1338"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hideMark/>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Contrato de compraventa</w:t>
            </w:r>
          </w:p>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 Contratación Directa</w:t>
            </w:r>
          </w:p>
        </w:tc>
        <w:tc>
          <w:tcPr>
            <w:tcW w:w="1693"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tcPr>
          <w:p w:rsidR="00FC2107" w:rsidRPr="00A21B5C" w:rsidRDefault="00C44931"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David Manuel Florez Polo</w:t>
            </w:r>
          </w:p>
        </w:tc>
        <w:tc>
          <w:tcPr>
            <w:tcW w:w="4041" w:type="dxa"/>
            <w:tcBorders>
              <w:top w:val="nil"/>
              <w:left w:val="dashSmallGap" w:sz="4" w:space="0" w:color="A6A6A6" w:themeColor="background1" w:themeShade="A6"/>
              <w:bottom w:val="single" w:sz="4" w:space="0" w:color="auto"/>
              <w:right w:val="dashSmallGap" w:sz="4" w:space="0" w:color="A6A6A6" w:themeColor="background1" w:themeShade="A6"/>
            </w:tcBorders>
            <w:vAlign w:val="center"/>
            <w:hideMark/>
          </w:tcPr>
          <w:p w:rsidR="00FC2107" w:rsidRPr="00A21B5C" w:rsidRDefault="00FC2107" w:rsidP="00A21B5C">
            <w:pPr>
              <w:contextualSpacing/>
              <w:jc w:val="both"/>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Adquisición de título de compraventa de mejoras rurales para el saneamiento del Territorio del Resguardo Indígena Kogui - Malayo - Arhuaco en jurisdicción del corregimiento de Mingueo - Municipio de Dibulla (La Guajira)</w:t>
            </w:r>
          </w:p>
        </w:tc>
        <w:tc>
          <w:tcPr>
            <w:tcW w:w="1167" w:type="dxa"/>
            <w:tcBorders>
              <w:top w:val="nil"/>
              <w:left w:val="dashSmallGap" w:sz="4" w:space="0" w:color="A6A6A6" w:themeColor="background1" w:themeShade="A6"/>
              <w:bottom w:val="single" w:sz="4" w:space="0" w:color="auto"/>
              <w:right w:val="single" w:sz="4" w:space="0" w:color="auto"/>
            </w:tcBorders>
            <w:noWrap/>
            <w:vAlign w:val="center"/>
            <w:hideMark/>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$306.247.656</w:t>
            </w:r>
          </w:p>
        </w:tc>
      </w:tr>
      <w:tr w:rsidR="00FC2107" w:rsidRPr="00A21B5C" w:rsidTr="00613441">
        <w:trPr>
          <w:trHeight w:val="698"/>
          <w:jc w:val="center"/>
        </w:trPr>
        <w:tc>
          <w:tcPr>
            <w:tcW w:w="1165"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hideMark/>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29/06/2017</w:t>
            </w:r>
          </w:p>
        </w:tc>
        <w:tc>
          <w:tcPr>
            <w:tcW w:w="1327"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hideMark/>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N° 005 DE 2017</w:t>
            </w:r>
          </w:p>
        </w:tc>
        <w:tc>
          <w:tcPr>
            <w:tcW w:w="1338"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hideMark/>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Contrato de compraventa</w:t>
            </w:r>
          </w:p>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 Contratación Directa</w:t>
            </w:r>
          </w:p>
        </w:tc>
        <w:tc>
          <w:tcPr>
            <w:tcW w:w="1693"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tcPr>
          <w:p w:rsidR="00FC2107" w:rsidRPr="00A21B5C" w:rsidRDefault="00C44931"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Laudith Ester Lerma Hoyos</w:t>
            </w:r>
          </w:p>
        </w:tc>
        <w:tc>
          <w:tcPr>
            <w:tcW w:w="4041" w:type="dxa"/>
            <w:tcBorders>
              <w:top w:val="nil"/>
              <w:left w:val="dashSmallGap" w:sz="4" w:space="0" w:color="A6A6A6" w:themeColor="background1" w:themeShade="A6"/>
              <w:bottom w:val="single" w:sz="4" w:space="0" w:color="auto"/>
              <w:right w:val="dashSmallGap" w:sz="4" w:space="0" w:color="A6A6A6" w:themeColor="background1" w:themeShade="A6"/>
            </w:tcBorders>
            <w:vAlign w:val="center"/>
            <w:hideMark/>
          </w:tcPr>
          <w:p w:rsidR="00FC2107" w:rsidRPr="00A21B5C" w:rsidRDefault="00FC2107" w:rsidP="00A21B5C">
            <w:pPr>
              <w:contextualSpacing/>
              <w:jc w:val="both"/>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Compraventa de mejoras rurales para el saneamiento del Territorio del Resguardo Indígena Kogui - Malayo - Arhhuaco en el corregimiento de Mingueo Municipio de Dibulla - La Guajira</w:t>
            </w:r>
          </w:p>
        </w:tc>
        <w:tc>
          <w:tcPr>
            <w:tcW w:w="1167" w:type="dxa"/>
            <w:tcBorders>
              <w:top w:val="nil"/>
              <w:left w:val="dashSmallGap" w:sz="4" w:space="0" w:color="A6A6A6" w:themeColor="background1" w:themeShade="A6"/>
              <w:bottom w:val="single" w:sz="4" w:space="0" w:color="auto"/>
              <w:right w:val="single" w:sz="4" w:space="0" w:color="auto"/>
            </w:tcBorders>
            <w:noWrap/>
            <w:vAlign w:val="center"/>
            <w:hideMark/>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$60.000.000</w:t>
            </w:r>
          </w:p>
        </w:tc>
      </w:tr>
      <w:tr w:rsidR="00FC2107" w:rsidRPr="00A21B5C" w:rsidTr="00613441">
        <w:trPr>
          <w:trHeight w:val="1275"/>
          <w:jc w:val="center"/>
        </w:trPr>
        <w:tc>
          <w:tcPr>
            <w:tcW w:w="1165"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hideMark/>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lastRenderedPageBreak/>
              <w:t>21/09/2017</w:t>
            </w:r>
          </w:p>
        </w:tc>
        <w:tc>
          <w:tcPr>
            <w:tcW w:w="1327"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hideMark/>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N° 004 de 2017</w:t>
            </w:r>
          </w:p>
        </w:tc>
        <w:tc>
          <w:tcPr>
            <w:tcW w:w="1338"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hideMark/>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Contrato de Calamidad</w:t>
            </w:r>
          </w:p>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/Contratación Directa</w:t>
            </w:r>
          </w:p>
        </w:tc>
        <w:tc>
          <w:tcPr>
            <w:tcW w:w="1693"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tcPr>
          <w:p w:rsidR="00FC2107" w:rsidRPr="00A21B5C" w:rsidRDefault="00C44931"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Jairo Esteban Correa Vargas</w:t>
            </w:r>
          </w:p>
        </w:tc>
        <w:tc>
          <w:tcPr>
            <w:tcW w:w="4041" w:type="dxa"/>
            <w:tcBorders>
              <w:top w:val="nil"/>
              <w:left w:val="dashSmallGap" w:sz="4" w:space="0" w:color="A6A6A6" w:themeColor="background1" w:themeShade="A6"/>
              <w:bottom w:val="single" w:sz="4" w:space="0" w:color="auto"/>
              <w:right w:val="dashSmallGap" w:sz="4" w:space="0" w:color="A6A6A6" w:themeColor="background1" w:themeShade="A6"/>
            </w:tcBorders>
            <w:vAlign w:val="center"/>
            <w:hideMark/>
          </w:tcPr>
          <w:p w:rsidR="00FC2107" w:rsidRPr="00A21B5C" w:rsidRDefault="00FC2107" w:rsidP="00A21B5C">
            <w:pPr>
              <w:contextualSpacing/>
              <w:jc w:val="both"/>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Mantenimiento, construcción y reparación de puentes colgantes en las comunidades de Santa Clara y Dumingueka Jurisdicción del Resguardo Indígena Kogui - Malayo - Arhuaco afectados por la primera temporada de lluvias en el marco de la declaratoria de calamidad pública en el Municipio de Dibulla - La Guajira.</w:t>
            </w:r>
          </w:p>
        </w:tc>
        <w:tc>
          <w:tcPr>
            <w:tcW w:w="1167" w:type="dxa"/>
            <w:tcBorders>
              <w:top w:val="nil"/>
              <w:left w:val="dashSmallGap" w:sz="4" w:space="0" w:color="A6A6A6" w:themeColor="background1" w:themeShade="A6"/>
              <w:bottom w:val="single" w:sz="4" w:space="0" w:color="auto"/>
              <w:right w:val="single" w:sz="4" w:space="0" w:color="auto"/>
            </w:tcBorders>
            <w:noWrap/>
            <w:vAlign w:val="center"/>
            <w:hideMark/>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$100.000.000</w:t>
            </w:r>
          </w:p>
        </w:tc>
      </w:tr>
      <w:tr w:rsidR="00FC2107" w:rsidRPr="00A21B5C" w:rsidTr="00613441">
        <w:trPr>
          <w:trHeight w:val="967"/>
          <w:jc w:val="center"/>
        </w:trPr>
        <w:tc>
          <w:tcPr>
            <w:tcW w:w="1165"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hideMark/>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15/09/2017</w:t>
            </w:r>
          </w:p>
        </w:tc>
        <w:tc>
          <w:tcPr>
            <w:tcW w:w="1327"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hideMark/>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N° 009 de 2017</w:t>
            </w:r>
          </w:p>
        </w:tc>
        <w:tc>
          <w:tcPr>
            <w:tcW w:w="1338"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Contrato de compraventa</w:t>
            </w:r>
          </w:p>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/Contratación Directa</w:t>
            </w:r>
          </w:p>
        </w:tc>
        <w:tc>
          <w:tcPr>
            <w:tcW w:w="1693"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tcPr>
          <w:p w:rsidR="00FC2107" w:rsidRPr="00A21B5C" w:rsidRDefault="00C44931"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Luis Camilo Valdeblanquez Mena</w:t>
            </w:r>
          </w:p>
        </w:tc>
        <w:tc>
          <w:tcPr>
            <w:tcW w:w="4041" w:type="dxa"/>
            <w:tcBorders>
              <w:top w:val="nil"/>
              <w:left w:val="dashSmallGap" w:sz="4" w:space="0" w:color="A6A6A6" w:themeColor="background1" w:themeShade="A6"/>
              <w:bottom w:val="single" w:sz="4" w:space="0" w:color="auto"/>
              <w:right w:val="dashSmallGap" w:sz="4" w:space="0" w:color="A6A6A6" w:themeColor="background1" w:themeShade="A6"/>
            </w:tcBorders>
            <w:vAlign w:val="center"/>
            <w:hideMark/>
          </w:tcPr>
          <w:p w:rsidR="00FC2107" w:rsidRPr="00A21B5C" w:rsidRDefault="00FC2107" w:rsidP="00A21B5C">
            <w:pPr>
              <w:contextualSpacing/>
              <w:jc w:val="both"/>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 xml:space="preserve">Compraventa de </w:t>
            </w:r>
            <w:r w:rsidR="00F26622" w:rsidRPr="00A21B5C">
              <w:rPr>
                <w:rFonts w:ascii="Arial" w:eastAsia="Times New Roman" w:hAnsi="Arial" w:cs="Arial"/>
                <w:color w:val="000000"/>
                <w:sz w:val="18"/>
                <w:szCs w:val="20"/>
                <w:lang w:val="es-CO" w:eastAsia="es-CO"/>
              </w:rPr>
              <w:t>la mejora</w:t>
            </w:r>
            <w:r w:rsidRPr="00A21B5C">
              <w:rPr>
                <w:rFonts w:ascii="Arial" w:eastAsia="Times New Roman" w:hAnsi="Arial" w:cs="Arial"/>
                <w:color w:val="000000"/>
                <w:sz w:val="18"/>
                <w:szCs w:val="20"/>
                <w:lang w:val="es-CO" w:eastAsia="es-CO"/>
              </w:rPr>
              <w:t xml:space="preserve"> rural denominad</w:t>
            </w:r>
            <w:r w:rsidR="00F26622" w:rsidRPr="00A21B5C">
              <w:rPr>
                <w:rFonts w:ascii="Arial" w:eastAsia="Times New Roman" w:hAnsi="Arial" w:cs="Arial"/>
                <w:color w:val="000000"/>
                <w:sz w:val="18"/>
                <w:szCs w:val="20"/>
                <w:lang w:val="es-CO" w:eastAsia="es-CO"/>
              </w:rPr>
              <w:t>a</w:t>
            </w:r>
            <w:r w:rsidRPr="00A21B5C">
              <w:rPr>
                <w:rFonts w:ascii="Arial" w:eastAsia="Times New Roman" w:hAnsi="Arial" w:cs="Arial"/>
                <w:color w:val="000000"/>
                <w:sz w:val="18"/>
                <w:szCs w:val="20"/>
                <w:lang w:val="es-CO" w:eastAsia="es-CO"/>
              </w:rPr>
              <w:t xml:space="preserve"> "El Guasimito" ubicado dentro del área comprendida en la Resolución N°  256/11 del INCODER para el saneamiento del Territorio del RI Kogui - Malayo - Arhuaco en el corregimiento de punta de los Remedio - Municipio de Dibulla (La Guajira)</w:t>
            </w:r>
          </w:p>
        </w:tc>
        <w:tc>
          <w:tcPr>
            <w:tcW w:w="1167" w:type="dxa"/>
            <w:tcBorders>
              <w:top w:val="nil"/>
              <w:left w:val="dashSmallGap" w:sz="4" w:space="0" w:color="A6A6A6" w:themeColor="background1" w:themeShade="A6"/>
              <w:bottom w:val="single" w:sz="4" w:space="0" w:color="auto"/>
              <w:right w:val="single" w:sz="4" w:space="0" w:color="auto"/>
            </w:tcBorders>
            <w:noWrap/>
            <w:vAlign w:val="center"/>
            <w:hideMark/>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$168.752.576</w:t>
            </w:r>
          </w:p>
        </w:tc>
      </w:tr>
      <w:tr w:rsidR="00FC2107" w:rsidRPr="00A21B5C" w:rsidTr="00613441">
        <w:trPr>
          <w:trHeight w:val="967"/>
          <w:jc w:val="center"/>
        </w:trPr>
        <w:tc>
          <w:tcPr>
            <w:tcW w:w="1165"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hideMark/>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28/11/2017</w:t>
            </w:r>
          </w:p>
        </w:tc>
        <w:tc>
          <w:tcPr>
            <w:tcW w:w="1327"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hideMark/>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N° 015 de 2017</w:t>
            </w:r>
          </w:p>
        </w:tc>
        <w:tc>
          <w:tcPr>
            <w:tcW w:w="1338"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Contrato de compraventa</w:t>
            </w:r>
          </w:p>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/Contratación Directa</w:t>
            </w:r>
          </w:p>
        </w:tc>
        <w:tc>
          <w:tcPr>
            <w:tcW w:w="1693"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tcPr>
          <w:p w:rsidR="00FC2107" w:rsidRPr="00A21B5C" w:rsidRDefault="0057148A"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Marelbis Ester Rodríguez Jiménez</w:t>
            </w:r>
          </w:p>
        </w:tc>
        <w:tc>
          <w:tcPr>
            <w:tcW w:w="4041" w:type="dxa"/>
            <w:tcBorders>
              <w:top w:val="nil"/>
              <w:left w:val="dashSmallGap" w:sz="4" w:space="0" w:color="A6A6A6" w:themeColor="background1" w:themeShade="A6"/>
              <w:bottom w:val="single" w:sz="4" w:space="0" w:color="auto"/>
              <w:right w:val="dashSmallGap" w:sz="4" w:space="0" w:color="A6A6A6" w:themeColor="background1" w:themeShade="A6"/>
            </w:tcBorders>
            <w:vAlign w:val="center"/>
            <w:hideMark/>
          </w:tcPr>
          <w:p w:rsidR="00FC2107" w:rsidRPr="00A21B5C" w:rsidRDefault="00FC2107" w:rsidP="00A21B5C">
            <w:pPr>
              <w:contextualSpacing/>
              <w:jc w:val="both"/>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Compraventa de mejoras rurales para el saneamiento del Territorio del Resguardo Indígena Kogui - Malayo - Arhhuaco en el corregimiento de Mingueo Municipio de Dibulla - La Guajira</w:t>
            </w:r>
          </w:p>
        </w:tc>
        <w:tc>
          <w:tcPr>
            <w:tcW w:w="1167" w:type="dxa"/>
            <w:tcBorders>
              <w:top w:val="nil"/>
              <w:left w:val="dashSmallGap" w:sz="4" w:space="0" w:color="A6A6A6" w:themeColor="background1" w:themeShade="A6"/>
              <w:bottom w:val="single" w:sz="4" w:space="0" w:color="auto"/>
              <w:right w:val="single" w:sz="4" w:space="0" w:color="auto"/>
            </w:tcBorders>
            <w:noWrap/>
            <w:vAlign w:val="center"/>
            <w:hideMark/>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$400.000.000</w:t>
            </w:r>
          </w:p>
        </w:tc>
      </w:tr>
      <w:tr w:rsidR="00FC2107" w:rsidRPr="00A21B5C" w:rsidTr="00613441">
        <w:trPr>
          <w:trHeight w:val="967"/>
          <w:jc w:val="center"/>
        </w:trPr>
        <w:tc>
          <w:tcPr>
            <w:tcW w:w="1165"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hideMark/>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14/12/2017</w:t>
            </w:r>
          </w:p>
        </w:tc>
        <w:tc>
          <w:tcPr>
            <w:tcW w:w="1327"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tcPr>
          <w:p w:rsidR="0057148A" w:rsidRPr="00A21B5C" w:rsidRDefault="0057148A" w:rsidP="00A21B5C">
            <w:pPr>
              <w:contextualSpacing/>
              <w:jc w:val="center"/>
              <w:rPr>
                <w:rFonts w:ascii="Arial" w:eastAsia="Times New Roman" w:hAnsi="Arial" w:cs="Arial"/>
                <w:color w:val="000000"/>
                <w:sz w:val="18"/>
                <w:szCs w:val="20"/>
                <w:lang w:val="es-CO" w:eastAsia="es-CO"/>
              </w:rPr>
            </w:pPr>
          </w:p>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N° 017 de 2017</w:t>
            </w:r>
          </w:p>
          <w:p w:rsidR="00FC2107" w:rsidRPr="00A21B5C" w:rsidRDefault="00FC2107" w:rsidP="00A21B5C">
            <w:pPr>
              <w:contextualSpacing/>
              <w:jc w:val="center"/>
              <w:rPr>
                <w:rFonts w:ascii="Arial" w:eastAsia="Times New Roman" w:hAnsi="Arial" w:cs="Arial"/>
                <w:color w:val="000000"/>
                <w:sz w:val="18"/>
                <w:szCs w:val="20"/>
                <w:lang w:val="es-CO" w:eastAsia="es-CO"/>
              </w:rPr>
            </w:pPr>
          </w:p>
        </w:tc>
        <w:tc>
          <w:tcPr>
            <w:tcW w:w="1338"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hideMark/>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Contrato de compraventa/ Subasta Inversa</w:t>
            </w:r>
          </w:p>
        </w:tc>
        <w:tc>
          <w:tcPr>
            <w:tcW w:w="1693"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tcPr>
          <w:p w:rsidR="00FC2107" w:rsidRPr="00A21B5C" w:rsidRDefault="0057148A"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Proyectos y Suministros S.A.S (Representante legal: Jose Luis Tapias Basanta)</w:t>
            </w:r>
          </w:p>
        </w:tc>
        <w:tc>
          <w:tcPr>
            <w:tcW w:w="4041" w:type="dxa"/>
            <w:tcBorders>
              <w:top w:val="nil"/>
              <w:left w:val="dashSmallGap" w:sz="4" w:space="0" w:color="A6A6A6" w:themeColor="background1" w:themeShade="A6"/>
              <w:bottom w:val="single" w:sz="4" w:space="0" w:color="auto"/>
              <w:right w:val="dashSmallGap" w:sz="4" w:space="0" w:color="A6A6A6" w:themeColor="background1" w:themeShade="A6"/>
            </w:tcBorders>
            <w:vAlign w:val="center"/>
            <w:hideMark/>
          </w:tcPr>
          <w:p w:rsidR="00FC2107" w:rsidRPr="00A21B5C" w:rsidRDefault="00FC2107" w:rsidP="00A21B5C">
            <w:pPr>
              <w:contextualSpacing/>
              <w:jc w:val="both"/>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Adquisición de Textos, Material Didáctico, Mobiliarios e Insumos para la Sede Educativa La Laguna del Pueblo Wiwa y Los Establecimientos Educativos Kogui del Resguardo Kogui-Malayo-Arhuaco. del Municipio de Dibulla Departamento de La Guajira</w:t>
            </w:r>
          </w:p>
        </w:tc>
        <w:tc>
          <w:tcPr>
            <w:tcW w:w="1167" w:type="dxa"/>
            <w:tcBorders>
              <w:top w:val="nil"/>
              <w:left w:val="dashSmallGap" w:sz="4" w:space="0" w:color="A6A6A6" w:themeColor="background1" w:themeShade="A6"/>
              <w:bottom w:val="single" w:sz="4" w:space="0" w:color="auto"/>
              <w:right w:val="single" w:sz="4" w:space="0" w:color="auto"/>
            </w:tcBorders>
            <w:noWrap/>
            <w:vAlign w:val="center"/>
          </w:tcPr>
          <w:p w:rsidR="00FC2107" w:rsidRPr="00A21B5C" w:rsidRDefault="00FC2107" w:rsidP="00A21B5C">
            <w:pPr>
              <w:contextualSpacing/>
              <w:jc w:val="center"/>
              <w:rPr>
                <w:rFonts w:ascii="Arial" w:eastAsia="Times New Roman" w:hAnsi="Arial" w:cs="Arial"/>
                <w:color w:val="000000"/>
                <w:sz w:val="18"/>
                <w:szCs w:val="22"/>
                <w:lang w:val="es-CO" w:eastAsia="es-CO"/>
              </w:rPr>
            </w:pPr>
            <w:r w:rsidRPr="00A21B5C">
              <w:rPr>
                <w:rFonts w:ascii="Arial" w:hAnsi="Arial" w:cs="Arial"/>
                <w:color w:val="000000"/>
                <w:sz w:val="18"/>
                <w:szCs w:val="22"/>
                <w:lang w:val="es-CO"/>
              </w:rPr>
              <w:t>$143.473.772</w:t>
            </w:r>
          </w:p>
          <w:p w:rsidR="00FC2107" w:rsidRPr="00A21B5C" w:rsidRDefault="00FC2107" w:rsidP="00A21B5C">
            <w:pPr>
              <w:contextualSpacing/>
              <w:jc w:val="center"/>
              <w:rPr>
                <w:rFonts w:ascii="Arial" w:eastAsia="Times New Roman" w:hAnsi="Arial" w:cs="Arial"/>
                <w:color w:val="000000"/>
                <w:sz w:val="18"/>
                <w:szCs w:val="20"/>
                <w:lang w:val="es-CO" w:eastAsia="es-CO"/>
              </w:rPr>
            </w:pPr>
          </w:p>
        </w:tc>
      </w:tr>
      <w:tr w:rsidR="00FC2107" w:rsidRPr="00A21B5C" w:rsidTr="00613441">
        <w:trPr>
          <w:trHeight w:val="241"/>
          <w:jc w:val="center"/>
        </w:trPr>
        <w:tc>
          <w:tcPr>
            <w:tcW w:w="9564" w:type="dxa"/>
            <w:gridSpan w:val="5"/>
            <w:tcBorders>
              <w:top w:val="nil"/>
              <w:left w:val="single" w:sz="4" w:space="0" w:color="auto"/>
              <w:bottom w:val="single" w:sz="4" w:space="0" w:color="auto"/>
              <w:right w:val="dashSmallGap" w:sz="4" w:space="0" w:color="A6A6A6" w:themeColor="background1" w:themeShade="A6"/>
            </w:tcBorders>
            <w:shd w:val="clear" w:color="auto" w:fill="B6DDE8" w:themeFill="accent5" w:themeFillTint="66"/>
            <w:noWrap/>
            <w:vAlign w:val="center"/>
          </w:tcPr>
          <w:p w:rsidR="00FC2107" w:rsidRPr="00A21B5C" w:rsidRDefault="001407C3" w:rsidP="00A21B5C">
            <w:pPr>
              <w:contextualSpacing/>
              <w:jc w:val="center"/>
              <w:rPr>
                <w:rFonts w:ascii="Arial" w:eastAsia="Times New Roman" w:hAnsi="Arial" w:cs="Arial"/>
                <w:b/>
                <w:color w:val="000000"/>
                <w:sz w:val="18"/>
                <w:szCs w:val="20"/>
                <w:lang w:val="es-CO" w:eastAsia="es-CO"/>
              </w:rPr>
            </w:pPr>
            <w:r w:rsidRPr="00A21B5C">
              <w:rPr>
                <w:rFonts w:ascii="Arial" w:eastAsia="Times New Roman" w:hAnsi="Arial" w:cs="Arial"/>
                <w:b/>
                <w:color w:val="000000"/>
                <w:sz w:val="18"/>
                <w:szCs w:val="20"/>
                <w:lang w:val="es-CO" w:eastAsia="es-CO"/>
              </w:rPr>
              <w:t>TOTAL CONTRATOS VIGENCIA 2017</w:t>
            </w:r>
          </w:p>
        </w:tc>
        <w:tc>
          <w:tcPr>
            <w:tcW w:w="1167" w:type="dxa"/>
            <w:tcBorders>
              <w:top w:val="nil"/>
              <w:left w:val="dashSmallGap" w:sz="4" w:space="0" w:color="A6A6A6" w:themeColor="background1" w:themeShade="A6"/>
              <w:bottom w:val="single" w:sz="4" w:space="0" w:color="auto"/>
              <w:right w:val="single" w:sz="4" w:space="0" w:color="auto"/>
            </w:tcBorders>
            <w:shd w:val="clear" w:color="auto" w:fill="B6DDE8" w:themeFill="accent5" w:themeFillTint="66"/>
            <w:noWrap/>
            <w:vAlign w:val="center"/>
            <w:hideMark/>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b/>
                <w:color w:val="000000"/>
                <w:sz w:val="18"/>
                <w:szCs w:val="20"/>
                <w:lang w:val="es-CO" w:eastAsia="es-CO"/>
              </w:rPr>
              <w:t>$1.624.613.288</w:t>
            </w:r>
          </w:p>
        </w:tc>
      </w:tr>
      <w:tr w:rsidR="00FC2107" w:rsidRPr="00A21B5C" w:rsidTr="00613441">
        <w:trPr>
          <w:trHeight w:val="967"/>
          <w:jc w:val="center"/>
        </w:trPr>
        <w:tc>
          <w:tcPr>
            <w:tcW w:w="1165"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hideMark/>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03/08/2018</w:t>
            </w:r>
          </w:p>
        </w:tc>
        <w:tc>
          <w:tcPr>
            <w:tcW w:w="1327"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hideMark/>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No. 002 de 2018</w:t>
            </w:r>
          </w:p>
        </w:tc>
        <w:tc>
          <w:tcPr>
            <w:tcW w:w="1338"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Contrato de compraventa</w:t>
            </w:r>
          </w:p>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 Contratación Directa</w:t>
            </w:r>
          </w:p>
        </w:tc>
        <w:tc>
          <w:tcPr>
            <w:tcW w:w="1693"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tcPr>
          <w:p w:rsidR="00FC2107" w:rsidRPr="00A21B5C" w:rsidRDefault="0057148A"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Jose Domingo Barandica Amaris</w:t>
            </w:r>
          </w:p>
        </w:tc>
        <w:tc>
          <w:tcPr>
            <w:tcW w:w="4041" w:type="dxa"/>
            <w:tcBorders>
              <w:top w:val="nil"/>
              <w:left w:val="dashSmallGap" w:sz="4" w:space="0" w:color="A6A6A6" w:themeColor="background1" w:themeShade="A6"/>
              <w:bottom w:val="single" w:sz="4" w:space="0" w:color="auto"/>
              <w:right w:val="dashSmallGap" w:sz="4" w:space="0" w:color="A6A6A6" w:themeColor="background1" w:themeShade="A6"/>
            </w:tcBorders>
            <w:vAlign w:val="center"/>
            <w:hideMark/>
          </w:tcPr>
          <w:p w:rsidR="00FC2107" w:rsidRPr="00A21B5C" w:rsidRDefault="00FC2107" w:rsidP="00A21B5C">
            <w:pPr>
              <w:contextualSpacing/>
              <w:jc w:val="both"/>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Adquisición a título de Compraventa de mejoras rurales para el saneamiento del territorio del resguardo indígena Kogui Malayo Arhuaco, en jurisdicción del Corregimiento de Rio Ancho, Municipio de Dibulla - La Guajira.</w:t>
            </w:r>
          </w:p>
        </w:tc>
        <w:tc>
          <w:tcPr>
            <w:tcW w:w="1167" w:type="dxa"/>
            <w:tcBorders>
              <w:top w:val="nil"/>
              <w:left w:val="dashSmallGap" w:sz="4" w:space="0" w:color="A6A6A6" w:themeColor="background1" w:themeShade="A6"/>
              <w:bottom w:val="single" w:sz="4" w:space="0" w:color="auto"/>
              <w:right w:val="single" w:sz="4" w:space="0" w:color="auto"/>
            </w:tcBorders>
            <w:noWrap/>
            <w:vAlign w:val="center"/>
            <w:hideMark/>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$352.587.500</w:t>
            </w:r>
          </w:p>
        </w:tc>
      </w:tr>
      <w:tr w:rsidR="00FC2107" w:rsidRPr="00A21B5C" w:rsidTr="00613441">
        <w:trPr>
          <w:trHeight w:val="208"/>
          <w:jc w:val="center"/>
        </w:trPr>
        <w:tc>
          <w:tcPr>
            <w:tcW w:w="9564" w:type="dxa"/>
            <w:gridSpan w:val="5"/>
            <w:tcBorders>
              <w:top w:val="nil"/>
              <w:left w:val="single" w:sz="4" w:space="0" w:color="auto"/>
              <w:bottom w:val="single" w:sz="4" w:space="0" w:color="auto"/>
              <w:right w:val="dashSmallGap" w:sz="4" w:space="0" w:color="A6A6A6" w:themeColor="background1" w:themeShade="A6"/>
            </w:tcBorders>
            <w:shd w:val="clear" w:color="auto" w:fill="B6DDE8" w:themeFill="accent5" w:themeFillTint="66"/>
            <w:noWrap/>
            <w:vAlign w:val="center"/>
          </w:tcPr>
          <w:p w:rsidR="00FC2107" w:rsidRPr="00A21B5C" w:rsidRDefault="001407C3"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b/>
                <w:color w:val="000000"/>
                <w:sz w:val="18"/>
                <w:szCs w:val="20"/>
                <w:lang w:val="es-CO" w:eastAsia="es-CO"/>
              </w:rPr>
              <w:t>TOTAL CONTRATOS VIGENCIA 2018</w:t>
            </w:r>
          </w:p>
        </w:tc>
        <w:tc>
          <w:tcPr>
            <w:tcW w:w="1167" w:type="dxa"/>
            <w:tcBorders>
              <w:top w:val="nil"/>
              <w:left w:val="dashSmallGap" w:sz="4" w:space="0" w:color="A6A6A6" w:themeColor="background1" w:themeShade="A6"/>
              <w:bottom w:val="single" w:sz="4" w:space="0" w:color="auto"/>
              <w:right w:val="single" w:sz="4" w:space="0" w:color="auto"/>
            </w:tcBorders>
            <w:shd w:val="clear" w:color="auto" w:fill="B6DDE8" w:themeFill="accent5" w:themeFillTint="66"/>
            <w:noWrap/>
            <w:vAlign w:val="center"/>
            <w:hideMark/>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b/>
                <w:color w:val="000000"/>
                <w:sz w:val="18"/>
                <w:szCs w:val="20"/>
                <w:lang w:val="es-CO" w:eastAsia="es-CO"/>
              </w:rPr>
              <w:t>$352.587.500</w:t>
            </w:r>
          </w:p>
        </w:tc>
      </w:tr>
      <w:tr w:rsidR="00FC2107" w:rsidRPr="00A21B5C" w:rsidTr="00613441">
        <w:trPr>
          <w:trHeight w:val="967"/>
          <w:jc w:val="center"/>
        </w:trPr>
        <w:tc>
          <w:tcPr>
            <w:tcW w:w="1165"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11/03/2019</w:t>
            </w:r>
          </w:p>
        </w:tc>
        <w:tc>
          <w:tcPr>
            <w:tcW w:w="1327"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hideMark/>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Compraventa No. 001 de 2019</w:t>
            </w:r>
          </w:p>
        </w:tc>
        <w:tc>
          <w:tcPr>
            <w:tcW w:w="1338"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hideMark/>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 xml:space="preserve">Contrato de compraventa </w:t>
            </w:r>
          </w:p>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 Contratación Directa</w:t>
            </w:r>
          </w:p>
        </w:tc>
        <w:tc>
          <w:tcPr>
            <w:tcW w:w="1693"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tcPr>
          <w:p w:rsidR="00FC2107" w:rsidRPr="00A21B5C" w:rsidRDefault="0057148A"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Yelenis Yiseth Betin Pacheco</w:t>
            </w:r>
          </w:p>
        </w:tc>
        <w:tc>
          <w:tcPr>
            <w:tcW w:w="4041" w:type="dxa"/>
            <w:tcBorders>
              <w:top w:val="nil"/>
              <w:left w:val="dashSmallGap" w:sz="4" w:space="0" w:color="A6A6A6" w:themeColor="background1" w:themeShade="A6"/>
              <w:bottom w:val="single" w:sz="4" w:space="0" w:color="auto"/>
              <w:right w:val="dashSmallGap" w:sz="4" w:space="0" w:color="A6A6A6" w:themeColor="background1" w:themeShade="A6"/>
            </w:tcBorders>
            <w:vAlign w:val="center"/>
            <w:hideMark/>
          </w:tcPr>
          <w:p w:rsidR="00FC2107" w:rsidRPr="00A21B5C" w:rsidRDefault="00FC2107" w:rsidP="00A21B5C">
            <w:pPr>
              <w:contextualSpacing/>
              <w:jc w:val="both"/>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Adquisición a título de compraventa de mejoras rurales para el saneamiento del territorio del resguardo indígena Kogui Malayo Arhuaco en Jurisdicción del Corregimiento de Rio Ancho Municipio de Dibulla - La Guajira</w:t>
            </w:r>
          </w:p>
        </w:tc>
        <w:tc>
          <w:tcPr>
            <w:tcW w:w="1167" w:type="dxa"/>
            <w:tcBorders>
              <w:top w:val="nil"/>
              <w:left w:val="dashSmallGap" w:sz="4" w:space="0" w:color="A6A6A6" w:themeColor="background1" w:themeShade="A6"/>
              <w:bottom w:val="single" w:sz="4" w:space="0" w:color="auto"/>
              <w:right w:val="single" w:sz="4" w:space="0" w:color="auto"/>
            </w:tcBorders>
            <w:noWrap/>
            <w:vAlign w:val="center"/>
            <w:hideMark/>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$519.817.750</w:t>
            </w:r>
          </w:p>
        </w:tc>
      </w:tr>
      <w:tr w:rsidR="00FC2107" w:rsidRPr="00A21B5C" w:rsidTr="00613441">
        <w:trPr>
          <w:trHeight w:val="967"/>
          <w:jc w:val="center"/>
        </w:trPr>
        <w:tc>
          <w:tcPr>
            <w:tcW w:w="1165"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22/03/2019</w:t>
            </w:r>
          </w:p>
        </w:tc>
        <w:tc>
          <w:tcPr>
            <w:tcW w:w="1327"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hideMark/>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Compraventa No. 002 de 2019</w:t>
            </w:r>
          </w:p>
        </w:tc>
        <w:tc>
          <w:tcPr>
            <w:tcW w:w="1338"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hideMark/>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 xml:space="preserve">Contrato de compraventa </w:t>
            </w:r>
          </w:p>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 Contratación Directa</w:t>
            </w:r>
          </w:p>
        </w:tc>
        <w:tc>
          <w:tcPr>
            <w:tcW w:w="1693"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tcPr>
          <w:p w:rsidR="00FC2107" w:rsidRPr="00A21B5C" w:rsidRDefault="0057148A"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Jesús del Carmen Torres Castro</w:t>
            </w:r>
          </w:p>
        </w:tc>
        <w:tc>
          <w:tcPr>
            <w:tcW w:w="4041" w:type="dxa"/>
            <w:tcBorders>
              <w:top w:val="nil"/>
              <w:left w:val="dashSmallGap" w:sz="4" w:space="0" w:color="A6A6A6" w:themeColor="background1" w:themeShade="A6"/>
              <w:bottom w:val="single" w:sz="4" w:space="0" w:color="auto"/>
              <w:right w:val="dashSmallGap" w:sz="4" w:space="0" w:color="A6A6A6" w:themeColor="background1" w:themeShade="A6"/>
            </w:tcBorders>
            <w:vAlign w:val="center"/>
            <w:hideMark/>
          </w:tcPr>
          <w:p w:rsidR="00FC2107" w:rsidRPr="00A21B5C" w:rsidRDefault="00FC2107" w:rsidP="00A21B5C">
            <w:pPr>
              <w:contextualSpacing/>
              <w:jc w:val="both"/>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Adquisición a título de compraventa de mejoras rurales para el saneamiento del territorio del resguardo indígena Kogui Malayo Arhuaco, en jurisdicción del Corregimiento de Mingueo Municipio de Dibulla La Guajira</w:t>
            </w:r>
          </w:p>
        </w:tc>
        <w:tc>
          <w:tcPr>
            <w:tcW w:w="1167" w:type="dxa"/>
            <w:tcBorders>
              <w:top w:val="nil"/>
              <w:left w:val="dashSmallGap" w:sz="4" w:space="0" w:color="A6A6A6" w:themeColor="background1" w:themeShade="A6"/>
              <w:bottom w:val="single" w:sz="4" w:space="0" w:color="auto"/>
              <w:right w:val="single" w:sz="4" w:space="0" w:color="auto"/>
            </w:tcBorders>
            <w:noWrap/>
            <w:vAlign w:val="center"/>
            <w:hideMark/>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$90.162.444</w:t>
            </w:r>
          </w:p>
        </w:tc>
      </w:tr>
      <w:tr w:rsidR="00FC2107" w:rsidRPr="00A21B5C" w:rsidTr="00613441">
        <w:trPr>
          <w:trHeight w:val="967"/>
          <w:jc w:val="center"/>
        </w:trPr>
        <w:tc>
          <w:tcPr>
            <w:tcW w:w="1165"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22/03/2019</w:t>
            </w:r>
          </w:p>
        </w:tc>
        <w:tc>
          <w:tcPr>
            <w:tcW w:w="1327"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hideMark/>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Compraventa No. 003 de 2019</w:t>
            </w:r>
          </w:p>
        </w:tc>
        <w:tc>
          <w:tcPr>
            <w:tcW w:w="1338"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hideMark/>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 xml:space="preserve">Contrato de compraventa </w:t>
            </w:r>
          </w:p>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 Contratación Directa</w:t>
            </w:r>
          </w:p>
        </w:tc>
        <w:tc>
          <w:tcPr>
            <w:tcW w:w="1693"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tcPr>
          <w:p w:rsidR="00FC2107" w:rsidRPr="00A21B5C" w:rsidRDefault="0057148A"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Yohana Patricia Polo Destre</w:t>
            </w:r>
          </w:p>
        </w:tc>
        <w:tc>
          <w:tcPr>
            <w:tcW w:w="4041" w:type="dxa"/>
            <w:tcBorders>
              <w:top w:val="nil"/>
              <w:left w:val="dashSmallGap" w:sz="4" w:space="0" w:color="A6A6A6" w:themeColor="background1" w:themeShade="A6"/>
              <w:bottom w:val="single" w:sz="4" w:space="0" w:color="auto"/>
              <w:right w:val="dashSmallGap" w:sz="4" w:space="0" w:color="A6A6A6" w:themeColor="background1" w:themeShade="A6"/>
            </w:tcBorders>
            <w:vAlign w:val="center"/>
            <w:hideMark/>
          </w:tcPr>
          <w:p w:rsidR="00FC2107" w:rsidRPr="00A21B5C" w:rsidRDefault="00FC2107" w:rsidP="00A21B5C">
            <w:pPr>
              <w:contextualSpacing/>
              <w:jc w:val="both"/>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Adquisición a título de compraventa de mejoras rurales para el saneamiento del territorio del resguardo indígena Kogui Malayo Arhuaco, en jurisdicción del corregimiento de Palomino -  Municipio de Dibulla La Guajira</w:t>
            </w:r>
          </w:p>
        </w:tc>
        <w:tc>
          <w:tcPr>
            <w:tcW w:w="1167" w:type="dxa"/>
            <w:tcBorders>
              <w:top w:val="nil"/>
              <w:left w:val="dashSmallGap" w:sz="4" w:space="0" w:color="A6A6A6" w:themeColor="background1" w:themeShade="A6"/>
              <w:bottom w:val="single" w:sz="4" w:space="0" w:color="auto"/>
              <w:right w:val="single" w:sz="4" w:space="0" w:color="auto"/>
            </w:tcBorders>
            <w:noWrap/>
            <w:vAlign w:val="center"/>
            <w:hideMark/>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$181.663.885</w:t>
            </w:r>
          </w:p>
        </w:tc>
      </w:tr>
      <w:tr w:rsidR="00FC2107" w:rsidRPr="00A21B5C" w:rsidTr="00613441">
        <w:trPr>
          <w:trHeight w:val="967"/>
          <w:jc w:val="center"/>
        </w:trPr>
        <w:tc>
          <w:tcPr>
            <w:tcW w:w="1165"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22/03/2019</w:t>
            </w:r>
          </w:p>
        </w:tc>
        <w:tc>
          <w:tcPr>
            <w:tcW w:w="1327"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hideMark/>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Compraventa No. 004 de 2019</w:t>
            </w:r>
          </w:p>
        </w:tc>
        <w:tc>
          <w:tcPr>
            <w:tcW w:w="1338"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hideMark/>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 xml:space="preserve">Contrato de compraventa </w:t>
            </w:r>
          </w:p>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 Contratación Directa</w:t>
            </w:r>
          </w:p>
        </w:tc>
        <w:tc>
          <w:tcPr>
            <w:tcW w:w="1693"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tcPr>
          <w:p w:rsidR="00FC2107" w:rsidRPr="00A21B5C" w:rsidRDefault="0057148A"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 xml:space="preserve">Cristóbal Castillo </w:t>
            </w:r>
          </w:p>
        </w:tc>
        <w:tc>
          <w:tcPr>
            <w:tcW w:w="4041" w:type="dxa"/>
            <w:tcBorders>
              <w:top w:val="nil"/>
              <w:left w:val="dashSmallGap" w:sz="4" w:space="0" w:color="A6A6A6" w:themeColor="background1" w:themeShade="A6"/>
              <w:bottom w:val="single" w:sz="4" w:space="0" w:color="auto"/>
              <w:right w:val="dashSmallGap" w:sz="4" w:space="0" w:color="A6A6A6" w:themeColor="background1" w:themeShade="A6"/>
            </w:tcBorders>
            <w:vAlign w:val="center"/>
            <w:hideMark/>
          </w:tcPr>
          <w:p w:rsidR="00FC2107" w:rsidRPr="00A21B5C" w:rsidRDefault="00FC2107" w:rsidP="00A21B5C">
            <w:pPr>
              <w:contextualSpacing/>
              <w:jc w:val="both"/>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Adquisición a título de compraventa de mejoras rurales para el saneamiento del territorio del resguardo indígena Kogui Malayo Arhuaco, en jurisdicción del corregimiento de Palomino -  Municipio de Dibulla La Guajira</w:t>
            </w:r>
          </w:p>
        </w:tc>
        <w:tc>
          <w:tcPr>
            <w:tcW w:w="1167" w:type="dxa"/>
            <w:tcBorders>
              <w:top w:val="nil"/>
              <w:left w:val="dashSmallGap" w:sz="4" w:space="0" w:color="A6A6A6" w:themeColor="background1" w:themeShade="A6"/>
              <w:bottom w:val="single" w:sz="4" w:space="0" w:color="auto"/>
              <w:right w:val="single" w:sz="4" w:space="0" w:color="auto"/>
            </w:tcBorders>
            <w:noWrap/>
            <w:vAlign w:val="center"/>
            <w:hideMark/>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$265.750.934</w:t>
            </w:r>
          </w:p>
        </w:tc>
      </w:tr>
      <w:tr w:rsidR="00FC2107" w:rsidRPr="00A21B5C" w:rsidTr="00613441">
        <w:trPr>
          <w:trHeight w:val="967"/>
          <w:jc w:val="center"/>
        </w:trPr>
        <w:tc>
          <w:tcPr>
            <w:tcW w:w="1165"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lastRenderedPageBreak/>
              <w:t>22/03/2019</w:t>
            </w:r>
          </w:p>
        </w:tc>
        <w:tc>
          <w:tcPr>
            <w:tcW w:w="1327"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hideMark/>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Compraventa No. 005 de 2019</w:t>
            </w:r>
          </w:p>
        </w:tc>
        <w:tc>
          <w:tcPr>
            <w:tcW w:w="1338"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hideMark/>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 xml:space="preserve">Contrato de compraventa </w:t>
            </w:r>
          </w:p>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 Contratación Directa</w:t>
            </w:r>
          </w:p>
        </w:tc>
        <w:tc>
          <w:tcPr>
            <w:tcW w:w="1693"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tcPr>
          <w:p w:rsidR="00FC2107" w:rsidRPr="00A21B5C" w:rsidRDefault="0057148A"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 xml:space="preserve">Antonio Torres Asís </w:t>
            </w:r>
          </w:p>
        </w:tc>
        <w:tc>
          <w:tcPr>
            <w:tcW w:w="4041" w:type="dxa"/>
            <w:tcBorders>
              <w:top w:val="nil"/>
              <w:left w:val="dashSmallGap" w:sz="4" w:space="0" w:color="A6A6A6" w:themeColor="background1" w:themeShade="A6"/>
              <w:bottom w:val="single" w:sz="4" w:space="0" w:color="auto"/>
              <w:right w:val="dashSmallGap" w:sz="4" w:space="0" w:color="A6A6A6" w:themeColor="background1" w:themeShade="A6"/>
            </w:tcBorders>
            <w:vAlign w:val="center"/>
            <w:hideMark/>
          </w:tcPr>
          <w:p w:rsidR="00FC2107" w:rsidRPr="00A21B5C" w:rsidRDefault="00FC2107" w:rsidP="00A21B5C">
            <w:pPr>
              <w:contextualSpacing/>
              <w:jc w:val="both"/>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Adquisición a título de compraventa de mejoras rurales para el saneamiento del territorio del resguardo indígena Kogui Malayo Arhuaco, en jurisdicción del corregimiento de Mingueo -  Municipio de Dibulla La Guajira</w:t>
            </w:r>
          </w:p>
        </w:tc>
        <w:tc>
          <w:tcPr>
            <w:tcW w:w="1167" w:type="dxa"/>
            <w:tcBorders>
              <w:top w:val="nil"/>
              <w:left w:val="dashSmallGap" w:sz="4" w:space="0" w:color="A6A6A6" w:themeColor="background1" w:themeShade="A6"/>
              <w:bottom w:val="single" w:sz="4" w:space="0" w:color="auto"/>
              <w:right w:val="single" w:sz="4" w:space="0" w:color="auto"/>
            </w:tcBorders>
            <w:noWrap/>
            <w:vAlign w:val="center"/>
            <w:hideMark/>
          </w:tcPr>
          <w:p w:rsidR="00FC2107" w:rsidRPr="00A21B5C" w:rsidRDefault="00FC2107" w:rsidP="00A21B5C">
            <w:pPr>
              <w:contextualSpacing/>
              <w:jc w:val="center"/>
              <w:rPr>
                <w:rFonts w:ascii="Arial" w:eastAsia="Times New Roman" w:hAnsi="Arial" w:cs="Arial"/>
                <w:color w:val="000000"/>
                <w:sz w:val="18"/>
                <w:szCs w:val="20"/>
                <w:lang w:val="es-CO" w:eastAsia="es-CO"/>
              </w:rPr>
            </w:pPr>
            <w:r w:rsidRPr="00A21B5C">
              <w:rPr>
                <w:rFonts w:ascii="Arial" w:eastAsia="Times New Roman" w:hAnsi="Arial" w:cs="Arial"/>
                <w:color w:val="000000"/>
                <w:sz w:val="18"/>
                <w:szCs w:val="20"/>
                <w:lang w:val="es-CO" w:eastAsia="es-CO"/>
              </w:rPr>
              <w:t>$374.288.254</w:t>
            </w:r>
          </w:p>
        </w:tc>
      </w:tr>
      <w:tr w:rsidR="008C2E4A" w:rsidRPr="00A21B5C" w:rsidTr="00613441">
        <w:trPr>
          <w:trHeight w:val="306"/>
          <w:jc w:val="center"/>
        </w:trPr>
        <w:tc>
          <w:tcPr>
            <w:tcW w:w="9564" w:type="dxa"/>
            <w:gridSpan w:val="5"/>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rsidR="008C2E4A" w:rsidRPr="00A21B5C" w:rsidRDefault="008C2E4A" w:rsidP="00A21B5C">
            <w:pPr>
              <w:contextualSpacing/>
              <w:jc w:val="center"/>
              <w:rPr>
                <w:rFonts w:ascii="Arial" w:eastAsia="Times New Roman" w:hAnsi="Arial" w:cs="Arial"/>
                <w:b/>
                <w:color w:val="000000"/>
                <w:sz w:val="18"/>
                <w:szCs w:val="20"/>
                <w:lang w:val="es-CO" w:eastAsia="es-CO"/>
              </w:rPr>
            </w:pPr>
            <w:r w:rsidRPr="00A21B5C">
              <w:rPr>
                <w:rFonts w:ascii="Arial" w:eastAsia="Times New Roman" w:hAnsi="Arial" w:cs="Arial"/>
                <w:b/>
                <w:color w:val="000000"/>
                <w:sz w:val="18"/>
                <w:szCs w:val="20"/>
                <w:lang w:val="es-CO" w:eastAsia="es-CO"/>
              </w:rPr>
              <w:t>TOTAL CONTRATOS VIGENCIA 2019</w:t>
            </w:r>
          </w:p>
        </w:tc>
        <w:tc>
          <w:tcPr>
            <w:tcW w:w="1167" w:type="dxa"/>
            <w:tcBorders>
              <w:top w:val="nil"/>
              <w:left w:val="nil"/>
              <w:bottom w:val="single" w:sz="4" w:space="0" w:color="auto"/>
              <w:right w:val="single" w:sz="4" w:space="0" w:color="auto"/>
            </w:tcBorders>
            <w:shd w:val="clear" w:color="auto" w:fill="B6DDE8" w:themeFill="accent5" w:themeFillTint="66"/>
            <w:noWrap/>
            <w:vAlign w:val="center"/>
            <w:hideMark/>
          </w:tcPr>
          <w:p w:rsidR="008C2E4A" w:rsidRPr="00A21B5C" w:rsidRDefault="008C2E4A" w:rsidP="00A21B5C">
            <w:pPr>
              <w:contextualSpacing/>
              <w:jc w:val="center"/>
              <w:rPr>
                <w:rFonts w:ascii="Arial" w:eastAsia="Times New Roman" w:hAnsi="Arial" w:cs="Arial"/>
                <w:b/>
                <w:color w:val="000000"/>
                <w:sz w:val="18"/>
                <w:szCs w:val="20"/>
                <w:lang w:val="es-CO" w:eastAsia="es-CO"/>
              </w:rPr>
            </w:pPr>
            <w:r w:rsidRPr="00A21B5C">
              <w:rPr>
                <w:rFonts w:ascii="Arial" w:eastAsia="Times New Roman" w:hAnsi="Arial" w:cs="Arial"/>
                <w:b/>
                <w:color w:val="000000"/>
                <w:sz w:val="18"/>
                <w:szCs w:val="20"/>
                <w:lang w:val="es-CO" w:eastAsia="es-CO"/>
              </w:rPr>
              <w:t>$1.431.683.267</w:t>
            </w:r>
          </w:p>
        </w:tc>
      </w:tr>
    </w:tbl>
    <w:p w:rsidR="00D335E4" w:rsidRPr="00A21B5C" w:rsidRDefault="00D335E4" w:rsidP="00A21B5C">
      <w:pPr>
        <w:contextualSpacing/>
        <w:jc w:val="center"/>
        <w:rPr>
          <w:rFonts w:ascii="Arial" w:hAnsi="Arial" w:cs="Arial"/>
          <w:noProof/>
          <w:sz w:val="20"/>
          <w:szCs w:val="20"/>
        </w:rPr>
      </w:pPr>
      <w:r w:rsidRPr="00A21B5C">
        <w:rPr>
          <w:rFonts w:ascii="Arial" w:hAnsi="Arial" w:cs="Arial"/>
          <w:b/>
          <w:bCs/>
          <w:noProof/>
          <w:sz w:val="20"/>
          <w:szCs w:val="20"/>
        </w:rPr>
        <w:t xml:space="preserve">Fuente: </w:t>
      </w:r>
      <w:r w:rsidR="002B1F7D" w:rsidRPr="00A21B5C">
        <w:rPr>
          <w:rFonts w:ascii="Arial" w:hAnsi="Arial" w:cs="Arial"/>
          <w:noProof/>
          <w:sz w:val="20"/>
          <w:szCs w:val="20"/>
        </w:rPr>
        <w:t>Expedientes contractuales</w:t>
      </w:r>
      <w:r w:rsidRPr="00A21B5C">
        <w:rPr>
          <w:rFonts w:ascii="Arial" w:hAnsi="Arial" w:cs="Arial"/>
          <w:noProof/>
          <w:sz w:val="20"/>
          <w:szCs w:val="20"/>
        </w:rPr>
        <w:t xml:space="preserve"> de las vigencias </w:t>
      </w:r>
      <w:r w:rsidR="002B1F7D" w:rsidRPr="00A21B5C">
        <w:rPr>
          <w:rFonts w:ascii="Arial" w:hAnsi="Arial" w:cs="Arial"/>
          <w:noProof/>
          <w:sz w:val="20"/>
          <w:szCs w:val="20"/>
        </w:rPr>
        <w:t xml:space="preserve">2016, </w:t>
      </w:r>
      <w:r w:rsidRPr="00A21B5C">
        <w:rPr>
          <w:rFonts w:ascii="Arial" w:hAnsi="Arial" w:cs="Arial"/>
          <w:noProof/>
          <w:sz w:val="20"/>
          <w:szCs w:val="20"/>
        </w:rPr>
        <w:t>2017, 2018 y 2019</w:t>
      </w:r>
      <w:r w:rsidR="002B1F7D" w:rsidRPr="00A21B5C">
        <w:rPr>
          <w:rFonts w:ascii="Arial" w:hAnsi="Arial" w:cs="Arial"/>
          <w:noProof/>
          <w:sz w:val="20"/>
          <w:szCs w:val="20"/>
        </w:rPr>
        <w:t xml:space="preserve"> aportados por el Municipio de Dibulla – La Guajira </w:t>
      </w:r>
    </w:p>
    <w:p w:rsidR="00510B4D" w:rsidRPr="00A21B5C" w:rsidRDefault="00510B4D" w:rsidP="00A21B5C">
      <w:pPr>
        <w:contextualSpacing/>
        <w:rPr>
          <w:rFonts w:ascii="Arial" w:hAnsi="Arial" w:cs="Arial"/>
          <w:sz w:val="22"/>
          <w:szCs w:val="22"/>
          <w:lang w:val="es-CO"/>
        </w:rPr>
      </w:pPr>
    </w:p>
    <w:p w:rsidR="00AA55CF" w:rsidRPr="00A21B5C" w:rsidRDefault="005045FD" w:rsidP="00A21B5C">
      <w:pPr>
        <w:contextualSpacing/>
        <w:jc w:val="both"/>
        <w:rPr>
          <w:rFonts w:ascii="Arial" w:hAnsi="Arial" w:cs="Arial"/>
          <w:sz w:val="22"/>
          <w:szCs w:val="22"/>
          <w:lang w:val="es-CO"/>
        </w:rPr>
      </w:pPr>
      <w:r w:rsidRPr="00A21B5C">
        <w:rPr>
          <w:rFonts w:ascii="Arial" w:hAnsi="Arial" w:cs="Arial"/>
          <w:sz w:val="22"/>
          <w:szCs w:val="22"/>
          <w:lang w:val="es-CO"/>
        </w:rPr>
        <w:t>A partir de los siguientes</w:t>
      </w:r>
      <w:r w:rsidR="000529D2" w:rsidRPr="00A21B5C">
        <w:rPr>
          <w:rFonts w:ascii="Arial" w:hAnsi="Arial" w:cs="Arial"/>
          <w:sz w:val="22"/>
          <w:szCs w:val="22"/>
          <w:lang w:val="es-CO"/>
        </w:rPr>
        <w:t xml:space="preserve"> gráficos</w:t>
      </w:r>
      <w:r w:rsidRPr="00A21B5C">
        <w:rPr>
          <w:rFonts w:ascii="Arial" w:hAnsi="Arial" w:cs="Arial"/>
          <w:sz w:val="22"/>
          <w:szCs w:val="22"/>
          <w:lang w:val="es-CO"/>
        </w:rPr>
        <w:t xml:space="preserve">, se evidencia que, a través de los 23 contratos adelantados en las últimas vigencias, la Entidad Territorial ha dado prelación en materia de ejecución, al proyecto asociado a la </w:t>
      </w:r>
      <w:r w:rsidRPr="00A21B5C">
        <w:rPr>
          <w:rFonts w:ascii="Arial" w:hAnsi="Arial" w:cs="Arial"/>
          <w:i/>
          <w:sz w:val="22"/>
          <w:szCs w:val="22"/>
          <w:lang w:val="es-CO"/>
        </w:rPr>
        <w:t>“Ampliación y Saneamiento de Resguardo Indígena”</w:t>
      </w:r>
      <w:r w:rsidRPr="00A21B5C">
        <w:rPr>
          <w:rFonts w:ascii="Arial" w:hAnsi="Arial" w:cs="Arial"/>
          <w:sz w:val="22"/>
          <w:szCs w:val="22"/>
          <w:lang w:val="es-CO"/>
        </w:rPr>
        <w:t xml:space="preserve">, ejecutado mediante compra de tierras y adquisición de mejoras rurales a través de </w:t>
      </w:r>
      <w:r w:rsidRPr="00A21B5C">
        <w:rPr>
          <w:rFonts w:ascii="Arial" w:hAnsi="Arial" w:cs="Arial"/>
          <w:bCs/>
          <w:sz w:val="22"/>
          <w:szCs w:val="22"/>
          <w:lang w:val="es-CO"/>
        </w:rPr>
        <w:t>(16) dieciséis Contratos de Compraventa</w:t>
      </w:r>
      <w:r w:rsidRPr="00A21B5C">
        <w:rPr>
          <w:rFonts w:ascii="Arial" w:hAnsi="Arial" w:cs="Arial"/>
          <w:sz w:val="22"/>
          <w:szCs w:val="22"/>
          <w:lang w:val="es-CO"/>
        </w:rPr>
        <w:t xml:space="preserve"> adelantados en modalidad </w:t>
      </w:r>
      <w:r w:rsidRPr="00A21B5C">
        <w:rPr>
          <w:rFonts w:ascii="Arial" w:hAnsi="Arial" w:cs="Arial"/>
          <w:bCs/>
          <w:sz w:val="22"/>
          <w:szCs w:val="22"/>
          <w:lang w:val="es-CO"/>
        </w:rPr>
        <w:t>de</w:t>
      </w:r>
      <w:r w:rsidRPr="00A21B5C">
        <w:rPr>
          <w:rFonts w:ascii="Arial" w:hAnsi="Arial" w:cs="Arial"/>
          <w:b/>
          <w:sz w:val="22"/>
          <w:szCs w:val="22"/>
          <w:lang w:val="es-CO"/>
        </w:rPr>
        <w:t xml:space="preserve"> </w:t>
      </w:r>
      <w:r w:rsidRPr="00A21B5C">
        <w:rPr>
          <w:rFonts w:ascii="Arial" w:hAnsi="Arial" w:cs="Arial"/>
          <w:bCs/>
          <w:sz w:val="22"/>
          <w:szCs w:val="22"/>
          <w:lang w:val="es-CO"/>
        </w:rPr>
        <w:t>Contratación</w:t>
      </w:r>
      <w:r w:rsidRPr="00A21B5C">
        <w:rPr>
          <w:rFonts w:ascii="Arial" w:hAnsi="Arial" w:cs="Arial"/>
          <w:b/>
          <w:sz w:val="22"/>
          <w:szCs w:val="22"/>
          <w:lang w:val="es-CO"/>
        </w:rPr>
        <w:t xml:space="preserve"> </w:t>
      </w:r>
      <w:r w:rsidRPr="00A21B5C">
        <w:rPr>
          <w:rFonts w:ascii="Arial" w:hAnsi="Arial" w:cs="Arial"/>
          <w:bCs/>
          <w:sz w:val="22"/>
          <w:szCs w:val="22"/>
          <w:lang w:val="es-CO"/>
        </w:rPr>
        <w:t>Directa</w:t>
      </w:r>
      <w:r w:rsidRPr="00A21B5C">
        <w:rPr>
          <w:rFonts w:ascii="Arial" w:hAnsi="Arial" w:cs="Arial"/>
          <w:sz w:val="22"/>
          <w:szCs w:val="22"/>
          <w:lang w:val="es-CO"/>
        </w:rPr>
        <w:t xml:space="preserve"> de 2016 a marzo de 2019. Particularmente, la ejecución de recursos durante la vigencia 2018 y hasta marzo de 2019 se dio exclusivamente con este objeto contractual.</w:t>
      </w:r>
    </w:p>
    <w:p w:rsidR="00510B4D" w:rsidRPr="00A21B5C" w:rsidRDefault="00510B4D" w:rsidP="00A21B5C">
      <w:pPr>
        <w:contextualSpacing/>
        <w:jc w:val="both"/>
        <w:rPr>
          <w:rFonts w:ascii="Arial" w:hAnsi="Arial" w:cs="Arial"/>
          <w:sz w:val="22"/>
          <w:szCs w:val="22"/>
          <w:lang w:val="es-CO"/>
        </w:rPr>
      </w:pPr>
    </w:p>
    <w:p w:rsidR="008C2E4A" w:rsidRPr="00A21B5C" w:rsidRDefault="008C2E4A" w:rsidP="00A21B5C">
      <w:pPr>
        <w:ind w:left="284"/>
        <w:contextualSpacing/>
        <w:jc w:val="center"/>
        <w:rPr>
          <w:rFonts w:ascii="Arial" w:hAnsi="Arial" w:cs="Arial"/>
          <w:sz w:val="22"/>
          <w:szCs w:val="22"/>
          <w:lang w:val="es-CO"/>
        </w:rPr>
      </w:pPr>
      <w:r w:rsidRPr="00A21B5C">
        <w:rPr>
          <w:rFonts w:ascii="Arial" w:hAnsi="Arial" w:cs="Arial"/>
          <w:b/>
          <w:sz w:val="22"/>
          <w:szCs w:val="22"/>
          <w:lang w:val="es-CO"/>
        </w:rPr>
        <w:t xml:space="preserve">Gráfico N° </w:t>
      </w:r>
      <w:r w:rsidR="00A53495" w:rsidRPr="00A21B5C">
        <w:rPr>
          <w:rFonts w:ascii="Arial" w:hAnsi="Arial" w:cs="Arial"/>
          <w:b/>
          <w:sz w:val="22"/>
          <w:szCs w:val="22"/>
          <w:lang w:val="es-CO"/>
        </w:rPr>
        <w:t>2</w:t>
      </w:r>
      <w:r w:rsidRPr="00A21B5C">
        <w:rPr>
          <w:rFonts w:ascii="Arial" w:hAnsi="Arial" w:cs="Arial"/>
          <w:b/>
          <w:sz w:val="22"/>
          <w:szCs w:val="22"/>
          <w:lang w:val="es-CO"/>
        </w:rPr>
        <w:t>:</w:t>
      </w:r>
      <w:r w:rsidRPr="00A21B5C">
        <w:rPr>
          <w:rFonts w:ascii="Arial" w:hAnsi="Arial" w:cs="Arial"/>
          <w:sz w:val="22"/>
          <w:szCs w:val="22"/>
          <w:lang w:val="es-CO"/>
        </w:rPr>
        <w:t xml:space="preserve"> Ejecución de</w:t>
      </w:r>
      <w:r w:rsidR="006F33FF" w:rsidRPr="00A21B5C">
        <w:rPr>
          <w:rFonts w:ascii="Arial" w:hAnsi="Arial" w:cs="Arial"/>
          <w:sz w:val="22"/>
          <w:szCs w:val="22"/>
          <w:lang w:val="es-CO"/>
        </w:rPr>
        <w:t xml:space="preserve"> los</w:t>
      </w:r>
      <w:r w:rsidRPr="00A21B5C">
        <w:rPr>
          <w:rFonts w:ascii="Arial" w:hAnsi="Arial" w:cs="Arial"/>
          <w:sz w:val="22"/>
          <w:szCs w:val="22"/>
          <w:lang w:val="es-CO"/>
        </w:rPr>
        <w:t xml:space="preserve"> recursos </w:t>
      </w:r>
      <w:r w:rsidR="006F33FF" w:rsidRPr="00A21B5C">
        <w:rPr>
          <w:rFonts w:ascii="Arial" w:hAnsi="Arial" w:cs="Arial"/>
          <w:sz w:val="22"/>
          <w:szCs w:val="22"/>
          <w:lang w:val="es-CO"/>
        </w:rPr>
        <w:t xml:space="preserve">de </w:t>
      </w:r>
      <w:r w:rsidRPr="00A21B5C">
        <w:rPr>
          <w:rFonts w:ascii="Arial" w:hAnsi="Arial" w:cs="Arial"/>
          <w:sz w:val="22"/>
          <w:szCs w:val="22"/>
          <w:lang w:val="es-CO"/>
        </w:rPr>
        <w:t>la AESGPRI vigencias 201</w:t>
      </w:r>
      <w:r w:rsidR="007D110F" w:rsidRPr="00A21B5C">
        <w:rPr>
          <w:rFonts w:ascii="Arial" w:hAnsi="Arial" w:cs="Arial"/>
          <w:sz w:val="22"/>
          <w:szCs w:val="22"/>
          <w:lang w:val="es-CO"/>
        </w:rPr>
        <w:t>6</w:t>
      </w:r>
      <w:r w:rsidRPr="00A21B5C">
        <w:rPr>
          <w:rFonts w:ascii="Arial" w:hAnsi="Arial" w:cs="Arial"/>
          <w:sz w:val="22"/>
          <w:szCs w:val="22"/>
          <w:lang w:val="es-CO"/>
        </w:rPr>
        <w:t xml:space="preserve"> </w:t>
      </w:r>
      <w:r w:rsidR="007D110F" w:rsidRPr="00A21B5C">
        <w:rPr>
          <w:rFonts w:ascii="Arial" w:hAnsi="Arial" w:cs="Arial"/>
          <w:sz w:val="22"/>
          <w:szCs w:val="22"/>
          <w:lang w:val="es-CO"/>
        </w:rPr>
        <w:t>a</w:t>
      </w:r>
      <w:r w:rsidRPr="00A21B5C">
        <w:rPr>
          <w:rFonts w:ascii="Arial" w:hAnsi="Arial" w:cs="Arial"/>
          <w:sz w:val="22"/>
          <w:szCs w:val="22"/>
          <w:lang w:val="es-CO"/>
        </w:rPr>
        <w:t xml:space="preserve"> marzo de 2019.</w:t>
      </w:r>
    </w:p>
    <w:p w:rsidR="000862AF" w:rsidRPr="00A21B5C" w:rsidRDefault="00C90838" w:rsidP="00A21B5C">
      <w:pPr>
        <w:contextualSpacing/>
        <w:jc w:val="center"/>
        <w:rPr>
          <w:rFonts w:ascii="Arial" w:hAnsi="Arial" w:cs="Arial"/>
          <w:b/>
          <w:sz w:val="20"/>
          <w:lang w:val="es-CO"/>
        </w:rPr>
      </w:pPr>
      <w:r w:rsidRPr="00A21B5C">
        <w:rPr>
          <w:rFonts w:ascii="Arial" w:hAnsi="Arial" w:cs="Arial"/>
          <w:noProof/>
          <w:lang w:val="es-CO" w:eastAsia="es-CO"/>
        </w:rPr>
        <w:drawing>
          <wp:inline distT="0" distB="0" distL="0" distR="0">
            <wp:extent cx="5305425" cy="2085975"/>
            <wp:effectExtent l="0" t="0" r="9525" b="9525"/>
            <wp:docPr id="24" name="Gráfico 24">
              <a:extLst xmlns:a="http://schemas.openxmlformats.org/drawingml/2006/main">
                <a:ext uri="{FF2B5EF4-FFF2-40B4-BE49-F238E27FC236}">
                  <a16:creationId xmlns:a16="http://schemas.microsoft.com/office/drawing/2014/main" id="{00000000-0008-0000-02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527A0" w:rsidRPr="00A21B5C" w:rsidRDefault="00E527A0" w:rsidP="00A21B5C">
      <w:pPr>
        <w:ind w:left="284"/>
        <w:contextualSpacing/>
        <w:jc w:val="center"/>
        <w:rPr>
          <w:rFonts w:ascii="Arial" w:hAnsi="Arial" w:cs="Arial"/>
          <w:iCs/>
          <w:sz w:val="20"/>
          <w:szCs w:val="20"/>
          <w:lang w:val="es-CO"/>
        </w:rPr>
      </w:pPr>
      <w:r w:rsidRPr="00A21B5C">
        <w:rPr>
          <w:rFonts w:ascii="Arial" w:hAnsi="Arial" w:cs="Arial"/>
          <w:b/>
          <w:iCs/>
          <w:sz w:val="20"/>
          <w:szCs w:val="20"/>
          <w:lang w:val="es-CO"/>
        </w:rPr>
        <w:t>Fuente:</w:t>
      </w:r>
      <w:r w:rsidRPr="00A21B5C">
        <w:rPr>
          <w:rFonts w:ascii="Arial" w:hAnsi="Arial" w:cs="Arial"/>
          <w:iCs/>
          <w:sz w:val="20"/>
          <w:szCs w:val="20"/>
          <w:lang w:val="es-CO"/>
        </w:rPr>
        <w:t xml:space="preserve"> Procesos contractuales de los Contratos de Ejecución suscritos por el Municipio de Dibulla – La Guajira durante las vigencias 2016 a marzo de 2019, en administración de </w:t>
      </w:r>
      <w:r w:rsidR="003B21D1" w:rsidRPr="00A21B5C">
        <w:rPr>
          <w:rFonts w:ascii="Arial" w:hAnsi="Arial" w:cs="Arial"/>
          <w:iCs/>
          <w:sz w:val="20"/>
          <w:szCs w:val="20"/>
          <w:lang w:val="es-CO"/>
        </w:rPr>
        <w:t>los recursos AESGPRI.</w:t>
      </w:r>
    </w:p>
    <w:p w:rsidR="00A21B5C" w:rsidRDefault="00A21B5C">
      <w:pPr>
        <w:rPr>
          <w:rFonts w:ascii="Arial" w:hAnsi="Arial" w:cs="Arial"/>
          <w:b/>
          <w:sz w:val="22"/>
          <w:szCs w:val="22"/>
          <w:lang w:val="es-CO"/>
        </w:rPr>
      </w:pPr>
      <w:r>
        <w:rPr>
          <w:rFonts w:ascii="Arial" w:hAnsi="Arial" w:cs="Arial"/>
          <w:b/>
          <w:sz w:val="22"/>
          <w:szCs w:val="22"/>
          <w:lang w:val="es-CO"/>
        </w:rPr>
        <w:br w:type="page"/>
      </w:r>
    </w:p>
    <w:p w:rsidR="00510B4D" w:rsidRPr="00A21B5C" w:rsidRDefault="00510B4D" w:rsidP="00A21B5C">
      <w:pPr>
        <w:contextualSpacing/>
        <w:rPr>
          <w:rFonts w:ascii="Arial" w:hAnsi="Arial" w:cs="Arial"/>
          <w:b/>
          <w:sz w:val="22"/>
          <w:szCs w:val="22"/>
          <w:lang w:val="es-CO"/>
        </w:rPr>
      </w:pPr>
    </w:p>
    <w:p w:rsidR="00FB121E" w:rsidRPr="00A21B5C" w:rsidRDefault="008C2E4A" w:rsidP="00A21B5C">
      <w:pPr>
        <w:ind w:left="-142" w:right="-376"/>
        <w:contextualSpacing/>
        <w:jc w:val="center"/>
        <w:rPr>
          <w:rFonts w:ascii="Arial" w:hAnsi="Arial" w:cs="Arial"/>
          <w:b/>
          <w:i/>
          <w:sz w:val="18"/>
          <w:szCs w:val="22"/>
          <w:lang w:val="es-CO"/>
        </w:rPr>
      </w:pPr>
      <w:r w:rsidRPr="00A21B5C">
        <w:rPr>
          <w:rFonts w:ascii="Arial" w:hAnsi="Arial" w:cs="Arial"/>
          <w:b/>
          <w:sz w:val="22"/>
          <w:szCs w:val="22"/>
          <w:lang w:val="es-CO"/>
        </w:rPr>
        <w:t xml:space="preserve">Gráfico N° </w:t>
      </w:r>
      <w:r w:rsidR="00A53495" w:rsidRPr="00A21B5C">
        <w:rPr>
          <w:rFonts w:ascii="Arial" w:hAnsi="Arial" w:cs="Arial"/>
          <w:b/>
          <w:sz w:val="22"/>
          <w:szCs w:val="22"/>
          <w:lang w:val="es-CO"/>
        </w:rPr>
        <w:t>3</w:t>
      </w:r>
      <w:r w:rsidRPr="00A21B5C">
        <w:rPr>
          <w:rFonts w:ascii="Arial" w:hAnsi="Arial" w:cs="Arial"/>
          <w:b/>
          <w:sz w:val="22"/>
          <w:szCs w:val="22"/>
          <w:lang w:val="es-CO"/>
        </w:rPr>
        <w:t>:</w:t>
      </w:r>
      <w:r w:rsidRPr="00A21B5C">
        <w:rPr>
          <w:rFonts w:ascii="Arial" w:hAnsi="Arial" w:cs="Arial"/>
          <w:sz w:val="22"/>
          <w:szCs w:val="22"/>
          <w:lang w:val="es-CO"/>
        </w:rPr>
        <w:t xml:space="preserve"> </w:t>
      </w:r>
      <w:r w:rsidR="001F015D" w:rsidRPr="00A21B5C">
        <w:rPr>
          <w:rFonts w:ascii="Arial" w:hAnsi="Arial" w:cs="Arial"/>
          <w:sz w:val="22"/>
          <w:szCs w:val="22"/>
          <w:lang w:val="es-CO"/>
        </w:rPr>
        <w:t>Tipos de contrato suscritos en e</w:t>
      </w:r>
      <w:r w:rsidRPr="00A21B5C">
        <w:rPr>
          <w:rFonts w:ascii="Arial" w:hAnsi="Arial" w:cs="Arial"/>
          <w:sz w:val="22"/>
          <w:szCs w:val="22"/>
          <w:lang w:val="es-CO"/>
        </w:rPr>
        <w:t xml:space="preserve">jecución de los recursos AESGPRI </w:t>
      </w:r>
      <w:r w:rsidR="006C6F17" w:rsidRPr="00A21B5C">
        <w:rPr>
          <w:rFonts w:ascii="Arial" w:hAnsi="Arial" w:cs="Arial"/>
          <w:sz w:val="22"/>
          <w:szCs w:val="22"/>
          <w:lang w:val="es-CO"/>
        </w:rPr>
        <w:t>v</w:t>
      </w:r>
      <w:r w:rsidRPr="00A21B5C">
        <w:rPr>
          <w:rFonts w:ascii="Arial" w:hAnsi="Arial" w:cs="Arial"/>
          <w:sz w:val="22"/>
          <w:szCs w:val="22"/>
          <w:lang w:val="es-CO"/>
        </w:rPr>
        <w:t>igencias 201</w:t>
      </w:r>
      <w:r w:rsidR="00EB2FA5" w:rsidRPr="00A21B5C">
        <w:rPr>
          <w:rFonts w:ascii="Arial" w:hAnsi="Arial" w:cs="Arial"/>
          <w:sz w:val="22"/>
          <w:szCs w:val="22"/>
          <w:lang w:val="es-CO"/>
        </w:rPr>
        <w:t xml:space="preserve">6 </w:t>
      </w:r>
      <w:r w:rsidR="00973392" w:rsidRPr="00A21B5C">
        <w:rPr>
          <w:rFonts w:ascii="Arial" w:hAnsi="Arial" w:cs="Arial"/>
          <w:sz w:val="22"/>
          <w:szCs w:val="22"/>
          <w:lang w:val="es-CO"/>
        </w:rPr>
        <w:t xml:space="preserve">a </w:t>
      </w:r>
      <w:r w:rsidR="00EB2FA5" w:rsidRPr="00A21B5C">
        <w:rPr>
          <w:rFonts w:ascii="Arial" w:hAnsi="Arial" w:cs="Arial"/>
          <w:sz w:val="22"/>
          <w:szCs w:val="22"/>
          <w:lang w:val="es-CO"/>
        </w:rPr>
        <w:t>marzo de 2019.</w:t>
      </w:r>
    </w:p>
    <w:p w:rsidR="00FB121E" w:rsidRPr="00A21B5C" w:rsidRDefault="00FB121E" w:rsidP="00A21B5C">
      <w:pPr>
        <w:ind w:left="284"/>
        <w:contextualSpacing/>
        <w:jc w:val="center"/>
        <w:rPr>
          <w:rFonts w:ascii="Arial" w:hAnsi="Arial" w:cs="Arial"/>
          <w:b/>
          <w:i/>
          <w:sz w:val="18"/>
          <w:szCs w:val="22"/>
          <w:lang w:val="es-CO"/>
        </w:rPr>
      </w:pPr>
      <w:r w:rsidRPr="00A21B5C">
        <w:rPr>
          <w:rFonts w:ascii="Arial" w:hAnsi="Arial" w:cs="Arial"/>
          <w:noProof/>
          <w:lang w:val="es-CO" w:eastAsia="es-CO"/>
        </w:rPr>
        <w:drawing>
          <wp:inline distT="0" distB="0" distL="0" distR="0">
            <wp:extent cx="4752975" cy="1971675"/>
            <wp:effectExtent l="0" t="0" r="9525" b="9525"/>
            <wp:docPr id="23" name="Gráfico 23">
              <a:extLst xmlns:a="http://schemas.openxmlformats.org/drawingml/2006/main">
                <a:ext uri="{FF2B5EF4-FFF2-40B4-BE49-F238E27FC236}">
                  <a16:creationId xmlns:a16="http://schemas.microsoft.com/office/drawing/2014/main" id="{B01F2FCE-9AFF-4498-9B0F-30A3A24CB8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8C2E4A" w:rsidRPr="00A21B5C" w:rsidRDefault="008C2E4A" w:rsidP="00A21B5C">
      <w:pPr>
        <w:ind w:left="284"/>
        <w:contextualSpacing/>
        <w:jc w:val="center"/>
        <w:rPr>
          <w:rFonts w:ascii="Arial" w:hAnsi="Arial" w:cs="Arial"/>
          <w:iCs/>
          <w:sz w:val="20"/>
          <w:szCs w:val="20"/>
          <w:lang w:val="es-CO"/>
        </w:rPr>
      </w:pPr>
      <w:r w:rsidRPr="00A21B5C">
        <w:rPr>
          <w:rFonts w:ascii="Arial" w:hAnsi="Arial" w:cs="Arial"/>
          <w:b/>
          <w:iCs/>
          <w:sz w:val="20"/>
          <w:szCs w:val="20"/>
          <w:lang w:val="es-CO"/>
        </w:rPr>
        <w:t>Fuente:</w:t>
      </w:r>
      <w:r w:rsidRPr="00A21B5C">
        <w:rPr>
          <w:rFonts w:ascii="Arial" w:hAnsi="Arial" w:cs="Arial"/>
          <w:iCs/>
          <w:sz w:val="20"/>
          <w:szCs w:val="20"/>
          <w:lang w:val="es-CO"/>
        </w:rPr>
        <w:t xml:space="preserve"> Procesos contractuales de los Contratos de Ejecución suscritos por el Municipio de Dibulla – La Guajira durante las vigencias 2016 a marzo de 2019, en administración de los recursos AESGPRI.</w:t>
      </w:r>
    </w:p>
    <w:p w:rsidR="008C2E4A" w:rsidRPr="00A21B5C" w:rsidRDefault="008C2E4A" w:rsidP="00A21B5C">
      <w:pPr>
        <w:contextualSpacing/>
        <w:jc w:val="both"/>
        <w:rPr>
          <w:rFonts w:ascii="Arial" w:hAnsi="Arial" w:cs="Arial"/>
          <w:sz w:val="22"/>
          <w:szCs w:val="22"/>
          <w:lang w:val="es-CO"/>
        </w:rPr>
      </w:pPr>
    </w:p>
    <w:p w:rsidR="008C2E4A" w:rsidRPr="00A21B5C" w:rsidRDefault="008C2E4A" w:rsidP="00A21B5C">
      <w:pPr>
        <w:contextualSpacing/>
        <w:jc w:val="both"/>
        <w:rPr>
          <w:rFonts w:ascii="Arial" w:hAnsi="Arial" w:cs="Arial"/>
          <w:sz w:val="22"/>
          <w:szCs w:val="22"/>
          <w:lang w:val="es-CO"/>
        </w:rPr>
      </w:pPr>
      <w:r w:rsidRPr="00A21B5C">
        <w:rPr>
          <w:rFonts w:ascii="Arial" w:hAnsi="Arial" w:cs="Arial"/>
          <w:sz w:val="22"/>
          <w:szCs w:val="22"/>
          <w:lang w:val="es-CO"/>
        </w:rPr>
        <w:t xml:space="preserve">Por su parte, durante la vigencia 2016 y 2017 la Entidad Territorial ejecutó recursos para </w:t>
      </w:r>
      <w:r w:rsidR="001D1CF1" w:rsidRPr="00A21B5C">
        <w:rPr>
          <w:rFonts w:ascii="Arial" w:hAnsi="Arial" w:cs="Arial"/>
          <w:sz w:val="22"/>
          <w:szCs w:val="22"/>
          <w:lang w:val="es-CO"/>
        </w:rPr>
        <w:t>llevar a cabo</w:t>
      </w:r>
      <w:r w:rsidRPr="00A21B5C">
        <w:rPr>
          <w:rFonts w:ascii="Arial" w:hAnsi="Arial" w:cs="Arial"/>
          <w:sz w:val="22"/>
          <w:szCs w:val="22"/>
          <w:lang w:val="es-CO"/>
        </w:rPr>
        <w:t xml:space="preserve"> proyectos distintos a la ampliación y saneamiento del territorio. Puntualmente, en la modalidad de </w:t>
      </w:r>
      <w:r w:rsidRPr="00A21B5C">
        <w:rPr>
          <w:rFonts w:ascii="Arial" w:hAnsi="Arial" w:cs="Arial"/>
          <w:bCs/>
          <w:sz w:val="22"/>
          <w:szCs w:val="22"/>
          <w:lang w:val="es-CO"/>
        </w:rPr>
        <w:t>Subasta Inversa</w:t>
      </w:r>
      <w:r w:rsidRPr="00A21B5C">
        <w:rPr>
          <w:rFonts w:ascii="Arial" w:hAnsi="Arial" w:cs="Arial"/>
          <w:b/>
          <w:sz w:val="22"/>
          <w:szCs w:val="22"/>
          <w:lang w:val="es-CO"/>
        </w:rPr>
        <w:t xml:space="preserve"> </w:t>
      </w:r>
      <w:r w:rsidR="00AA55CF" w:rsidRPr="00A21B5C">
        <w:rPr>
          <w:rFonts w:ascii="Arial" w:hAnsi="Arial" w:cs="Arial"/>
          <w:sz w:val="22"/>
          <w:szCs w:val="22"/>
          <w:lang w:val="es-CO"/>
        </w:rPr>
        <w:t xml:space="preserve">suscribió </w:t>
      </w:r>
      <w:r w:rsidRPr="00A21B5C">
        <w:rPr>
          <w:rFonts w:ascii="Arial" w:hAnsi="Arial" w:cs="Arial"/>
          <w:bCs/>
          <w:sz w:val="22"/>
          <w:szCs w:val="22"/>
          <w:lang w:val="es-CO"/>
        </w:rPr>
        <w:t>(1) un Contrato de Compraventa</w:t>
      </w:r>
      <w:r w:rsidRPr="00A21B5C">
        <w:rPr>
          <w:rFonts w:ascii="Arial" w:hAnsi="Arial" w:cs="Arial"/>
          <w:b/>
          <w:sz w:val="22"/>
          <w:szCs w:val="22"/>
          <w:lang w:val="es-CO"/>
        </w:rPr>
        <w:t xml:space="preserve"> </w:t>
      </w:r>
      <w:r w:rsidRPr="00A21B5C">
        <w:rPr>
          <w:rFonts w:ascii="Arial" w:hAnsi="Arial" w:cs="Arial"/>
          <w:sz w:val="22"/>
          <w:szCs w:val="22"/>
          <w:lang w:val="es-CO"/>
        </w:rPr>
        <w:t xml:space="preserve">para la adquisición de </w:t>
      </w:r>
      <w:r w:rsidRPr="00A21B5C">
        <w:rPr>
          <w:rFonts w:ascii="Arial" w:hAnsi="Arial" w:cs="Arial"/>
          <w:i/>
          <w:sz w:val="22"/>
          <w:szCs w:val="22"/>
          <w:lang w:val="es-CO"/>
        </w:rPr>
        <w:t>“Textos, Material Didáctico, Mobiliarios e Insumos Educativos</w:t>
      </w:r>
      <w:r w:rsidRPr="00A21B5C">
        <w:rPr>
          <w:rFonts w:ascii="Arial" w:hAnsi="Arial" w:cs="Arial"/>
          <w:sz w:val="22"/>
          <w:szCs w:val="22"/>
          <w:lang w:val="es-CO"/>
        </w:rPr>
        <w:t>”.</w:t>
      </w:r>
      <w:r w:rsidR="00FD5150" w:rsidRPr="00A21B5C">
        <w:rPr>
          <w:rFonts w:ascii="Arial" w:hAnsi="Arial" w:cs="Arial"/>
          <w:sz w:val="22"/>
          <w:szCs w:val="22"/>
          <w:lang w:val="es-CO"/>
        </w:rPr>
        <w:t xml:space="preserve"> </w:t>
      </w:r>
      <w:r w:rsidRPr="00A21B5C">
        <w:rPr>
          <w:rFonts w:ascii="Arial" w:hAnsi="Arial" w:cs="Arial"/>
          <w:sz w:val="22"/>
          <w:szCs w:val="22"/>
          <w:lang w:val="es-CO"/>
        </w:rPr>
        <w:t xml:space="preserve">De igual forma, ejecutó proyectos asociados a </w:t>
      </w:r>
      <w:r w:rsidRPr="00A21B5C">
        <w:rPr>
          <w:rFonts w:ascii="Arial" w:hAnsi="Arial" w:cs="Arial"/>
          <w:i/>
          <w:sz w:val="22"/>
          <w:szCs w:val="22"/>
          <w:lang w:val="es-CO"/>
        </w:rPr>
        <w:t>“</w:t>
      </w:r>
      <w:r w:rsidR="00FD5150" w:rsidRPr="00A21B5C">
        <w:rPr>
          <w:rFonts w:ascii="Arial" w:hAnsi="Arial" w:cs="Arial"/>
          <w:i/>
          <w:sz w:val="22"/>
          <w:szCs w:val="22"/>
          <w:lang w:val="es-CO"/>
        </w:rPr>
        <w:t>A</w:t>
      </w:r>
      <w:r w:rsidRPr="00A21B5C">
        <w:rPr>
          <w:rFonts w:ascii="Arial" w:hAnsi="Arial" w:cs="Arial"/>
          <w:i/>
          <w:sz w:val="22"/>
          <w:szCs w:val="22"/>
          <w:lang w:val="es-CO"/>
        </w:rPr>
        <w:t>ctividades culturales, educativas, de salud, y gobierno propio”</w:t>
      </w:r>
      <w:r w:rsidRPr="00A21B5C">
        <w:rPr>
          <w:rFonts w:ascii="Arial" w:hAnsi="Arial" w:cs="Arial"/>
          <w:sz w:val="22"/>
          <w:szCs w:val="22"/>
          <w:lang w:val="es-CO"/>
        </w:rPr>
        <w:t xml:space="preserve">, los cuales representaron una demanda significativa de recursos respecto a las demás ejecuciones en las últimas cuatro vigencias, siendo ejecutados a través de un único proceso contractual en 2016, </w:t>
      </w:r>
      <w:r w:rsidR="004F522B" w:rsidRPr="00A21B5C">
        <w:rPr>
          <w:rFonts w:ascii="Arial" w:hAnsi="Arial" w:cs="Arial"/>
          <w:sz w:val="22"/>
          <w:szCs w:val="22"/>
          <w:lang w:val="es-CO"/>
        </w:rPr>
        <w:t>específicamente</w:t>
      </w:r>
      <w:r w:rsidRPr="00A21B5C">
        <w:rPr>
          <w:rFonts w:ascii="Arial" w:hAnsi="Arial" w:cs="Arial"/>
          <w:sz w:val="22"/>
          <w:szCs w:val="22"/>
          <w:lang w:val="es-CO"/>
        </w:rPr>
        <w:t xml:space="preserve">, </w:t>
      </w:r>
      <w:r w:rsidRPr="00A21B5C">
        <w:rPr>
          <w:rFonts w:ascii="Arial" w:hAnsi="Arial" w:cs="Arial"/>
          <w:bCs/>
          <w:sz w:val="22"/>
          <w:szCs w:val="22"/>
          <w:lang w:val="es-CO"/>
        </w:rPr>
        <w:t>(1) un Convenio de Asociación</w:t>
      </w:r>
      <w:r w:rsidRPr="00A21B5C">
        <w:rPr>
          <w:rFonts w:ascii="Arial" w:hAnsi="Arial" w:cs="Arial"/>
          <w:sz w:val="22"/>
          <w:szCs w:val="22"/>
          <w:lang w:val="es-CO"/>
        </w:rPr>
        <w:t xml:space="preserve"> con la Asociación Organización Gonawindua Tayrona OGT, cuyo representante legal es José de los Santos Sauna, </w:t>
      </w:r>
      <w:r w:rsidR="002B5434" w:rsidRPr="00A21B5C">
        <w:rPr>
          <w:rFonts w:ascii="Arial" w:hAnsi="Arial" w:cs="Arial"/>
          <w:sz w:val="22"/>
          <w:szCs w:val="22"/>
          <w:lang w:val="es-CO"/>
        </w:rPr>
        <w:t xml:space="preserve">quien también es el </w:t>
      </w:r>
      <w:r w:rsidRPr="00A21B5C">
        <w:rPr>
          <w:rFonts w:ascii="Arial" w:hAnsi="Arial" w:cs="Arial"/>
          <w:sz w:val="22"/>
          <w:szCs w:val="22"/>
          <w:lang w:val="es-CO"/>
        </w:rPr>
        <w:t xml:space="preserve">representante legal del Resguardo Indígena para la firma del </w:t>
      </w:r>
      <w:r w:rsidR="00AA55CF" w:rsidRPr="00A21B5C">
        <w:rPr>
          <w:rFonts w:ascii="Arial" w:hAnsi="Arial" w:cs="Arial"/>
          <w:sz w:val="22"/>
          <w:szCs w:val="22"/>
          <w:lang w:val="es-CO"/>
        </w:rPr>
        <w:t xml:space="preserve">Convenio </w:t>
      </w:r>
      <w:r w:rsidRPr="00A21B5C">
        <w:rPr>
          <w:rFonts w:ascii="Arial" w:hAnsi="Arial" w:cs="Arial"/>
          <w:sz w:val="22"/>
          <w:szCs w:val="22"/>
          <w:lang w:val="es-CO"/>
        </w:rPr>
        <w:t xml:space="preserve">de Administración. Así mismo, la Entidad Territorial </w:t>
      </w:r>
      <w:r w:rsidR="0037548C" w:rsidRPr="00A21B5C">
        <w:rPr>
          <w:rFonts w:ascii="Arial" w:hAnsi="Arial" w:cs="Arial"/>
          <w:sz w:val="22"/>
          <w:szCs w:val="22"/>
          <w:lang w:val="es-CO"/>
        </w:rPr>
        <w:t>celebró</w:t>
      </w:r>
      <w:r w:rsidRPr="00A21B5C">
        <w:rPr>
          <w:rFonts w:ascii="Arial" w:hAnsi="Arial" w:cs="Arial"/>
          <w:sz w:val="22"/>
          <w:szCs w:val="22"/>
          <w:lang w:val="es-CO"/>
        </w:rPr>
        <w:t xml:space="preserve"> </w:t>
      </w:r>
      <w:r w:rsidRPr="00A21B5C">
        <w:rPr>
          <w:rFonts w:ascii="Arial" w:hAnsi="Arial" w:cs="Arial"/>
          <w:bCs/>
          <w:sz w:val="22"/>
          <w:szCs w:val="22"/>
          <w:lang w:val="es-CO"/>
        </w:rPr>
        <w:t>(1) un Contrato Interadministrativo</w:t>
      </w:r>
      <w:r w:rsidRPr="00A21B5C">
        <w:rPr>
          <w:rFonts w:ascii="Arial" w:hAnsi="Arial" w:cs="Arial"/>
          <w:sz w:val="22"/>
          <w:szCs w:val="22"/>
          <w:lang w:val="es-CO"/>
        </w:rPr>
        <w:t xml:space="preserve"> para la ejecución del proyecto asociado al </w:t>
      </w:r>
      <w:r w:rsidRPr="00A21B5C">
        <w:rPr>
          <w:rFonts w:ascii="Arial" w:hAnsi="Arial" w:cs="Arial"/>
          <w:i/>
          <w:sz w:val="22"/>
          <w:szCs w:val="22"/>
          <w:lang w:val="es-CO"/>
        </w:rPr>
        <w:t>“Fortalecimiento institucional de la red de salud pública de carácter especial del Resguardo Kogui - Malayo – Arhuaco</w:t>
      </w:r>
      <w:r w:rsidRPr="00A21B5C">
        <w:rPr>
          <w:rFonts w:ascii="Arial" w:hAnsi="Arial" w:cs="Arial"/>
          <w:sz w:val="22"/>
          <w:szCs w:val="22"/>
          <w:lang w:val="es-CO"/>
        </w:rPr>
        <w:t>”, el cual se adelantó solamente en 2016.</w:t>
      </w:r>
    </w:p>
    <w:p w:rsidR="008C2E4A" w:rsidRPr="00A21B5C" w:rsidRDefault="008C2E4A" w:rsidP="00A21B5C">
      <w:pPr>
        <w:contextualSpacing/>
        <w:jc w:val="both"/>
        <w:rPr>
          <w:rFonts w:ascii="Arial" w:hAnsi="Arial" w:cs="Arial"/>
          <w:sz w:val="22"/>
          <w:szCs w:val="22"/>
          <w:lang w:val="es-CO"/>
        </w:rPr>
      </w:pPr>
    </w:p>
    <w:p w:rsidR="008C2E4A" w:rsidRPr="00A21B5C" w:rsidRDefault="008C2E4A" w:rsidP="00A21B5C">
      <w:pPr>
        <w:contextualSpacing/>
        <w:jc w:val="both"/>
        <w:rPr>
          <w:rFonts w:ascii="Arial" w:hAnsi="Arial" w:cs="Arial"/>
          <w:sz w:val="22"/>
          <w:szCs w:val="22"/>
          <w:lang w:val="es-CO"/>
        </w:rPr>
      </w:pPr>
      <w:r w:rsidRPr="00A21B5C">
        <w:rPr>
          <w:rFonts w:ascii="Arial" w:hAnsi="Arial" w:cs="Arial"/>
          <w:sz w:val="22"/>
          <w:szCs w:val="22"/>
          <w:lang w:val="es-CO"/>
        </w:rPr>
        <w:t xml:space="preserve">Adicionalmente, se </w:t>
      </w:r>
      <w:r w:rsidR="005045FD" w:rsidRPr="00A21B5C">
        <w:rPr>
          <w:rFonts w:ascii="Arial" w:hAnsi="Arial" w:cs="Arial"/>
          <w:sz w:val="22"/>
          <w:szCs w:val="22"/>
          <w:lang w:val="es-CO"/>
        </w:rPr>
        <w:t>identifican</w:t>
      </w:r>
      <w:r w:rsidRPr="00A21B5C">
        <w:rPr>
          <w:rFonts w:ascii="Arial" w:hAnsi="Arial" w:cs="Arial"/>
          <w:sz w:val="22"/>
          <w:szCs w:val="22"/>
          <w:lang w:val="es-CO"/>
        </w:rPr>
        <w:t xml:space="preserve"> objetos contractuales asociados a </w:t>
      </w:r>
      <w:r w:rsidRPr="00A21B5C">
        <w:rPr>
          <w:rFonts w:ascii="Arial" w:hAnsi="Arial" w:cs="Arial"/>
          <w:i/>
          <w:sz w:val="22"/>
          <w:szCs w:val="22"/>
          <w:lang w:val="es-CO"/>
        </w:rPr>
        <w:t>“Construcciones, obras y reparaciones”</w:t>
      </w:r>
      <w:r w:rsidRPr="00A21B5C">
        <w:rPr>
          <w:rFonts w:ascii="Arial" w:hAnsi="Arial" w:cs="Arial"/>
          <w:sz w:val="22"/>
          <w:szCs w:val="22"/>
          <w:lang w:val="es-CO"/>
        </w:rPr>
        <w:t xml:space="preserve">, los cuales fueron adelantados durante las vigencias 2016 y 2017, </w:t>
      </w:r>
      <w:r w:rsidR="0037548C" w:rsidRPr="00A21B5C">
        <w:rPr>
          <w:rFonts w:ascii="Arial" w:hAnsi="Arial" w:cs="Arial"/>
          <w:sz w:val="22"/>
          <w:szCs w:val="22"/>
          <w:lang w:val="es-CO"/>
        </w:rPr>
        <w:t>mediante</w:t>
      </w:r>
      <w:r w:rsidRPr="00A21B5C">
        <w:rPr>
          <w:rFonts w:ascii="Arial" w:hAnsi="Arial" w:cs="Arial"/>
          <w:sz w:val="22"/>
          <w:szCs w:val="22"/>
          <w:lang w:val="es-CO"/>
        </w:rPr>
        <w:t xml:space="preserve"> </w:t>
      </w:r>
      <w:r w:rsidRPr="00A21B5C">
        <w:rPr>
          <w:rFonts w:ascii="Arial" w:hAnsi="Arial" w:cs="Arial"/>
          <w:bCs/>
          <w:sz w:val="22"/>
          <w:szCs w:val="22"/>
          <w:lang w:val="es-CO"/>
        </w:rPr>
        <w:t>(1) un Contrato de Obra a través de Licitación Pública en 2016</w:t>
      </w:r>
      <w:r w:rsidR="000425B9" w:rsidRPr="00A21B5C">
        <w:rPr>
          <w:rFonts w:ascii="Arial" w:hAnsi="Arial" w:cs="Arial"/>
          <w:bCs/>
          <w:sz w:val="22"/>
          <w:szCs w:val="22"/>
          <w:lang w:val="es-CO"/>
        </w:rPr>
        <w:t xml:space="preserve"> </w:t>
      </w:r>
      <w:r w:rsidRPr="00A21B5C">
        <w:rPr>
          <w:rFonts w:ascii="Arial" w:hAnsi="Arial" w:cs="Arial"/>
          <w:bCs/>
          <w:sz w:val="22"/>
          <w:szCs w:val="22"/>
          <w:lang w:val="es-CO"/>
        </w:rPr>
        <w:t>y (1) un Contrato de Calamidad a través de Contratación Directa</w:t>
      </w:r>
      <w:r w:rsidRPr="00A21B5C">
        <w:rPr>
          <w:rFonts w:ascii="Arial" w:hAnsi="Arial" w:cs="Arial"/>
          <w:sz w:val="22"/>
          <w:szCs w:val="22"/>
          <w:lang w:val="es-CO"/>
        </w:rPr>
        <w:t xml:space="preserve">, el cual se realizó de manera excepcional en 2017. </w:t>
      </w:r>
    </w:p>
    <w:p w:rsidR="008C2E4A" w:rsidRPr="00A21B5C" w:rsidRDefault="008C2E4A" w:rsidP="00A21B5C">
      <w:pPr>
        <w:contextualSpacing/>
        <w:jc w:val="both"/>
        <w:rPr>
          <w:rFonts w:ascii="Arial" w:hAnsi="Arial" w:cs="Arial"/>
          <w:sz w:val="22"/>
          <w:szCs w:val="22"/>
          <w:lang w:val="es-CO"/>
        </w:rPr>
      </w:pPr>
    </w:p>
    <w:p w:rsidR="008C2E4A" w:rsidRPr="00A21B5C" w:rsidRDefault="008C2E4A" w:rsidP="00A21B5C">
      <w:pPr>
        <w:contextualSpacing/>
        <w:jc w:val="both"/>
        <w:rPr>
          <w:rFonts w:ascii="Arial" w:hAnsi="Arial" w:cs="Arial"/>
          <w:sz w:val="22"/>
          <w:szCs w:val="22"/>
          <w:lang w:val="es-CO"/>
        </w:rPr>
      </w:pPr>
      <w:r w:rsidRPr="00A21B5C">
        <w:rPr>
          <w:rFonts w:ascii="Arial" w:hAnsi="Arial" w:cs="Arial"/>
          <w:sz w:val="22"/>
          <w:szCs w:val="22"/>
          <w:lang w:val="es-CO"/>
        </w:rPr>
        <w:t xml:space="preserve">De igual forma, se evidencia que se adelantaron </w:t>
      </w:r>
      <w:r w:rsidRPr="00A21B5C">
        <w:rPr>
          <w:rFonts w:ascii="Arial" w:hAnsi="Arial" w:cs="Arial"/>
          <w:bCs/>
          <w:sz w:val="22"/>
          <w:szCs w:val="22"/>
          <w:lang w:val="es-CO"/>
        </w:rPr>
        <w:t xml:space="preserve">(1) un Contrato de Interventoría, asociado al Contrato de Obra Pública </w:t>
      </w:r>
      <w:r w:rsidR="001C48AF" w:rsidRPr="00A21B5C">
        <w:rPr>
          <w:rFonts w:ascii="Arial" w:hAnsi="Arial" w:cs="Arial"/>
          <w:bCs/>
          <w:sz w:val="22"/>
          <w:szCs w:val="22"/>
          <w:lang w:val="es-CO"/>
        </w:rPr>
        <w:t xml:space="preserve">suscrito </w:t>
      </w:r>
      <w:r w:rsidRPr="00A21B5C">
        <w:rPr>
          <w:rFonts w:ascii="Arial" w:hAnsi="Arial" w:cs="Arial"/>
          <w:bCs/>
          <w:sz w:val="22"/>
          <w:szCs w:val="22"/>
          <w:lang w:val="es-CO"/>
        </w:rPr>
        <w:t>en 2016, y (1) un Contrato de Consultoría</w:t>
      </w:r>
      <w:r w:rsidRPr="00A21B5C">
        <w:rPr>
          <w:rFonts w:ascii="Arial" w:hAnsi="Arial" w:cs="Arial"/>
          <w:sz w:val="22"/>
          <w:szCs w:val="22"/>
          <w:lang w:val="es-CO"/>
        </w:rPr>
        <w:t xml:space="preserve"> para la ejecución del proyecto de </w:t>
      </w:r>
      <w:r w:rsidRPr="00A21B5C">
        <w:rPr>
          <w:rFonts w:ascii="Arial" w:hAnsi="Arial" w:cs="Arial"/>
          <w:i/>
          <w:sz w:val="22"/>
          <w:szCs w:val="22"/>
          <w:lang w:val="es-CO"/>
        </w:rPr>
        <w:t xml:space="preserve">“Levantamiento topográfico y avalúo de precios”, </w:t>
      </w:r>
      <w:r w:rsidRPr="00A21B5C">
        <w:rPr>
          <w:rFonts w:ascii="Arial" w:hAnsi="Arial" w:cs="Arial"/>
          <w:sz w:val="22"/>
          <w:szCs w:val="22"/>
          <w:lang w:val="es-CO"/>
        </w:rPr>
        <w:t xml:space="preserve">los cuales, como se evidenció en el </w:t>
      </w:r>
      <w:r w:rsidR="00AA55CF" w:rsidRPr="00A21B5C">
        <w:rPr>
          <w:rFonts w:ascii="Arial" w:hAnsi="Arial" w:cs="Arial"/>
          <w:sz w:val="22"/>
          <w:szCs w:val="22"/>
          <w:lang w:val="es-CO"/>
        </w:rPr>
        <w:t>G</w:t>
      </w:r>
      <w:r w:rsidRPr="00A21B5C">
        <w:rPr>
          <w:rFonts w:ascii="Arial" w:hAnsi="Arial" w:cs="Arial"/>
          <w:sz w:val="22"/>
          <w:szCs w:val="22"/>
          <w:lang w:val="es-CO"/>
        </w:rPr>
        <w:t>ráfico N° 1</w:t>
      </w:r>
      <w:r w:rsidR="005045FD" w:rsidRPr="00A21B5C">
        <w:rPr>
          <w:rFonts w:ascii="Arial" w:hAnsi="Arial" w:cs="Arial"/>
          <w:sz w:val="22"/>
          <w:szCs w:val="22"/>
          <w:lang w:val="es-CO"/>
        </w:rPr>
        <w:t>,</w:t>
      </w:r>
      <w:r w:rsidRPr="00A21B5C">
        <w:rPr>
          <w:rFonts w:ascii="Arial" w:hAnsi="Arial" w:cs="Arial"/>
          <w:sz w:val="22"/>
          <w:szCs w:val="22"/>
          <w:lang w:val="es-CO"/>
        </w:rPr>
        <w:t xml:space="preserve"> fueron los de menor cuantía para </w:t>
      </w:r>
      <w:r w:rsidR="000425B9" w:rsidRPr="00A21B5C">
        <w:rPr>
          <w:rFonts w:ascii="Arial" w:hAnsi="Arial" w:cs="Arial"/>
          <w:sz w:val="22"/>
          <w:szCs w:val="22"/>
          <w:lang w:val="es-CO"/>
        </w:rPr>
        <w:t>el periodo analizado</w:t>
      </w:r>
      <w:r w:rsidRPr="00A21B5C">
        <w:rPr>
          <w:rFonts w:ascii="Arial" w:hAnsi="Arial" w:cs="Arial"/>
          <w:sz w:val="22"/>
          <w:szCs w:val="22"/>
          <w:lang w:val="es-CO"/>
        </w:rPr>
        <w:t>.</w:t>
      </w:r>
    </w:p>
    <w:p w:rsidR="008C2E4A" w:rsidRPr="00A21B5C" w:rsidRDefault="008C2E4A" w:rsidP="00A21B5C">
      <w:pPr>
        <w:contextualSpacing/>
        <w:jc w:val="both"/>
        <w:rPr>
          <w:rFonts w:ascii="Arial" w:hAnsi="Arial" w:cs="Arial"/>
          <w:b/>
          <w:sz w:val="22"/>
          <w:szCs w:val="22"/>
          <w:lang w:val="es-CO"/>
        </w:rPr>
      </w:pPr>
    </w:p>
    <w:p w:rsidR="008C2E4A" w:rsidRPr="00A21B5C" w:rsidRDefault="008C2E4A" w:rsidP="00A21B5C">
      <w:pPr>
        <w:contextualSpacing/>
        <w:jc w:val="both"/>
        <w:rPr>
          <w:rFonts w:ascii="Arial" w:hAnsi="Arial" w:cs="Arial"/>
          <w:sz w:val="22"/>
          <w:szCs w:val="22"/>
          <w:lang w:val="es-CO"/>
        </w:rPr>
      </w:pPr>
      <w:r w:rsidRPr="00A21B5C">
        <w:rPr>
          <w:rFonts w:ascii="Arial" w:hAnsi="Arial" w:cs="Arial"/>
          <w:sz w:val="22"/>
          <w:szCs w:val="22"/>
          <w:lang w:val="es-CO"/>
        </w:rPr>
        <w:t xml:space="preserve">Así, con base en el panorama de ejecución contractual teniendo en cuenta </w:t>
      </w:r>
      <w:r w:rsidR="001C48AF" w:rsidRPr="00A21B5C">
        <w:rPr>
          <w:rFonts w:ascii="Arial" w:hAnsi="Arial" w:cs="Arial"/>
          <w:sz w:val="22"/>
          <w:szCs w:val="22"/>
          <w:lang w:val="es-CO"/>
        </w:rPr>
        <w:t xml:space="preserve">tanto </w:t>
      </w:r>
      <w:r w:rsidRPr="00A21B5C">
        <w:rPr>
          <w:rFonts w:ascii="Arial" w:hAnsi="Arial" w:cs="Arial"/>
          <w:sz w:val="22"/>
          <w:szCs w:val="22"/>
          <w:lang w:val="es-CO"/>
        </w:rPr>
        <w:t>el monto de recursos ejecutados como l</w:t>
      </w:r>
      <w:r w:rsidR="009962E6" w:rsidRPr="00A21B5C">
        <w:rPr>
          <w:rFonts w:ascii="Arial" w:hAnsi="Arial" w:cs="Arial"/>
          <w:sz w:val="22"/>
          <w:szCs w:val="22"/>
          <w:lang w:val="es-CO"/>
        </w:rPr>
        <w:t>o</w:t>
      </w:r>
      <w:r w:rsidRPr="00A21B5C">
        <w:rPr>
          <w:rFonts w:ascii="Arial" w:hAnsi="Arial" w:cs="Arial"/>
          <w:sz w:val="22"/>
          <w:szCs w:val="22"/>
          <w:lang w:val="es-CO"/>
        </w:rPr>
        <w:t>s</w:t>
      </w:r>
      <w:r w:rsidR="009962E6" w:rsidRPr="00A21B5C">
        <w:rPr>
          <w:rFonts w:ascii="Arial" w:hAnsi="Arial" w:cs="Arial"/>
          <w:sz w:val="22"/>
          <w:szCs w:val="22"/>
          <w:lang w:val="es-CO"/>
        </w:rPr>
        <w:t xml:space="preserve"> tipos y</w:t>
      </w:r>
      <w:r w:rsidRPr="00A21B5C">
        <w:rPr>
          <w:rFonts w:ascii="Arial" w:hAnsi="Arial" w:cs="Arial"/>
          <w:sz w:val="22"/>
          <w:szCs w:val="22"/>
          <w:lang w:val="es-CO"/>
        </w:rPr>
        <w:t xml:space="preserve"> modalidades de contratación utilizadas en el Municipio de Dibulla – La Guajira, esta Dirección determin</w:t>
      </w:r>
      <w:r w:rsidR="001C48AF" w:rsidRPr="00A21B5C">
        <w:rPr>
          <w:rFonts w:ascii="Arial" w:hAnsi="Arial" w:cs="Arial"/>
          <w:sz w:val="22"/>
          <w:szCs w:val="22"/>
          <w:lang w:val="es-CO"/>
        </w:rPr>
        <w:t>ó</w:t>
      </w:r>
      <w:r w:rsidRPr="00A21B5C">
        <w:rPr>
          <w:rFonts w:ascii="Arial" w:hAnsi="Arial" w:cs="Arial"/>
          <w:sz w:val="22"/>
          <w:szCs w:val="22"/>
          <w:lang w:val="es-CO"/>
        </w:rPr>
        <w:t xml:space="preserve"> analizar 5 de los 16 contratos </w:t>
      </w:r>
      <w:r w:rsidRPr="00A21B5C">
        <w:rPr>
          <w:rFonts w:ascii="Arial" w:hAnsi="Arial" w:cs="Arial"/>
          <w:sz w:val="22"/>
          <w:szCs w:val="22"/>
          <w:lang w:val="es-CO"/>
        </w:rPr>
        <w:lastRenderedPageBreak/>
        <w:t xml:space="preserve">de compraventa para la adquisición de tierras, dada la prelación y recurrencia de este objeto contractual, los cuales fueron seleccionados aleatoriamente, abarcando 3 contratos de la vigencia 2017, 1 de las vigencias 2018 (único contratado adelantado), y </w:t>
      </w:r>
      <w:r w:rsidR="005045FD" w:rsidRPr="00A21B5C">
        <w:rPr>
          <w:rFonts w:ascii="Arial" w:hAnsi="Arial" w:cs="Arial"/>
          <w:sz w:val="22"/>
          <w:szCs w:val="22"/>
          <w:lang w:val="es-CO"/>
        </w:rPr>
        <w:t xml:space="preserve">1 del </w:t>
      </w:r>
      <w:r w:rsidRPr="00A21B5C">
        <w:rPr>
          <w:rFonts w:ascii="Arial" w:hAnsi="Arial" w:cs="Arial"/>
          <w:sz w:val="22"/>
          <w:szCs w:val="22"/>
          <w:lang w:val="es-CO"/>
        </w:rPr>
        <w:t xml:space="preserve">primer trimestre de 2019. </w:t>
      </w:r>
      <w:r w:rsidR="001C48AF" w:rsidRPr="00A21B5C">
        <w:rPr>
          <w:rFonts w:ascii="Arial" w:hAnsi="Arial" w:cs="Arial"/>
          <w:sz w:val="22"/>
          <w:szCs w:val="22"/>
          <w:lang w:val="es-CO"/>
        </w:rPr>
        <w:t>A</w:t>
      </w:r>
      <w:r w:rsidRPr="00A21B5C">
        <w:rPr>
          <w:rFonts w:ascii="Arial" w:hAnsi="Arial" w:cs="Arial"/>
          <w:sz w:val="22"/>
          <w:szCs w:val="22"/>
          <w:lang w:val="es-CO"/>
        </w:rPr>
        <w:t>sí mismo, se analiza el único contrato de compraventa adelantado mediante subasta inversa para la adquisición de insumos educativos atendiendo al criterio de modalidad de contratación, al ser el único de subasta en donde el valor del contrato es determinante en el proceso de selección.</w:t>
      </w:r>
    </w:p>
    <w:p w:rsidR="008C2E4A" w:rsidRPr="00A21B5C" w:rsidRDefault="008C2E4A" w:rsidP="00A21B5C">
      <w:pPr>
        <w:contextualSpacing/>
        <w:jc w:val="both"/>
        <w:rPr>
          <w:rFonts w:ascii="Arial" w:hAnsi="Arial" w:cs="Arial"/>
          <w:sz w:val="22"/>
          <w:szCs w:val="22"/>
          <w:lang w:val="es-CO"/>
        </w:rPr>
      </w:pPr>
    </w:p>
    <w:p w:rsidR="008C2E4A" w:rsidRPr="00A21B5C" w:rsidRDefault="008C2E4A" w:rsidP="00A21B5C">
      <w:pPr>
        <w:contextualSpacing/>
        <w:jc w:val="both"/>
        <w:rPr>
          <w:rFonts w:ascii="Arial" w:hAnsi="Arial" w:cs="Arial"/>
          <w:sz w:val="22"/>
          <w:szCs w:val="22"/>
          <w:lang w:val="es-CO"/>
        </w:rPr>
      </w:pPr>
      <w:r w:rsidRPr="00A21B5C">
        <w:rPr>
          <w:rFonts w:ascii="Arial" w:hAnsi="Arial" w:cs="Arial"/>
          <w:sz w:val="22"/>
          <w:szCs w:val="22"/>
          <w:lang w:val="es-CO"/>
        </w:rPr>
        <w:t>Así mismo, se revisa</w:t>
      </w:r>
      <w:r w:rsidR="00037806" w:rsidRPr="00A21B5C">
        <w:rPr>
          <w:rFonts w:ascii="Arial" w:hAnsi="Arial" w:cs="Arial"/>
          <w:sz w:val="22"/>
          <w:szCs w:val="22"/>
          <w:lang w:val="es-CO"/>
        </w:rPr>
        <w:t>ron</w:t>
      </w:r>
      <w:r w:rsidRPr="00A21B5C">
        <w:rPr>
          <w:rFonts w:ascii="Arial" w:hAnsi="Arial" w:cs="Arial"/>
          <w:sz w:val="22"/>
          <w:szCs w:val="22"/>
          <w:lang w:val="es-CO"/>
        </w:rPr>
        <w:t xml:space="preserve"> el Contrato de Obra Pública por Licitación Pública de 2016, dadas las particularidades halladas a partir del análisis presupuestal realizado y al ser el único Contrato de Obra adelantado por Licitación; y el Contrato de Calamidad de la vigencia 2017 que, si bien correspondió a un Contrato de Obra, fue adjudicado directamente considerando su carácter excepcional.</w:t>
      </w:r>
    </w:p>
    <w:p w:rsidR="008C2E4A" w:rsidRPr="00A21B5C" w:rsidRDefault="008C2E4A" w:rsidP="00A21B5C">
      <w:pPr>
        <w:contextualSpacing/>
        <w:jc w:val="both"/>
        <w:rPr>
          <w:rFonts w:ascii="Arial" w:hAnsi="Arial" w:cs="Arial"/>
          <w:sz w:val="22"/>
          <w:szCs w:val="22"/>
          <w:lang w:val="es-CO"/>
        </w:rPr>
      </w:pPr>
    </w:p>
    <w:p w:rsidR="008C2E4A" w:rsidRPr="00A21B5C" w:rsidRDefault="008C2E4A" w:rsidP="00A21B5C">
      <w:pPr>
        <w:contextualSpacing/>
        <w:jc w:val="both"/>
        <w:rPr>
          <w:rFonts w:ascii="Arial" w:hAnsi="Arial" w:cs="Arial"/>
          <w:sz w:val="22"/>
          <w:szCs w:val="22"/>
          <w:lang w:val="es-CO"/>
        </w:rPr>
      </w:pPr>
      <w:r w:rsidRPr="00A21B5C">
        <w:rPr>
          <w:rFonts w:ascii="Arial" w:hAnsi="Arial" w:cs="Arial"/>
          <w:sz w:val="22"/>
          <w:szCs w:val="22"/>
          <w:lang w:val="es-CO"/>
        </w:rPr>
        <w:t>También, es revisado el Convenio de Asociación adelantado en la vigencia 2016, considerando la magnitud de recursos ejecutados respecto a los demás objetos contractuales de las últimas vigencias distintos a compra de tierras o adquisición de mejoras y, considerando la transversalidad de proyectos que se ejecutaron mediante esta figura contractual.</w:t>
      </w:r>
    </w:p>
    <w:p w:rsidR="008C2E4A" w:rsidRPr="00A21B5C" w:rsidRDefault="008C2E4A" w:rsidP="00A21B5C">
      <w:pPr>
        <w:contextualSpacing/>
        <w:jc w:val="both"/>
        <w:rPr>
          <w:rFonts w:ascii="Arial" w:hAnsi="Arial" w:cs="Arial"/>
          <w:sz w:val="22"/>
          <w:szCs w:val="22"/>
          <w:lang w:val="es-CO"/>
        </w:rPr>
      </w:pPr>
    </w:p>
    <w:p w:rsidR="008C2E4A" w:rsidRPr="00A21B5C" w:rsidRDefault="008C2E4A" w:rsidP="00A21B5C">
      <w:pPr>
        <w:contextualSpacing/>
        <w:jc w:val="both"/>
        <w:rPr>
          <w:rFonts w:ascii="Arial" w:hAnsi="Arial" w:cs="Arial"/>
          <w:sz w:val="22"/>
          <w:szCs w:val="22"/>
          <w:lang w:val="es-CO"/>
        </w:rPr>
      </w:pPr>
      <w:r w:rsidRPr="00A21B5C">
        <w:rPr>
          <w:rFonts w:ascii="Arial" w:hAnsi="Arial" w:cs="Arial"/>
          <w:sz w:val="22"/>
          <w:szCs w:val="22"/>
          <w:lang w:val="es-CO"/>
        </w:rPr>
        <w:t>De esta manera, se realiz</w:t>
      </w:r>
      <w:r w:rsidR="009B5644" w:rsidRPr="00A21B5C">
        <w:rPr>
          <w:rFonts w:ascii="Arial" w:hAnsi="Arial" w:cs="Arial"/>
          <w:sz w:val="22"/>
          <w:szCs w:val="22"/>
          <w:lang w:val="es-CO"/>
        </w:rPr>
        <w:t>ó</w:t>
      </w:r>
      <w:r w:rsidRPr="00A21B5C">
        <w:rPr>
          <w:rFonts w:ascii="Arial" w:hAnsi="Arial" w:cs="Arial"/>
          <w:sz w:val="22"/>
          <w:szCs w:val="22"/>
          <w:lang w:val="es-CO"/>
        </w:rPr>
        <w:t xml:space="preserve"> la inspección de 9 procesos contractuales que abarcan el 60,5</w:t>
      </w:r>
      <w:r w:rsidR="00AA55CF" w:rsidRPr="00A21B5C">
        <w:rPr>
          <w:rFonts w:ascii="Arial" w:hAnsi="Arial" w:cs="Arial"/>
          <w:sz w:val="22"/>
          <w:szCs w:val="22"/>
          <w:lang w:val="es-CO"/>
        </w:rPr>
        <w:t xml:space="preserve"> </w:t>
      </w:r>
      <w:r w:rsidRPr="00A21B5C">
        <w:rPr>
          <w:rFonts w:ascii="Arial" w:hAnsi="Arial" w:cs="Arial"/>
          <w:sz w:val="22"/>
          <w:szCs w:val="22"/>
          <w:lang w:val="es-CO"/>
        </w:rPr>
        <w:t xml:space="preserve">% de los recursos ejecutados en administración de la AESGPRI durante los últimos 3 años, contemplando también el primer trimestre de la vigencia 2019. </w:t>
      </w:r>
    </w:p>
    <w:p w:rsidR="001407C3" w:rsidRPr="00A21B5C" w:rsidRDefault="001407C3" w:rsidP="00A21B5C">
      <w:pPr>
        <w:contextualSpacing/>
        <w:jc w:val="both"/>
        <w:rPr>
          <w:rFonts w:ascii="Arial" w:hAnsi="Arial" w:cs="Arial"/>
          <w:b/>
          <w:sz w:val="22"/>
          <w:szCs w:val="22"/>
          <w:lang w:val="es-CO"/>
        </w:rPr>
      </w:pPr>
    </w:p>
    <w:p w:rsidR="008C2E4A" w:rsidRPr="00A21B5C" w:rsidRDefault="008C2E4A" w:rsidP="00A21B5C">
      <w:pPr>
        <w:contextualSpacing/>
        <w:jc w:val="both"/>
        <w:rPr>
          <w:rFonts w:ascii="Arial" w:hAnsi="Arial" w:cs="Arial"/>
          <w:b/>
          <w:sz w:val="22"/>
          <w:szCs w:val="22"/>
          <w:lang w:val="es-CO"/>
        </w:rPr>
      </w:pPr>
      <w:r w:rsidRPr="00A21B5C">
        <w:rPr>
          <w:rFonts w:ascii="Arial" w:hAnsi="Arial" w:cs="Arial"/>
          <w:b/>
          <w:sz w:val="22"/>
          <w:szCs w:val="22"/>
          <w:lang w:val="es-CO"/>
        </w:rPr>
        <w:t>Anotación general:</w:t>
      </w:r>
    </w:p>
    <w:p w:rsidR="008C2E4A" w:rsidRPr="00A21B5C" w:rsidRDefault="008C2E4A" w:rsidP="00A21B5C">
      <w:pPr>
        <w:contextualSpacing/>
        <w:jc w:val="both"/>
        <w:rPr>
          <w:rFonts w:ascii="Arial" w:hAnsi="Arial" w:cs="Arial"/>
          <w:sz w:val="22"/>
          <w:szCs w:val="22"/>
          <w:lang w:val="es-CO"/>
        </w:rPr>
      </w:pPr>
    </w:p>
    <w:p w:rsidR="008C2E4A" w:rsidRPr="00A21B5C" w:rsidRDefault="008C2E4A" w:rsidP="00A21B5C">
      <w:pPr>
        <w:contextualSpacing/>
        <w:jc w:val="both"/>
        <w:rPr>
          <w:rFonts w:ascii="Arial" w:hAnsi="Arial" w:cs="Arial"/>
          <w:sz w:val="22"/>
          <w:szCs w:val="22"/>
          <w:lang w:val="es-CO"/>
        </w:rPr>
      </w:pPr>
      <w:r w:rsidRPr="00A21B5C">
        <w:rPr>
          <w:rFonts w:ascii="Arial" w:hAnsi="Arial" w:cs="Arial"/>
          <w:sz w:val="22"/>
          <w:szCs w:val="22"/>
          <w:lang w:val="es-CO"/>
        </w:rPr>
        <w:t xml:space="preserve">En revisión física a los expedientes contractuales </w:t>
      </w:r>
      <w:r w:rsidR="005045FD" w:rsidRPr="00A21B5C">
        <w:rPr>
          <w:rFonts w:ascii="Arial" w:hAnsi="Arial" w:cs="Arial"/>
          <w:sz w:val="22"/>
          <w:szCs w:val="22"/>
          <w:lang w:val="es-CO"/>
        </w:rPr>
        <w:t>en la Oficina Jurídica, durante la</w:t>
      </w:r>
      <w:r w:rsidRPr="00A21B5C">
        <w:rPr>
          <w:rFonts w:ascii="Arial" w:hAnsi="Arial" w:cs="Arial"/>
          <w:sz w:val="22"/>
          <w:szCs w:val="22"/>
          <w:lang w:val="es-CO"/>
        </w:rPr>
        <w:t xml:space="preserve"> visita de reconocimiento a la Entidad Territorial el día 9 de mayo de 2019, se evidenció que estos no se encontraban marcados en sus carátulas, ordenados de manera cronológica y debidamente foliados</w:t>
      </w:r>
      <w:r w:rsidRPr="00A21B5C">
        <w:rPr>
          <w:rStyle w:val="Refdenotaalpie"/>
          <w:rFonts w:ascii="Arial" w:hAnsi="Arial" w:cs="Arial"/>
          <w:sz w:val="22"/>
          <w:szCs w:val="22"/>
          <w:lang w:val="es-CO"/>
        </w:rPr>
        <w:footnoteReference w:id="34"/>
      </w:r>
      <w:r w:rsidRPr="00A21B5C">
        <w:rPr>
          <w:rFonts w:ascii="Arial" w:hAnsi="Arial" w:cs="Arial"/>
          <w:sz w:val="22"/>
          <w:szCs w:val="22"/>
          <w:lang w:val="es-CO"/>
        </w:rPr>
        <w:t xml:space="preserve">, de acuerdo con las buenas prácticas de archivo </w:t>
      </w:r>
      <w:r w:rsidR="002F5255" w:rsidRPr="00A21B5C">
        <w:rPr>
          <w:rFonts w:ascii="Arial" w:hAnsi="Arial" w:cs="Arial"/>
          <w:sz w:val="22"/>
          <w:szCs w:val="22"/>
          <w:lang w:val="es-CO"/>
        </w:rPr>
        <w:t>que tienen como</w:t>
      </w:r>
      <w:r w:rsidRPr="00A21B5C">
        <w:rPr>
          <w:rFonts w:ascii="Arial" w:hAnsi="Arial" w:cs="Arial"/>
          <w:sz w:val="22"/>
          <w:szCs w:val="22"/>
          <w:lang w:val="es-CO"/>
        </w:rPr>
        <w:t xml:space="preserve"> fin garantizar la salvaguarda y la integridad de la información contractual. Lo anterior, representando un obstáculo en el debido proceso de auditoría y revisión realizada sobre la información contractual</w:t>
      </w:r>
      <w:r w:rsidR="00C83DDA" w:rsidRPr="00A21B5C">
        <w:rPr>
          <w:rFonts w:ascii="Arial" w:hAnsi="Arial" w:cs="Arial"/>
          <w:sz w:val="22"/>
          <w:szCs w:val="22"/>
          <w:lang w:val="es-CO"/>
        </w:rPr>
        <w:t>,</w:t>
      </w:r>
      <w:r w:rsidRPr="00A21B5C">
        <w:rPr>
          <w:rFonts w:ascii="Arial" w:hAnsi="Arial" w:cs="Arial"/>
          <w:sz w:val="22"/>
          <w:szCs w:val="22"/>
          <w:lang w:val="es-CO"/>
        </w:rPr>
        <w:t xml:space="preserve"> al no tenerse garantía de la integridad y completitud de la información.</w:t>
      </w:r>
    </w:p>
    <w:p w:rsidR="008C2E4A" w:rsidRPr="00A21B5C" w:rsidRDefault="008C2E4A" w:rsidP="00A21B5C">
      <w:pPr>
        <w:contextualSpacing/>
        <w:jc w:val="both"/>
        <w:rPr>
          <w:rFonts w:ascii="Arial" w:hAnsi="Arial" w:cs="Arial"/>
          <w:sz w:val="22"/>
          <w:szCs w:val="22"/>
          <w:lang w:val="es-CO"/>
        </w:rPr>
      </w:pPr>
    </w:p>
    <w:p w:rsidR="008C2E4A" w:rsidRPr="00A21B5C" w:rsidRDefault="00BA6A03">
      <w:pPr>
        <w:pStyle w:val="Prrafodelista"/>
        <w:numPr>
          <w:ilvl w:val="0"/>
          <w:numId w:val="43"/>
        </w:numPr>
        <w:ind w:left="426" w:hanging="284"/>
        <w:jc w:val="both"/>
        <w:rPr>
          <w:rFonts w:ascii="Arial" w:hAnsi="Arial" w:cs="Arial"/>
          <w:b/>
          <w:sz w:val="22"/>
          <w:szCs w:val="22"/>
          <w:u w:val="single"/>
          <w:lang w:val="es-CO"/>
        </w:rPr>
      </w:pPr>
      <w:r w:rsidRPr="00A21B5C">
        <w:rPr>
          <w:rFonts w:ascii="Arial" w:hAnsi="Arial" w:cs="Arial"/>
          <w:b/>
          <w:sz w:val="22"/>
          <w:szCs w:val="22"/>
          <w:lang w:val="es-CO"/>
        </w:rPr>
        <w:t>Contratos de Compraventa</w:t>
      </w:r>
      <w:r w:rsidRPr="00A21B5C">
        <w:rPr>
          <w:rFonts w:ascii="Arial" w:hAnsi="Arial" w:cs="Arial"/>
          <w:sz w:val="22"/>
          <w:szCs w:val="22"/>
        </w:rPr>
        <w:t xml:space="preserve"> </w:t>
      </w:r>
      <w:r w:rsidRPr="00A21B5C">
        <w:rPr>
          <w:rFonts w:ascii="Arial" w:hAnsi="Arial" w:cs="Arial"/>
          <w:b/>
          <w:sz w:val="22"/>
          <w:szCs w:val="22"/>
          <w:lang w:val="es-CO"/>
        </w:rPr>
        <w:t xml:space="preserve">N° 004, 009 y 010 de 2017, N° 002 de 2018 y </w:t>
      </w:r>
      <w:r w:rsidR="003876D0" w:rsidRPr="00A21B5C">
        <w:rPr>
          <w:rFonts w:ascii="Arial" w:hAnsi="Arial" w:cs="Arial"/>
          <w:b/>
          <w:sz w:val="22"/>
          <w:szCs w:val="22"/>
          <w:lang w:val="es-CO"/>
        </w:rPr>
        <w:t>N°</w:t>
      </w:r>
      <w:r w:rsidRPr="00A21B5C">
        <w:rPr>
          <w:rFonts w:ascii="Arial" w:hAnsi="Arial" w:cs="Arial"/>
          <w:b/>
          <w:sz w:val="22"/>
          <w:szCs w:val="22"/>
          <w:lang w:val="es-CO"/>
        </w:rPr>
        <w:t xml:space="preserve"> 001 de 2019: Compra de tierras y adquisición de mejoras rurales</w:t>
      </w:r>
    </w:p>
    <w:p w:rsidR="008C2E4A" w:rsidRPr="00A21B5C" w:rsidRDefault="008C2E4A" w:rsidP="00A21B5C">
      <w:pPr>
        <w:contextualSpacing/>
        <w:jc w:val="both"/>
        <w:rPr>
          <w:rFonts w:ascii="Arial" w:hAnsi="Arial" w:cs="Arial"/>
          <w:b/>
          <w:sz w:val="22"/>
          <w:szCs w:val="22"/>
          <w:u w:val="single"/>
          <w:lang w:val="es-CO"/>
        </w:rPr>
      </w:pPr>
    </w:p>
    <w:p w:rsidR="008C2E4A" w:rsidRPr="00A21B5C" w:rsidRDefault="008C2E4A" w:rsidP="00A21B5C">
      <w:pPr>
        <w:contextualSpacing/>
        <w:jc w:val="both"/>
        <w:rPr>
          <w:rFonts w:ascii="Arial" w:hAnsi="Arial" w:cs="Arial"/>
          <w:sz w:val="22"/>
          <w:szCs w:val="22"/>
          <w:lang w:val="es-CO"/>
        </w:rPr>
      </w:pPr>
      <w:r w:rsidRPr="00A21B5C">
        <w:rPr>
          <w:rFonts w:ascii="Arial" w:hAnsi="Arial" w:cs="Arial"/>
          <w:sz w:val="22"/>
          <w:szCs w:val="22"/>
          <w:lang w:val="es-CO"/>
        </w:rPr>
        <w:t xml:space="preserve">La revisión de los procesos contractuales para la compra de tierras y adquisición de mejoras rurales se realiza de manera conjunta teniendo en cuenta que el proceso contractual que se surte es similar y expedito, en cuanto que, al ser Contratación Directa no se realiza proceso de convocatoria, evaluación y selección de diferentes oferentes. De esta manera se establecen unos </w:t>
      </w:r>
      <w:r w:rsidR="00A21B5C" w:rsidRPr="00A21B5C">
        <w:rPr>
          <w:rFonts w:ascii="Arial" w:hAnsi="Arial" w:cs="Arial"/>
          <w:sz w:val="22"/>
          <w:szCs w:val="22"/>
          <w:lang w:val="es-CO"/>
        </w:rPr>
        <w:t>criterios hitos</w:t>
      </w:r>
      <w:r w:rsidRPr="00A21B5C">
        <w:rPr>
          <w:rFonts w:ascii="Arial" w:hAnsi="Arial" w:cs="Arial"/>
          <w:sz w:val="22"/>
          <w:szCs w:val="22"/>
          <w:lang w:val="es-CO"/>
        </w:rPr>
        <w:t xml:space="preserve"> de evaluación, de acuerdo con la inspección hecha a los procesos contractuales y de acuerdo con las particularidades jurídicas de los Resguardos Indígenas en materia territorial:</w:t>
      </w:r>
    </w:p>
    <w:p w:rsidR="008C2E4A" w:rsidRPr="00A21B5C" w:rsidRDefault="008C2E4A" w:rsidP="00A21B5C">
      <w:pPr>
        <w:contextualSpacing/>
        <w:jc w:val="both"/>
        <w:rPr>
          <w:rFonts w:ascii="Arial" w:hAnsi="Arial" w:cs="Arial"/>
          <w:sz w:val="22"/>
          <w:szCs w:val="22"/>
          <w:lang w:val="es-CO"/>
        </w:rPr>
      </w:pPr>
    </w:p>
    <w:p w:rsidR="008C2E4A" w:rsidRPr="00A21B5C" w:rsidRDefault="008C2E4A">
      <w:pPr>
        <w:pStyle w:val="Prrafodelista"/>
        <w:numPr>
          <w:ilvl w:val="2"/>
          <w:numId w:val="28"/>
        </w:numPr>
        <w:tabs>
          <w:tab w:val="num" w:pos="2160"/>
        </w:tabs>
        <w:ind w:left="426" w:hanging="284"/>
        <w:jc w:val="both"/>
        <w:rPr>
          <w:rFonts w:ascii="Arial" w:hAnsi="Arial" w:cs="Arial"/>
          <w:sz w:val="22"/>
          <w:szCs w:val="22"/>
          <w:lang w:val="es-CO"/>
        </w:rPr>
      </w:pPr>
      <w:r w:rsidRPr="00A21B5C">
        <w:rPr>
          <w:rFonts w:ascii="Arial" w:hAnsi="Arial" w:cs="Arial"/>
          <w:sz w:val="22"/>
          <w:szCs w:val="22"/>
          <w:lang w:val="es-CO"/>
        </w:rPr>
        <w:t>¿El predio adquirido contó con proceso de avalúo comercial por parte de un perito certificado?</w:t>
      </w:r>
    </w:p>
    <w:p w:rsidR="008C2E4A" w:rsidRPr="00A21B5C" w:rsidRDefault="008C2E4A">
      <w:pPr>
        <w:pStyle w:val="Prrafodelista"/>
        <w:numPr>
          <w:ilvl w:val="2"/>
          <w:numId w:val="28"/>
        </w:numPr>
        <w:tabs>
          <w:tab w:val="num" w:pos="2160"/>
        </w:tabs>
        <w:ind w:left="426" w:hanging="284"/>
        <w:jc w:val="both"/>
        <w:rPr>
          <w:rFonts w:ascii="Arial" w:hAnsi="Arial" w:cs="Arial"/>
          <w:sz w:val="22"/>
          <w:szCs w:val="22"/>
          <w:lang w:val="es-CO"/>
        </w:rPr>
      </w:pPr>
      <w:r w:rsidRPr="00A21B5C">
        <w:rPr>
          <w:rFonts w:ascii="Arial" w:hAnsi="Arial" w:cs="Arial"/>
          <w:sz w:val="22"/>
          <w:szCs w:val="22"/>
          <w:lang w:val="es-CO"/>
        </w:rPr>
        <w:t>¿El contratista certificó la posesión o pertenencia del título predial de acuerdo con los estudios previos y requerimientos jurídicos para la compra?</w:t>
      </w:r>
    </w:p>
    <w:p w:rsidR="008C2E4A" w:rsidRPr="00A21B5C" w:rsidRDefault="008C2E4A">
      <w:pPr>
        <w:pStyle w:val="Prrafodelista"/>
        <w:numPr>
          <w:ilvl w:val="2"/>
          <w:numId w:val="28"/>
        </w:numPr>
        <w:tabs>
          <w:tab w:val="num" w:pos="2160"/>
        </w:tabs>
        <w:ind w:left="426" w:hanging="284"/>
        <w:jc w:val="both"/>
        <w:rPr>
          <w:rFonts w:ascii="Arial" w:hAnsi="Arial" w:cs="Arial"/>
          <w:sz w:val="22"/>
          <w:szCs w:val="22"/>
          <w:lang w:val="es-CO"/>
        </w:rPr>
      </w:pPr>
      <w:r w:rsidRPr="00A21B5C">
        <w:rPr>
          <w:rFonts w:ascii="Arial" w:hAnsi="Arial" w:cs="Arial"/>
          <w:sz w:val="22"/>
          <w:szCs w:val="22"/>
          <w:lang w:val="es-CO"/>
        </w:rPr>
        <w:t>¿El predio o mejora pretendida estuvo acorde con la justificación de la necesidad, el objeto contractual y/o el área de ampliación o saneamiento: compra de tierras (ampliación) y/o adquisición de mejoras rurales (saneamiento)?</w:t>
      </w:r>
    </w:p>
    <w:p w:rsidR="008C2E4A" w:rsidRPr="00A21B5C" w:rsidRDefault="008C2E4A">
      <w:pPr>
        <w:pStyle w:val="Prrafodelista"/>
        <w:numPr>
          <w:ilvl w:val="2"/>
          <w:numId w:val="28"/>
        </w:numPr>
        <w:tabs>
          <w:tab w:val="num" w:pos="2160"/>
        </w:tabs>
        <w:ind w:left="426" w:hanging="284"/>
        <w:jc w:val="both"/>
        <w:rPr>
          <w:rFonts w:ascii="Arial" w:hAnsi="Arial" w:cs="Arial"/>
          <w:sz w:val="22"/>
          <w:szCs w:val="22"/>
          <w:lang w:val="es-CO"/>
        </w:rPr>
      </w:pPr>
      <w:r w:rsidRPr="00A21B5C">
        <w:rPr>
          <w:rFonts w:ascii="Arial" w:hAnsi="Arial" w:cs="Arial"/>
          <w:sz w:val="22"/>
          <w:szCs w:val="22"/>
          <w:lang w:val="es-CO"/>
        </w:rPr>
        <w:t>¿Se cumplieron las condiciones de pago?</w:t>
      </w:r>
    </w:p>
    <w:p w:rsidR="008C2E4A" w:rsidRPr="00A21B5C" w:rsidRDefault="008C2E4A">
      <w:pPr>
        <w:pStyle w:val="Prrafodelista"/>
        <w:numPr>
          <w:ilvl w:val="2"/>
          <w:numId w:val="28"/>
        </w:numPr>
        <w:tabs>
          <w:tab w:val="num" w:pos="2160"/>
        </w:tabs>
        <w:ind w:left="426" w:hanging="284"/>
        <w:jc w:val="both"/>
        <w:rPr>
          <w:rFonts w:ascii="Arial" w:hAnsi="Arial" w:cs="Arial"/>
          <w:sz w:val="22"/>
          <w:szCs w:val="22"/>
          <w:lang w:val="es-CO"/>
        </w:rPr>
      </w:pPr>
      <w:r w:rsidRPr="00A21B5C">
        <w:rPr>
          <w:rFonts w:ascii="Arial" w:hAnsi="Arial" w:cs="Arial"/>
          <w:sz w:val="22"/>
          <w:szCs w:val="22"/>
          <w:lang w:val="es-CO"/>
        </w:rPr>
        <w:t>¿A nombre de quién se escrituró el título?</w:t>
      </w:r>
    </w:p>
    <w:p w:rsidR="008C2E4A" w:rsidRPr="00A21B5C" w:rsidRDefault="008C2E4A" w:rsidP="00A21B5C">
      <w:pPr>
        <w:contextualSpacing/>
        <w:jc w:val="both"/>
        <w:rPr>
          <w:rFonts w:ascii="Arial" w:hAnsi="Arial" w:cs="Arial"/>
          <w:b/>
          <w:sz w:val="22"/>
          <w:szCs w:val="22"/>
          <w:lang w:val="es-CO"/>
        </w:rPr>
      </w:pPr>
    </w:p>
    <w:p w:rsidR="00202861" w:rsidRPr="00A21B5C" w:rsidRDefault="00202861" w:rsidP="00A21B5C">
      <w:pPr>
        <w:contextualSpacing/>
        <w:jc w:val="both"/>
        <w:rPr>
          <w:rFonts w:ascii="Arial" w:hAnsi="Arial" w:cs="Arial"/>
          <w:sz w:val="22"/>
          <w:szCs w:val="22"/>
          <w:lang w:val="es-CO"/>
        </w:rPr>
      </w:pPr>
      <w:r w:rsidRPr="00A21B5C">
        <w:rPr>
          <w:rFonts w:ascii="Arial" w:hAnsi="Arial" w:cs="Arial"/>
          <w:sz w:val="22"/>
          <w:szCs w:val="22"/>
          <w:lang w:val="es-CO"/>
        </w:rPr>
        <w:t>Se inspeccionaron los Contratos de Compraventa que se relacionan a continuación:</w:t>
      </w:r>
    </w:p>
    <w:p w:rsidR="00100DED" w:rsidRPr="00A21B5C" w:rsidRDefault="00100DED">
      <w:pPr>
        <w:rPr>
          <w:rFonts w:ascii="Arial" w:hAnsi="Arial" w:cs="Arial"/>
          <w:sz w:val="22"/>
          <w:szCs w:val="22"/>
          <w:lang w:val="es-CO"/>
        </w:rPr>
      </w:pPr>
    </w:p>
    <w:p w:rsidR="00202861" w:rsidRPr="00A21B5C" w:rsidRDefault="00202861" w:rsidP="00A21B5C">
      <w:pPr>
        <w:contextualSpacing/>
        <w:jc w:val="both"/>
        <w:rPr>
          <w:rFonts w:ascii="Arial" w:hAnsi="Arial" w:cs="Arial"/>
          <w:sz w:val="22"/>
          <w:szCs w:val="22"/>
          <w:lang w:val="es-CO"/>
        </w:rPr>
      </w:pPr>
    </w:p>
    <w:tbl>
      <w:tblPr>
        <w:tblStyle w:val="Tablaconcuadrcula"/>
        <w:tblW w:w="10065" w:type="dxa"/>
        <w:tblInd w:w="-572" w:type="dxa"/>
        <w:tblLook w:val="04A0" w:firstRow="1" w:lastRow="0" w:firstColumn="1" w:lastColumn="0" w:noHBand="0" w:noVBand="1"/>
      </w:tblPr>
      <w:tblGrid>
        <w:gridCol w:w="2552"/>
        <w:gridCol w:w="2977"/>
        <w:gridCol w:w="2551"/>
        <w:gridCol w:w="1985"/>
      </w:tblGrid>
      <w:tr w:rsidR="00485382" w:rsidRPr="00A21B5C" w:rsidTr="00FE62D5">
        <w:tc>
          <w:tcPr>
            <w:tcW w:w="2552" w:type="dxa"/>
            <w:tcBorders>
              <w:top w:val="single" w:sz="4" w:space="0" w:color="auto"/>
              <w:left w:val="single" w:sz="4" w:space="0" w:color="auto"/>
              <w:bottom w:val="single" w:sz="4" w:space="0" w:color="auto"/>
              <w:right w:val="single" w:sz="4" w:space="0" w:color="auto"/>
            </w:tcBorders>
            <w:shd w:val="clear" w:color="auto" w:fill="215868" w:themeFill="accent5" w:themeFillShade="80"/>
            <w:vAlign w:val="center"/>
            <w:hideMark/>
          </w:tcPr>
          <w:p w:rsidR="00202861" w:rsidRPr="00A21B5C" w:rsidRDefault="00202861" w:rsidP="00A21B5C">
            <w:pPr>
              <w:contextualSpacing/>
              <w:jc w:val="center"/>
              <w:rPr>
                <w:rFonts w:ascii="Arial" w:hAnsi="Arial" w:cs="Arial"/>
                <w:b/>
                <w:color w:val="FFFFFF" w:themeColor="background1"/>
                <w:sz w:val="22"/>
                <w:szCs w:val="22"/>
                <w:lang w:val="es-CO"/>
              </w:rPr>
            </w:pPr>
            <w:r w:rsidRPr="00A21B5C">
              <w:rPr>
                <w:rFonts w:ascii="Arial" w:hAnsi="Arial" w:cs="Arial"/>
                <w:b/>
                <w:color w:val="FFFFFF" w:themeColor="background1"/>
                <w:sz w:val="22"/>
                <w:szCs w:val="22"/>
                <w:lang w:val="es-CO"/>
              </w:rPr>
              <w:t>Contrato</w:t>
            </w:r>
          </w:p>
        </w:tc>
        <w:tc>
          <w:tcPr>
            <w:tcW w:w="2977" w:type="dxa"/>
            <w:tcBorders>
              <w:top w:val="single" w:sz="4" w:space="0" w:color="auto"/>
              <w:left w:val="single" w:sz="4" w:space="0" w:color="auto"/>
              <w:bottom w:val="single" w:sz="4" w:space="0" w:color="auto"/>
              <w:right w:val="single" w:sz="4" w:space="0" w:color="auto"/>
            </w:tcBorders>
            <w:shd w:val="clear" w:color="auto" w:fill="215868" w:themeFill="accent5" w:themeFillShade="80"/>
            <w:vAlign w:val="center"/>
            <w:hideMark/>
          </w:tcPr>
          <w:p w:rsidR="00202861" w:rsidRPr="00A21B5C" w:rsidRDefault="00202861" w:rsidP="00A21B5C">
            <w:pPr>
              <w:contextualSpacing/>
              <w:jc w:val="center"/>
              <w:rPr>
                <w:rFonts w:ascii="Arial" w:hAnsi="Arial" w:cs="Arial"/>
                <w:b/>
                <w:color w:val="FFFFFF" w:themeColor="background1"/>
                <w:sz w:val="22"/>
                <w:szCs w:val="22"/>
                <w:lang w:val="es-CO"/>
              </w:rPr>
            </w:pPr>
            <w:r w:rsidRPr="00A21B5C">
              <w:rPr>
                <w:rFonts w:ascii="Arial" w:hAnsi="Arial" w:cs="Arial"/>
                <w:b/>
                <w:color w:val="FFFFFF" w:themeColor="background1"/>
                <w:sz w:val="22"/>
                <w:szCs w:val="22"/>
                <w:lang w:val="es-CO"/>
              </w:rPr>
              <w:t>Contratista</w:t>
            </w:r>
          </w:p>
        </w:tc>
        <w:tc>
          <w:tcPr>
            <w:tcW w:w="2551" w:type="dxa"/>
            <w:tcBorders>
              <w:top w:val="single" w:sz="4" w:space="0" w:color="auto"/>
              <w:left w:val="single" w:sz="4" w:space="0" w:color="auto"/>
              <w:bottom w:val="single" w:sz="4" w:space="0" w:color="auto"/>
              <w:right w:val="single" w:sz="4" w:space="0" w:color="auto"/>
            </w:tcBorders>
            <w:shd w:val="clear" w:color="auto" w:fill="215868" w:themeFill="accent5" w:themeFillShade="80"/>
            <w:vAlign w:val="center"/>
            <w:hideMark/>
          </w:tcPr>
          <w:p w:rsidR="00202861" w:rsidRPr="00A21B5C" w:rsidRDefault="00202861" w:rsidP="00A21B5C">
            <w:pPr>
              <w:contextualSpacing/>
              <w:jc w:val="center"/>
              <w:rPr>
                <w:rFonts w:ascii="Arial" w:hAnsi="Arial" w:cs="Arial"/>
                <w:b/>
                <w:color w:val="FFFFFF" w:themeColor="background1"/>
                <w:sz w:val="22"/>
                <w:szCs w:val="22"/>
                <w:lang w:val="es-CO"/>
              </w:rPr>
            </w:pPr>
            <w:r w:rsidRPr="00A21B5C">
              <w:rPr>
                <w:rFonts w:ascii="Arial" w:hAnsi="Arial" w:cs="Arial"/>
                <w:b/>
                <w:color w:val="FFFFFF" w:themeColor="background1"/>
                <w:sz w:val="22"/>
                <w:szCs w:val="22"/>
                <w:lang w:val="es-CO"/>
              </w:rPr>
              <w:t>Objeto</w:t>
            </w:r>
          </w:p>
        </w:tc>
        <w:tc>
          <w:tcPr>
            <w:tcW w:w="1985" w:type="dxa"/>
            <w:tcBorders>
              <w:top w:val="single" w:sz="4" w:space="0" w:color="auto"/>
              <w:left w:val="single" w:sz="4" w:space="0" w:color="auto"/>
              <w:bottom w:val="single" w:sz="4" w:space="0" w:color="auto"/>
              <w:right w:val="single" w:sz="4" w:space="0" w:color="auto"/>
            </w:tcBorders>
            <w:shd w:val="clear" w:color="auto" w:fill="215868" w:themeFill="accent5" w:themeFillShade="80"/>
            <w:vAlign w:val="center"/>
            <w:hideMark/>
          </w:tcPr>
          <w:p w:rsidR="00202861" w:rsidRPr="00A21B5C" w:rsidRDefault="00202861" w:rsidP="00A21B5C">
            <w:pPr>
              <w:contextualSpacing/>
              <w:jc w:val="center"/>
              <w:rPr>
                <w:rFonts w:ascii="Arial" w:hAnsi="Arial" w:cs="Arial"/>
                <w:b/>
                <w:color w:val="FFFFFF" w:themeColor="background1"/>
                <w:sz w:val="22"/>
                <w:szCs w:val="22"/>
                <w:lang w:val="es-CO"/>
              </w:rPr>
            </w:pPr>
            <w:r w:rsidRPr="00A21B5C">
              <w:rPr>
                <w:rFonts w:ascii="Arial" w:hAnsi="Arial" w:cs="Arial"/>
                <w:b/>
                <w:color w:val="FFFFFF" w:themeColor="background1"/>
                <w:sz w:val="22"/>
                <w:szCs w:val="22"/>
                <w:lang w:val="es-CO"/>
              </w:rPr>
              <w:t>Valor</w:t>
            </w:r>
          </w:p>
        </w:tc>
      </w:tr>
      <w:tr w:rsidR="00202861" w:rsidRPr="00A21B5C" w:rsidTr="00A96D69">
        <w:tc>
          <w:tcPr>
            <w:tcW w:w="2552" w:type="dxa"/>
            <w:tcBorders>
              <w:top w:val="single" w:sz="4" w:space="0" w:color="auto"/>
              <w:left w:val="single" w:sz="4" w:space="0" w:color="auto"/>
              <w:bottom w:val="dashSmallGap" w:sz="2" w:space="0" w:color="808080" w:themeColor="background1" w:themeShade="80"/>
              <w:right w:val="single" w:sz="4" w:space="0" w:color="auto"/>
            </w:tcBorders>
            <w:vAlign w:val="center"/>
            <w:hideMark/>
          </w:tcPr>
          <w:p w:rsidR="00202861" w:rsidRPr="00A21B5C" w:rsidRDefault="00202861" w:rsidP="00A21B5C">
            <w:pPr>
              <w:contextualSpacing/>
              <w:jc w:val="center"/>
              <w:rPr>
                <w:rFonts w:ascii="Arial" w:hAnsi="Arial" w:cs="Arial"/>
                <w:sz w:val="20"/>
                <w:szCs w:val="20"/>
                <w:lang w:val="es-CO"/>
              </w:rPr>
            </w:pPr>
            <w:r w:rsidRPr="00A21B5C">
              <w:rPr>
                <w:rFonts w:ascii="Arial" w:hAnsi="Arial" w:cs="Arial"/>
                <w:sz w:val="20"/>
                <w:szCs w:val="20"/>
                <w:lang w:val="es-CO"/>
              </w:rPr>
              <w:t>Compraventa N° 004 de 2017</w:t>
            </w:r>
          </w:p>
        </w:tc>
        <w:tc>
          <w:tcPr>
            <w:tcW w:w="2977" w:type="dxa"/>
            <w:tcBorders>
              <w:top w:val="single" w:sz="4" w:space="0" w:color="auto"/>
              <w:left w:val="single" w:sz="4" w:space="0" w:color="auto"/>
              <w:bottom w:val="dashSmallGap" w:sz="2" w:space="0" w:color="808080" w:themeColor="background1" w:themeShade="80"/>
              <w:right w:val="single" w:sz="4" w:space="0" w:color="auto"/>
            </w:tcBorders>
            <w:vAlign w:val="center"/>
            <w:hideMark/>
          </w:tcPr>
          <w:p w:rsidR="00202861" w:rsidRPr="00A21B5C" w:rsidRDefault="00202861" w:rsidP="00A21B5C">
            <w:pPr>
              <w:contextualSpacing/>
              <w:jc w:val="center"/>
              <w:rPr>
                <w:rFonts w:ascii="Arial" w:hAnsi="Arial" w:cs="Arial"/>
                <w:sz w:val="20"/>
                <w:szCs w:val="20"/>
                <w:lang w:val="es-CO"/>
              </w:rPr>
            </w:pPr>
            <w:r w:rsidRPr="00A21B5C">
              <w:rPr>
                <w:rFonts w:ascii="Arial" w:hAnsi="Arial" w:cs="Arial"/>
                <w:sz w:val="20"/>
                <w:szCs w:val="20"/>
                <w:lang w:val="es-CO"/>
              </w:rPr>
              <w:t>David Manuel Flórez Polo</w:t>
            </w:r>
          </w:p>
        </w:tc>
        <w:tc>
          <w:tcPr>
            <w:tcW w:w="2551" w:type="dxa"/>
            <w:tcBorders>
              <w:top w:val="single" w:sz="4" w:space="0" w:color="auto"/>
              <w:left w:val="single" w:sz="4" w:space="0" w:color="auto"/>
              <w:bottom w:val="dashSmallGap" w:sz="2" w:space="0" w:color="808080" w:themeColor="background1" w:themeShade="80"/>
              <w:right w:val="single" w:sz="4" w:space="0" w:color="auto"/>
            </w:tcBorders>
            <w:vAlign w:val="center"/>
            <w:hideMark/>
          </w:tcPr>
          <w:p w:rsidR="00202861" w:rsidRPr="00A21B5C" w:rsidRDefault="00202861" w:rsidP="00A21B5C">
            <w:pPr>
              <w:contextualSpacing/>
              <w:jc w:val="both"/>
              <w:rPr>
                <w:rFonts w:ascii="Arial" w:hAnsi="Arial" w:cs="Arial"/>
                <w:sz w:val="20"/>
                <w:szCs w:val="20"/>
                <w:lang w:val="es-CO"/>
              </w:rPr>
            </w:pPr>
            <w:r w:rsidRPr="00A21B5C">
              <w:rPr>
                <w:rFonts w:ascii="Arial" w:hAnsi="Arial" w:cs="Arial"/>
                <w:sz w:val="20"/>
                <w:szCs w:val="20"/>
                <w:lang w:val="es-CO"/>
              </w:rPr>
              <w:t>Adquisición a título de compraventa de la mejora “</w:t>
            </w:r>
            <w:r w:rsidR="00100DED" w:rsidRPr="00A21B5C">
              <w:rPr>
                <w:rFonts w:ascii="Arial" w:hAnsi="Arial" w:cs="Arial"/>
                <w:sz w:val="20"/>
                <w:szCs w:val="20"/>
                <w:lang w:val="es-CO"/>
              </w:rPr>
              <w:t>Jerusalén</w:t>
            </w:r>
            <w:r w:rsidRPr="00A21B5C">
              <w:rPr>
                <w:rFonts w:ascii="Arial" w:hAnsi="Arial" w:cs="Arial"/>
                <w:sz w:val="20"/>
                <w:szCs w:val="20"/>
                <w:lang w:val="es-CO"/>
              </w:rPr>
              <w:t xml:space="preserve"> I”</w:t>
            </w:r>
          </w:p>
        </w:tc>
        <w:tc>
          <w:tcPr>
            <w:tcW w:w="1985" w:type="dxa"/>
            <w:tcBorders>
              <w:top w:val="single" w:sz="4" w:space="0" w:color="auto"/>
              <w:left w:val="single" w:sz="4" w:space="0" w:color="auto"/>
              <w:bottom w:val="dashSmallGap" w:sz="2" w:space="0" w:color="808080" w:themeColor="background1" w:themeShade="80"/>
              <w:right w:val="single" w:sz="4" w:space="0" w:color="auto"/>
            </w:tcBorders>
            <w:vAlign w:val="center"/>
            <w:hideMark/>
          </w:tcPr>
          <w:p w:rsidR="00202861" w:rsidRPr="00A21B5C" w:rsidRDefault="00202861" w:rsidP="00A21B5C">
            <w:pPr>
              <w:contextualSpacing/>
              <w:jc w:val="center"/>
              <w:rPr>
                <w:rFonts w:ascii="Arial" w:hAnsi="Arial" w:cs="Arial"/>
                <w:sz w:val="20"/>
                <w:szCs w:val="20"/>
                <w:lang w:val="es-CO"/>
              </w:rPr>
            </w:pPr>
            <w:r w:rsidRPr="00A21B5C">
              <w:rPr>
                <w:rFonts w:ascii="Arial" w:hAnsi="Arial" w:cs="Arial"/>
                <w:sz w:val="20"/>
                <w:szCs w:val="20"/>
                <w:lang w:val="es-CO"/>
              </w:rPr>
              <w:t>$306.247.656</w:t>
            </w:r>
          </w:p>
        </w:tc>
      </w:tr>
      <w:tr w:rsidR="00202861" w:rsidRPr="00A21B5C" w:rsidTr="00A96D69">
        <w:tc>
          <w:tcPr>
            <w:tcW w:w="2552" w:type="dxa"/>
            <w:tcBorders>
              <w:top w:val="dashSmallGap" w:sz="2" w:space="0" w:color="808080" w:themeColor="background1" w:themeShade="80"/>
              <w:left w:val="single" w:sz="4" w:space="0" w:color="auto"/>
              <w:bottom w:val="dashSmallGap" w:sz="2" w:space="0" w:color="808080" w:themeColor="background1" w:themeShade="80"/>
              <w:right w:val="single" w:sz="4" w:space="0" w:color="auto"/>
            </w:tcBorders>
            <w:vAlign w:val="center"/>
            <w:hideMark/>
          </w:tcPr>
          <w:p w:rsidR="00202861" w:rsidRPr="00A21B5C" w:rsidRDefault="00202861" w:rsidP="00A21B5C">
            <w:pPr>
              <w:contextualSpacing/>
              <w:jc w:val="center"/>
              <w:rPr>
                <w:rFonts w:ascii="Arial" w:hAnsi="Arial" w:cs="Arial"/>
                <w:sz w:val="20"/>
                <w:szCs w:val="20"/>
                <w:lang w:val="es-CO"/>
              </w:rPr>
            </w:pPr>
            <w:r w:rsidRPr="00A21B5C">
              <w:rPr>
                <w:rFonts w:ascii="Arial" w:hAnsi="Arial" w:cs="Arial"/>
                <w:sz w:val="20"/>
                <w:szCs w:val="20"/>
                <w:lang w:val="es-CO"/>
              </w:rPr>
              <w:t>Compraventa N° 009 de 2017</w:t>
            </w:r>
          </w:p>
        </w:tc>
        <w:tc>
          <w:tcPr>
            <w:tcW w:w="2977" w:type="dxa"/>
            <w:tcBorders>
              <w:top w:val="dashSmallGap" w:sz="2" w:space="0" w:color="808080" w:themeColor="background1" w:themeShade="80"/>
              <w:left w:val="single" w:sz="4" w:space="0" w:color="auto"/>
              <w:bottom w:val="dashSmallGap" w:sz="2" w:space="0" w:color="808080" w:themeColor="background1" w:themeShade="80"/>
              <w:right w:val="single" w:sz="4" w:space="0" w:color="auto"/>
            </w:tcBorders>
            <w:vAlign w:val="center"/>
            <w:hideMark/>
          </w:tcPr>
          <w:p w:rsidR="00202861" w:rsidRPr="00A21B5C" w:rsidRDefault="00202861" w:rsidP="00A21B5C">
            <w:pPr>
              <w:contextualSpacing/>
              <w:jc w:val="center"/>
              <w:rPr>
                <w:rFonts w:ascii="Arial" w:hAnsi="Arial" w:cs="Arial"/>
                <w:sz w:val="20"/>
                <w:szCs w:val="20"/>
                <w:lang w:val="es-CO"/>
              </w:rPr>
            </w:pPr>
            <w:r w:rsidRPr="00A21B5C">
              <w:rPr>
                <w:rFonts w:ascii="Arial" w:hAnsi="Arial" w:cs="Arial"/>
                <w:sz w:val="20"/>
                <w:szCs w:val="20"/>
                <w:lang w:val="es-CO"/>
              </w:rPr>
              <w:t>Luis Camilo Valdeblanquez Mena</w:t>
            </w:r>
          </w:p>
        </w:tc>
        <w:tc>
          <w:tcPr>
            <w:tcW w:w="2551" w:type="dxa"/>
            <w:tcBorders>
              <w:top w:val="dashSmallGap" w:sz="2" w:space="0" w:color="808080" w:themeColor="background1" w:themeShade="80"/>
              <w:left w:val="single" w:sz="4" w:space="0" w:color="auto"/>
              <w:bottom w:val="dashSmallGap" w:sz="2" w:space="0" w:color="808080" w:themeColor="background1" w:themeShade="80"/>
              <w:right w:val="single" w:sz="4" w:space="0" w:color="auto"/>
            </w:tcBorders>
            <w:vAlign w:val="center"/>
            <w:hideMark/>
          </w:tcPr>
          <w:p w:rsidR="00202861" w:rsidRPr="00A21B5C" w:rsidRDefault="00202861" w:rsidP="00A21B5C">
            <w:pPr>
              <w:contextualSpacing/>
              <w:jc w:val="both"/>
              <w:rPr>
                <w:rFonts w:ascii="Arial" w:hAnsi="Arial" w:cs="Arial"/>
                <w:sz w:val="20"/>
                <w:szCs w:val="20"/>
                <w:lang w:val="es-CO"/>
              </w:rPr>
            </w:pPr>
            <w:r w:rsidRPr="00A21B5C">
              <w:rPr>
                <w:rFonts w:ascii="Arial" w:hAnsi="Arial" w:cs="Arial"/>
                <w:sz w:val="20"/>
                <w:szCs w:val="20"/>
                <w:lang w:val="es-CO"/>
              </w:rPr>
              <w:t xml:space="preserve">Adquisición a título de compraventa la mejora rural </w:t>
            </w:r>
            <w:r w:rsidRPr="00A21B5C">
              <w:rPr>
                <w:rFonts w:ascii="Arial" w:hAnsi="Arial" w:cs="Arial"/>
                <w:i/>
                <w:sz w:val="20"/>
                <w:szCs w:val="20"/>
                <w:lang w:val="es-CO"/>
              </w:rPr>
              <w:t>“El Guasimito”</w:t>
            </w:r>
          </w:p>
        </w:tc>
        <w:tc>
          <w:tcPr>
            <w:tcW w:w="1985" w:type="dxa"/>
            <w:tcBorders>
              <w:top w:val="dashSmallGap" w:sz="2" w:space="0" w:color="808080" w:themeColor="background1" w:themeShade="80"/>
              <w:left w:val="single" w:sz="4" w:space="0" w:color="auto"/>
              <w:bottom w:val="dashSmallGap" w:sz="2" w:space="0" w:color="808080" w:themeColor="background1" w:themeShade="80"/>
              <w:right w:val="single" w:sz="4" w:space="0" w:color="auto"/>
            </w:tcBorders>
            <w:vAlign w:val="center"/>
            <w:hideMark/>
          </w:tcPr>
          <w:p w:rsidR="00202861" w:rsidRPr="00A21B5C" w:rsidRDefault="00202861" w:rsidP="00A21B5C">
            <w:pPr>
              <w:contextualSpacing/>
              <w:jc w:val="center"/>
              <w:rPr>
                <w:rFonts w:ascii="Arial" w:hAnsi="Arial" w:cs="Arial"/>
                <w:sz w:val="20"/>
                <w:szCs w:val="20"/>
                <w:lang w:val="es-CO"/>
              </w:rPr>
            </w:pPr>
            <w:r w:rsidRPr="00A21B5C">
              <w:rPr>
                <w:rFonts w:ascii="Arial" w:hAnsi="Arial" w:cs="Arial"/>
                <w:sz w:val="20"/>
                <w:szCs w:val="20"/>
                <w:lang w:val="es-CO"/>
              </w:rPr>
              <w:t>$168.752.576</w:t>
            </w:r>
          </w:p>
        </w:tc>
      </w:tr>
      <w:tr w:rsidR="00202861" w:rsidRPr="00A21B5C" w:rsidTr="00A96D69">
        <w:tc>
          <w:tcPr>
            <w:tcW w:w="2552" w:type="dxa"/>
            <w:tcBorders>
              <w:top w:val="dashSmallGap" w:sz="2" w:space="0" w:color="808080" w:themeColor="background1" w:themeShade="80"/>
              <w:left w:val="single" w:sz="4" w:space="0" w:color="auto"/>
              <w:bottom w:val="dashSmallGap" w:sz="2" w:space="0" w:color="808080" w:themeColor="background1" w:themeShade="80"/>
              <w:right w:val="single" w:sz="4" w:space="0" w:color="auto"/>
            </w:tcBorders>
            <w:vAlign w:val="center"/>
            <w:hideMark/>
          </w:tcPr>
          <w:p w:rsidR="00202861" w:rsidRPr="00A21B5C" w:rsidRDefault="00202861" w:rsidP="00A21B5C">
            <w:pPr>
              <w:contextualSpacing/>
              <w:jc w:val="center"/>
              <w:rPr>
                <w:rFonts w:ascii="Arial" w:hAnsi="Arial" w:cs="Arial"/>
                <w:sz w:val="20"/>
                <w:szCs w:val="20"/>
                <w:lang w:val="es-CO"/>
              </w:rPr>
            </w:pPr>
            <w:r w:rsidRPr="00A21B5C">
              <w:rPr>
                <w:rFonts w:ascii="Arial" w:hAnsi="Arial" w:cs="Arial"/>
                <w:sz w:val="20"/>
                <w:szCs w:val="20"/>
                <w:lang w:val="es-CO"/>
              </w:rPr>
              <w:t>Compraventa  N° 010 de 2017</w:t>
            </w:r>
          </w:p>
        </w:tc>
        <w:tc>
          <w:tcPr>
            <w:tcW w:w="2977" w:type="dxa"/>
            <w:tcBorders>
              <w:top w:val="dashSmallGap" w:sz="2" w:space="0" w:color="808080" w:themeColor="background1" w:themeShade="80"/>
              <w:left w:val="single" w:sz="4" w:space="0" w:color="auto"/>
              <w:bottom w:val="dashSmallGap" w:sz="2" w:space="0" w:color="808080" w:themeColor="background1" w:themeShade="80"/>
              <w:right w:val="single" w:sz="4" w:space="0" w:color="auto"/>
            </w:tcBorders>
            <w:vAlign w:val="center"/>
            <w:hideMark/>
          </w:tcPr>
          <w:p w:rsidR="00202861" w:rsidRPr="00A21B5C" w:rsidRDefault="00202861" w:rsidP="00A21B5C">
            <w:pPr>
              <w:contextualSpacing/>
              <w:jc w:val="center"/>
              <w:rPr>
                <w:rFonts w:ascii="Arial" w:hAnsi="Arial" w:cs="Arial"/>
                <w:sz w:val="20"/>
                <w:szCs w:val="20"/>
                <w:lang w:val="es-CO"/>
              </w:rPr>
            </w:pPr>
            <w:r w:rsidRPr="00A21B5C">
              <w:rPr>
                <w:rFonts w:ascii="Arial" w:hAnsi="Arial" w:cs="Arial"/>
                <w:sz w:val="20"/>
                <w:szCs w:val="20"/>
                <w:lang w:val="es-CO"/>
              </w:rPr>
              <w:t>Luis Camilo Valdeblanquez Mena</w:t>
            </w:r>
          </w:p>
        </w:tc>
        <w:tc>
          <w:tcPr>
            <w:tcW w:w="2551" w:type="dxa"/>
            <w:tcBorders>
              <w:top w:val="dashSmallGap" w:sz="2" w:space="0" w:color="808080" w:themeColor="background1" w:themeShade="80"/>
              <w:left w:val="single" w:sz="4" w:space="0" w:color="auto"/>
              <w:bottom w:val="dashSmallGap" w:sz="2" w:space="0" w:color="808080" w:themeColor="background1" w:themeShade="80"/>
              <w:right w:val="single" w:sz="4" w:space="0" w:color="auto"/>
            </w:tcBorders>
            <w:vAlign w:val="center"/>
            <w:hideMark/>
          </w:tcPr>
          <w:p w:rsidR="00202861" w:rsidRPr="00A21B5C" w:rsidRDefault="00202861" w:rsidP="00A21B5C">
            <w:pPr>
              <w:contextualSpacing/>
              <w:jc w:val="both"/>
              <w:rPr>
                <w:rFonts w:ascii="Arial" w:hAnsi="Arial" w:cs="Arial"/>
                <w:sz w:val="20"/>
                <w:szCs w:val="20"/>
                <w:lang w:val="es-CO"/>
              </w:rPr>
            </w:pPr>
            <w:r w:rsidRPr="00A21B5C">
              <w:rPr>
                <w:rFonts w:ascii="Arial" w:hAnsi="Arial" w:cs="Arial"/>
                <w:sz w:val="20"/>
                <w:szCs w:val="20"/>
                <w:lang w:val="es-CO"/>
              </w:rPr>
              <w:t xml:space="preserve">Adquisición a título de compraventa del predio </w:t>
            </w:r>
            <w:r w:rsidRPr="00A21B5C">
              <w:rPr>
                <w:rFonts w:ascii="Arial" w:hAnsi="Arial" w:cs="Arial"/>
                <w:i/>
                <w:sz w:val="20"/>
                <w:szCs w:val="20"/>
                <w:lang w:val="es-CO"/>
              </w:rPr>
              <w:t>“La Estrella”</w:t>
            </w:r>
          </w:p>
        </w:tc>
        <w:tc>
          <w:tcPr>
            <w:tcW w:w="1985" w:type="dxa"/>
            <w:tcBorders>
              <w:top w:val="dashSmallGap" w:sz="2" w:space="0" w:color="808080" w:themeColor="background1" w:themeShade="80"/>
              <w:left w:val="single" w:sz="4" w:space="0" w:color="auto"/>
              <w:bottom w:val="dashSmallGap" w:sz="2" w:space="0" w:color="808080" w:themeColor="background1" w:themeShade="80"/>
              <w:right w:val="single" w:sz="4" w:space="0" w:color="auto"/>
            </w:tcBorders>
            <w:vAlign w:val="center"/>
            <w:hideMark/>
          </w:tcPr>
          <w:p w:rsidR="00202861" w:rsidRPr="00A21B5C" w:rsidRDefault="00202861" w:rsidP="00A21B5C">
            <w:pPr>
              <w:contextualSpacing/>
              <w:jc w:val="center"/>
              <w:rPr>
                <w:rFonts w:ascii="Arial" w:hAnsi="Arial" w:cs="Arial"/>
                <w:sz w:val="20"/>
                <w:szCs w:val="20"/>
                <w:lang w:val="es-CO"/>
              </w:rPr>
            </w:pPr>
            <w:r w:rsidRPr="00A21B5C">
              <w:rPr>
                <w:rFonts w:ascii="Arial" w:hAnsi="Arial" w:cs="Arial"/>
                <w:sz w:val="20"/>
                <w:szCs w:val="20"/>
                <w:lang w:val="es-CO"/>
              </w:rPr>
              <w:t>$316.139.284</w:t>
            </w:r>
          </w:p>
        </w:tc>
      </w:tr>
      <w:tr w:rsidR="00202861" w:rsidRPr="00A21B5C" w:rsidTr="00A96D69">
        <w:tc>
          <w:tcPr>
            <w:tcW w:w="2552" w:type="dxa"/>
            <w:tcBorders>
              <w:top w:val="dashSmallGap" w:sz="2" w:space="0" w:color="808080" w:themeColor="background1" w:themeShade="80"/>
              <w:left w:val="single" w:sz="4" w:space="0" w:color="auto"/>
              <w:bottom w:val="dashSmallGap" w:sz="2" w:space="0" w:color="808080" w:themeColor="background1" w:themeShade="80"/>
              <w:right w:val="single" w:sz="4" w:space="0" w:color="auto"/>
            </w:tcBorders>
            <w:vAlign w:val="center"/>
            <w:hideMark/>
          </w:tcPr>
          <w:p w:rsidR="00202861" w:rsidRPr="00A21B5C" w:rsidRDefault="00202861" w:rsidP="00A21B5C">
            <w:pPr>
              <w:contextualSpacing/>
              <w:jc w:val="center"/>
              <w:rPr>
                <w:rFonts w:ascii="Arial" w:hAnsi="Arial" w:cs="Arial"/>
                <w:sz w:val="20"/>
                <w:szCs w:val="20"/>
                <w:lang w:val="es-CO"/>
              </w:rPr>
            </w:pPr>
            <w:r w:rsidRPr="00A21B5C">
              <w:rPr>
                <w:rFonts w:ascii="Arial" w:hAnsi="Arial" w:cs="Arial"/>
                <w:sz w:val="20"/>
                <w:szCs w:val="20"/>
                <w:lang w:val="es-CO"/>
              </w:rPr>
              <w:t>Compraventa N° 002 de 2018</w:t>
            </w:r>
          </w:p>
        </w:tc>
        <w:tc>
          <w:tcPr>
            <w:tcW w:w="2977" w:type="dxa"/>
            <w:tcBorders>
              <w:top w:val="dashSmallGap" w:sz="2" w:space="0" w:color="808080" w:themeColor="background1" w:themeShade="80"/>
              <w:left w:val="single" w:sz="4" w:space="0" w:color="auto"/>
              <w:bottom w:val="dashSmallGap" w:sz="2" w:space="0" w:color="808080" w:themeColor="background1" w:themeShade="80"/>
              <w:right w:val="single" w:sz="4" w:space="0" w:color="auto"/>
            </w:tcBorders>
            <w:vAlign w:val="center"/>
            <w:hideMark/>
          </w:tcPr>
          <w:p w:rsidR="00202861" w:rsidRPr="00A21B5C" w:rsidRDefault="00202861" w:rsidP="00A21B5C">
            <w:pPr>
              <w:contextualSpacing/>
              <w:jc w:val="center"/>
              <w:rPr>
                <w:rFonts w:ascii="Arial" w:hAnsi="Arial" w:cs="Arial"/>
                <w:sz w:val="20"/>
                <w:szCs w:val="20"/>
                <w:lang w:val="es-CO"/>
              </w:rPr>
            </w:pPr>
            <w:r w:rsidRPr="00A21B5C">
              <w:rPr>
                <w:rFonts w:ascii="Arial" w:hAnsi="Arial" w:cs="Arial"/>
                <w:sz w:val="20"/>
                <w:szCs w:val="20"/>
                <w:lang w:val="es-CO"/>
              </w:rPr>
              <w:t>José Domingo Barandica Amaris</w:t>
            </w:r>
          </w:p>
        </w:tc>
        <w:tc>
          <w:tcPr>
            <w:tcW w:w="2551" w:type="dxa"/>
            <w:tcBorders>
              <w:top w:val="dashSmallGap" w:sz="2" w:space="0" w:color="808080" w:themeColor="background1" w:themeShade="80"/>
              <w:left w:val="single" w:sz="4" w:space="0" w:color="auto"/>
              <w:bottom w:val="dashSmallGap" w:sz="2" w:space="0" w:color="808080" w:themeColor="background1" w:themeShade="80"/>
              <w:right w:val="single" w:sz="4" w:space="0" w:color="auto"/>
            </w:tcBorders>
            <w:vAlign w:val="center"/>
            <w:hideMark/>
          </w:tcPr>
          <w:p w:rsidR="00202861" w:rsidRPr="00A21B5C" w:rsidRDefault="00202861" w:rsidP="00A21B5C">
            <w:pPr>
              <w:contextualSpacing/>
              <w:jc w:val="both"/>
              <w:rPr>
                <w:rFonts w:ascii="Arial" w:hAnsi="Arial" w:cs="Arial"/>
                <w:sz w:val="20"/>
                <w:szCs w:val="20"/>
                <w:lang w:val="es-CO"/>
              </w:rPr>
            </w:pPr>
            <w:r w:rsidRPr="00A21B5C">
              <w:rPr>
                <w:rFonts w:ascii="Arial" w:hAnsi="Arial" w:cs="Arial"/>
                <w:sz w:val="20"/>
                <w:szCs w:val="20"/>
                <w:lang w:val="es-CO"/>
              </w:rPr>
              <w:t xml:space="preserve">Adquisición a título de compraventa de la mejora </w:t>
            </w:r>
            <w:r w:rsidRPr="00A21B5C">
              <w:rPr>
                <w:rFonts w:ascii="Arial" w:hAnsi="Arial" w:cs="Arial"/>
                <w:i/>
                <w:sz w:val="20"/>
                <w:szCs w:val="20"/>
                <w:lang w:val="es-CO"/>
              </w:rPr>
              <w:t>“</w:t>
            </w:r>
            <w:r w:rsidR="00100DED" w:rsidRPr="00A21B5C">
              <w:rPr>
                <w:rFonts w:ascii="Arial" w:hAnsi="Arial" w:cs="Arial"/>
                <w:i/>
                <w:sz w:val="20"/>
                <w:szCs w:val="20"/>
                <w:lang w:val="es-CO"/>
              </w:rPr>
              <w:t>Jerusalén</w:t>
            </w:r>
            <w:r w:rsidRPr="00A21B5C">
              <w:rPr>
                <w:rFonts w:ascii="Arial" w:hAnsi="Arial" w:cs="Arial"/>
                <w:i/>
                <w:sz w:val="20"/>
                <w:szCs w:val="20"/>
                <w:lang w:val="es-CO"/>
              </w:rPr>
              <w:t xml:space="preserve"> II”</w:t>
            </w:r>
          </w:p>
        </w:tc>
        <w:tc>
          <w:tcPr>
            <w:tcW w:w="1985" w:type="dxa"/>
            <w:tcBorders>
              <w:top w:val="dashSmallGap" w:sz="2" w:space="0" w:color="808080" w:themeColor="background1" w:themeShade="80"/>
              <w:left w:val="single" w:sz="4" w:space="0" w:color="auto"/>
              <w:bottom w:val="dashSmallGap" w:sz="2" w:space="0" w:color="808080" w:themeColor="background1" w:themeShade="80"/>
              <w:right w:val="single" w:sz="4" w:space="0" w:color="auto"/>
            </w:tcBorders>
            <w:vAlign w:val="center"/>
            <w:hideMark/>
          </w:tcPr>
          <w:p w:rsidR="00202861" w:rsidRPr="00A21B5C" w:rsidRDefault="00202861" w:rsidP="00A21B5C">
            <w:pPr>
              <w:contextualSpacing/>
              <w:jc w:val="center"/>
              <w:rPr>
                <w:rFonts w:ascii="Arial" w:hAnsi="Arial" w:cs="Arial"/>
                <w:sz w:val="20"/>
                <w:szCs w:val="20"/>
                <w:lang w:val="es-CO"/>
              </w:rPr>
            </w:pPr>
            <w:r w:rsidRPr="00A21B5C">
              <w:rPr>
                <w:rFonts w:ascii="Arial" w:hAnsi="Arial" w:cs="Arial"/>
                <w:sz w:val="20"/>
                <w:szCs w:val="20"/>
                <w:lang w:val="es-CO"/>
              </w:rPr>
              <w:t>$352.587.500</w:t>
            </w:r>
          </w:p>
        </w:tc>
      </w:tr>
      <w:tr w:rsidR="00202861" w:rsidRPr="00A21B5C" w:rsidTr="00A96D69">
        <w:tc>
          <w:tcPr>
            <w:tcW w:w="2552" w:type="dxa"/>
            <w:tcBorders>
              <w:top w:val="dashSmallGap" w:sz="2" w:space="0" w:color="808080" w:themeColor="background1" w:themeShade="80"/>
              <w:left w:val="single" w:sz="4" w:space="0" w:color="auto"/>
              <w:bottom w:val="single" w:sz="4" w:space="0" w:color="auto"/>
              <w:right w:val="single" w:sz="4" w:space="0" w:color="auto"/>
            </w:tcBorders>
            <w:vAlign w:val="center"/>
            <w:hideMark/>
          </w:tcPr>
          <w:p w:rsidR="00202861" w:rsidRPr="00A21B5C" w:rsidRDefault="00202861" w:rsidP="00A21B5C">
            <w:pPr>
              <w:contextualSpacing/>
              <w:jc w:val="center"/>
              <w:rPr>
                <w:rFonts w:ascii="Arial" w:hAnsi="Arial" w:cs="Arial"/>
                <w:sz w:val="20"/>
                <w:szCs w:val="20"/>
                <w:lang w:val="es-CO"/>
              </w:rPr>
            </w:pPr>
            <w:r w:rsidRPr="00A21B5C">
              <w:rPr>
                <w:rFonts w:ascii="Arial" w:hAnsi="Arial" w:cs="Arial"/>
                <w:sz w:val="20"/>
                <w:szCs w:val="20"/>
                <w:lang w:val="es-CO"/>
              </w:rPr>
              <w:t>Compraventa N</w:t>
            </w:r>
            <w:r w:rsidR="003876D0" w:rsidRPr="00A21B5C">
              <w:rPr>
                <w:rFonts w:ascii="Arial" w:hAnsi="Arial" w:cs="Arial"/>
                <w:sz w:val="20"/>
                <w:szCs w:val="20"/>
                <w:lang w:val="es-CO"/>
              </w:rPr>
              <w:t xml:space="preserve">° </w:t>
            </w:r>
            <w:r w:rsidRPr="00A21B5C">
              <w:rPr>
                <w:rFonts w:ascii="Arial" w:hAnsi="Arial" w:cs="Arial"/>
                <w:sz w:val="20"/>
                <w:szCs w:val="20"/>
                <w:lang w:val="es-CO"/>
              </w:rPr>
              <w:t>001 de 2019</w:t>
            </w:r>
          </w:p>
        </w:tc>
        <w:tc>
          <w:tcPr>
            <w:tcW w:w="2977" w:type="dxa"/>
            <w:tcBorders>
              <w:top w:val="dashSmallGap" w:sz="2" w:space="0" w:color="808080" w:themeColor="background1" w:themeShade="80"/>
              <w:left w:val="single" w:sz="4" w:space="0" w:color="auto"/>
              <w:bottom w:val="single" w:sz="4" w:space="0" w:color="auto"/>
              <w:right w:val="single" w:sz="4" w:space="0" w:color="auto"/>
            </w:tcBorders>
            <w:vAlign w:val="center"/>
            <w:hideMark/>
          </w:tcPr>
          <w:p w:rsidR="00202861" w:rsidRPr="00A21B5C" w:rsidRDefault="00202861" w:rsidP="00A21B5C">
            <w:pPr>
              <w:contextualSpacing/>
              <w:jc w:val="center"/>
              <w:rPr>
                <w:rFonts w:ascii="Arial" w:hAnsi="Arial" w:cs="Arial"/>
                <w:sz w:val="20"/>
                <w:szCs w:val="20"/>
                <w:lang w:val="es-CO"/>
              </w:rPr>
            </w:pPr>
            <w:r w:rsidRPr="00A21B5C">
              <w:rPr>
                <w:rFonts w:ascii="Arial" w:hAnsi="Arial" w:cs="Arial"/>
                <w:sz w:val="20"/>
                <w:szCs w:val="20"/>
                <w:lang w:val="es-CO"/>
              </w:rPr>
              <w:t>Yelenis Yiseth Betin Pacheco</w:t>
            </w:r>
          </w:p>
        </w:tc>
        <w:tc>
          <w:tcPr>
            <w:tcW w:w="2551" w:type="dxa"/>
            <w:tcBorders>
              <w:top w:val="dashSmallGap" w:sz="2" w:space="0" w:color="808080" w:themeColor="background1" w:themeShade="80"/>
              <w:left w:val="single" w:sz="4" w:space="0" w:color="auto"/>
              <w:bottom w:val="single" w:sz="4" w:space="0" w:color="auto"/>
              <w:right w:val="single" w:sz="4" w:space="0" w:color="auto"/>
            </w:tcBorders>
            <w:vAlign w:val="center"/>
            <w:hideMark/>
          </w:tcPr>
          <w:p w:rsidR="00202861" w:rsidRPr="00A21B5C" w:rsidRDefault="00202861" w:rsidP="00A21B5C">
            <w:pPr>
              <w:contextualSpacing/>
              <w:jc w:val="both"/>
              <w:rPr>
                <w:rFonts w:ascii="Arial" w:hAnsi="Arial" w:cs="Arial"/>
                <w:sz w:val="20"/>
                <w:szCs w:val="20"/>
                <w:lang w:val="es-CO"/>
              </w:rPr>
            </w:pPr>
            <w:r w:rsidRPr="00A21B5C">
              <w:rPr>
                <w:rFonts w:ascii="Arial" w:hAnsi="Arial" w:cs="Arial"/>
                <w:sz w:val="20"/>
                <w:szCs w:val="20"/>
                <w:lang w:val="es-CO"/>
              </w:rPr>
              <w:t xml:space="preserve">Adquisición a título de compraventa la mejora rural </w:t>
            </w:r>
            <w:r w:rsidRPr="00A21B5C">
              <w:rPr>
                <w:rFonts w:ascii="Arial" w:hAnsi="Arial" w:cs="Arial"/>
                <w:i/>
                <w:sz w:val="20"/>
                <w:szCs w:val="20"/>
                <w:lang w:val="es-CO"/>
              </w:rPr>
              <w:t>“El Paujil”</w:t>
            </w:r>
          </w:p>
        </w:tc>
        <w:tc>
          <w:tcPr>
            <w:tcW w:w="1985" w:type="dxa"/>
            <w:tcBorders>
              <w:top w:val="dashSmallGap" w:sz="2" w:space="0" w:color="808080" w:themeColor="background1" w:themeShade="80"/>
              <w:left w:val="single" w:sz="4" w:space="0" w:color="auto"/>
              <w:bottom w:val="single" w:sz="4" w:space="0" w:color="auto"/>
              <w:right w:val="single" w:sz="4" w:space="0" w:color="auto"/>
            </w:tcBorders>
            <w:vAlign w:val="center"/>
            <w:hideMark/>
          </w:tcPr>
          <w:p w:rsidR="00202861" w:rsidRPr="00A21B5C" w:rsidRDefault="00202861" w:rsidP="00A21B5C">
            <w:pPr>
              <w:contextualSpacing/>
              <w:jc w:val="center"/>
              <w:rPr>
                <w:rFonts w:ascii="Arial" w:hAnsi="Arial" w:cs="Arial"/>
                <w:sz w:val="20"/>
                <w:szCs w:val="20"/>
                <w:lang w:val="es-CO"/>
              </w:rPr>
            </w:pPr>
            <w:r w:rsidRPr="00A21B5C">
              <w:rPr>
                <w:rFonts w:ascii="Arial" w:hAnsi="Arial" w:cs="Arial"/>
                <w:sz w:val="20"/>
                <w:szCs w:val="20"/>
                <w:lang w:val="es-CO"/>
              </w:rPr>
              <w:t>$519.817.750</w:t>
            </w:r>
          </w:p>
        </w:tc>
      </w:tr>
    </w:tbl>
    <w:p w:rsidR="00202861" w:rsidRPr="00A21B5C" w:rsidRDefault="00202861" w:rsidP="00A21B5C">
      <w:pPr>
        <w:contextualSpacing/>
        <w:jc w:val="both"/>
        <w:rPr>
          <w:rFonts w:ascii="Arial" w:hAnsi="Arial" w:cs="Arial"/>
          <w:sz w:val="22"/>
          <w:szCs w:val="22"/>
          <w:lang w:val="es-CO"/>
        </w:rPr>
      </w:pPr>
    </w:p>
    <w:p w:rsidR="00202861" w:rsidRPr="00A21B5C" w:rsidRDefault="00202861">
      <w:pPr>
        <w:pStyle w:val="Prrafodelista"/>
        <w:numPr>
          <w:ilvl w:val="0"/>
          <w:numId w:val="11"/>
        </w:numPr>
        <w:tabs>
          <w:tab w:val="num" w:pos="1985"/>
        </w:tabs>
        <w:ind w:left="851"/>
        <w:jc w:val="both"/>
        <w:rPr>
          <w:rFonts w:ascii="Arial" w:hAnsi="Arial" w:cs="Arial"/>
          <w:iCs/>
          <w:sz w:val="22"/>
          <w:szCs w:val="22"/>
          <w:lang w:val="es-CO"/>
        </w:rPr>
      </w:pPr>
      <w:r w:rsidRPr="00A21B5C">
        <w:rPr>
          <w:rFonts w:ascii="Arial" w:hAnsi="Arial" w:cs="Arial"/>
          <w:iCs/>
          <w:sz w:val="22"/>
          <w:szCs w:val="22"/>
          <w:lang w:val="es-CO"/>
        </w:rPr>
        <w:t>Avalúo</w:t>
      </w:r>
      <w:r w:rsidR="00AA55CF" w:rsidRPr="00A21B5C">
        <w:rPr>
          <w:rFonts w:ascii="Arial" w:hAnsi="Arial" w:cs="Arial"/>
          <w:iCs/>
          <w:sz w:val="22"/>
          <w:szCs w:val="22"/>
          <w:lang w:val="es-CO"/>
        </w:rPr>
        <w:t>.</w:t>
      </w:r>
    </w:p>
    <w:p w:rsidR="00202861" w:rsidRPr="00A21B5C" w:rsidRDefault="00202861" w:rsidP="00A21B5C">
      <w:pPr>
        <w:contextualSpacing/>
        <w:jc w:val="both"/>
        <w:rPr>
          <w:rFonts w:ascii="Arial" w:hAnsi="Arial" w:cs="Arial"/>
          <w:sz w:val="22"/>
          <w:szCs w:val="22"/>
          <w:highlight w:val="yellow"/>
          <w:lang w:val="es-CO"/>
        </w:rPr>
      </w:pPr>
    </w:p>
    <w:p w:rsidR="00202861" w:rsidRPr="00A21B5C" w:rsidRDefault="00202861" w:rsidP="00A21B5C">
      <w:pPr>
        <w:contextualSpacing/>
        <w:jc w:val="both"/>
        <w:rPr>
          <w:rFonts w:ascii="Arial" w:hAnsi="Arial" w:cs="Arial"/>
          <w:sz w:val="22"/>
          <w:szCs w:val="22"/>
          <w:lang w:val="es-CO"/>
        </w:rPr>
      </w:pPr>
      <w:r w:rsidRPr="00A21B5C">
        <w:rPr>
          <w:rFonts w:ascii="Arial" w:hAnsi="Arial" w:cs="Arial"/>
          <w:sz w:val="22"/>
          <w:szCs w:val="22"/>
          <w:lang w:val="es-CO"/>
        </w:rPr>
        <w:t xml:space="preserve">La compra del predio y </w:t>
      </w:r>
      <w:r w:rsidR="00FF47D7" w:rsidRPr="00A21B5C">
        <w:rPr>
          <w:rFonts w:ascii="Arial" w:hAnsi="Arial" w:cs="Arial"/>
          <w:sz w:val="22"/>
          <w:szCs w:val="22"/>
          <w:lang w:val="es-CO"/>
        </w:rPr>
        <w:t xml:space="preserve">las </w:t>
      </w:r>
      <w:r w:rsidRPr="00A21B5C">
        <w:rPr>
          <w:rFonts w:ascii="Arial" w:hAnsi="Arial" w:cs="Arial"/>
          <w:sz w:val="22"/>
          <w:szCs w:val="22"/>
          <w:lang w:val="es-CO"/>
        </w:rPr>
        <w:t>mejoras relacionadas, fueron avalados por el perito Larry Sierra Robles</w:t>
      </w:r>
      <w:r w:rsidR="00B01F47" w:rsidRPr="00A21B5C">
        <w:rPr>
          <w:rFonts w:ascii="Arial" w:hAnsi="Arial" w:cs="Arial"/>
          <w:sz w:val="22"/>
          <w:szCs w:val="22"/>
          <w:lang w:val="es-CO"/>
        </w:rPr>
        <w:t>,</w:t>
      </w:r>
      <w:r w:rsidRPr="00A21B5C">
        <w:rPr>
          <w:rFonts w:ascii="Arial" w:hAnsi="Arial" w:cs="Arial"/>
          <w:sz w:val="22"/>
          <w:szCs w:val="22"/>
          <w:lang w:val="es-CO"/>
        </w:rPr>
        <w:t xml:space="preserve"> el cual realizó visita de campo y emitió informes de avalúo, todos realizados durante el año 2017</w:t>
      </w:r>
      <w:r w:rsidRPr="00A21B5C">
        <w:rPr>
          <w:rStyle w:val="Refdenotaalpie"/>
          <w:rFonts w:ascii="Arial" w:hAnsi="Arial" w:cs="Arial"/>
          <w:sz w:val="22"/>
          <w:szCs w:val="22"/>
          <w:lang w:val="es-CO"/>
        </w:rPr>
        <w:footnoteReference w:id="35"/>
      </w:r>
      <w:r w:rsidRPr="00A21B5C">
        <w:rPr>
          <w:rFonts w:ascii="Arial" w:hAnsi="Arial" w:cs="Arial"/>
          <w:sz w:val="22"/>
          <w:szCs w:val="22"/>
          <w:lang w:val="es-CO"/>
        </w:rPr>
        <w:t>. Los avalúos contemplaron el valor del terreno, cercas, jagüeyes y cultivos, construcciones y anexos, y ascendieron al valor por el cual se suscribieron los Contratos de Compraventa. Llama la atención que los avalúos de las mejoras rurales también contemplaron el avalúo del terreno, aun cuando estas se encuentran dentro del Resguardo Indígena. El perito adjuntó su tarjeta en el Registro Nacional de Avaluadore</w:t>
      </w:r>
      <w:r w:rsidR="00A21B5C" w:rsidRPr="00A21B5C">
        <w:rPr>
          <w:rFonts w:ascii="Arial" w:hAnsi="Arial" w:cs="Arial"/>
          <w:sz w:val="22"/>
          <w:szCs w:val="22"/>
          <w:lang w:val="es-CO"/>
        </w:rPr>
        <w:t>s.</w:t>
      </w:r>
    </w:p>
    <w:p w:rsidR="00202861" w:rsidRPr="00A21B5C" w:rsidRDefault="00202861">
      <w:pPr>
        <w:pStyle w:val="Prrafodelista"/>
        <w:ind w:left="0"/>
        <w:jc w:val="both"/>
        <w:rPr>
          <w:rFonts w:ascii="Arial" w:hAnsi="Arial" w:cs="Arial"/>
          <w:i/>
          <w:sz w:val="22"/>
          <w:szCs w:val="22"/>
          <w:lang w:val="es-CO"/>
        </w:rPr>
      </w:pPr>
    </w:p>
    <w:p w:rsidR="00202861" w:rsidRPr="00A21B5C" w:rsidRDefault="00202861">
      <w:pPr>
        <w:pStyle w:val="Prrafodelista"/>
        <w:numPr>
          <w:ilvl w:val="0"/>
          <w:numId w:val="11"/>
        </w:numPr>
        <w:tabs>
          <w:tab w:val="num" w:pos="1985"/>
        </w:tabs>
        <w:ind w:left="851"/>
        <w:jc w:val="both"/>
        <w:rPr>
          <w:rFonts w:ascii="Arial" w:hAnsi="Arial" w:cs="Arial"/>
          <w:iCs/>
          <w:sz w:val="22"/>
          <w:szCs w:val="22"/>
          <w:lang w:val="es-CO"/>
        </w:rPr>
      </w:pPr>
      <w:r w:rsidRPr="00A21B5C">
        <w:rPr>
          <w:rFonts w:ascii="Arial" w:hAnsi="Arial" w:cs="Arial"/>
          <w:iCs/>
          <w:sz w:val="22"/>
          <w:szCs w:val="22"/>
          <w:lang w:val="es-CO"/>
        </w:rPr>
        <w:t>Acreditación de la pertenencia del título predial de acuerdo con los estudios previos y requerimientos jurídicos para la compra</w:t>
      </w:r>
      <w:r w:rsidR="00AA55CF" w:rsidRPr="00A21B5C">
        <w:rPr>
          <w:rFonts w:ascii="Arial" w:hAnsi="Arial" w:cs="Arial"/>
          <w:iCs/>
          <w:sz w:val="22"/>
          <w:szCs w:val="22"/>
          <w:lang w:val="es-CO"/>
        </w:rPr>
        <w:t>.</w:t>
      </w:r>
    </w:p>
    <w:p w:rsidR="00202861" w:rsidRPr="00A21B5C" w:rsidRDefault="00202861" w:rsidP="00A21B5C">
      <w:pPr>
        <w:contextualSpacing/>
        <w:jc w:val="both"/>
        <w:rPr>
          <w:rFonts w:ascii="Arial" w:hAnsi="Arial" w:cs="Arial"/>
          <w:sz w:val="22"/>
          <w:szCs w:val="22"/>
          <w:lang w:val="es-CO"/>
        </w:rPr>
      </w:pPr>
    </w:p>
    <w:p w:rsidR="00202861" w:rsidRPr="00A21B5C" w:rsidRDefault="00202861" w:rsidP="00A21B5C">
      <w:pPr>
        <w:contextualSpacing/>
        <w:jc w:val="both"/>
        <w:rPr>
          <w:rFonts w:ascii="Arial" w:hAnsi="Arial" w:cs="Arial"/>
          <w:sz w:val="22"/>
          <w:szCs w:val="22"/>
          <w:lang w:val="es-CO"/>
        </w:rPr>
      </w:pPr>
      <w:r w:rsidRPr="00A21B5C">
        <w:rPr>
          <w:rFonts w:ascii="Arial" w:hAnsi="Arial" w:cs="Arial"/>
          <w:sz w:val="22"/>
          <w:szCs w:val="22"/>
          <w:lang w:val="es-CO"/>
        </w:rPr>
        <w:lastRenderedPageBreak/>
        <w:t xml:space="preserve">De acuerdo con los documentos </w:t>
      </w:r>
      <w:r w:rsidRPr="00A21B5C">
        <w:rPr>
          <w:rFonts w:ascii="Arial" w:hAnsi="Arial" w:cs="Arial"/>
          <w:i/>
          <w:sz w:val="22"/>
          <w:szCs w:val="22"/>
          <w:lang w:val="es-CO"/>
        </w:rPr>
        <w:t xml:space="preserve">“Acta de evaluación de oferta”, </w:t>
      </w:r>
      <w:r w:rsidRPr="00A21B5C">
        <w:rPr>
          <w:rFonts w:ascii="Arial" w:hAnsi="Arial" w:cs="Arial"/>
          <w:sz w:val="22"/>
          <w:szCs w:val="22"/>
          <w:lang w:val="es-CO"/>
        </w:rPr>
        <w:t>se conoció que se evalúo la acreditación de la condición de titular del derecho de posesión sobre l</w:t>
      </w:r>
      <w:r w:rsidR="00FF47D7" w:rsidRPr="00A21B5C">
        <w:rPr>
          <w:rFonts w:ascii="Arial" w:hAnsi="Arial" w:cs="Arial"/>
          <w:sz w:val="22"/>
          <w:szCs w:val="22"/>
          <w:lang w:val="es-CO"/>
        </w:rPr>
        <w:t xml:space="preserve">as mejoras rurales </w:t>
      </w:r>
      <w:r w:rsidRPr="00A21B5C">
        <w:rPr>
          <w:rFonts w:ascii="Arial" w:hAnsi="Arial" w:cs="Arial"/>
          <w:sz w:val="22"/>
          <w:szCs w:val="22"/>
          <w:lang w:val="es-CO"/>
        </w:rPr>
        <w:t>“</w:t>
      </w:r>
      <w:r w:rsidR="00100DED" w:rsidRPr="00A21B5C">
        <w:rPr>
          <w:rFonts w:ascii="Arial" w:hAnsi="Arial" w:cs="Arial"/>
          <w:sz w:val="22"/>
          <w:szCs w:val="22"/>
          <w:lang w:val="es-CO"/>
        </w:rPr>
        <w:t>Jerusalén</w:t>
      </w:r>
      <w:r w:rsidRPr="00A21B5C">
        <w:rPr>
          <w:rFonts w:ascii="Arial" w:hAnsi="Arial" w:cs="Arial"/>
          <w:sz w:val="22"/>
          <w:szCs w:val="22"/>
          <w:lang w:val="es-CO"/>
        </w:rPr>
        <w:t xml:space="preserve"> I”, </w:t>
      </w:r>
      <w:r w:rsidRPr="00A21B5C">
        <w:rPr>
          <w:rFonts w:ascii="Arial" w:hAnsi="Arial" w:cs="Arial"/>
          <w:i/>
          <w:sz w:val="22"/>
          <w:szCs w:val="22"/>
          <w:lang w:val="es-CO"/>
        </w:rPr>
        <w:t>“El Paujil”</w:t>
      </w:r>
      <w:r w:rsidRPr="00A21B5C">
        <w:rPr>
          <w:rFonts w:ascii="Arial" w:hAnsi="Arial" w:cs="Arial"/>
          <w:sz w:val="22"/>
          <w:szCs w:val="22"/>
          <w:lang w:val="es-CO"/>
        </w:rPr>
        <w:t xml:space="preserve">”, </w:t>
      </w:r>
      <w:r w:rsidRPr="00A21B5C">
        <w:rPr>
          <w:rFonts w:ascii="Arial" w:hAnsi="Arial" w:cs="Arial"/>
          <w:i/>
          <w:sz w:val="22"/>
          <w:szCs w:val="22"/>
          <w:lang w:val="es-CO"/>
        </w:rPr>
        <w:t>“El Guasimito” y “</w:t>
      </w:r>
      <w:r w:rsidR="00100DED" w:rsidRPr="00A21B5C">
        <w:rPr>
          <w:rFonts w:ascii="Arial" w:hAnsi="Arial" w:cs="Arial"/>
          <w:i/>
          <w:sz w:val="22"/>
          <w:szCs w:val="22"/>
          <w:lang w:val="es-CO"/>
        </w:rPr>
        <w:t>Jerusalén</w:t>
      </w:r>
      <w:r w:rsidRPr="00A21B5C">
        <w:rPr>
          <w:rFonts w:ascii="Arial" w:hAnsi="Arial" w:cs="Arial"/>
          <w:i/>
          <w:sz w:val="22"/>
          <w:szCs w:val="22"/>
          <w:lang w:val="es-CO"/>
        </w:rPr>
        <w:t xml:space="preserve"> II”</w:t>
      </w:r>
      <w:r w:rsidR="00B01F47" w:rsidRPr="00A21B5C">
        <w:rPr>
          <w:rFonts w:ascii="Arial" w:hAnsi="Arial" w:cs="Arial"/>
          <w:i/>
          <w:sz w:val="22"/>
          <w:szCs w:val="22"/>
          <w:lang w:val="es-CO"/>
        </w:rPr>
        <w:t>;</w:t>
      </w:r>
      <w:r w:rsidRPr="00A21B5C">
        <w:rPr>
          <w:rFonts w:ascii="Arial" w:hAnsi="Arial" w:cs="Arial"/>
          <w:i/>
          <w:sz w:val="22"/>
          <w:szCs w:val="22"/>
          <w:lang w:val="es-CO"/>
        </w:rPr>
        <w:t xml:space="preserve"> </w:t>
      </w:r>
      <w:r w:rsidRPr="00A21B5C">
        <w:rPr>
          <w:rFonts w:ascii="Arial" w:hAnsi="Arial" w:cs="Arial"/>
          <w:sz w:val="22"/>
          <w:szCs w:val="22"/>
          <w:lang w:val="es-CO"/>
        </w:rPr>
        <w:t xml:space="preserve">y de propiedad sobre el predio </w:t>
      </w:r>
      <w:r w:rsidRPr="00A21B5C">
        <w:rPr>
          <w:rFonts w:ascii="Arial" w:hAnsi="Arial" w:cs="Arial"/>
          <w:i/>
          <w:sz w:val="22"/>
          <w:szCs w:val="22"/>
          <w:lang w:val="es-CO"/>
        </w:rPr>
        <w:t>“La Estrella”</w:t>
      </w:r>
      <w:r w:rsidR="000C6749" w:rsidRPr="00A21B5C">
        <w:rPr>
          <w:rFonts w:ascii="Arial" w:hAnsi="Arial" w:cs="Arial"/>
          <w:sz w:val="22"/>
          <w:szCs w:val="22"/>
          <w:lang w:val="es-CO"/>
        </w:rPr>
        <w:t>.</w:t>
      </w:r>
    </w:p>
    <w:p w:rsidR="00202861" w:rsidRPr="00A21B5C" w:rsidRDefault="00202861" w:rsidP="00A21B5C">
      <w:pPr>
        <w:contextualSpacing/>
        <w:jc w:val="both"/>
        <w:rPr>
          <w:rFonts w:ascii="Arial" w:hAnsi="Arial" w:cs="Arial"/>
          <w:sz w:val="22"/>
          <w:szCs w:val="22"/>
          <w:lang w:val="es-CO"/>
        </w:rPr>
      </w:pPr>
    </w:p>
    <w:p w:rsidR="00202861" w:rsidRPr="00A21B5C" w:rsidRDefault="00202861" w:rsidP="00A21B5C">
      <w:pPr>
        <w:contextualSpacing/>
        <w:jc w:val="both"/>
        <w:rPr>
          <w:rFonts w:ascii="Arial" w:hAnsi="Arial" w:cs="Arial"/>
          <w:sz w:val="22"/>
          <w:szCs w:val="22"/>
          <w:lang w:val="es-CO"/>
        </w:rPr>
      </w:pPr>
      <w:r w:rsidRPr="00A21B5C">
        <w:rPr>
          <w:rFonts w:ascii="Arial" w:hAnsi="Arial" w:cs="Arial"/>
          <w:sz w:val="22"/>
          <w:szCs w:val="22"/>
          <w:lang w:val="es-CO"/>
        </w:rPr>
        <w:t xml:space="preserve">Al respecto, se evidenció que se aportaron documentos como el </w:t>
      </w:r>
      <w:r w:rsidRPr="00A21B5C">
        <w:rPr>
          <w:rFonts w:ascii="Arial" w:hAnsi="Arial" w:cs="Arial"/>
          <w:i/>
          <w:sz w:val="22"/>
          <w:szCs w:val="22"/>
          <w:lang w:val="es-CO"/>
        </w:rPr>
        <w:t>“Acta de declaración de extrajuicio ante notario</w:t>
      </w:r>
      <w:r w:rsidRPr="00A21B5C">
        <w:rPr>
          <w:rFonts w:ascii="Arial" w:hAnsi="Arial" w:cs="Arial"/>
          <w:sz w:val="22"/>
          <w:szCs w:val="22"/>
          <w:lang w:val="es-CO"/>
        </w:rPr>
        <w:t>” del 27 de julio de 2017</w:t>
      </w:r>
      <w:r w:rsidRPr="00A21B5C">
        <w:rPr>
          <w:rFonts w:ascii="Arial" w:hAnsi="Arial" w:cs="Arial"/>
          <w:i/>
          <w:sz w:val="22"/>
          <w:szCs w:val="22"/>
          <w:lang w:val="es-CO"/>
        </w:rPr>
        <w:t xml:space="preserve">, </w:t>
      </w:r>
      <w:r w:rsidRPr="00A21B5C">
        <w:rPr>
          <w:rFonts w:ascii="Arial" w:hAnsi="Arial" w:cs="Arial"/>
          <w:sz w:val="22"/>
          <w:szCs w:val="22"/>
          <w:lang w:val="es-CO"/>
        </w:rPr>
        <w:t>en el que se da testimonio por parte de dos particulares sobre la posesión de la mejora rural</w:t>
      </w:r>
      <w:r w:rsidRPr="00A21B5C">
        <w:rPr>
          <w:rFonts w:ascii="Arial" w:hAnsi="Arial" w:cs="Arial"/>
          <w:i/>
          <w:sz w:val="22"/>
          <w:szCs w:val="22"/>
          <w:lang w:val="es-CO"/>
        </w:rPr>
        <w:t xml:space="preserve"> “El Guasimito”</w:t>
      </w:r>
      <w:r w:rsidRPr="00A21B5C">
        <w:rPr>
          <w:rFonts w:ascii="Arial" w:hAnsi="Arial" w:cs="Arial"/>
          <w:sz w:val="22"/>
          <w:szCs w:val="22"/>
          <w:lang w:val="es-CO"/>
        </w:rPr>
        <w:t xml:space="preserve">, por más de veintitrés años. Así mismo se aportó copia del Contrato de Compraventa CA – 5975722 del 12 de julio de 1996, mediante el cual se demostró que la finca </w:t>
      </w:r>
      <w:r w:rsidRPr="00A21B5C">
        <w:rPr>
          <w:rFonts w:ascii="Arial" w:hAnsi="Arial" w:cs="Arial"/>
          <w:i/>
          <w:sz w:val="22"/>
          <w:szCs w:val="22"/>
          <w:lang w:val="es-CO"/>
        </w:rPr>
        <w:t xml:space="preserve">“El Guaisimito” </w:t>
      </w:r>
      <w:r w:rsidRPr="00A21B5C">
        <w:rPr>
          <w:rFonts w:ascii="Arial" w:hAnsi="Arial" w:cs="Arial"/>
          <w:sz w:val="22"/>
          <w:szCs w:val="22"/>
          <w:lang w:val="es-CO"/>
        </w:rPr>
        <w:t>fue adquirida por el señor Luis Camilo Valdeblanquez al señor Eugenio Gregorio Sierra Mejía, concordante con lo expresado en la cláusula segunda de la Minuta Contractual de esta Compraventa.</w:t>
      </w:r>
    </w:p>
    <w:p w:rsidR="00202861" w:rsidRPr="00A21B5C" w:rsidRDefault="00202861" w:rsidP="00A21B5C">
      <w:pPr>
        <w:contextualSpacing/>
        <w:jc w:val="both"/>
        <w:rPr>
          <w:rFonts w:ascii="Arial" w:hAnsi="Arial" w:cs="Arial"/>
          <w:i/>
          <w:sz w:val="22"/>
          <w:szCs w:val="22"/>
          <w:lang w:val="es-CO"/>
        </w:rPr>
      </w:pPr>
    </w:p>
    <w:p w:rsidR="00202861" w:rsidRPr="00A21B5C" w:rsidRDefault="00202861" w:rsidP="00A21B5C">
      <w:pPr>
        <w:contextualSpacing/>
        <w:jc w:val="both"/>
        <w:rPr>
          <w:rFonts w:ascii="Arial" w:hAnsi="Arial" w:cs="Arial"/>
          <w:sz w:val="22"/>
          <w:szCs w:val="22"/>
          <w:lang w:val="es-CO"/>
        </w:rPr>
      </w:pPr>
      <w:r w:rsidRPr="00A21B5C">
        <w:rPr>
          <w:rFonts w:ascii="Arial" w:hAnsi="Arial" w:cs="Arial"/>
          <w:sz w:val="22"/>
          <w:szCs w:val="22"/>
          <w:lang w:val="es-CO"/>
        </w:rPr>
        <w:t>Así mismo, para la Compraventa del predio “La Estrella” se evidenció la Escritura Pública N° 853 del 18 de junio de 1996 y el Certificado de Tradición y Libertad de la Oficina de Instrumentos Públicos con Matrícula Inmobiliaria N° 210-4441, de acuerdo con el requerimiento de acreditación de propiedad.</w:t>
      </w:r>
    </w:p>
    <w:p w:rsidR="00202861" w:rsidRPr="00A21B5C" w:rsidRDefault="00202861" w:rsidP="00A21B5C">
      <w:pPr>
        <w:contextualSpacing/>
        <w:jc w:val="both"/>
        <w:rPr>
          <w:rFonts w:ascii="Arial" w:hAnsi="Arial" w:cs="Arial"/>
          <w:sz w:val="22"/>
          <w:szCs w:val="22"/>
          <w:lang w:val="es-CO"/>
        </w:rPr>
      </w:pPr>
    </w:p>
    <w:p w:rsidR="00202861" w:rsidRPr="00A21B5C" w:rsidRDefault="00202861" w:rsidP="00A21B5C">
      <w:pPr>
        <w:contextualSpacing/>
        <w:jc w:val="both"/>
        <w:rPr>
          <w:rFonts w:ascii="Arial" w:hAnsi="Arial" w:cs="Arial"/>
          <w:sz w:val="22"/>
          <w:szCs w:val="22"/>
          <w:lang w:val="es-CO"/>
        </w:rPr>
      </w:pPr>
      <w:r w:rsidRPr="00A21B5C">
        <w:rPr>
          <w:rFonts w:ascii="Arial" w:hAnsi="Arial" w:cs="Arial"/>
          <w:sz w:val="22"/>
          <w:szCs w:val="22"/>
          <w:lang w:val="es-CO"/>
        </w:rPr>
        <w:t>Respecto a las mejoras</w:t>
      </w:r>
      <w:r w:rsidRPr="00A21B5C">
        <w:rPr>
          <w:rFonts w:ascii="Arial" w:hAnsi="Arial" w:cs="Arial"/>
          <w:i/>
          <w:sz w:val="22"/>
          <w:szCs w:val="22"/>
          <w:lang w:val="es-CO"/>
        </w:rPr>
        <w:t xml:space="preserve"> “</w:t>
      </w:r>
      <w:r w:rsidR="00100DED" w:rsidRPr="00A21B5C">
        <w:rPr>
          <w:rFonts w:ascii="Arial" w:hAnsi="Arial" w:cs="Arial"/>
          <w:i/>
          <w:sz w:val="22"/>
          <w:szCs w:val="22"/>
          <w:lang w:val="es-CO"/>
        </w:rPr>
        <w:t>Jerusalén</w:t>
      </w:r>
      <w:r w:rsidRPr="00A21B5C">
        <w:rPr>
          <w:rFonts w:ascii="Arial" w:hAnsi="Arial" w:cs="Arial"/>
          <w:i/>
          <w:sz w:val="22"/>
          <w:szCs w:val="22"/>
          <w:lang w:val="es-CO"/>
        </w:rPr>
        <w:t xml:space="preserve"> I”, “</w:t>
      </w:r>
      <w:r w:rsidR="00100DED" w:rsidRPr="00A21B5C">
        <w:rPr>
          <w:rFonts w:ascii="Arial" w:hAnsi="Arial" w:cs="Arial"/>
          <w:i/>
          <w:sz w:val="22"/>
          <w:szCs w:val="22"/>
          <w:lang w:val="es-CO"/>
        </w:rPr>
        <w:t>Jerusalén</w:t>
      </w:r>
      <w:r w:rsidRPr="00A21B5C">
        <w:rPr>
          <w:rFonts w:ascii="Arial" w:hAnsi="Arial" w:cs="Arial"/>
          <w:i/>
          <w:sz w:val="22"/>
          <w:szCs w:val="22"/>
          <w:lang w:val="es-CO"/>
        </w:rPr>
        <w:t xml:space="preserve"> II” y “El Paujil”, </w:t>
      </w:r>
      <w:r w:rsidRPr="00A21B5C">
        <w:rPr>
          <w:rFonts w:ascii="Arial" w:hAnsi="Arial" w:cs="Arial"/>
          <w:sz w:val="22"/>
          <w:szCs w:val="22"/>
          <w:lang w:val="es-CO"/>
        </w:rPr>
        <w:t xml:space="preserve">no se encontraron los documentos soporte mediante los cuales se acreditó la condición de titular de la posesión dentro del expediente contractual. No obstante, se evidenció dentro del clausulado de las Minutas Contractuales de las Compraventas, que los vendedores de las mejoras declararon tener la posesión real del título: </w:t>
      </w:r>
    </w:p>
    <w:p w:rsidR="00202861" w:rsidRPr="00A21B5C" w:rsidRDefault="00202861" w:rsidP="00A21B5C">
      <w:pPr>
        <w:contextualSpacing/>
        <w:jc w:val="both"/>
        <w:rPr>
          <w:rFonts w:ascii="Arial" w:hAnsi="Arial" w:cs="Arial"/>
          <w:sz w:val="22"/>
          <w:szCs w:val="22"/>
          <w:lang w:val="es-CO"/>
        </w:rPr>
      </w:pPr>
    </w:p>
    <w:p w:rsidR="00196493" w:rsidRPr="00A21B5C" w:rsidRDefault="00202861">
      <w:pPr>
        <w:pStyle w:val="Prrafodelista"/>
        <w:numPr>
          <w:ilvl w:val="0"/>
          <w:numId w:val="27"/>
        </w:numPr>
        <w:ind w:left="426"/>
        <w:jc w:val="both"/>
        <w:rPr>
          <w:rFonts w:ascii="Arial" w:hAnsi="Arial" w:cs="Arial"/>
          <w:iCs/>
          <w:sz w:val="22"/>
          <w:szCs w:val="22"/>
          <w:lang w:val="es-CO"/>
        </w:rPr>
      </w:pPr>
      <w:r w:rsidRPr="00A21B5C">
        <w:rPr>
          <w:rFonts w:ascii="Arial" w:hAnsi="Arial" w:cs="Arial"/>
          <w:sz w:val="22"/>
          <w:szCs w:val="22"/>
          <w:lang w:val="es-CO"/>
        </w:rPr>
        <w:t xml:space="preserve">Cláusula </w:t>
      </w:r>
      <w:r w:rsidR="00077E79" w:rsidRPr="00A21B5C">
        <w:rPr>
          <w:rFonts w:ascii="Arial" w:hAnsi="Arial" w:cs="Arial"/>
          <w:sz w:val="22"/>
          <w:szCs w:val="22"/>
          <w:lang w:val="es-CO"/>
        </w:rPr>
        <w:t>segunda</w:t>
      </w:r>
      <w:r w:rsidRPr="00A21B5C">
        <w:rPr>
          <w:rFonts w:ascii="Arial" w:hAnsi="Arial" w:cs="Arial"/>
          <w:sz w:val="22"/>
          <w:szCs w:val="22"/>
          <w:lang w:val="es-CO"/>
        </w:rPr>
        <w:t xml:space="preserve"> del Contrato de Compraventa N° 004 de 2017</w:t>
      </w:r>
      <w:r w:rsidRPr="00A21B5C">
        <w:rPr>
          <w:rFonts w:ascii="Arial" w:hAnsi="Arial" w:cs="Arial"/>
          <w:i/>
          <w:sz w:val="22"/>
          <w:szCs w:val="22"/>
          <w:lang w:val="es-CO"/>
        </w:rPr>
        <w:t>: “EL VENDEDOR declara y garantiza a EL COMPRADOR que los bienes (mejoras) vendidos son de su exclusiva posesión y propiedad por no haberlos enajenado antes a nadie y haberlo adquirido de la siguiente manera: por compra hecha al señor HECTOR ESCUE FAJARDO, mediante contrato de compraventa a los 14 días del mes de diciembre del 2016”</w:t>
      </w:r>
      <w:r w:rsidR="000C6749" w:rsidRPr="00A21B5C">
        <w:rPr>
          <w:rFonts w:ascii="Arial" w:hAnsi="Arial" w:cs="Arial"/>
          <w:i/>
          <w:sz w:val="22"/>
          <w:szCs w:val="22"/>
          <w:lang w:val="es-CO"/>
        </w:rPr>
        <w:t>.</w:t>
      </w:r>
      <w:r w:rsidR="00196493" w:rsidRPr="00A21B5C">
        <w:rPr>
          <w:rFonts w:ascii="Arial" w:hAnsi="Arial" w:cs="Arial"/>
          <w:i/>
          <w:sz w:val="22"/>
          <w:szCs w:val="22"/>
          <w:lang w:val="es-CO"/>
        </w:rPr>
        <w:t xml:space="preserve"> </w:t>
      </w:r>
      <w:r w:rsidR="00196493" w:rsidRPr="00A21B5C">
        <w:rPr>
          <w:rFonts w:ascii="Arial" w:hAnsi="Arial" w:cs="Arial"/>
          <w:iCs/>
          <w:sz w:val="22"/>
          <w:szCs w:val="22"/>
          <w:lang w:val="es-CO"/>
        </w:rPr>
        <w:t>Llama la atención que esta mejora fue adquirid</w:t>
      </w:r>
      <w:r w:rsidR="00C37CC7" w:rsidRPr="00A21B5C">
        <w:rPr>
          <w:rFonts w:ascii="Arial" w:hAnsi="Arial" w:cs="Arial"/>
          <w:iCs/>
          <w:sz w:val="22"/>
          <w:szCs w:val="22"/>
          <w:lang w:val="es-CO"/>
        </w:rPr>
        <w:t>a</w:t>
      </w:r>
      <w:r w:rsidR="00196493" w:rsidRPr="00A21B5C">
        <w:rPr>
          <w:rFonts w:ascii="Arial" w:hAnsi="Arial" w:cs="Arial"/>
          <w:iCs/>
          <w:sz w:val="22"/>
          <w:szCs w:val="22"/>
          <w:lang w:val="es-CO"/>
        </w:rPr>
        <w:t xml:space="preserve"> en diciembre de 2016 para ser vendida al Municipio unos pocos meses después.</w:t>
      </w:r>
    </w:p>
    <w:p w:rsidR="00202861" w:rsidRPr="00A21B5C" w:rsidRDefault="00202861" w:rsidP="00A21B5C">
      <w:pPr>
        <w:ind w:left="426"/>
        <w:contextualSpacing/>
        <w:jc w:val="both"/>
        <w:rPr>
          <w:rFonts w:ascii="Arial" w:hAnsi="Arial" w:cs="Arial"/>
          <w:sz w:val="22"/>
          <w:szCs w:val="22"/>
          <w:lang w:val="es-CO"/>
        </w:rPr>
      </w:pPr>
    </w:p>
    <w:p w:rsidR="00202861" w:rsidRPr="00A21B5C" w:rsidRDefault="00202861">
      <w:pPr>
        <w:pStyle w:val="Prrafodelista"/>
        <w:numPr>
          <w:ilvl w:val="0"/>
          <w:numId w:val="27"/>
        </w:numPr>
        <w:ind w:left="426"/>
        <w:jc w:val="both"/>
        <w:rPr>
          <w:rFonts w:ascii="Arial" w:hAnsi="Arial" w:cs="Arial"/>
          <w:i/>
          <w:sz w:val="22"/>
          <w:szCs w:val="22"/>
          <w:lang w:val="es-CO"/>
        </w:rPr>
      </w:pPr>
      <w:r w:rsidRPr="00A21B5C">
        <w:rPr>
          <w:rFonts w:ascii="Arial" w:hAnsi="Arial" w:cs="Arial"/>
          <w:sz w:val="22"/>
          <w:szCs w:val="22"/>
          <w:lang w:val="es-CO"/>
        </w:rPr>
        <w:t xml:space="preserve">Cláusula </w:t>
      </w:r>
      <w:r w:rsidR="00F27AF1" w:rsidRPr="00A21B5C">
        <w:rPr>
          <w:rFonts w:ascii="Arial" w:hAnsi="Arial" w:cs="Arial"/>
          <w:sz w:val="22"/>
          <w:szCs w:val="22"/>
          <w:lang w:val="es-CO"/>
        </w:rPr>
        <w:t>segunda</w:t>
      </w:r>
      <w:r w:rsidRPr="00A21B5C">
        <w:rPr>
          <w:rFonts w:ascii="Arial" w:hAnsi="Arial" w:cs="Arial"/>
          <w:sz w:val="22"/>
          <w:szCs w:val="22"/>
          <w:lang w:val="es-CO"/>
        </w:rPr>
        <w:t xml:space="preserve"> de</w:t>
      </w:r>
      <w:r w:rsidR="00693F51" w:rsidRPr="00A21B5C">
        <w:rPr>
          <w:rFonts w:ascii="Arial" w:hAnsi="Arial" w:cs="Arial"/>
          <w:sz w:val="22"/>
          <w:szCs w:val="22"/>
          <w:lang w:val="es-CO"/>
        </w:rPr>
        <w:t>l</w:t>
      </w:r>
      <w:r w:rsidRPr="00A21B5C">
        <w:rPr>
          <w:rFonts w:ascii="Arial" w:hAnsi="Arial" w:cs="Arial"/>
          <w:sz w:val="22"/>
          <w:szCs w:val="22"/>
          <w:lang w:val="es-CO"/>
        </w:rPr>
        <w:t xml:space="preserve"> Contrato de Compraventa N° 002 de 201</w:t>
      </w:r>
      <w:r w:rsidR="007B1BCE" w:rsidRPr="00A21B5C">
        <w:rPr>
          <w:rFonts w:ascii="Arial" w:hAnsi="Arial" w:cs="Arial"/>
          <w:sz w:val="22"/>
          <w:szCs w:val="22"/>
          <w:lang w:val="es-CO"/>
        </w:rPr>
        <w:t>8</w:t>
      </w:r>
      <w:r w:rsidRPr="00A21B5C">
        <w:rPr>
          <w:rFonts w:ascii="Arial" w:hAnsi="Arial" w:cs="Arial"/>
          <w:sz w:val="22"/>
          <w:szCs w:val="22"/>
          <w:lang w:val="es-CO"/>
        </w:rPr>
        <w:t xml:space="preserve">: </w:t>
      </w:r>
      <w:r w:rsidRPr="00A21B5C">
        <w:rPr>
          <w:rFonts w:ascii="Arial" w:hAnsi="Arial" w:cs="Arial"/>
          <w:i/>
          <w:sz w:val="22"/>
          <w:szCs w:val="22"/>
          <w:lang w:val="es-CO"/>
        </w:rPr>
        <w:t>“EL VENDEDOR declara y garantiza a EL COMPRADOR que los bienes (mejoras) vendidos son de su exclusiva posesión y propiedad por no haberlos enajenado antes a nadie y haberlo adquirido de la siguiente manera: por compra hecha al señor DAVID MANUEL FLÓREZ POLO</w:t>
      </w:r>
      <w:r w:rsidRPr="00A21B5C">
        <w:rPr>
          <w:rStyle w:val="Refdenotaalpie"/>
          <w:rFonts w:ascii="Arial" w:hAnsi="Arial" w:cs="Arial"/>
          <w:i/>
          <w:sz w:val="22"/>
          <w:szCs w:val="22"/>
          <w:lang w:val="es-CO"/>
        </w:rPr>
        <w:footnoteReference w:id="36"/>
      </w:r>
      <w:r w:rsidRPr="00A21B5C">
        <w:rPr>
          <w:rFonts w:ascii="Arial" w:hAnsi="Arial" w:cs="Arial"/>
          <w:i/>
          <w:sz w:val="22"/>
          <w:szCs w:val="22"/>
          <w:lang w:val="es-CO"/>
        </w:rPr>
        <w:t>, mediante contrato de compraventa a los 27 días del mes de diciembre del 2016”</w:t>
      </w:r>
      <w:r w:rsidR="000C6749" w:rsidRPr="00A21B5C">
        <w:rPr>
          <w:rFonts w:ascii="Arial" w:hAnsi="Arial" w:cs="Arial"/>
          <w:i/>
          <w:sz w:val="22"/>
          <w:szCs w:val="22"/>
          <w:lang w:val="es-CO"/>
        </w:rPr>
        <w:t>.</w:t>
      </w:r>
    </w:p>
    <w:p w:rsidR="00202861" w:rsidRPr="00A21B5C" w:rsidRDefault="00202861" w:rsidP="00A21B5C">
      <w:pPr>
        <w:ind w:left="426"/>
        <w:contextualSpacing/>
        <w:jc w:val="both"/>
        <w:rPr>
          <w:rFonts w:ascii="Arial" w:hAnsi="Arial" w:cs="Arial"/>
          <w:sz w:val="22"/>
          <w:szCs w:val="22"/>
          <w:lang w:val="es-CO"/>
        </w:rPr>
      </w:pPr>
    </w:p>
    <w:p w:rsidR="00202861" w:rsidRPr="00A21B5C" w:rsidRDefault="00AA55CF">
      <w:pPr>
        <w:pStyle w:val="Prrafodelista"/>
        <w:numPr>
          <w:ilvl w:val="0"/>
          <w:numId w:val="27"/>
        </w:numPr>
        <w:ind w:left="426"/>
        <w:jc w:val="both"/>
        <w:rPr>
          <w:rFonts w:ascii="Arial" w:hAnsi="Arial" w:cs="Arial"/>
          <w:i/>
          <w:sz w:val="22"/>
          <w:szCs w:val="22"/>
          <w:lang w:val="es-CO"/>
        </w:rPr>
      </w:pPr>
      <w:r w:rsidRPr="00A21B5C">
        <w:rPr>
          <w:rFonts w:ascii="Arial" w:hAnsi="Arial" w:cs="Arial"/>
          <w:sz w:val="22"/>
          <w:szCs w:val="22"/>
          <w:lang w:val="es-CO"/>
        </w:rPr>
        <w:t>C</w:t>
      </w:r>
      <w:r w:rsidR="009860E9" w:rsidRPr="00A21B5C">
        <w:rPr>
          <w:rFonts w:ascii="Arial" w:hAnsi="Arial" w:cs="Arial"/>
          <w:sz w:val="22"/>
          <w:szCs w:val="22"/>
          <w:lang w:val="es-CO"/>
        </w:rPr>
        <w:t xml:space="preserve">láusula segunda del </w:t>
      </w:r>
      <w:r w:rsidR="00356BAC" w:rsidRPr="00A21B5C">
        <w:rPr>
          <w:rFonts w:ascii="Arial" w:hAnsi="Arial" w:cs="Arial"/>
          <w:sz w:val="22"/>
          <w:szCs w:val="22"/>
          <w:lang w:val="es-CO"/>
        </w:rPr>
        <w:t>Contrato de Compraventa Nº 001 de 2019</w:t>
      </w:r>
      <w:r w:rsidR="00202861" w:rsidRPr="00A21B5C">
        <w:rPr>
          <w:rFonts w:ascii="Arial" w:hAnsi="Arial" w:cs="Arial"/>
          <w:i/>
          <w:sz w:val="22"/>
          <w:szCs w:val="22"/>
          <w:lang w:val="es-CO"/>
        </w:rPr>
        <w:t>: “EL VENDEDOR declara y garantiza a EL COMPRADOR que los bienes (mejoras) vendidos son de su exclusiva posesión y propiedad por no haberlos enajenado antes a nadie y haberlo adquirido de la siguiente manera: por compra hecha al señor DAVID MANUEL FLÓREZ POLO</w:t>
      </w:r>
      <w:r w:rsidR="00202861" w:rsidRPr="00A21B5C">
        <w:rPr>
          <w:rStyle w:val="Refdenotaalpie"/>
          <w:rFonts w:ascii="Arial" w:hAnsi="Arial" w:cs="Arial"/>
          <w:i/>
          <w:sz w:val="22"/>
          <w:szCs w:val="22"/>
          <w:lang w:val="es-CO"/>
        </w:rPr>
        <w:footnoteReference w:id="37"/>
      </w:r>
      <w:r w:rsidR="00202861" w:rsidRPr="00A21B5C">
        <w:rPr>
          <w:rFonts w:ascii="Arial" w:hAnsi="Arial" w:cs="Arial"/>
          <w:i/>
          <w:sz w:val="22"/>
          <w:szCs w:val="22"/>
          <w:lang w:val="es-CO"/>
        </w:rPr>
        <w:t>, mediante contrato de compraventa a los 03 días del mes de septiembre del 2014”</w:t>
      </w:r>
      <w:r w:rsidR="00206F9C" w:rsidRPr="00A21B5C">
        <w:rPr>
          <w:rFonts w:ascii="Arial" w:hAnsi="Arial" w:cs="Arial"/>
          <w:i/>
          <w:sz w:val="22"/>
          <w:szCs w:val="22"/>
          <w:lang w:val="es-CO"/>
        </w:rPr>
        <w:t>.</w:t>
      </w:r>
    </w:p>
    <w:p w:rsidR="00C45B28" w:rsidRPr="00A21B5C" w:rsidRDefault="00C45B28">
      <w:pPr>
        <w:pStyle w:val="Prrafodelista"/>
        <w:rPr>
          <w:rFonts w:ascii="Arial" w:hAnsi="Arial" w:cs="Arial"/>
          <w:i/>
          <w:sz w:val="22"/>
          <w:szCs w:val="22"/>
          <w:lang w:val="es-CO"/>
        </w:rPr>
      </w:pPr>
    </w:p>
    <w:p w:rsidR="00202861" w:rsidRPr="00A21B5C" w:rsidRDefault="00202861" w:rsidP="00A21B5C">
      <w:pPr>
        <w:pStyle w:val="Prrafodelista"/>
        <w:numPr>
          <w:ilvl w:val="0"/>
          <w:numId w:val="11"/>
        </w:numPr>
        <w:tabs>
          <w:tab w:val="clear" w:pos="2160"/>
          <w:tab w:val="num" w:pos="1276"/>
        </w:tabs>
        <w:ind w:left="851" w:hanging="284"/>
        <w:jc w:val="both"/>
        <w:rPr>
          <w:rFonts w:ascii="Arial" w:hAnsi="Arial" w:cs="Arial"/>
          <w:iCs/>
          <w:sz w:val="22"/>
          <w:szCs w:val="22"/>
          <w:lang w:val="es-CO"/>
        </w:rPr>
      </w:pPr>
      <w:r w:rsidRPr="00A21B5C">
        <w:rPr>
          <w:rFonts w:ascii="Arial" w:hAnsi="Arial" w:cs="Arial"/>
          <w:iCs/>
          <w:sz w:val="22"/>
          <w:szCs w:val="22"/>
          <w:lang w:val="es-CO"/>
        </w:rPr>
        <w:t>Pertinencia de la adquisición.</w:t>
      </w:r>
    </w:p>
    <w:p w:rsidR="00202861" w:rsidRPr="00A21B5C" w:rsidRDefault="00202861" w:rsidP="00A21B5C">
      <w:pPr>
        <w:contextualSpacing/>
        <w:jc w:val="both"/>
        <w:rPr>
          <w:rFonts w:ascii="Arial" w:hAnsi="Arial" w:cs="Arial"/>
          <w:sz w:val="22"/>
          <w:szCs w:val="22"/>
          <w:lang w:val="es-CO"/>
        </w:rPr>
      </w:pPr>
    </w:p>
    <w:p w:rsidR="00202861" w:rsidRPr="00A21B5C" w:rsidRDefault="00202861" w:rsidP="00A21B5C">
      <w:pPr>
        <w:contextualSpacing/>
        <w:jc w:val="both"/>
        <w:rPr>
          <w:rFonts w:ascii="Arial" w:hAnsi="Arial" w:cs="Arial"/>
          <w:sz w:val="22"/>
          <w:szCs w:val="22"/>
          <w:lang w:val="es-CO"/>
        </w:rPr>
      </w:pPr>
      <w:r w:rsidRPr="00A21B5C">
        <w:rPr>
          <w:rFonts w:ascii="Arial" w:hAnsi="Arial" w:cs="Arial"/>
          <w:sz w:val="22"/>
          <w:szCs w:val="22"/>
          <w:lang w:val="es-CO"/>
        </w:rPr>
        <w:t xml:space="preserve">En cuanto a las mejoras rurales adquiridas mediante estos Contratos de Compraventa, se lee en </w:t>
      </w:r>
      <w:r w:rsidR="00AB67B4" w:rsidRPr="00A21B5C">
        <w:rPr>
          <w:rFonts w:ascii="Arial" w:hAnsi="Arial" w:cs="Arial"/>
          <w:sz w:val="22"/>
          <w:szCs w:val="22"/>
          <w:lang w:val="es-CO"/>
        </w:rPr>
        <w:t>el</w:t>
      </w:r>
      <w:r w:rsidRPr="00A21B5C">
        <w:rPr>
          <w:rFonts w:ascii="Arial" w:hAnsi="Arial" w:cs="Arial"/>
          <w:sz w:val="22"/>
          <w:szCs w:val="22"/>
          <w:lang w:val="es-CO"/>
        </w:rPr>
        <w:t xml:space="preserve"> numeral 1 de los documentos de Estudios Previos la priorización de estas adquisiciones</w:t>
      </w:r>
      <w:r w:rsidR="00206F9C" w:rsidRPr="00A21B5C">
        <w:rPr>
          <w:rFonts w:ascii="Arial" w:hAnsi="Arial" w:cs="Arial"/>
          <w:sz w:val="22"/>
          <w:szCs w:val="22"/>
          <w:lang w:val="es-CO"/>
        </w:rPr>
        <w:t>,</w:t>
      </w:r>
      <w:r w:rsidRPr="00A21B5C">
        <w:rPr>
          <w:rFonts w:ascii="Arial" w:hAnsi="Arial" w:cs="Arial"/>
          <w:sz w:val="22"/>
          <w:szCs w:val="22"/>
          <w:lang w:val="es-CO"/>
        </w:rPr>
        <w:t xml:space="preserve"> con fundamento en la identificación de estos predios dentro de las zonas del Resguardo Indígena:</w:t>
      </w:r>
    </w:p>
    <w:p w:rsidR="00202861" w:rsidRPr="00A21B5C" w:rsidRDefault="00202861" w:rsidP="00A21B5C">
      <w:pPr>
        <w:contextualSpacing/>
        <w:jc w:val="both"/>
        <w:rPr>
          <w:rFonts w:ascii="Arial" w:hAnsi="Arial" w:cs="Arial"/>
          <w:sz w:val="20"/>
          <w:szCs w:val="22"/>
          <w:lang w:val="es-CO"/>
        </w:rPr>
      </w:pPr>
    </w:p>
    <w:p w:rsidR="00202861" w:rsidRPr="00A21B5C" w:rsidRDefault="00202861" w:rsidP="00A21B5C">
      <w:pPr>
        <w:ind w:left="1416"/>
        <w:contextualSpacing/>
        <w:jc w:val="both"/>
        <w:rPr>
          <w:rFonts w:ascii="Arial" w:hAnsi="Arial" w:cs="Arial"/>
          <w:i/>
          <w:sz w:val="18"/>
          <w:szCs w:val="18"/>
          <w:lang w:val="es-CO"/>
        </w:rPr>
      </w:pPr>
      <w:r w:rsidRPr="00A21B5C">
        <w:rPr>
          <w:rFonts w:ascii="Arial" w:hAnsi="Arial" w:cs="Arial"/>
          <w:i/>
          <w:sz w:val="18"/>
          <w:szCs w:val="18"/>
          <w:lang w:val="es-CO"/>
        </w:rPr>
        <w:t>“</w:t>
      </w:r>
      <w:r w:rsidR="00693F51" w:rsidRPr="00A21B5C">
        <w:rPr>
          <w:rFonts w:ascii="Arial" w:hAnsi="Arial" w:cs="Arial"/>
          <w:i/>
          <w:sz w:val="18"/>
          <w:szCs w:val="18"/>
          <w:lang w:val="es-CO"/>
        </w:rPr>
        <w:t>[</w:t>
      </w:r>
      <w:r w:rsidRPr="00A21B5C">
        <w:rPr>
          <w:rFonts w:ascii="Arial" w:hAnsi="Arial" w:cs="Arial"/>
          <w:i/>
          <w:sz w:val="18"/>
          <w:szCs w:val="18"/>
          <w:lang w:val="es-CO"/>
        </w:rPr>
        <w:t>…</w:t>
      </w:r>
      <w:r w:rsidR="00693F51" w:rsidRPr="00A21B5C">
        <w:rPr>
          <w:rFonts w:ascii="Arial" w:hAnsi="Arial" w:cs="Arial"/>
          <w:i/>
          <w:sz w:val="18"/>
          <w:szCs w:val="18"/>
          <w:lang w:val="es-CO"/>
        </w:rPr>
        <w:t xml:space="preserve">] </w:t>
      </w:r>
      <w:r w:rsidRPr="00A21B5C">
        <w:rPr>
          <w:rFonts w:ascii="Arial" w:hAnsi="Arial" w:cs="Arial"/>
          <w:i/>
          <w:sz w:val="18"/>
          <w:szCs w:val="18"/>
          <w:lang w:val="es-CO"/>
        </w:rPr>
        <w:t xml:space="preserve">Contratar la adquisición de mejoras rurales ubicadas en la zona donde se encuentran asentamientos del pueblo indígena </w:t>
      </w:r>
      <w:r w:rsidR="00693F51" w:rsidRPr="00A21B5C">
        <w:rPr>
          <w:rFonts w:ascii="Arial" w:hAnsi="Arial" w:cs="Arial"/>
          <w:i/>
          <w:sz w:val="18"/>
          <w:szCs w:val="18"/>
          <w:lang w:val="es-CO"/>
        </w:rPr>
        <w:t>[</w:t>
      </w:r>
      <w:r w:rsidRPr="00A21B5C">
        <w:rPr>
          <w:rFonts w:ascii="Arial" w:hAnsi="Arial" w:cs="Arial"/>
          <w:i/>
          <w:sz w:val="18"/>
          <w:szCs w:val="18"/>
          <w:lang w:val="es-CO"/>
        </w:rPr>
        <w:t>…</w:t>
      </w:r>
      <w:r w:rsidR="00693F51" w:rsidRPr="00A21B5C">
        <w:rPr>
          <w:rFonts w:ascii="Arial" w:hAnsi="Arial" w:cs="Arial"/>
          <w:i/>
          <w:sz w:val="18"/>
          <w:szCs w:val="18"/>
          <w:lang w:val="es-CO"/>
        </w:rPr>
        <w:t>]</w:t>
      </w:r>
      <w:r w:rsidRPr="00A21B5C">
        <w:rPr>
          <w:rFonts w:ascii="Arial" w:hAnsi="Arial" w:cs="Arial"/>
          <w:i/>
          <w:sz w:val="18"/>
          <w:szCs w:val="18"/>
          <w:lang w:val="es-CO"/>
        </w:rPr>
        <w:t>, con el propósito de formalizar y concretar el uso y manejo sobre estos territorios en favor del resguardo indígena Kogui – Malayo – Arhuaco reconocido legalmente como tal</w:t>
      </w:r>
      <w:r w:rsidR="00693F51" w:rsidRPr="00A21B5C">
        <w:rPr>
          <w:rFonts w:ascii="Arial" w:hAnsi="Arial" w:cs="Arial"/>
          <w:i/>
          <w:sz w:val="18"/>
          <w:szCs w:val="18"/>
          <w:lang w:val="es-CO"/>
        </w:rPr>
        <w:t xml:space="preserve"> [</w:t>
      </w:r>
      <w:r w:rsidRPr="00A21B5C">
        <w:rPr>
          <w:rFonts w:ascii="Arial" w:hAnsi="Arial" w:cs="Arial"/>
          <w:i/>
          <w:sz w:val="18"/>
          <w:szCs w:val="18"/>
          <w:lang w:val="es-CO"/>
        </w:rPr>
        <w:t>…</w:t>
      </w:r>
      <w:r w:rsidR="00693F51" w:rsidRPr="00A21B5C">
        <w:rPr>
          <w:rFonts w:ascii="Arial" w:hAnsi="Arial" w:cs="Arial"/>
          <w:i/>
          <w:sz w:val="18"/>
          <w:szCs w:val="18"/>
          <w:lang w:val="es-CO"/>
        </w:rPr>
        <w:t>]</w:t>
      </w:r>
      <w:r w:rsidRPr="00A21B5C">
        <w:rPr>
          <w:rFonts w:ascii="Arial" w:hAnsi="Arial" w:cs="Arial"/>
          <w:i/>
          <w:sz w:val="18"/>
          <w:szCs w:val="18"/>
          <w:lang w:val="es-CO"/>
        </w:rPr>
        <w:t xml:space="preserve"> La titularidad del derecho de dominio sobre dichos inmuebles de terreno resulta indispensable y esencial puesto que su ubicación se encuentra dentro del área del resguardo ampliada por la Resolución N° 256 del 27/09/11 expedida por el INCODER</w:t>
      </w:r>
      <w:r w:rsidR="00693F51" w:rsidRPr="00A21B5C">
        <w:rPr>
          <w:rFonts w:ascii="Arial" w:hAnsi="Arial" w:cs="Arial"/>
          <w:i/>
          <w:sz w:val="18"/>
          <w:szCs w:val="18"/>
          <w:lang w:val="es-CO"/>
        </w:rPr>
        <w:t>.</w:t>
      </w:r>
    </w:p>
    <w:p w:rsidR="00202861" w:rsidRPr="00A21B5C" w:rsidRDefault="00202861" w:rsidP="00A21B5C">
      <w:pPr>
        <w:ind w:left="708"/>
        <w:contextualSpacing/>
        <w:jc w:val="both"/>
        <w:rPr>
          <w:rFonts w:ascii="Arial" w:hAnsi="Arial" w:cs="Arial"/>
          <w:i/>
          <w:sz w:val="18"/>
          <w:szCs w:val="18"/>
          <w:lang w:val="es-CO"/>
        </w:rPr>
      </w:pPr>
    </w:p>
    <w:p w:rsidR="00202861" w:rsidRPr="00A21B5C" w:rsidRDefault="00202861" w:rsidP="00A21B5C">
      <w:pPr>
        <w:ind w:left="1416"/>
        <w:contextualSpacing/>
        <w:jc w:val="both"/>
        <w:rPr>
          <w:rFonts w:ascii="Arial" w:hAnsi="Arial" w:cs="Arial"/>
          <w:i/>
          <w:sz w:val="18"/>
          <w:szCs w:val="18"/>
          <w:lang w:val="es-CO"/>
        </w:rPr>
      </w:pPr>
      <w:r w:rsidRPr="00A21B5C">
        <w:rPr>
          <w:rFonts w:ascii="Arial" w:hAnsi="Arial" w:cs="Arial"/>
          <w:i/>
          <w:sz w:val="18"/>
          <w:szCs w:val="18"/>
          <w:lang w:val="es-CO"/>
        </w:rPr>
        <w:t>El representante legal del resguardo indígena, solicitó al Municipio de Dibulla, en desarrollo del contrato de administración vigente, que se iniciar</w:t>
      </w:r>
      <w:r w:rsidR="00AB67B4" w:rsidRPr="00A21B5C">
        <w:rPr>
          <w:rFonts w:ascii="Arial" w:hAnsi="Arial" w:cs="Arial"/>
          <w:i/>
          <w:sz w:val="18"/>
          <w:szCs w:val="18"/>
          <w:lang w:val="es-CO"/>
        </w:rPr>
        <w:t>á</w:t>
      </w:r>
      <w:r w:rsidRPr="00A21B5C">
        <w:rPr>
          <w:rFonts w:ascii="Arial" w:hAnsi="Arial" w:cs="Arial"/>
          <w:i/>
          <w:sz w:val="18"/>
          <w:szCs w:val="18"/>
          <w:lang w:val="es-CO"/>
        </w:rPr>
        <w:t xml:space="preserve">n los trámites administrativos pertinentes para la compra de las mejoras </w:t>
      </w:r>
      <w:r w:rsidR="00693F51" w:rsidRPr="00A21B5C">
        <w:rPr>
          <w:rFonts w:ascii="Arial" w:hAnsi="Arial" w:cs="Arial"/>
          <w:i/>
          <w:sz w:val="18"/>
          <w:szCs w:val="18"/>
          <w:lang w:val="es-CO"/>
        </w:rPr>
        <w:t>[</w:t>
      </w:r>
      <w:r w:rsidRPr="00A21B5C">
        <w:rPr>
          <w:rFonts w:ascii="Arial" w:hAnsi="Arial" w:cs="Arial"/>
          <w:i/>
          <w:sz w:val="18"/>
          <w:szCs w:val="18"/>
          <w:lang w:val="es-CO"/>
        </w:rPr>
        <w:t>…</w:t>
      </w:r>
      <w:r w:rsidR="00693F51" w:rsidRPr="00A21B5C">
        <w:rPr>
          <w:rFonts w:ascii="Arial" w:hAnsi="Arial" w:cs="Arial"/>
          <w:i/>
          <w:sz w:val="18"/>
          <w:szCs w:val="18"/>
          <w:lang w:val="es-CO"/>
        </w:rPr>
        <w:t>]</w:t>
      </w:r>
      <w:r w:rsidRPr="00A21B5C">
        <w:rPr>
          <w:rFonts w:ascii="Arial" w:hAnsi="Arial" w:cs="Arial"/>
          <w:i/>
          <w:sz w:val="18"/>
          <w:szCs w:val="18"/>
          <w:lang w:val="es-CO"/>
        </w:rPr>
        <w:t>, zona que fue objeto de ampliación del Resguardo mediante resolución N° 256/11”</w:t>
      </w:r>
      <w:r w:rsidR="00693F51" w:rsidRPr="00A21B5C">
        <w:rPr>
          <w:rFonts w:ascii="Arial" w:hAnsi="Arial" w:cs="Arial"/>
          <w:i/>
          <w:sz w:val="18"/>
          <w:szCs w:val="18"/>
          <w:lang w:val="es-CO"/>
        </w:rPr>
        <w:t>.</w:t>
      </w:r>
    </w:p>
    <w:p w:rsidR="00202861" w:rsidRPr="00A21B5C" w:rsidRDefault="00202861">
      <w:pPr>
        <w:pStyle w:val="Prrafodelista"/>
        <w:ind w:left="2160"/>
        <w:jc w:val="both"/>
        <w:rPr>
          <w:rFonts w:ascii="Arial" w:hAnsi="Arial" w:cs="Arial"/>
          <w:i/>
          <w:sz w:val="22"/>
          <w:szCs w:val="22"/>
          <w:lang w:val="es-CO"/>
        </w:rPr>
      </w:pPr>
    </w:p>
    <w:p w:rsidR="00202861" w:rsidRPr="00A21B5C" w:rsidRDefault="00202861" w:rsidP="00A21B5C">
      <w:pPr>
        <w:contextualSpacing/>
        <w:jc w:val="both"/>
        <w:rPr>
          <w:rFonts w:ascii="Arial" w:hAnsi="Arial" w:cs="Arial"/>
          <w:i/>
          <w:sz w:val="22"/>
          <w:szCs w:val="22"/>
          <w:lang w:val="es-CO"/>
        </w:rPr>
      </w:pPr>
      <w:r w:rsidRPr="00A21B5C">
        <w:rPr>
          <w:rFonts w:ascii="Arial" w:hAnsi="Arial" w:cs="Arial"/>
          <w:sz w:val="22"/>
          <w:szCs w:val="22"/>
          <w:lang w:val="es-CO"/>
        </w:rPr>
        <w:t>De igual forma se lee en los considerandos de las Minutas Contractuales que:</w:t>
      </w:r>
      <w:r w:rsidRPr="00A21B5C">
        <w:rPr>
          <w:rFonts w:ascii="Arial" w:hAnsi="Arial" w:cs="Arial"/>
          <w:i/>
          <w:sz w:val="22"/>
          <w:szCs w:val="22"/>
          <w:lang w:val="es-CO"/>
        </w:rPr>
        <w:t xml:space="preserve"> “</w:t>
      </w:r>
      <w:r w:rsidR="00693F51" w:rsidRPr="00A21B5C">
        <w:rPr>
          <w:rFonts w:ascii="Arial" w:hAnsi="Arial" w:cs="Arial"/>
          <w:i/>
          <w:sz w:val="22"/>
          <w:szCs w:val="22"/>
          <w:lang w:val="es-CO"/>
        </w:rPr>
        <w:t>[</w:t>
      </w:r>
      <w:r w:rsidRPr="00A21B5C">
        <w:rPr>
          <w:rFonts w:ascii="Arial" w:hAnsi="Arial" w:cs="Arial"/>
          <w:i/>
          <w:sz w:val="22"/>
          <w:szCs w:val="22"/>
          <w:lang w:val="es-CO"/>
        </w:rPr>
        <w:t>…</w:t>
      </w:r>
      <w:r w:rsidR="00693F51" w:rsidRPr="00A21B5C">
        <w:rPr>
          <w:rFonts w:ascii="Arial" w:hAnsi="Arial" w:cs="Arial"/>
          <w:i/>
          <w:sz w:val="22"/>
          <w:szCs w:val="22"/>
          <w:lang w:val="es-CO"/>
        </w:rPr>
        <w:t xml:space="preserve">] </w:t>
      </w:r>
      <w:r w:rsidRPr="00A21B5C">
        <w:rPr>
          <w:rFonts w:ascii="Arial" w:hAnsi="Arial" w:cs="Arial"/>
          <w:i/>
          <w:sz w:val="22"/>
          <w:szCs w:val="22"/>
          <w:lang w:val="es-CO"/>
        </w:rPr>
        <w:t xml:space="preserve">las autoridades indígenas del Resguardo Indígena Kogui – Malayo – Arhuaco escogieron las mejoras rurales </w:t>
      </w:r>
      <w:r w:rsidR="00693F51" w:rsidRPr="00A21B5C">
        <w:rPr>
          <w:rFonts w:ascii="Arial" w:hAnsi="Arial" w:cs="Arial"/>
          <w:i/>
          <w:sz w:val="22"/>
          <w:szCs w:val="22"/>
          <w:lang w:val="es-CO"/>
        </w:rPr>
        <w:t>[</w:t>
      </w:r>
      <w:r w:rsidRPr="00A21B5C">
        <w:rPr>
          <w:rFonts w:ascii="Arial" w:hAnsi="Arial" w:cs="Arial"/>
          <w:i/>
          <w:sz w:val="22"/>
          <w:szCs w:val="22"/>
          <w:lang w:val="es-CO"/>
        </w:rPr>
        <w:t>…</w:t>
      </w:r>
      <w:r w:rsidR="00693F51" w:rsidRPr="00A21B5C">
        <w:rPr>
          <w:rFonts w:ascii="Arial" w:hAnsi="Arial" w:cs="Arial"/>
          <w:i/>
          <w:sz w:val="22"/>
          <w:szCs w:val="22"/>
          <w:lang w:val="es-CO"/>
        </w:rPr>
        <w:t>]</w:t>
      </w:r>
      <w:r w:rsidRPr="00A21B5C">
        <w:rPr>
          <w:rFonts w:ascii="Arial" w:hAnsi="Arial" w:cs="Arial"/>
          <w:i/>
          <w:sz w:val="22"/>
          <w:szCs w:val="22"/>
          <w:lang w:val="es-CO"/>
        </w:rPr>
        <w:t xml:space="preserve"> entre las primeras que serían adquiridas en esta vigencia fiscal para ir saneando las áreas incluidas dentro de la ampliación delimitada por la Resolución N° 256 del INCODER que son de propiedad de particulares</w:t>
      </w:r>
      <w:r w:rsidR="00693F51" w:rsidRPr="00A21B5C">
        <w:rPr>
          <w:rFonts w:ascii="Arial" w:hAnsi="Arial" w:cs="Arial"/>
          <w:i/>
          <w:sz w:val="22"/>
          <w:szCs w:val="22"/>
          <w:lang w:val="es-CO"/>
        </w:rPr>
        <w:t xml:space="preserve"> [</w:t>
      </w:r>
      <w:r w:rsidRPr="00A21B5C">
        <w:rPr>
          <w:rFonts w:ascii="Arial" w:hAnsi="Arial" w:cs="Arial"/>
          <w:i/>
          <w:sz w:val="22"/>
          <w:szCs w:val="22"/>
          <w:lang w:val="es-CO"/>
        </w:rPr>
        <w:t>…</w:t>
      </w:r>
      <w:r w:rsidR="00693F51" w:rsidRPr="00A21B5C">
        <w:rPr>
          <w:rFonts w:ascii="Arial" w:hAnsi="Arial" w:cs="Arial"/>
          <w:i/>
          <w:sz w:val="22"/>
          <w:szCs w:val="22"/>
          <w:lang w:val="es-CO"/>
        </w:rPr>
        <w:t>]</w:t>
      </w:r>
      <w:r w:rsidRPr="00A21B5C">
        <w:rPr>
          <w:rFonts w:ascii="Arial" w:hAnsi="Arial" w:cs="Arial"/>
          <w:i/>
          <w:sz w:val="22"/>
          <w:szCs w:val="22"/>
          <w:lang w:val="es-CO"/>
        </w:rPr>
        <w:t>”</w:t>
      </w:r>
      <w:r w:rsidR="007167E0" w:rsidRPr="00A21B5C">
        <w:rPr>
          <w:rFonts w:ascii="Arial" w:hAnsi="Arial" w:cs="Arial"/>
          <w:i/>
          <w:sz w:val="22"/>
          <w:szCs w:val="22"/>
          <w:lang w:val="es-CO"/>
        </w:rPr>
        <w:t>.</w:t>
      </w:r>
    </w:p>
    <w:p w:rsidR="002006AB" w:rsidRPr="00A21B5C" w:rsidRDefault="002006AB" w:rsidP="00A21B5C">
      <w:pPr>
        <w:contextualSpacing/>
        <w:jc w:val="both"/>
        <w:rPr>
          <w:rFonts w:ascii="Arial" w:hAnsi="Arial" w:cs="Arial"/>
          <w:sz w:val="22"/>
          <w:szCs w:val="22"/>
          <w:lang w:val="es-CO"/>
        </w:rPr>
      </w:pPr>
    </w:p>
    <w:p w:rsidR="00202861" w:rsidRPr="00A21B5C" w:rsidRDefault="00202861" w:rsidP="00A21B5C">
      <w:pPr>
        <w:contextualSpacing/>
        <w:jc w:val="both"/>
        <w:rPr>
          <w:rFonts w:ascii="Arial" w:hAnsi="Arial" w:cs="Arial"/>
          <w:sz w:val="22"/>
          <w:szCs w:val="22"/>
          <w:lang w:val="es-CO"/>
        </w:rPr>
      </w:pPr>
      <w:r w:rsidRPr="00A21B5C">
        <w:rPr>
          <w:rFonts w:ascii="Arial" w:hAnsi="Arial" w:cs="Arial"/>
          <w:sz w:val="22"/>
          <w:szCs w:val="22"/>
          <w:lang w:val="es-CO"/>
        </w:rPr>
        <w:t>Así, en revisión a la Resolución N° 256 del 27 de septiembre de 2011</w:t>
      </w:r>
      <w:r w:rsidRPr="00A21B5C">
        <w:rPr>
          <w:rStyle w:val="Refdenotaalpie"/>
          <w:rFonts w:ascii="Arial" w:hAnsi="Arial" w:cs="Arial"/>
          <w:sz w:val="22"/>
          <w:szCs w:val="22"/>
          <w:lang w:val="es-CO"/>
        </w:rPr>
        <w:footnoteReference w:id="38"/>
      </w:r>
      <w:r w:rsidRPr="00A21B5C">
        <w:rPr>
          <w:rFonts w:ascii="Arial" w:hAnsi="Arial" w:cs="Arial"/>
          <w:sz w:val="22"/>
          <w:szCs w:val="22"/>
          <w:lang w:val="es-CO"/>
        </w:rPr>
        <w:t xml:space="preserve"> que se referencia en los documentos, y aportada dentro de los expedientes contractuales, se conoce en el numeral 3.5 sobre la tenencia de la tierra que:</w:t>
      </w:r>
    </w:p>
    <w:p w:rsidR="00202861" w:rsidRPr="00A21B5C" w:rsidRDefault="00202861" w:rsidP="00A21B5C">
      <w:pPr>
        <w:jc w:val="both"/>
        <w:rPr>
          <w:rFonts w:ascii="Arial" w:hAnsi="Arial" w:cs="Arial"/>
          <w:sz w:val="22"/>
          <w:szCs w:val="22"/>
          <w:lang w:val="es-CO"/>
        </w:rPr>
      </w:pPr>
    </w:p>
    <w:p w:rsidR="00202861" w:rsidRPr="00A21B5C" w:rsidRDefault="00202861" w:rsidP="00A21B5C">
      <w:pPr>
        <w:ind w:left="1416"/>
        <w:contextualSpacing/>
        <w:jc w:val="both"/>
        <w:rPr>
          <w:rFonts w:ascii="Arial" w:hAnsi="Arial" w:cs="Arial"/>
          <w:i/>
          <w:sz w:val="18"/>
          <w:szCs w:val="20"/>
        </w:rPr>
      </w:pPr>
      <w:r w:rsidRPr="00A21B5C">
        <w:rPr>
          <w:rFonts w:ascii="Arial" w:hAnsi="Arial" w:cs="Arial"/>
          <w:sz w:val="18"/>
          <w:szCs w:val="20"/>
          <w:lang w:val="es-CO"/>
        </w:rPr>
        <w:t>“</w:t>
      </w:r>
      <w:r w:rsidRPr="00A21B5C">
        <w:rPr>
          <w:rFonts w:ascii="Arial" w:hAnsi="Arial" w:cs="Arial"/>
          <w:i/>
          <w:sz w:val="18"/>
          <w:szCs w:val="20"/>
          <w:lang w:val="es-CO"/>
        </w:rPr>
        <w:t>Se delimita un área total de 30.954 hectáreas 6110 metros cuadrados dentro de la cual existen los siguientes 17 títulos de propiedad privada con 2.069 hectáreas 9.113 metros cuadrados que se excluyen, quedando para la ampliación del resguardo 28.884 hectáreas 6.997 metros cuadrados, dentro de los cuales existen 38 mejoras de colonos</w:t>
      </w:r>
      <w:r w:rsidRPr="00A21B5C">
        <w:rPr>
          <w:rFonts w:ascii="Arial" w:hAnsi="Arial" w:cs="Arial"/>
          <w:i/>
          <w:sz w:val="18"/>
          <w:szCs w:val="20"/>
        </w:rPr>
        <w:t xml:space="preserve"> o personas ajenas a la parcialidad: Antonio Ríos Gómez, Antonio Torres, Carmen Helena Mercado, Denis Macías Parra, Diana Rincón, Dionisia Rodríguez, Diosma Rueda Pallares, Duran Librera, Edelmira, Eladio Ossa, Ever Rodr</w:t>
      </w:r>
      <w:r w:rsidR="001407C3" w:rsidRPr="00A21B5C">
        <w:rPr>
          <w:rFonts w:ascii="Arial" w:hAnsi="Arial" w:cs="Arial"/>
          <w:i/>
          <w:sz w:val="18"/>
          <w:szCs w:val="20"/>
        </w:rPr>
        <w:t>í</w:t>
      </w:r>
      <w:r w:rsidRPr="00A21B5C">
        <w:rPr>
          <w:rFonts w:ascii="Arial" w:hAnsi="Arial" w:cs="Arial"/>
          <w:i/>
          <w:sz w:val="18"/>
          <w:szCs w:val="20"/>
        </w:rPr>
        <w:t>guez, Ever Rodr</w:t>
      </w:r>
      <w:r w:rsidR="001407C3" w:rsidRPr="00A21B5C">
        <w:rPr>
          <w:rFonts w:ascii="Arial" w:hAnsi="Arial" w:cs="Arial"/>
          <w:i/>
          <w:sz w:val="18"/>
          <w:szCs w:val="20"/>
        </w:rPr>
        <w:t>í</w:t>
      </w:r>
      <w:r w:rsidRPr="00A21B5C">
        <w:rPr>
          <w:rFonts w:ascii="Arial" w:hAnsi="Arial" w:cs="Arial"/>
          <w:i/>
          <w:sz w:val="18"/>
          <w:szCs w:val="20"/>
        </w:rPr>
        <w:t>guez, Filemón Zambrano, Guadalupe Patiño Muñoz, Gustavo Rangel, Héctor Escues, Héctor Julio, Horacio Rodríguez, José Francisco Manjarrez, José Gabriel Ortiz, José Reyes Ortega, Juan Bautista Arroyave, Judit Castillo, Luis Bonilla, Luis Hoyos, Luis Ramón Rincón, Luz María Arenas Correa, Manuel Nieves, María Eugenia Macías Parra, María Pérez, Marta Orozco Mido, Nelson, Nelyz Ríos Gutiérrez, Osvaldo Terán Rodríguez, Pedro Santafé, Rafael Rincón, Raúl Antonio Montes Arrieta y Wilson Garay. Las mejoras serán adquiridas por el Resguardo, mediante convenio o con recursos propios provenientes de las transferencias.”</w:t>
      </w:r>
    </w:p>
    <w:p w:rsidR="00202861" w:rsidRPr="00A21B5C" w:rsidRDefault="00202861" w:rsidP="00A21B5C">
      <w:pPr>
        <w:contextualSpacing/>
        <w:jc w:val="both"/>
        <w:rPr>
          <w:rFonts w:ascii="Arial" w:hAnsi="Arial" w:cs="Arial"/>
          <w:sz w:val="22"/>
          <w:szCs w:val="22"/>
          <w:lang w:val="es-CO"/>
        </w:rPr>
      </w:pPr>
    </w:p>
    <w:p w:rsidR="00202861" w:rsidRPr="00A21B5C" w:rsidRDefault="00202861" w:rsidP="00A21B5C">
      <w:pPr>
        <w:contextualSpacing/>
        <w:jc w:val="both"/>
        <w:rPr>
          <w:rFonts w:ascii="Arial" w:hAnsi="Arial" w:cs="Arial"/>
          <w:color w:val="000000" w:themeColor="text1"/>
          <w:sz w:val="22"/>
          <w:szCs w:val="22"/>
          <w:lang w:val="es-CO"/>
        </w:rPr>
      </w:pPr>
      <w:r w:rsidRPr="00A21B5C">
        <w:rPr>
          <w:rFonts w:ascii="Arial" w:hAnsi="Arial" w:cs="Arial"/>
          <w:sz w:val="22"/>
          <w:szCs w:val="22"/>
          <w:lang w:val="es-CO"/>
        </w:rPr>
        <w:t xml:space="preserve">De esta forma, no se identifica dentro del listado de los 38 propietarios de mejoras identificadas dentro de la ampliación del </w:t>
      </w:r>
      <w:r w:rsidR="00711A84" w:rsidRPr="00A21B5C">
        <w:rPr>
          <w:rFonts w:ascii="Arial" w:hAnsi="Arial" w:cs="Arial"/>
          <w:sz w:val="22"/>
          <w:szCs w:val="22"/>
          <w:lang w:val="es-CO"/>
        </w:rPr>
        <w:t>R</w:t>
      </w:r>
      <w:r w:rsidRPr="00A21B5C">
        <w:rPr>
          <w:rFonts w:ascii="Arial" w:hAnsi="Arial" w:cs="Arial"/>
          <w:sz w:val="22"/>
          <w:szCs w:val="22"/>
          <w:lang w:val="es-CO"/>
        </w:rPr>
        <w:t xml:space="preserve">esguardo a ser adquiridas, el nombre del señor </w:t>
      </w:r>
      <w:r w:rsidRPr="00A21B5C">
        <w:rPr>
          <w:rFonts w:ascii="Arial" w:hAnsi="Arial" w:cs="Arial"/>
          <w:sz w:val="22"/>
          <w:szCs w:val="22"/>
          <w:lang w:val="es-CO"/>
        </w:rPr>
        <w:lastRenderedPageBreak/>
        <w:t xml:space="preserve">David Manuel Flórez Polo con quien se adquirió </w:t>
      </w:r>
      <w:r w:rsidR="00F60EE1" w:rsidRPr="00A21B5C">
        <w:rPr>
          <w:rFonts w:ascii="Arial" w:hAnsi="Arial" w:cs="Arial"/>
          <w:sz w:val="22"/>
          <w:szCs w:val="22"/>
          <w:lang w:val="es-CO"/>
        </w:rPr>
        <w:t>la mejora</w:t>
      </w:r>
      <w:r w:rsidRPr="00A21B5C">
        <w:rPr>
          <w:rFonts w:ascii="Arial" w:hAnsi="Arial" w:cs="Arial"/>
          <w:sz w:val="22"/>
          <w:szCs w:val="22"/>
          <w:lang w:val="es-CO"/>
        </w:rPr>
        <w:t xml:space="preserve"> “</w:t>
      </w:r>
      <w:r w:rsidR="00100DED" w:rsidRPr="00A21B5C">
        <w:rPr>
          <w:rFonts w:ascii="Arial" w:hAnsi="Arial" w:cs="Arial"/>
          <w:i/>
          <w:iCs/>
          <w:sz w:val="22"/>
          <w:szCs w:val="22"/>
          <w:lang w:val="es-CO"/>
        </w:rPr>
        <w:t>Jerusalén</w:t>
      </w:r>
      <w:r w:rsidRPr="00A21B5C">
        <w:rPr>
          <w:rFonts w:ascii="Arial" w:hAnsi="Arial" w:cs="Arial"/>
          <w:i/>
          <w:iCs/>
          <w:sz w:val="22"/>
          <w:szCs w:val="22"/>
          <w:lang w:val="es-CO"/>
        </w:rPr>
        <w:t xml:space="preserve"> I</w:t>
      </w:r>
      <w:r w:rsidRPr="00A21B5C">
        <w:rPr>
          <w:rFonts w:ascii="Arial" w:hAnsi="Arial" w:cs="Arial"/>
          <w:sz w:val="22"/>
          <w:szCs w:val="22"/>
          <w:lang w:val="es-CO"/>
        </w:rPr>
        <w:t xml:space="preserve">”. No obstante, se identifica el nombre del señor Héctor Escue, quien se relaciona como el anterior propietario de la mejora, de acuerdo con lo </w:t>
      </w:r>
      <w:r w:rsidR="00711A84" w:rsidRPr="00A21B5C">
        <w:rPr>
          <w:rFonts w:ascii="Arial" w:hAnsi="Arial" w:cs="Arial"/>
          <w:sz w:val="22"/>
          <w:szCs w:val="22"/>
          <w:lang w:val="es-CO"/>
        </w:rPr>
        <w:t>consignado</w:t>
      </w:r>
      <w:r w:rsidRPr="00A21B5C">
        <w:rPr>
          <w:rFonts w:ascii="Arial" w:hAnsi="Arial" w:cs="Arial"/>
          <w:sz w:val="22"/>
          <w:szCs w:val="22"/>
          <w:lang w:val="es-CO"/>
        </w:rPr>
        <w:t xml:space="preserve"> en la cláusula </w:t>
      </w:r>
      <w:r w:rsidR="00FA5C15" w:rsidRPr="00A21B5C">
        <w:rPr>
          <w:rFonts w:ascii="Arial" w:hAnsi="Arial" w:cs="Arial"/>
          <w:sz w:val="22"/>
          <w:szCs w:val="22"/>
          <w:lang w:val="es-CO"/>
        </w:rPr>
        <w:t>segunda</w:t>
      </w:r>
      <w:r w:rsidRPr="00A21B5C">
        <w:rPr>
          <w:rFonts w:ascii="Arial" w:hAnsi="Arial" w:cs="Arial"/>
          <w:sz w:val="22"/>
          <w:szCs w:val="22"/>
          <w:lang w:val="es-CO"/>
        </w:rPr>
        <w:t xml:space="preserve"> del </w:t>
      </w:r>
      <w:r w:rsidRPr="00A21B5C">
        <w:rPr>
          <w:rFonts w:ascii="Arial" w:hAnsi="Arial" w:cs="Arial"/>
          <w:color w:val="000000" w:themeColor="text1"/>
          <w:sz w:val="22"/>
          <w:szCs w:val="22"/>
          <w:lang w:val="es-CO"/>
        </w:rPr>
        <w:t>Contrato de Compraventa de N° 004 de 2017</w:t>
      </w:r>
      <w:r w:rsidR="00206F9C" w:rsidRPr="00A21B5C">
        <w:rPr>
          <w:rFonts w:ascii="Arial" w:hAnsi="Arial" w:cs="Arial"/>
          <w:color w:val="000000" w:themeColor="text1"/>
          <w:sz w:val="22"/>
          <w:szCs w:val="22"/>
          <w:lang w:val="es-CO"/>
        </w:rPr>
        <w:t>.</w:t>
      </w:r>
    </w:p>
    <w:p w:rsidR="00202861" w:rsidRPr="00A21B5C" w:rsidRDefault="00202861" w:rsidP="00A21B5C">
      <w:pPr>
        <w:contextualSpacing/>
        <w:jc w:val="both"/>
        <w:rPr>
          <w:rFonts w:ascii="Arial" w:hAnsi="Arial" w:cs="Arial"/>
          <w:color w:val="000000" w:themeColor="text1"/>
          <w:sz w:val="22"/>
          <w:szCs w:val="22"/>
          <w:lang w:val="es-CO"/>
        </w:rPr>
      </w:pPr>
    </w:p>
    <w:p w:rsidR="00202861" w:rsidRPr="00A21B5C" w:rsidRDefault="00202861" w:rsidP="00A21B5C">
      <w:pPr>
        <w:contextualSpacing/>
        <w:jc w:val="both"/>
        <w:rPr>
          <w:rFonts w:ascii="Arial" w:hAnsi="Arial" w:cs="Arial"/>
          <w:color w:val="000000" w:themeColor="text1"/>
          <w:sz w:val="20"/>
          <w:szCs w:val="22"/>
          <w:lang w:val="es-CO"/>
        </w:rPr>
      </w:pPr>
      <w:r w:rsidRPr="00A21B5C">
        <w:rPr>
          <w:rFonts w:ascii="Arial" w:hAnsi="Arial" w:cs="Arial"/>
          <w:color w:val="000000" w:themeColor="text1"/>
          <w:sz w:val="22"/>
          <w:szCs w:val="22"/>
          <w:lang w:val="es-CO"/>
        </w:rPr>
        <w:t xml:space="preserve">Así mismo, respecto a la mejora </w:t>
      </w:r>
      <w:r w:rsidRPr="00A21B5C">
        <w:rPr>
          <w:rFonts w:ascii="Arial" w:hAnsi="Arial" w:cs="Arial"/>
          <w:i/>
          <w:color w:val="000000" w:themeColor="text1"/>
          <w:sz w:val="22"/>
          <w:szCs w:val="22"/>
          <w:lang w:val="es-CO"/>
        </w:rPr>
        <w:t>“El Guaisimito”</w:t>
      </w:r>
      <w:r w:rsidRPr="00A21B5C">
        <w:rPr>
          <w:rFonts w:ascii="Arial" w:hAnsi="Arial" w:cs="Arial"/>
          <w:color w:val="000000" w:themeColor="text1"/>
          <w:sz w:val="22"/>
          <w:szCs w:val="22"/>
          <w:lang w:val="es-CO"/>
        </w:rPr>
        <w:t>, no se identifica dentro de dicho listado, el nombre del señor Luis Camilo Valdeblanquez Mena, ni de su anterior propietario Eugenio Gregorio Sierra Mejía, de acuerdo con el documento de Compraventa Nº 5975722 del 12 de junio del 1996, presentado por el Vendedor Valdeblanquez para acreditar la posesión del título.</w:t>
      </w:r>
    </w:p>
    <w:p w:rsidR="00202861" w:rsidRPr="00A21B5C" w:rsidRDefault="00202861" w:rsidP="00A21B5C">
      <w:pPr>
        <w:contextualSpacing/>
        <w:jc w:val="both"/>
        <w:rPr>
          <w:rFonts w:ascii="Arial" w:hAnsi="Arial" w:cs="Arial"/>
          <w:i/>
          <w:color w:val="000000" w:themeColor="text1"/>
          <w:sz w:val="22"/>
          <w:szCs w:val="22"/>
          <w:lang w:val="es-CO"/>
        </w:rPr>
      </w:pPr>
    </w:p>
    <w:p w:rsidR="00202861" w:rsidRPr="00A21B5C" w:rsidRDefault="00202861" w:rsidP="00A21B5C">
      <w:pPr>
        <w:contextualSpacing/>
        <w:jc w:val="both"/>
        <w:rPr>
          <w:rFonts w:ascii="Arial" w:hAnsi="Arial" w:cs="Arial"/>
          <w:i/>
          <w:color w:val="000000" w:themeColor="text1"/>
          <w:sz w:val="22"/>
          <w:szCs w:val="22"/>
          <w:lang w:val="es-CO"/>
        </w:rPr>
      </w:pPr>
      <w:r w:rsidRPr="00A21B5C">
        <w:rPr>
          <w:rFonts w:ascii="Arial" w:hAnsi="Arial" w:cs="Arial"/>
          <w:color w:val="000000" w:themeColor="text1"/>
          <w:sz w:val="22"/>
          <w:szCs w:val="22"/>
          <w:lang w:val="es-CO"/>
        </w:rPr>
        <w:t>De igual forma, tampoco se identifica el nombre del señor David Manuel Flórez Polo, quien era el propietario de las mejor</w:t>
      </w:r>
      <w:r w:rsidR="0004650F" w:rsidRPr="00A21B5C">
        <w:rPr>
          <w:rFonts w:ascii="Arial" w:hAnsi="Arial" w:cs="Arial"/>
          <w:color w:val="000000" w:themeColor="text1"/>
          <w:sz w:val="22"/>
          <w:szCs w:val="22"/>
          <w:lang w:val="es-CO"/>
        </w:rPr>
        <w:t>as</w:t>
      </w:r>
      <w:r w:rsidRPr="00A21B5C">
        <w:rPr>
          <w:rFonts w:ascii="Arial" w:hAnsi="Arial" w:cs="Arial"/>
          <w:color w:val="000000" w:themeColor="text1"/>
          <w:sz w:val="22"/>
          <w:szCs w:val="22"/>
          <w:lang w:val="es-CO"/>
        </w:rPr>
        <w:t xml:space="preserve"> </w:t>
      </w:r>
      <w:r w:rsidRPr="00A21B5C">
        <w:rPr>
          <w:rFonts w:ascii="Arial" w:hAnsi="Arial" w:cs="Arial"/>
          <w:i/>
          <w:color w:val="000000" w:themeColor="text1"/>
          <w:sz w:val="22"/>
          <w:szCs w:val="22"/>
          <w:lang w:val="es-CO"/>
        </w:rPr>
        <w:t>“</w:t>
      </w:r>
      <w:r w:rsidR="00100DED" w:rsidRPr="00A21B5C">
        <w:rPr>
          <w:rFonts w:ascii="Arial" w:hAnsi="Arial" w:cs="Arial"/>
          <w:i/>
          <w:color w:val="000000" w:themeColor="text1"/>
          <w:sz w:val="22"/>
          <w:szCs w:val="22"/>
          <w:lang w:val="es-CO"/>
        </w:rPr>
        <w:t>Jerusalén</w:t>
      </w:r>
      <w:r w:rsidRPr="00A21B5C">
        <w:rPr>
          <w:rFonts w:ascii="Arial" w:hAnsi="Arial" w:cs="Arial"/>
          <w:i/>
          <w:color w:val="000000" w:themeColor="text1"/>
          <w:sz w:val="22"/>
          <w:szCs w:val="22"/>
          <w:lang w:val="es-CO"/>
        </w:rPr>
        <w:t xml:space="preserve"> II” y “El Paujil” </w:t>
      </w:r>
      <w:r w:rsidRPr="00A21B5C">
        <w:rPr>
          <w:rFonts w:ascii="Arial" w:hAnsi="Arial" w:cs="Arial"/>
          <w:color w:val="000000" w:themeColor="text1"/>
          <w:sz w:val="22"/>
          <w:szCs w:val="22"/>
          <w:lang w:val="es-CO"/>
        </w:rPr>
        <w:t>antes de que fuera</w:t>
      </w:r>
      <w:r w:rsidR="005A1810" w:rsidRPr="00A21B5C">
        <w:rPr>
          <w:rFonts w:ascii="Arial" w:hAnsi="Arial" w:cs="Arial"/>
          <w:color w:val="000000" w:themeColor="text1"/>
          <w:sz w:val="22"/>
          <w:szCs w:val="22"/>
          <w:lang w:val="es-CO"/>
        </w:rPr>
        <w:t>n</w:t>
      </w:r>
      <w:r w:rsidRPr="00A21B5C">
        <w:rPr>
          <w:rFonts w:ascii="Arial" w:hAnsi="Arial" w:cs="Arial"/>
          <w:color w:val="000000" w:themeColor="text1"/>
          <w:sz w:val="22"/>
          <w:szCs w:val="22"/>
          <w:lang w:val="es-CO"/>
        </w:rPr>
        <w:t xml:space="preserve"> comprado</w:t>
      </w:r>
      <w:r w:rsidR="005A1810" w:rsidRPr="00A21B5C">
        <w:rPr>
          <w:rFonts w:ascii="Arial" w:hAnsi="Arial" w:cs="Arial"/>
          <w:color w:val="000000" w:themeColor="text1"/>
          <w:sz w:val="22"/>
          <w:szCs w:val="22"/>
          <w:lang w:val="es-CO"/>
        </w:rPr>
        <w:t>s</w:t>
      </w:r>
      <w:r w:rsidRPr="00A21B5C">
        <w:rPr>
          <w:rFonts w:ascii="Arial" w:hAnsi="Arial" w:cs="Arial"/>
          <w:color w:val="000000" w:themeColor="text1"/>
          <w:sz w:val="22"/>
          <w:szCs w:val="22"/>
          <w:lang w:val="es-CO"/>
        </w:rPr>
        <w:t xml:space="preserve"> por parte del señor José Domingo Barandica Amar</w:t>
      </w:r>
      <w:r w:rsidR="0004650F" w:rsidRPr="00A21B5C">
        <w:rPr>
          <w:rFonts w:ascii="Arial" w:hAnsi="Arial" w:cs="Arial"/>
          <w:color w:val="000000" w:themeColor="text1"/>
          <w:sz w:val="22"/>
          <w:szCs w:val="22"/>
          <w:lang w:val="es-CO"/>
        </w:rPr>
        <w:t>í</w:t>
      </w:r>
      <w:r w:rsidRPr="00A21B5C">
        <w:rPr>
          <w:rFonts w:ascii="Arial" w:hAnsi="Arial" w:cs="Arial"/>
          <w:color w:val="000000" w:themeColor="text1"/>
          <w:sz w:val="22"/>
          <w:szCs w:val="22"/>
          <w:lang w:val="es-CO"/>
        </w:rPr>
        <w:t>s y Yelenis Yiseth Bet</w:t>
      </w:r>
      <w:r w:rsidR="0004650F" w:rsidRPr="00A21B5C">
        <w:rPr>
          <w:rFonts w:ascii="Arial" w:hAnsi="Arial" w:cs="Arial"/>
          <w:color w:val="000000" w:themeColor="text1"/>
          <w:sz w:val="22"/>
          <w:szCs w:val="22"/>
          <w:lang w:val="es-CO"/>
        </w:rPr>
        <w:t>í</w:t>
      </w:r>
      <w:r w:rsidRPr="00A21B5C">
        <w:rPr>
          <w:rFonts w:ascii="Arial" w:hAnsi="Arial" w:cs="Arial"/>
          <w:color w:val="000000" w:themeColor="text1"/>
          <w:sz w:val="22"/>
          <w:szCs w:val="22"/>
          <w:lang w:val="es-CO"/>
        </w:rPr>
        <w:t>n Pacheco, respectivamente, con quienes se realiz</w:t>
      </w:r>
      <w:r w:rsidR="0004650F" w:rsidRPr="00A21B5C">
        <w:rPr>
          <w:rFonts w:ascii="Arial" w:hAnsi="Arial" w:cs="Arial"/>
          <w:color w:val="000000" w:themeColor="text1"/>
          <w:sz w:val="22"/>
          <w:szCs w:val="22"/>
          <w:lang w:val="es-CO"/>
        </w:rPr>
        <w:t>aron</w:t>
      </w:r>
      <w:r w:rsidRPr="00A21B5C">
        <w:rPr>
          <w:rFonts w:ascii="Arial" w:hAnsi="Arial" w:cs="Arial"/>
          <w:color w:val="000000" w:themeColor="text1"/>
          <w:sz w:val="22"/>
          <w:szCs w:val="22"/>
          <w:lang w:val="es-CO"/>
        </w:rPr>
        <w:t xml:space="preserve"> los Contratos de Compraventa; esto, teniendo en cuenta que la Resolución 256 data del año 2011, mientras que las compra por parte de estos últimos se dio en el año 2016 y 2014, de acuerdo con lo expresado en la cláusula </w:t>
      </w:r>
      <w:r w:rsidR="000E1FB3" w:rsidRPr="00A21B5C">
        <w:rPr>
          <w:rFonts w:ascii="Arial" w:hAnsi="Arial" w:cs="Arial"/>
          <w:color w:val="000000" w:themeColor="text1"/>
          <w:sz w:val="22"/>
          <w:szCs w:val="22"/>
          <w:lang w:val="es-CO"/>
        </w:rPr>
        <w:t>segunda</w:t>
      </w:r>
      <w:r w:rsidRPr="00A21B5C">
        <w:rPr>
          <w:rFonts w:ascii="Arial" w:hAnsi="Arial" w:cs="Arial"/>
          <w:color w:val="000000" w:themeColor="text1"/>
          <w:sz w:val="22"/>
          <w:szCs w:val="22"/>
          <w:lang w:val="es-CO"/>
        </w:rPr>
        <w:t xml:space="preserve"> de </w:t>
      </w:r>
      <w:r w:rsidR="00693F51" w:rsidRPr="00A21B5C">
        <w:rPr>
          <w:rFonts w:ascii="Arial" w:hAnsi="Arial" w:cs="Arial"/>
          <w:color w:val="000000" w:themeColor="text1"/>
          <w:sz w:val="22"/>
          <w:szCs w:val="22"/>
          <w:lang w:val="es-CO"/>
        </w:rPr>
        <w:t>los Contratos</w:t>
      </w:r>
      <w:r w:rsidRPr="00A21B5C">
        <w:rPr>
          <w:rFonts w:ascii="Arial" w:hAnsi="Arial" w:cs="Arial"/>
          <w:i/>
          <w:color w:val="000000" w:themeColor="text1"/>
          <w:sz w:val="22"/>
          <w:szCs w:val="22"/>
          <w:lang w:val="es-CO"/>
        </w:rPr>
        <w:t xml:space="preserve"> </w:t>
      </w:r>
      <w:r w:rsidRPr="00A21B5C">
        <w:rPr>
          <w:rFonts w:ascii="Arial" w:hAnsi="Arial" w:cs="Arial"/>
          <w:iCs/>
          <w:color w:val="000000" w:themeColor="text1"/>
          <w:sz w:val="22"/>
          <w:szCs w:val="22"/>
          <w:lang w:val="es-CO"/>
        </w:rPr>
        <w:t>de Compraventa de N° 002 de 201</w:t>
      </w:r>
      <w:r w:rsidR="002941F9" w:rsidRPr="00A21B5C">
        <w:rPr>
          <w:rFonts w:ascii="Arial" w:hAnsi="Arial" w:cs="Arial"/>
          <w:iCs/>
          <w:color w:val="000000" w:themeColor="text1"/>
          <w:sz w:val="22"/>
          <w:szCs w:val="22"/>
          <w:lang w:val="es-CO"/>
        </w:rPr>
        <w:t>8</w:t>
      </w:r>
      <w:r w:rsidRPr="00A21B5C">
        <w:rPr>
          <w:rFonts w:ascii="Arial" w:hAnsi="Arial" w:cs="Arial"/>
          <w:iCs/>
          <w:color w:val="000000" w:themeColor="text1"/>
          <w:sz w:val="22"/>
          <w:szCs w:val="22"/>
          <w:lang w:val="es-CO"/>
        </w:rPr>
        <w:t xml:space="preserve"> y N° 001 de 2019</w:t>
      </w:r>
      <w:r w:rsidR="00123AE4" w:rsidRPr="00A21B5C">
        <w:rPr>
          <w:rFonts w:ascii="Arial" w:hAnsi="Arial" w:cs="Arial"/>
          <w:iCs/>
          <w:color w:val="000000" w:themeColor="text1"/>
          <w:sz w:val="22"/>
          <w:szCs w:val="22"/>
          <w:lang w:val="es-CO"/>
        </w:rPr>
        <w:t>.</w:t>
      </w:r>
    </w:p>
    <w:p w:rsidR="00C309CD" w:rsidRPr="00A21B5C" w:rsidRDefault="00C309CD" w:rsidP="00A21B5C">
      <w:pPr>
        <w:contextualSpacing/>
        <w:jc w:val="both"/>
        <w:rPr>
          <w:rFonts w:ascii="Arial" w:hAnsi="Arial" w:cs="Arial"/>
          <w:i/>
          <w:color w:val="000000" w:themeColor="text1"/>
          <w:sz w:val="22"/>
          <w:szCs w:val="22"/>
          <w:lang w:val="es-CO"/>
        </w:rPr>
      </w:pPr>
    </w:p>
    <w:p w:rsidR="00C309CD" w:rsidRPr="00A21B5C" w:rsidRDefault="00823F2A" w:rsidP="00A21B5C">
      <w:pPr>
        <w:contextualSpacing/>
        <w:jc w:val="both"/>
        <w:rPr>
          <w:rFonts w:ascii="Arial" w:hAnsi="Arial" w:cs="Arial"/>
          <w:color w:val="000000" w:themeColor="text1"/>
          <w:sz w:val="22"/>
          <w:szCs w:val="22"/>
          <w:lang w:val="es-CO"/>
        </w:rPr>
      </w:pPr>
      <w:r w:rsidRPr="00A21B5C">
        <w:rPr>
          <w:rFonts w:ascii="Arial" w:hAnsi="Arial" w:cs="Arial"/>
          <w:color w:val="000000" w:themeColor="text1"/>
          <w:sz w:val="22"/>
          <w:szCs w:val="22"/>
          <w:lang w:val="es-CO"/>
        </w:rPr>
        <w:t>En el mismo sentido</w:t>
      </w:r>
      <w:r w:rsidR="00C309CD" w:rsidRPr="00A21B5C">
        <w:rPr>
          <w:rFonts w:ascii="Arial" w:hAnsi="Arial" w:cs="Arial"/>
          <w:color w:val="000000" w:themeColor="text1"/>
          <w:sz w:val="22"/>
          <w:szCs w:val="22"/>
          <w:lang w:val="es-CO"/>
        </w:rPr>
        <w:t xml:space="preserve">, se </w:t>
      </w:r>
      <w:r w:rsidR="00BE715B" w:rsidRPr="00A21B5C">
        <w:rPr>
          <w:rFonts w:ascii="Arial" w:hAnsi="Arial" w:cs="Arial"/>
          <w:color w:val="000000" w:themeColor="text1"/>
          <w:sz w:val="22"/>
          <w:szCs w:val="22"/>
          <w:lang w:val="es-CO"/>
        </w:rPr>
        <w:t>identificó</w:t>
      </w:r>
      <w:r w:rsidR="00C309CD" w:rsidRPr="00A21B5C">
        <w:rPr>
          <w:rFonts w:ascii="Arial" w:hAnsi="Arial" w:cs="Arial"/>
          <w:color w:val="000000" w:themeColor="text1"/>
          <w:sz w:val="22"/>
          <w:szCs w:val="22"/>
          <w:lang w:val="es-CO"/>
        </w:rPr>
        <w:t xml:space="preserve"> que </w:t>
      </w:r>
      <w:r w:rsidR="00E651A8" w:rsidRPr="00A21B5C">
        <w:rPr>
          <w:rFonts w:ascii="Arial" w:hAnsi="Arial" w:cs="Arial"/>
          <w:color w:val="000000" w:themeColor="text1"/>
          <w:sz w:val="22"/>
          <w:szCs w:val="22"/>
          <w:lang w:val="es-CO"/>
        </w:rPr>
        <w:t xml:space="preserve">dentro de </w:t>
      </w:r>
      <w:r w:rsidR="00C309CD" w:rsidRPr="00A21B5C">
        <w:rPr>
          <w:rFonts w:ascii="Arial" w:hAnsi="Arial" w:cs="Arial"/>
          <w:color w:val="000000" w:themeColor="text1"/>
          <w:sz w:val="22"/>
          <w:szCs w:val="22"/>
          <w:lang w:val="es-CO"/>
        </w:rPr>
        <w:t xml:space="preserve">la Resolución 256 de 2011 </w:t>
      </w:r>
      <w:r w:rsidR="000F4CBC" w:rsidRPr="00A21B5C">
        <w:rPr>
          <w:rFonts w:ascii="Arial" w:hAnsi="Arial" w:cs="Arial"/>
          <w:color w:val="000000" w:themeColor="text1"/>
          <w:sz w:val="22"/>
          <w:szCs w:val="22"/>
          <w:lang w:val="es-CO"/>
        </w:rPr>
        <w:t xml:space="preserve">en donde se </w:t>
      </w:r>
      <w:r w:rsidR="008A0420" w:rsidRPr="00A21B5C">
        <w:rPr>
          <w:rFonts w:ascii="Arial" w:hAnsi="Arial" w:cs="Arial"/>
          <w:color w:val="000000" w:themeColor="text1"/>
          <w:sz w:val="22"/>
          <w:szCs w:val="22"/>
          <w:lang w:val="es-CO"/>
        </w:rPr>
        <w:t>enlistan</w:t>
      </w:r>
      <w:r w:rsidR="000F4CBC" w:rsidRPr="00A21B5C">
        <w:rPr>
          <w:rFonts w:ascii="Arial" w:hAnsi="Arial" w:cs="Arial"/>
          <w:color w:val="000000" w:themeColor="text1"/>
          <w:sz w:val="22"/>
          <w:szCs w:val="22"/>
          <w:lang w:val="es-CO"/>
        </w:rPr>
        <w:t xml:space="preserve"> los</w:t>
      </w:r>
      <w:r w:rsidR="00C309CD" w:rsidRPr="00A21B5C">
        <w:rPr>
          <w:rFonts w:ascii="Arial" w:hAnsi="Arial" w:cs="Arial"/>
          <w:color w:val="000000" w:themeColor="text1"/>
          <w:sz w:val="22"/>
          <w:szCs w:val="22"/>
          <w:lang w:val="es-CO"/>
        </w:rPr>
        <w:t xml:space="preserve"> 17 títulos</w:t>
      </w:r>
      <w:r w:rsidR="00B07295" w:rsidRPr="00A21B5C">
        <w:rPr>
          <w:rFonts w:ascii="Arial" w:hAnsi="Arial" w:cs="Arial"/>
          <w:color w:val="000000" w:themeColor="text1"/>
          <w:sz w:val="22"/>
          <w:szCs w:val="22"/>
          <w:lang w:val="es-CO"/>
        </w:rPr>
        <w:t xml:space="preserve"> que fueron excluidos de la ampliación del resguardo por ser</w:t>
      </w:r>
      <w:r w:rsidR="00C309CD" w:rsidRPr="00A21B5C">
        <w:rPr>
          <w:rFonts w:ascii="Arial" w:hAnsi="Arial" w:cs="Arial"/>
          <w:color w:val="000000" w:themeColor="text1"/>
          <w:sz w:val="22"/>
          <w:szCs w:val="22"/>
          <w:lang w:val="es-CO"/>
        </w:rPr>
        <w:t xml:space="preserve"> de propiedad privada </w:t>
      </w:r>
      <w:r w:rsidR="008A0420" w:rsidRPr="00A21B5C">
        <w:rPr>
          <w:rFonts w:ascii="Arial" w:hAnsi="Arial" w:cs="Arial"/>
          <w:color w:val="000000" w:themeColor="text1"/>
          <w:sz w:val="22"/>
          <w:szCs w:val="22"/>
          <w:lang w:val="es-CO"/>
        </w:rPr>
        <w:t>no figura el</w:t>
      </w:r>
      <w:r w:rsidR="00C309CD" w:rsidRPr="00A21B5C">
        <w:rPr>
          <w:rFonts w:ascii="Arial" w:hAnsi="Arial" w:cs="Arial"/>
          <w:color w:val="000000" w:themeColor="text1"/>
          <w:sz w:val="22"/>
          <w:szCs w:val="22"/>
          <w:lang w:val="es-CO"/>
        </w:rPr>
        <w:t xml:space="preserve"> </w:t>
      </w:r>
      <w:r w:rsidR="00FF47D7" w:rsidRPr="00A21B5C">
        <w:rPr>
          <w:rFonts w:ascii="Arial" w:hAnsi="Arial" w:cs="Arial"/>
          <w:color w:val="000000" w:themeColor="text1"/>
          <w:sz w:val="22"/>
          <w:szCs w:val="22"/>
          <w:lang w:val="es-CO"/>
        </w:rPr>
        <w:t>p</w:t>
      </w:r>
      <w:r w:rsidR="00C309CD" w:rsidRPr="00A21B5C">
        <w:rPr>
          <w:rFonts w:ascii="Arial" w:hAnsi="Arial" w:cs="Arial"/>
          <w:color w:val="000000" w:themeColor="text1"/>
          <w:sz w:val="22"/>
          <w:szCs w:val="22"/>
          <w:lang w:val="es-CO"/>
        </w:rPr>
        <w:t xml:space="preserve">redio </w:t>
      </w:r>
      <w:r w:rsidR="00C309CD" w:rsidRPr="00A21B5C">
        <w:rPr>
          <w:rFonts w:ascii="Arial" w:hAnsi="Arial" w:cs="Arial"/>
          <w:i/>
          <w:color w:val="000000" w:themeColor="text1"/>
          <w:sz w:val="22"/>
          <w:szCs w:val="22"/>
          <w:lang w:val="es-CO"/>
        </w:rPr>
        <w:t>“La Estrella”</w:t>
      </w:r>
      <w:r w:rsidR="00FF554A" w:rsidRPr="00A21B5C">
        <w:rPr>
          <w:rFonts w:ascii="Arial" w:hAnsi="Arial" w:cs="Arial"/>
          <w:color w:val="000000" w:themeColor="text1"/>
          <w:sz w:val="22"/>
          <w:szCs w:val="22"/>
          <w:lang w:val="es-CO"/>
        </w:rPr>
        <w:t>, que fue adquirido</w:t>
      </w:r>
      <w:r w:rsidR="00F759D0" w:rsidRPr="00A21B5C">
        <w:rPr>
          <w:rFonts w:ascii="Arial" w:hAnsi="Arial" w:cs="Arial"/>
          <w:color w:val="000000" w:themeColor="text1"/>
          <w:sz w:val="22"/>
          <w:szCs w:val="22"/>
          <w:lang w:val="es-CO"/>
        </w:rPr>
        <w:t xml:space="preserve"> con este fin</w:t>
      </w:r>
      <w:r w:rsidR="00FF554A" w:rsidRPr="00A21B5C">
        <w:rPr>
          <w:rFonts w:ascii="Arial" w:hAnsi="Arial" w:cs="Arial"/>
          <w:color w:val="000000" w:themeColor="text1"/>
          <w:sz w:val="22"/>
          <w:szCs w:val="22"/>
          <w:lang w:val="es-CO"/>
        </w:rPr>
        <w:t xml:space="preserve"> de acuerdo con el Contrato de Compraventa N° 010 de 2017.</w:t>
      </w:r>
    </w:p>
    <w:p w:rsidR="00C309CD" w:rsidRPr="00A21B5C" w:rsidRDefault="00C309CD" w:rsidP="00A21B5C">
      <w:pPr>
        <w:contextualSpacing/>
        <w:jc w:val="both"/>
        <w:rPr>
          <w:rFonts w:ascii="Arial" w:hAnsi="Arial" w:cs="Arial"/>
          <w:color w:val="000000" w:themeColor="text1"/>
          <w:sz w:val="22"/>
          <w:szCs w:val="22"/>
          <w:lang w:val="es-CO"/>
        </w:rPr>
      </w:pPr>
    </w:p>
    <w:p w:rsidR="000B4144" w:rsidRPr="00A21B5C" w:rsidRDefault="00BE728C" w:rsidP="00A21B5C">
      <w:pPr>
        <w:contextualSpacing/>
        <w:jc w:val="both"/>
        <w:rPr>
          <w:rFonts w:ascii="Arial" w:hAnsi="Arial" w:cs="Arial"/>
          <w:color w:val="000000" w:themeColor="text1"/>
          <w:sz w:val="22"/>
          <w:szCs w:val="22"/>
          <w:lang w:val="es-CO"/>
        </w:rPr>
      </w:pPr>
      <w:r w:rsidRPr="00A21B5C">
        <w:rPr>
          <w:rFonts w:ascii="Arial" w:hAnsi="Arial" w:cs="Arial"/>
          <w:color w:val="000000" w:themeColor="text1"/>
          <w:sz w:val="22"/>
          <w:szCs w:val="22"/>
          <w:lang w:val="es-CO"/>
        </w:rPr>
        <w:t>Así</w:t>
      </w:r>
      <w:r w:rsidR="000B4144" w:rsidRPr="00A21B5C">
        <w:rPr>
          <w:rFonts w:ascii="Arial" w:hAnsi="Arial" w:cs="Arial"/>
          <w:color w:val="000000" w:themeColor="text1"/>
          <w:sz w:val="22"/>
          <w:szCs w:val="22"/>
          <w:lang w:val="es-CO"/>
        </w:rPr>
        <w:t xml:space="preserve"> las cosas, </w:t>
      </w:r>
      <w:r w:rsidR="006D1DDC" w:rsidRPr="00A21B5C">
        <w:rPr>
          <w:rFonts w:ascii="Arial" w:hAnsi="Arial" w:cs="Arial"/>
          <w:color w:val="000000" w:themeColor="text1"/>
          <w:sz w:val="22"/>
          <w:szCs w:val="22"/>
          <w:lang w:val="es-CO"/>
        </w:rPr>
        <w:t xml:space="preserve">no queda claro </w:t>
      </w:r>
      <w:r w:rsidR="000B4144" w:rsidRPr="00A21B5C">
        <w:rPr>
          <w:rFonts w:ascii="Arial" w:hAnsi="Arial" w:cs="Arial"/>
          <w:color w:val="000000" w:themeColor="text1"/>
          <w:sz w:val="22"/>
          <w:szCs w:val="22"/>
          <w:lang w:val="es-CO"/>
        </w:rPr>
        <w:t>cuál</w:t>
      </w:r>
      <w:r w:rsidR="006D1DDC" w:rsidRPr="00A21B5C">
        <w:rPr>
          <w:rFonts w:ascii="Arial" w:hAnsi="Arial" w:cs="Arial"/>
          <w:color w:val="000000" w:themeColor="text1"/>
          <w:sz w:val="22"/>
          <w:szCs w:val="22"/>
          <w:lang w:val="es-CO"/>
        </w:rPr>
        <w:t xml:space="preserve"> fue </w:t>
      </w:r>
      <w:r w:rsidR="000B4144" w:rsidRPr="00A21B5C">
        <w:rPr>
          <w:rFonts w:ascii="Arial" w:hAnsi="Arial" w:cs="Arial"/>
          <w:color w:val="000000" w:themeColor="text1"/>
          <w:sz w:val="22"/>
          <w:szCs w:val="22"/>
          <w:lang w:val="es-CO"/>
        </w:rPr>
        <w:t xml:space="preserve">el criterio de priorización </w:t>
      </w:r>
      <w:r w:rsidR="00BB09EA" w:rsidRPr="00A21B5C">
        <w:rPr>
          <w:rFonts w:ascii="Arial" w:hAnsi="Arial" w:cs="Arial"/>
          <w:color w:val="000000" w:themeColor="text1"/>
          <w:sz w:val="22"/>
          <w:szCs w:val="22"/>
          <w:lang w:val="es-CO"/>
        </w:rPr>
        <w:t xml:space="preserve">aplicado </w:t>
      </w:r>
      <w:r w:rsidR="000B4144" w:rsidRPr="00A21B5C">
        <w:rPr>
          <w:rFonts w:ascii="Arial" w:hAnsi="Arial" w:cs="Arial"/>
          <w:color w:val="000000" w:themeColor="text1"/>
          <w:sz w:val="22"/>
          <w:szCs w:val="22"/>
          <w:lang w:val="es-CO"/>
        </w:rPr>
        <w:t>para la adquisición de predios</w:t>
      </w:r>
      <w:r w:rsidR="00FF47D7" w:rsidRPr="00A21B5C">
        <w:rPr>
          <w:rFonts w:ascii="Arial" w:hAnsi="Arial" w:cs="Arial"/>
          <w:color w:val="000000" w:themeColor="text1"/>
          <w:sz w:val="22"/>
          <w:szCs w:val="22"/>
          <w:lang w:val="es-CO"/>
        </w:rPr>
        <w:t xml:space="preserve"> y mejoras</w:t>
      </w:r>
      <w:r w:rsidR="00BB09EA" w:rsidRPr="00A21B5C">
        <w:rPr>
          <w:rFonts w:ascii="Arial" w:hAnsi="Arial" w:cs="Arial"/>
          <w:color w:val="000000" w:themeColor="text1"/>
          <w:sz w:val="22"/>
          <w:szCs w:val="22"/>
          <w:lang w:val="es-CO"/>
        </w:rPr>
        <w:t xml:space="preserve">, ya que </w:t>
      </w:r>
      <w:r w:rsidR="00D60DE7" w:rsidRPr="00A21B5C">
        <w:rPr>
          <w:rFonts w:ascii="Arial" w:hAnsi="Arial" w:cs="Arial"/>
          <w:color w:val="000000" w:themeColor="text1"/>
          <w:sz w:val="22"/>
          <w:szCs w:val="22"/>
          <w:lang w:val="es-CO"/>
        </w:rPr>
        <w:t xml:space="preserve">varias de </w:t>
      </w:r>
      <w:r w:rsidRPr="00A21B5C">
        <w:rPr>
          <w:rFonts w:ascii="Arial" w:hAnsi="Arial" w:cs="Arial"/>
          <w:color w:val="000000" w:themeColor="text1"/>
          <w:sz w:val="22"/>
          <w:szCs w:val="22"/>
          <w:lang w:val="es-CO"/>
        </w:rPr>
        <w:t>las mejoras</w:t>
      </w:r>
      <w:r w:rsidR="00484C80" w:rsidRPr="00A21B5C">
        <w:rPr>
          <w:rFonts w:ascii="Arial" w:hAnsi="Arial" w:cs="Arial"/>
          <w:color w:val="000000" w:themeColor="text1"/>
          <w:sz w:val="22"/>
          <w:szCs w:val="22"/>
          <w:lang w:val="es-CO"/>
        </w:rPr>
        <w:t xml:space="preserve"> y la propiedad</w:t>
      </w:r>
      <w:r w:rsidRPr="00A21B5C">
        <w:rPr>
          <w:rFonts w:ascii="Arial" w:hAnsi="Arial" w:cs="Arial"/>
          <w:color w:val="000000" w:themeColor="text1"/>
          <w:sz w:val="22"/>
          <w:szCs w:val="22"/>
          <w:lang w:val="es-CO"/>
        </w:rPr>
        <w:t xml:space="preserve"> adquirida</w:t>
      </w:r>
      <w:r w:rsidR="005442D4" w:rsidRPr="00A21B5C">
        <w:rPr>
          <w:rFonts w:ascii="Arial" w:hAnsi="Arial" w:cs="Arial"/>
          <w:color w:val="000000" w:themeColor="text1"/>
          <w:sz w:val="22"/>
          <w:szCs w:val="22"/>
          <w:lang w:val="es-CO"/>
        </w:rPr>
        <w:t>s por el Resguardo</w:t>
      </w:r>
      <w:r w:rsidRPr="00A21B5C">
        <w:rPr>
          <w:rFonts w:ascii="Arial" w:hAnsi="Arial" w:cs="Arial"/>
          <w:color w:val="000000" w:themeColor="text1"/>
          <w:sz w:val="22"/>
          <w:szCs w:val="22"/>
          <w:lang w:val="es-CO"/>
        </w:rPr>
        <w:t xml:space="preserve"> no </w:t>
      </w:r>
      <w:r w:rsidR="00D60DE7" w:rsidRPr="00A21B5C">
        <w:rPr>
          <w:rFonts w:ascii="Arial" w:hAnsi="Arial" w:cs="Arial"/>
          <w:color w:val="000000" w:themeColor="text1"/>
          <w:sz w:val="22"/>
          <w:szCs w:val="22"/>
          <w:lang w:val="es-CO"/>
        </w:rPr>
        <w:t xml:space="preserve">parecieran corresponder con las referenciadas en la Resolución N° 256 del 27 de septiembre de 2011. Finalmente, llama la atención que algunas de las mejoras </w:t>
      </w:r>
      <w:r w:rsidR="00731061" w:rsidRPr="00A21B5C">
        <w:rPr>
          <w:rFonts w:ascii="Arial" w:hAnsi="Arial" w:cs="Arial"/>
          <w:color w:val="000000" w:themeColor="text1"/>
          <w:sz w:val="22"/>
          <w:szCs w:val="22"/>
          <w:lang w:val="es-CO"/>
        </w:rPr>
        <w:t xml:space="preserve">adquiridas han cambiado </w:t>
      </w:r>
      <w:r w:rsidR="001407C3" w:rsidRPr="00A21B5C">
        <w:rPr>
          <w:rFonts w:ascii="Arial" w:hAnsi="Arial" w:cs="Arial"/>
          <w:color w:val="000000" w:themeColor="text1"/>
          <w:sz w:val="22"/>
          <w:szCs w:val="22"/>
          <w:lang w:val="es-CO"/>
        </w:rPr>
        <w:t xml:space="preserve">de propietario </w:t>
      </w:r>
      <w:r w:rsidR="00206F9C" w:rsidRPr="00A21B5C">
        <w:rPr>
          <w:rFonts w:ascii="Arial" w:hAnsi="Arial" w:cs="Arial"/>
          <w:color w:val="000000" w:themeColor="text1"/>
          <w:sz w:val="22"/>
          <w:szCs w:val="22"/>
          <w:lang w:val="es-CO"/>
        </w:rPr>
        <w:t>posteriormente a la expedición de la Resolución N° 256</w:t>
      </w:r>
      <w:r w:rsidR="001407C3" w:rsidRPr="00A21B5C">
        <w:rPr>
          <w:rFonts w:ascii="Arial" w:hAnsi="Arial" w:cs="Arial"/>
          <w:color w:val="000000" w:themeColor="text1"/>
          <w:sz w:val="22"/>
          <w:szCs w:val="22"/>
          <w:lang w:val="es-CO"/>
        </w:rPr>
        <w:t>,</w:t>
      </w:r>
      <w:r w:rsidR="00731061" w:rsidRPr="00A21B5C">
        <w:rPr>
          <w:rFonts w:ascii="Arial" w:hAnsi="Arial" w:cs="Arial"/>
          <w:color w:val="000000" w:themeColor="text1"/>
          <w:sz w:val="22"/>
          <w:szCs w:val="22"/>
          <w:lang w:val="es-CO"/>
        </w:rPr>
        <w:t xml:space="preserve"> </w:t>
      </w:r>
      <w:r w:rsidR="00FC70FB" w:rsidRPr="00A21B5C">
        <w:rPr>
          <w:rFonts w:ascii="Arial" w:hAnsi="Arial" w:cs="Arial"/>
          <w:color w:val="000000" w:themeColor="text1"/>
          <w:sz w:val="22"/>
          <w:szCs w:val="22"/>
          <w:lang w:val="es-CO"/>
        </w:rPr>
        <w:t>aun cuando</w:t>
      </w:r>
      <w:r w:rsidR="00760C60" w:rsidRPr="00A21B5C">
        <w:rPr>
          <w:rFonts w:ascii="Arial" w:hAnsi="Arial" w:cs="Arial"/>
          <w:color w:val="000000" w:themeColor="text1"/>
          <w:sz w:val="22"/>
          <w:szCs w:val="22"/>
          <w:lang w:val="es-CO"/>
        </w:rPr>
        <w:t xml:space="preserve"> la </w:t>
      </w:r>
      <w:r w:rsidR="00693F51" w:rsidRPr="00A21B5C">
        <w:rPr>
          <w:rFonts w:ascii="Arial" w:hAnsi="Arial" w:cs="Arial"/>
          <w:color w:val="000000" w:themeColor="text1"/>
          <w:sz w:val="22"/>
          <w:szCs w:val="22"/>
          <w:lang w:val="es-CO"/>
        </w:rPr>
        <w:t>R</w:t>
      </w:r>
      <w:r w:rsidR="00760C60" w:rsidRPr="00A21B5C">
        <w:rPr>
          <w:rFonts w:ascii="Arial" w:hAnsi="Arial" w:cs="Arial"/>
          <w:color w:val="000000" w:themeColor="text1"/>
          <w:sz w:val="22"/>
          <w:szCs w:val="22"/>
          <w:lang w:val="es-CO"/>
        </w:rPr>
        <w:t xml:space="preserve">esolución en mención </w:t>
      </w:r>
      <w:r w:rsidR="0081789F" w:rsidRPr="00A21B5C">
        <w:rPr>
          <w:rFonts w:ascii="Arial" w:hAnsi="Arial" w:cs="Arial"/>
          <w:color w:val="000000" w:themeColor="text1"/>
          <w:sz w:val="22"/>
          <w:szCs w:val="22"/>
          <w:lang w:val="es-CO"/>
        </w:rPr>
        <w:t xml:space="preserve">deja claro que </w:t>
      </w:r>
      <w:r w:rsidR="005F74C6" w:rsidRPr="00A21B5C">
        <w:rPr>
          <w:rFonts w:ascii="Arial" w:hAnsi="Arial" w:cs="Arial"/>
          <w:color w:val="000000" w:themeColor="text1"/>
          <w:sz w:val="22"/>
          <w:szCs w:val="22"/>
          <w:lang w:val="es-CO"/>
        </w:rPr>
        <w:t xml:space="preserve">estas </w:t>
      </w:r>
      <w:r w:rsidR="00C63754" w:rsidRPr="00A21B5C">
        <w:rPr>
          <w:rFonts w:ascii="Arial" w:hAnsi="Arial" w:cs="Arial"/>
          <w:color w:val="000000" w:themeColor="text1"/>
          <w:sz w:val="22"/>
          <w:szCs w:val="22"/>
          <w:lang w:val="es-CO"/>
        </w:rPr>
        <w:t>serían</w:t>
      </w:r>
      <w:r w:rsidR="00EA5A06" w:rsidRPr="00A21B5C">
        <w:rPr>
          <w:rFonts w:ascii="Arial" w:hAnsi="Arial" w:cs="Arial"/>
          <w:color w:val="000000" w:themeColor="text1"/>
          <w:sz w:val="22"/>
          <w:szCs w:val="22"/>
          <w:lang w:val="es-CO"/>
        </w:rPr>
        <w:t xml:space="preserve"> </w:t>
      </w:r>
      <w:r w:rsidR="00C141EA" w:rsidRPr="00A21B5C">
        <w:rPr>
          <w:rFonts w:ascii="Arial" w:hAnsi="Arial" w:cs="Arial"/>
          <w:color w:val="000000" w:themeColor="text1"/>
          <w:sz w:val="22"/>
          <w:szCs w:val="22"/>
          <w:lang w:val="es-CO"/>
        </w:rPr>
        <w:t>“</w:t>
      </w:r>
      <w:r w:rsidR="00EA5A06" w:rsidRPr="00A21B5C">
        <w:rPr>
          <w:rFonts w:ascii="Arial" w:hAnsi="Arial" w:cs="Arial"/>
          <w:i/>
          <w:iCs/>
          <w:color w:val="000000" w:themeColor="text1"/>
          <w:sz w:val="22"/>
          <w:szCs w:val="22"/>
          <w:lang w:val="es-CO"/>
        </w:rPr>
        <w:t xml:space="preserve">adquiridas por el </w:t>
      </w:r>
      <w:r w:rsidR="00C141EA" w:rsidRPr="00A21B5C">
        <w:rPr>
          <w:rFonts w:ascii="Arial" w:hAnsi="Arial" w:cs="Arial"/>
          <w:i/>
          <w:iCs/>
          <w:color w:val="000000" w:themeColor="text1"/>
          <w:sz w:val="22"/>
          <w:szCs w:val="22"/>
          <w:lang w:val="es-CO"/>
        </w:rPr>
        <w:t>R</w:t>
      </w:r>
      <w:r w:rsidR="00EA5A06" w:rsidRPr="00A21B5C">
        <w:rPr>
          <w:rFonts w:ascii="Arial" w:hAnsi="Arial" w:cs="Arial"/>
          <w:i/>
          <w:iCs/>
          <w:color w:val="000000" w:themeColor="text1"/>
          <w:sz w:val="22"/>
          <w:szCs w:val="22"/>
          <w:lang w:val="es-CO"/>
        </w:rPr>
        <w:t>esguardo</w:t>
      </w:r>
      <w:r w:rsidR="00C141EA" w:rsidRPr="00A21B5C">
        <w:rPr>
          <w:rFonts w:ascii="Arial" w:hAnsi="Arial" w:cs="Arial"/>
          <w:i/>
          <w:iCs/>
          <w:color w:val="000000" w:themeColor="text1"/>
          <w:sz w:val="22"/>
          <w:szCs w:val="22"/>
          <w:lang w:val="es-CO"/>
        </w:rPr>
        <w:t xml:space="preserve">, mediante convenios o con recursos </w:t>
      </w:r>
      <w:r w:rsidR="006A58FC" w:rsidRPr="00A21B5C">
        <w:rPr>
          <w:rFonts w:ascii="Arial" w:hAnsi="Arial" w:cs="Arial"/>
          <w:i/>
          <w:iCs/>
          <w:color w:val="000000" w:themeColor="text1"/>
          <w:sz w:val="22"/>
          <w:szCs w:val="22"/>
          <w:lang w:val="es-CO"/>
        </w:rPr>
        <w:t>propios provenientes de las transferencias</w:t>
      </w:r>
      <w:r w:rsidR="006A58FC" w:rsidRPr="00A21B5C">
        <w:rPr>
          <w:rFonts w:ascii="Arial" w:hAnsi="Arial" w:cs="Arial"/>
          <w:color w:val="000000" w:themeColor="text1"/>
          <w:sz w:val="22"/>
          <w:szCs w:val="22"/>
          <w:lang w:val="es-CO"/>
        </w:rPr>
        <w:t>”.</w:t>
      </w:r>
    </w:p>
    <w:p w:rsidR="00601460" w:rsidRPr="00A21B5C" w:rsidRDefault="00601460" w:rsidP="00A21B5C">
      <w:pPr>
        <w:contextualSpacing/>
        <w:jc w:val="both"/>
        <w:rPr>
          <w:rFonts w:ascii="Arial" w:hAnsi="Arial" w:cs="Arial"/>
          <w:sz w:val="22"/>
          <w:szCs w:val="22"/>
          <w:lang w:val="es-CO"/>
        </w:rPr>
      </w:pPr>
    </w:p>
    <w:p w:rsidR="00202861" w:rsidRPr="00A21B5C" w:rsidRDefault="00202861">
      <w:pPr>
        <w:pStyle w:val="Prrafodelista"/>
        <w:numPr>
          <w:ilvl w:val="0"/>
          <w:numId w:val="11"/>
        </w:numPr>
        <w:ind w:left="993"/>
        <w:jc w:val="both"/>
        <w:rPr>
          <w:rFonts w:ascii="Arial" w:hAnsi="Arial" w:cs="Arial"/>
          <w:iCs/>
          <w:sz w:val="22"/>
          <w:szCs w:val="22"/>
          <w:lang w:val="es-CO"/>
        </w:rPr>
      </w:pPr>
      <w:r w:rsidRPr="00A21B5C">
        <w:rPr>
          <w:rFonts w:ascii="Arial" w:hAnsi="Arial" w:cs="Arial"/>
          <w:iCs/>
          <w:sz w:val="22"/>
          <w:szCs w:val="22"/>
          <w:lang w:val="es-CO"/>
        </w:rPr>
        <w:t>Condiciones de pago.</w:t>
      </w:r>
    </w:p>
    <w:p w:rsidR="00202861" w:rsidRPr="00A21B5C" w:rsidRDefault="00202861" w:rsidP="00A21B5C">
      <w:pPr>
        <w:contextualSpacing/>
        <w:jc w:val="both"/>
        <w:rPr>
          <w:rFonts w:ascii="Arial" w:hAnsi="Arial" w:cs="Arial"/>
          <w:sz w:val="22"/>
          <w:szCs w:val="22"/>
          <w:lang w:val="es-CO"/>
        </w:rPr>
      </w:pPr>
    </w:p>
    <w:p w:rsidR="00202861" w:rsidRPr="00A21B5C" w:rsidRDefault="00202861" w:rsidP="00A21B5C">
      <w:pPr>
        <w:contextualSpacing/>
        <w:jc w:val="both"/>
        <w:rPr>
          <w:rFonts w:ascii="Arial" w:hAnsi="Arial" w:cs="Arial"/>
          <w:i/>
          <w:sz w:val="22"/>
          <w:szCs w:val="22"/>
          <w:lang w:val="es-CO"/>
        </w:rPr>
      </w:pPr>
      <w:r w:rsidRPr="00A21B5C">
        <w:rPr>
          <w:rFonts w:ascii="Arial" w:hAnsi="Arial" w:cs="Arial"/>
          <w:sz w:val="22"/>
          <w:szCs w:val="22"/>
          <w:lang w:val="es-CO"/>
        </w:rPr>
        <w:t xml:space="preserve">Se conocieron las condiciones de pago establecidas en los Contratos de Compraventa de las mejoras rurales en los siguientes términos: </w:t>
      </w:r>
      <w:r w:rsidRPr="00A21B5C">
        <w:rPr>
          <w:rFonts w:ascii="Arial" w:hAnsi="Arial" w:cs="Arial"/>
          <w:i/>
          <w:sz w:val="22"/>
          <w:szCs w:val="22"/>
          <w:lang w:val="es-CO"/>
        </w:rPr>
        <w:t>“Con la entrega formal del objeto de venta se cancelará el 50% del valor total que resulte de la negociación directa entre las partes y el 50% restante cumplidos los requisitos de elevación y la presentación de la escritura pública del respectivo contrato, con su respectiva cuenta de cobro</w:t>
      </w:r>
      <w:r w:rsidR="00693F51" w:rsidRPr="00A21B5C">
        <w:rPr>
          <w:rFonts w:ascii="Arial" w:hAnsi="Arial" w:cs="Arial"/>
          <w:i/>
          <w:sz w:val="22"/>
          <w:szCs w:val="22"/>
          <w:lang w:val="es-CO"/>
        </w:rPr>
        <w:t xml:space="preserve"> [</w:t>
      </w:r>
      <w:r w:rsidRPr="00A21B5C">
        <w:rPr>
          <w:rFonts w:ascii="Arial" w:hAnsi="Arial" w:cs="Arial"/>
          <w:i/>
          <w:sz w:val="22"/>
          <w:szCs w:val="22"/>
          <w:lang w:val="es-CO"/>
        </w:rPr>
        <w:t>…</w:t>
      </w:r>
      <w:r w:rsidR="00693F51" w:rsidRPr="00A21B5C">
        <w:rPr>
          <w:rFonts w:ascii="Arial" w:hAnsi="Arial" w:cs="Arial"/>
          <w:i/>
          <w:sz w:val="22"/>
          <w:szCs w:val="22"/>
          <w:lang w:val="es-CO"/>
        </w:rPr>
        <w:t>]</w:t>
      </w:r>
      <w:r w:rsidRPr="00A21B5C">
        <w:rPr>
          <w:rFonts w:ascii="Arial" w:hAnsi="Arial" w:cs="Arial"/>
          <w:i/>
          <w:sz w:val="22"/>
          <w:szCs w:val="22"/>
          <w:lang w:val="es-CO"/>
        </w:rPr>
        <w:t>”</w:t>
      </w:r>
    </w:p>
    <w:p w:rsidR="00202861" w:rsidRPr="00A21B5C" w:rsidRDefault="00202861" w:rsidP="00A21B5C">
      <w:pPr>
        <w:contextualSpacing/>
        <w:jc w:val="both"/>
        <w:rPr>
          <w:rFonts w:ascii="Arial" w:hAnsi="Arial" w:cs="Arial"/>
          <w:i/>
          <w:sz w:val="22"/>
          <w:szCs w:val="22"/>
          <w:lang w:val="es-CO"/>
        </w:rPr>
      </w:pPr>
    </w:p>
    <w:p w:rsidR="00202861" w:rsidRPr="00A21B5C" w:rsidRDefault="00202861" w:rsidP="00A21B5C">
      <w:pPr>
        <w:contextualSpacing/>
        <w:jc w:val="both"/>
        <w:rPr>
          <w:rFonts w:ascii="Arial" w:hAnsi="Arial" w:cs="Arial"/>
          <w:sz w:val="22"/>
          <w:szCs w:val="22"/>
          <w:lang w:val="es-CO"/>
        </w:rPr>
      </w:pPr>
      <w:r w:rsidRPr="00A21B5C">
        <w:rPr>
          <w:rFonts w:ascii="Arial" w:hAnsi="Arial" w:cs="Arial"/>
          <w:sz w:val="22"/>
          <w:szCs w:val="22"/>
          <w:lang w:val="es-CO"/>
        </w:rPr>
        <w:t xml:space="preserve">Al respecto de los pagos de la adquisición de la mejora </w:t>
      </w:r>
      <w:r w:rsidRPr="00A21B5C">
        <w:rPr>
          <w:rFonts w:ascii="Arial" w:hAnsi="Arial" w:cs="Arial"/>
          <w:i/>
          <w:sz w:val="22"/>
          <w:szCs w:val="22"/>
          <w:lang w:val="es-CO"/>
        </w:rPr>
        <w:t>“</w:t>
      </w:r>
      <w:r w:rsidR="00E91EEB" w:rsidRPr="00A21B5C">
        <w:rPr>
          <w:rFonts w:ascii="Arial" w:hAnsi="Arial" w:cs="Arial"/>
          <w:i/>
          <w:sz w:val="22"/>
          <w:szCs w:val="22"/>
          <w:lang w:val="es-CO"/>
        </w:rPr>
        <w:t>Jerusalén</w:t>
      </w:r>
      <w:r w:rsidRPr="00A21B5C">
        <w:rPr>
          <w:rFonts w:ascii="Arial" w:hAnsi="Arial" w:cs="Arial"/>
          <w:i/>
          <w:sz w:val="22"/>
          <w:szCs w:val="22"/>
          <w:lang w:val="es-CO"/>
        </w:rPr>
        <w:t xml:space="preserve"> I”, </w:t>
      </w:r>
      <w:r w:rsidRPr="00A21B5C">
        <w:rPr>
          <w:rFonts w:ascii="Arial" w:hAnsi="Arial" w:cs="Arial"/>
          <w:sz w:val="22"/>
          <w:szCs w:val="22"/>
          <w:lang w:val="es-CO"/>
        </w:rPr>
        <w:t>mediante extractos bancarios mensuales y conciliación bancaria del año 2017, se conoció que se realizó un pago por $153.123.828 el día 14 de julio de 2017, correspondientes al 50</w:t>
      </w:r>
      <w:r w:rsidR="00693F51" w:rsidRPr="00A21B5C">
        <w:rPr>
          <w:rFonts w:ascii="Arial" w:hAnsi="Arial" w:cs="Arial"/>
          <w:sz w:val="22"/>
          <w:szCs w:val="22"/>
          <w:lang w:val="es-CO"/>
        </w:rPr>
        <w:t xml:space="preserve"> </w:t>
      </w:r>
      <w:r w:rsidRPr="00A21B5C">
        <w:rPr>
          <w:rFonts w:ascii="Arial" w:hAnsi="Arial" w:cs="Arial"/>
          <w:sz w:val="22"/>
          <w:szCs w:val="22"/>
          <w:lang w:val="es-CO"/>
        </w:rPr>
        <w:t xml:space="preserve">% del valor de este </w:t>
      </w:r>
      <w:r w:rsidR="00693F51" w:rsidRPr="00A21B5C">
        <w:rPr>
          <w:rFonts w:ascii="Arial" w:hAnsi="Arial" w:cs="Arial"/>
          <w:sz w:val="22"/>
          <w:szCs w:val="22"/>
          <w:lang w:val="es-CO"/>
        </w:rPr>
        <w:t>C</w:t>
      </w:r>
      <w:r w:rsidRPr="00A21B5C">
        <w:rPr>
          <w:rFonts w:ascii="Arial" w:hAnsi="Arial" w:cs="Arial"/>
          <w:sz w:val="22"/>
          <w:szCs w:val="22"/>
          <w:lang w:val="es-CO"/>
        </w:rPr>
        <w:t xml:space="preserve">ontrato. En validación de las condiciones de pago, se evidenció el </w:t>
      </w:r>
      <w:r w:rsidRPr="00A21B5C">
        <w:rPr>
          <w:rFonts w:ascii="Arial" w:hAnsi="Arial" w:cs="Arial"/>
          <w:i/>
          <w:sz w:val="22"/>
          <w:szCs w:val="22"/>
          <w:lang w:val="es-CO"/>
        </w:rPr>
        <w:t xml:space="preserve">“Acta de entrega de mejoras de predio rural </w:t>
      </w:r>
      <w:r w:rsidR="00E91EEB" w:rsidRPr="00A21B5C">
        <w:rPr>
          <w:rFonts w:ascii="Arial" w:hAnsi="Arial" w:cs="Arial"/>
          <w:i/>
          <w:sz w:val="22"/>
          <w:szCs w:val="22"/>
          <w:lang w:val="es-CO"/>
        </w:rPr>
        <w:t>Jerusalén</w:t>
      </w:r>
      <w:r w:rsidRPr="00A21B5C">
        <w:rPr>
          <w:rFonts w:ascii="Arial" w:hAnsi="Arial" w:cs="Arial"/>
          <w:i/>
          <w:sz w:val="22"/>
          <w:szCs w:val="22"/>
          <w:lang w:val="es-CO"/>
        </w:rPr>
        <w:t xml:space="preserve"> I” ubicado en el corregimiento de rio ancho para la ampliación y/o saneamiento del Territorio en el Resguardo Kogui – Malayo – Arhuaco en el municipio de Dibulla” </w:t>
      </w:r>
      <w:r w:rsidRPr="00A21B5C">
        <w:rPr>
          <w:rFonts w:ascii="Arial" w:hAnsi="Arial" w:cs="Arial"/>
          <w:sz w:val="22"/>
          <w:szCs w:val="22"/>
          <w:lang w:val="es-CO"/>
        </w:rPr>
        <w:t>del 22 de agosto de 2017,</w:t>
      </w:r>
      <w:r w:rsidRPr="00A21B5C">
        <w:rPr>
          <w:rFonts w:ascii="Arial" w:hAnsi="Arial" w:cs="Arial"/>
          <w:i/>
          <w:sz w:val="22"/>
          <w:szCs w:val="22"/>
          <w:lang w:val="es-CO"/>
        </w:rPr>
        <w:t xml:space="preserve"> </w:t>
      </w:r>
      <w:r w:rsidRPr="00A21B5C">
        <w:rPr>
          <w:rFonts w:ascii="Arial" w:hAnsi="Arial" w:cs="Arial"/>
          <w:sz w:val="22"/>
          <w:szCs w:val="22"/>
          <w:lang w:val="es-CO"/>
        </w:rPr>
        <w:t xml:space="preserve">evidenciándose que la fecha del primer pago es previa al del Acta de </w:t>
      </w:r>
      <w:r w:rsidR="00693F51" w:rsidRPr="00A21B5C">
        <w:rPr>
          <w:rFonts w:ascii="Arial" w:hAnsi="Arial" w:cs="Arial"/>
          <w:sz w:val="22"/>
          <w:szCs w:val="22"/>
          <w:lang w:val="es-CO"/>
        </w:rPr>
        <w:t>E</w:t>
      </w:r>
      <w:r w:rsidRPr="00A21B5C">
        <w:rPr>
          <w:rFonts w:ascii="Arial" w:hAnsi="Arial" w:cs="Arial"/>
          <w:sz w:val="22"/>
          <w:szCs w:val="22"/>
          <w:lang w:val="es-CO"/>
        </w:rPr>
        <w:t xml:space="preserve">ntrega. No obstante, se evidenció la cláusula cuarta del </w:t>
      </w:r>
      <w:r w:rsidRPr="00A21B5C">
        <w:rPr>
          <w:rFonts w:ascii="Arial" w:hAnsi="Arial" w:cs="Arial"/>
          <w:sz w:val="22"/>
          <w:szCs w:val="22"/>
          <w:lang w:val="es-CO"/>
        </w:rPr>
        <w:lastRenderedPageBreak/>
        <w:t xml:space="preserve">Contrato de Compraventa N° 004 de 2017, que </w:t>
      </w:r>
      <w:r w:rsidRPr="00A21B5C">
        <w:rPr>
          <w:rFonts w:ascii="Arial" w:hAnsi="Arial" w:cs="Arial"/>
          <w:i/>
          <w:sz w:val="22"/>
          <w:szCs w:val="22"/>
          <w:lang w:val="es-CO"/>
        </w:rPr>
        <w:t>“el vendedor hará entrega material de los bienes a El Comprador dentro de los diez (10) días siguientes a la firma del presente contrato previa cancelación del 50% del Valor total del contrato”.</w:t>
      </w:r>
    </w:p>
    <w:p w:rsidR="00202861" w:rsidRPr="00A21B5C" w:rsidRDefault="00202861" w:rsidP="00A21B5C">
      <w:pPr>
        <w:contextualSpacing/>
        <w:jc w:val="both"/>
        <w:rPr>
          <w:rFonts w:ascii="Arial" w:hAnsi="Arial" w:cs="Arial"/>
          <w:sz w:val="22"/>
          <w:szCs w:val="22"/>
          <w:lang w:val="es-CO"/>
        </w:rPr>
      </w:pPr>
    </w:p>
    <w:p w:rsidR="00202861" w:rsidRPr="00A21B5C" w:rsidRDefault="00202861" w:rsidP="00A21B5C">
      <w:pPr>
        <w:contextualSpacing/>
        <w:jc w:val="both"/>
        <w:rPr>
          <w:rFonts w:ascii="Arial" w:hAnsi="Arial" w:cs="Arial"/>
          <w:sz w:val="22"/>
          <w:szCs w:val="22"/>
          <w:lang w:val="es-CO"/>
        </w:rPr>
      </w:pPr>
      <w:r w:rsidRPr="00A21B5C">
        <w:rPr>
          <w:rFonts w:ascii="Arial" w:hAnsi="Arial" w:cs="Arial"/>
          <w:sz w:val="22"/>
          <w:szCs w:val="22"/>
          <w:lang w:val="es-CO"/>
        </w:rPr>
        <w:t>Esta misma situación, se evidenció en el pago de la mejora del predio rural “</w:t>
      </w:r>
      <w:r w:rsidR="00E91EEB" w:rsidRPr="00A21B5C">
        <w:rPr>
          <w:rFonts w:ascii="Arial" w:hAnsi="Arial" w:cs="Arial"/>
          <w:i/>
          <w:sz w:val="22"/>
          <w:szCs w:val="22"/>
          <w:lang w:val="es-CO"/>
        </w:rPr>
        <w:t>Jerusalén</w:t>
      </w:r>
      <w:r w:rsidRPr="00A21B5C">
        <w:rPr>
          <w:rFonts w:ascii="Arial" w:hAnsi="Arial" w:cs="Arial"/>
          <w:i/>
          <w:sz w:val="22"/>
          <w:szCs w:val="22"/>
          <w:lang w:val="es-CO"/>
        </w:rPr>
        <w:t xml:space="preserve"> II”, </w:t>
      </w:r>
      <w:r w:rsidRPr="00A21B5C">
        <w:rPr>
          <w:rFonts w:ascii="Arial" w:hAnsi="Arial" w:cs="Arial"/>
          <w:sz w:val="22"/>
          <w:szCs w:val="22"/>
          <w:lang w:val="es-CO"/>
        </w:rPr>
        <w:t xml:space="preserve">sobre el cual se conoció </w:t>
      </w:r>
      <w:r w:rsidR="00206F9C" w:rsidRPr="00A21B5C">
        <w:rPr>
          <w:rFonts w:ascii="Arial" w:hAnsi="Arial" w:cs="Arial"/>
          <w:sz w:val="22"/>
          <w:szCs w:val="22"/>
          <w:lang w:val="es-CO"/>
        </w:rPr>
        <w:t xml:space="preserve">el </w:t>
      </w:r>
      <w:r w:rsidRPr="00A21B5C">
        <w:rPr>
          <w:rFonts w:ascii="Arial" w:hAnsi="Arial" w:cs="Arial"/>
          <w:sz w:val="22"/>
          <w:szCs w:val="22"/>
          <w:lang w:val="es-CO"/>
        </w:rPr>
        <w:t>“</w:t>
      </w:r>
      <w:r w:rsidRPr="00A21B5C">
        <w:rPr>
          <w:rFonts w:ascii="Arial" w:hAnsi="Arial" w:cs="Arial"/>
          <w:i/>
          <w:sz w:val="22"/>
          <w:szCs w:val="22"/>
          <w:lang w:val="es-CO"/>
        </w:rPr>
        <w:t>Acta de entrega de mejoras de predio rural “</w:t>
      </w:r>
      <w:r w:rsidR="00E91EEB" w:rsidRPr="00A21B5C">
        <w:rPr>
          <w:rFonts w:ascii="Arial" w:hAnsi="Arial" w:cs="Arial"/>
          <w:i/>
          <w:sz w:val="22"/>
          <w:szCs w:val="22"/>
          <w:lang w:val="es-CO"/>
        </w:rPr>
        <w:t>Jerusalén</w:t>
      </w:r>
      <w:r w:rsidRPr="00A21B5C">
        <w:rPr>
          <w:rFonts w:ascii="Arial" w:hAnsi="Arial" w:cs="Arial"/>
          <w:i/>
          <w:sz w:val="22"/>
          <w:szCs w:val="22"/>
          <w:lang w:val="es-CO"/>
        </w:rPr>
        <w:t xml:space="preserve"> II” ubicado en el corregimiento de rio ancho para la ampliación y/o saneamiento del Territorio en el Resguardo Kogui – Malayo – Arhuaco en el municipio de Dibulla”</w:t>
      </w:r>
      <w:r w:rsidRPr="00A21B5C">
        <w:rPr>
          <w:rFonts w:ascii="Arial" w:hAnsi="Arial" w:cs="Arial"/>
          <w:sz w:val="22"/>
          <w:szCs w:val="22"/>
          <w:lang w:val="es-CO"/>
        </w:rPr>
        <w:t>” del 24 de agosto de 2018, con pago realizado el día 13 de agosto de 2018.</w:t>
      </w:r>
    </w:p>
    <w:p w:rsidR="00202861" w:rsidRPr="00A21B5C" w:rsidRDefault="00202861" w:rsidP="00A21B5C">
      <w:pPr>
        <w:contextualSpacing/>
        <w:jc w:val="both"/>
        <w:rPr>
          <w:rFonts w:ascii="Arial" w:hAnsi="Arial" w:cs="Arial"/>
          <w:sz w:val="22"/>
          <w:szCs w:val="22"/>
          <w:lang w:val="es-CO"/>
        </w:rPr>
      </w:pPr>
    </w:p>
    <w:p w:rsidR="00202861" w:rsidRPr="00A21B5C" w:rsidRDefault="0093615A" w:rsidP="00A21B5C">
      <w:pPr>
        <w:contextualSpacing/>
        <w:jc w:val="both"/>
        <w:rPr>
          <w:rFonts w:ascii="Arial" w:hAnsi="Arial" w:cs="Arial"/>
          <w:sz w:val="22"/>
          <w:szCs w:val="22"/>
          <w:lang w:val="es-CO"/>
        </w:rPr>
      </w:pPr>
      <w:r w:rsidRPr="00A21B5C">
        <w:rPr>
          <w:rFonts w:ascii="Arial" w:hAnsi="Arial" w:cs="Arial"/>
          <w:sz w:val="22"/>
          <w:szCs w:val="22"/>
          <w:lang w:val="es-CO"/>
        </w:rPr>
        <w:t>Así, no queda</w:t>
      </w:r>
      <w:r w:rsidR="009E6368" w:rsidRPr="00A21B5C">
        <w:rPr>
          <w:rFonts w:ascii="Arial" w:hAnsi="Arial" w:cs="Arial"/>
          <w:sz w:val="22"/>
          <w:szCs w:val="22"/>
          <w:lang w:val="es-CO"/>
        </w:rPr>
        <w:t>n</w:t>
      </w:r>
      <w:r w:rsidRPr="00A21B5C">
        <w:rPr>
          <w:rFonts w:ascii="Arial" w:hAnsi="Arial" w:cs="Arial"/>
          <w:sz w:val="22"/>
          <w:szCs w:val="22"/>
          <w:lang w:val="es-CO"/>
        </w:rPr>
        <w:t xml:space="preserve"> cla</w:t>
      </w:r>
      <w:r w:rsidR="00510B4D" w:rsidRPr="00A21B5C">
        <w:rPr>
          <w:rFonts w:ascii="Arial" w:hAnsi="Arial" w:cs="Arial"/>
          <w:sz w:val="22"/>
          <w:szCs w:val="22"/>
          <w:lang w:val="es-CO"/>
        </w:rPr>
        <w:t xml:space="preserve">ras las condiciones estipuladas para la realización de los pagos </w:t>
      </w:r>
      <w:r w:rsidRPr="00A21B5C">
        <w:rPr>
          <w:rFonts w:ascii="Arial" w:hAnsi="Arial" w:cs="Arial"/>
          <w:sz w:val="22"/>
          <w:szCs w:val="22"/>
          <w:lang w:val="es-CO"/>
        </w:rPr>
        <w:t xml:space="preserve">en los </w:t>
      </w:r>
      <w:r w:rsidR="00693F51" w:rsidRPr="00A21B5C">
        <w:rPr>
          <w:rFonts w:ascii="Arial" w:hAnsi="Arial" w:cs="Arial"/>
          <w:sz w:val="22"/>
          <w:szCs w:val="22"/>
          <w:lang w:val="es-CO"/>
        </w:rPr>
        <w:t>C</w:t>
      </w:r>
      <w:r w:rsidR="009E6368" w:rsidRPr="00A21B5C">
        <w:rPr>
          <w:rFonts w:ascii="Arial" w:hAnsi="Arial" w:cs="Arial"/>
          <w:sz w:val="22"/>
          <w:szCs w:val="22"/>
          <w:lang w:val="es-CO"/>
        </w:rPr>
        <w:t>ontratos</w:t>
      </w:r>
      <w:r w:rsidRPr="00A21B5C">
        <w:rPr>
          <w:rFonts w:ascii="Arial" w:hAnsi="Arial" w:cs="Arial"/>
          <w:sz w:val="22"/>
          <w:szCs w:val="22"/>
          <w:lang w:val="es-CO"/>
        </w:rPr>
        <w:t xml:space="preserve"> de </w:t>
      </w:r>
      <w:r w:rsidR="00693F51" w:rsidRPr="00A21B5C">
        <w:rPr>
          <w:rFonts w:ascii="Arial" w:hAnsi="Arial" w:cs="Arial"/>
          <w:sz w:val="22"/>
          <w:szCs w:val="22"/>
          <w:lang w:val="es-CO"/>
        </w:rPr>
        <w:t>C</w:t>
      </w:r>
      <w:r w:rsidR="009E6368" w:rsidRPr="00A21B5C">
        <w:rPr>
          <w:rFonts w:ascii="Arial" w:hAnsi="Arial" w:cs="Arial"/>
          <w:sz w:val="22"/>
          <w:szCs w:val="22"/>
          <w:lang w:val="es-CO"/>
        </w:rPr>
        <w:t>ompraventa</w:t>
      </w:r>
      <w:r w:rsidRPr="00A21B5C">
        <w:rPr>
          <w:rFonts w:ascii="Arial" w:hAnsi="Arial" w:cs="Arial"/>
          <w:sz w:val="22"/>
          <w:szCs w:val="22"/>
          <w:lang w:val="es-CO"/>
        </w:rPr>
        <w:t xml:space="preserve"> de las mejoras </w:t>
      </w:r>
      <w:r w:rsidRPr="00A21B5C">
        <w:rPr>
          <w:rFonts w:ascii="Arial" w:hAnsi="Arial" w:cs="Arial"/>
          <w:i/>
          <w:sz w:val="22"/>
          <w:szCs w:val="22"/>
          <w:lang w:val="es-CO"/>
        </w:rPr>
        <w:t>“</w:t>
      </w:r>
      <w:r w:rsidR="00E91EEB" w:rsidRPr="00A21B5C">
        <w:rPr>
          <w:rFonts w:ascii="Arial" w:hAnsi="Arial" w:cs="Arial"/>
          <w:i/>
          <w:sz w:val="22"/>
          <w:szCs w:val="22"/>
          <w:lang w:val="es-CO"/>
        </w:rPr>
        <w:t>Jerusalén</w:t>
      </w:r>
      <w:r w:rsidRPr="00A21B5C">
        <w:rPr>
          <w:rFonts w:ascii="Arial" w:hAnsi="Arial" w:cs="Arial"/>
          <w:i/>
          <w:sz w:val="22"/>
          <w:szCs w:val="22"/>
          <w:lang w:val="es-CO"/>
        </w:rPr>
        <w:t xml:space="preserve"> I” </w:t>
      </w:r>
      <w:r w:rsidRPr="00A21B5C">
        <w:rPr>
          <w:rFonts w:ascii="Arial" w:hAnsi="Arial" w:cs="Arial"/>
          <w:sz w:val="22"/>
          <w:szCs w:val="22"/>
          <w:lang w:val="es-CO"/>
        </w:rPr>
        <w:t xml:space="preserve">y </w:t>
      </w:r>
      <w:r w:rsidRPr="00A21B5C">
        <w:rPr>
          <w:rFonts w:ascii="Arial" w:hAnsi="Arial" w:cs="Arial"/>
          <w:i/>
          <w:sz w:val="22"/>
          <w:szCs w:val="22"/>
          <w:lang w:val="es-CO"/>
        </w:rPr>
        <w:t>“</w:t>
      </w:r>
      <w:r w:rsidR="00E91EEB" w:rsidRPr="00A21B5C">
        <w:rPr>
          <w:rFonts w:ascii="Arial" w:hAnsi="Arial" w:cs="Arial"/>
          <w:i/>
          <w:sz w:val="22"/>
          <w:szCs w:val="22"/>
          <w:lang w:val="es-CO"/>
        </w:rPr>
        <w:t>Jerusalén</w:t>
      </w:r>
      <w:r w:rsidRPr="00A21B5C">
        <w:rPr>
          <w:rFonts w:ascii="Arial" w:hAnsi="Arial" w:cs="Arial"/>
          <w:i/>
          <w:sz w:val="22"/>
          <w:szCs w:val="22"/>
          <w:lang w:val="es-CO"/>
        </w:rPr>
        <w:t xml:space="preserve"> II</w:t>
      </w:r>
      <w:r w:rsidR="00510B4D" w:rsidRPr="00A21B5C">
        <w:rPr>
          <w:rFonts w:ascii="Arial" w:hAnsi="Arial" w:cs="Arial"/>
          <w:i/>
          <w:sz w:val="22"/>
          <w:szCs w:val="22"/>
          <w:lang w:val="es-CO"/>
        </w:rPr>
        <w:t>”,</w:t>
      </w:r>
      <w:r w:rsidR="009E6368" w:rsidRPr="00A21B5C">
        <w:rPr>
          <w:rFonts w:ascii="Arial" w:hAnsi="Arial" w:cs="Arial"/>
          <w:sz w:val="22"/>
          <w:szCs w:val="22"/>
          <w:lang w:val="es-CO"/>
        </w:rPr>
        <w:t xml:space="preserve"> ya que como se detalló</w:t>
      </w:r>
      <w:r w:rsidR="002B7E0C" w:rsidRPr="00A21B5C">
        <w:rPr>
          <w:rFonts w:ascii="Arial" w:hAnsi="Arial" w:cs="Arial"/>
          <w:sz w:val="22"/>
          <w:szCs w:val="22"/>
          <w:lang w:val="es-CO"/>
        </w:rPr>
        <w:t>,</w:t>
      </w:r>
      <w:r w:rsidR="009E6368" w:rsidRPr="00A21B5C">
        <w:rPr>
          <w:rFonts w:ascii="Arial" w:hAnsi="Arial" w:cs="Arial"/>
          <w:sz w:val="22"/>
          <w:szCs w:val="22"/>
          <w:lang w:val="es-CO"/>
        </w:rPr>
        <w:t xml:space="preserve"> la minuta contiene apartados que se contradicen. </w:t>
      </w:r>
      <w:r w:rsidR="00202861" w:rsidRPr="00A21B5C">
        <w:rPr>
          <w:rFonts w:ascii="Arial" w:hAnsi="Arial" w:cs="Arial"/>
          <w:sz w:val="22"/>
          <w:szCs w:val="22"/>
          <w:lang w:val="es-CO"/>
        </w:rPr>
        <w:t>No obstante, sobre ambos Contratos de Compraventa no se evidenciaron inconsistencias en los montos de pago realizados.</w:t>
      </w:r>
    </w:p>
    <w:p w:rsidR="00202861" w:rsidRPr="00A21B5C" w:rsidRDefault="00202861" w:rsidP="00A21B5C">
      <w:pPr>
        <w:contextualSpacing/>
        <w:jc w:val="both"/>
        <w:rPr>
          <w:rFonts w:ascii="Arial" w:hAnsi="Arial" w:cs="Arial"/>
          <w:sz w:val="22"/>
          <w:szCs w:val="22"/>
          <w:lang w:val="es-CO"/>
        </w:rPr>
      </w:pPr>
    </w:p>
    <w:p w:rsidR="00202861" w:rsidRPr="00A21B5C" w:rsidRDefault="00202861">
      <w:pPr>
        <w:pStyle w:val="Prrafodelista"/>
        <w:numPr>
          <w:ilvl w:val="0"/>
          <w:numId w:val="11"/>
        </w:numPr>
        <w:ind w:left="1276" w:hanging="283"/>
        <w:jc w:val="both"/>
        <w:rPr>
          <w:rFonts w:ascii="Arial" w:hAnsi="Arial" w:cs="Arial"/>
          <w:iCs/>
          <w:sz w:val="22"/>
          <w:szCs w:val="22"/>
          <w:lang w:val="es-CO"/>
        </w:rPr>
      </w:pPr>
      <w:r w:rsidRPr="00A21B5C">
        <w:rPr>
          <w:rFonts w:ascii="Arial" w:hAnsi="Arial" w:cs="Arial"/>
          <w:iCs/>
          <w:sz w:val="22"/>
          <w:szCs w:val="22"/>
          <w:lang w:val="es-CO"/>
        </w:rPr>
        <w:t>La titularidad de los predios y mejoras adquiridas.</w:t>
      </w:r>
    </w:p>
    <w:p w:rsidR="00202861" w:rsidRPr="00A21B5C" w:rsidRDefault="00202861" w:rsidP="00A21B5C">
      <w:pPr>
        <w:contextualSpacing/>
        <w:jc w:val="both"/>
        <w:rPr>
          <w:rFonts w:ascii="Arial" w:hAnsi="Arial" w:cs="Arial"/>
          <w:sz w:val="22"/>
          <w:szCs w:val="22"/>
          <w:lang w:val="es-CO"/>
        </w:rPr>
      </w:pPr>
    </w:p>
    <w:p w:rsidR="00202861" w:rsidRPr="00A21B5C" w:rsidRDefault="00202861" w:rsidP="00A21B5C">
      <w:pPr>
        <w:contextualSpacing/>
        <w:jc w:val="both"/>
        <w:rPr>
          <w:rFonts w:ascii="Arial" w:hAnsi="Arial" w:cs="Arial"/>
          <w:sz w:val="22"/>
          <w:szCs w:val="22"/>
          <w:lang w:val="es-CO"/>
        </w:rPr>
      </w:pPr>
      <w:r w:rsidRPr="00A21B5C">
        <w:rPr>
          <w:rFonts w:ascii="Arial" w:hAnsi="Arial" w:cs="Arial"/>
          <w:sz w:val="22"/>
          <w:szCs w:val="22"/>
          <w:lang w:val="es-CO"/>
        </w:rPr>
        <w:t xml:space="preserve">No se compartió dentro del expediente contractual aportado por la Entidad Territorial, copia de la Escritura Pública de </w:t>
      </w:r>
      <w:r w:rsidR="0037219F" w:rsidRPr="00A21B5C">
        <w:rPr>
          <w:rFonts w:ascii="Arial" w:hAnsi="Arial" w:cs="Arial"/>
          <w:sz w:val="22"/>
          <w:szCs w:val="22"/>
          <w:lang w:val="es-CO"/>
        </w:rPr>
        <w:t>las mejoras</w:t>
      </w:r>
      <w:r w:rsidRPr="00A21B5C">
        <w:rPr>
          <w:rFonts w:ascii="Arial" w:hAnsi="Arial" w:cs="Arial"/>
          <w:sz w:val="22"/>
          <w:szCs w:val="22"/>
          <w:lang w:val="es-CO"/>
        </w:rPr>
        <w:t xml:space="preserve"> adquirid</w:t>
      </w:r>
      <w:r w:rsidR="0037219F" w:rsidRPr="00A21B5C">
        <w:rPr>
          <w:rFonts w:ascii="Arial" w:hAnsi="Arial" w:cs="Arial"/>
          <w:sz w:val="22"/>
          <w:szCs w:val="22"/>
          <w:lang w:val="es-CO"/>
        </w:rPr>
        <w:t>a</w:t>
      </w:r>
      <w:r w:rsidRPr="00A21B5C">
        <w:rPr>
          <w:rFonts w:ascii="Arial" w:hAnsi="Arial" w:cs="Arial"/>
          <w:sz w:val="22"/>
          <w:szCs w:val="22"/>
          <w:lang w:val="es-CO"/>
        </w:rPr>
        <w:t>s “</w:t>
      </w:r>
      <w:r w:rsidR="00E91EEB" w:rsidRPr="00A21B5C">
        <w:rPr>
          <w:rFonts w:ascii="Arial" w:hAnsi="Arial" w:cs="Arial"/>
          <w:i/>
          <w:sz w:val="22"/>
          <w:szCs w:val="22"/>
          <w:lang w:val="es-CO"/>
        </w:rPr>
        <w:t>Jerusalén</w:t>
      </w:r>
      <w:r w:rsidRPr="00A21B5C">
        <w:rPr>
          <w:rFonts w:ascii="Arial" w:hAnsi="Arial" w:cs="Arial"/>
          <w:i/>
          <w:sz w:val="22"/>
          <w:szCs w:val="22"/>
          <w:lang w:val="es-CO"/>
        </w:rPr>
        <w:t xml:space="preserve"> I”, “</w:t>
      </w:r>
      <w:r w:rsidR="00E91EEB" w:rsidRPr="00A21B5C">
        <w:rPr>
          <w:rFonts w:ascii="Arial" w:hAnsi="Arial" w:cs="Arial"/>
          <w:i/>
          <w:sz w:val="22"/>
          <w:szCs w:val="22"/>
          <w:lang w:val="es-CO"/>
        </w:rPr>
        <w:t>Jerusalén</w:t>
      </w:r>
      <w:r w:rsidRPr="00A21B5C">
        <w:rPr>
          <w:rFonts w:ascii="Arial" w:hAnsi="Arial" w:cs="Arial"/>
          <w:i/>
          <w:sz w:val="22"/>
          <w:szCs w:val="22"/>
          <w:lang w:val="es-CO"/>
        </w:rPr>
        <w:t xml:space="preserve"> II” </w:t>
      </w:r>
      <w:r w:rsidRPr="00A21B5C">
        <w:rPr>
          <w:rFonts w:ascii="Arial" w:hAnsi="Arial" w:cs="Arial"/>
          <w:sz w:val="22"/>
          <w:szCs w:val="22"/>
          <w:lang w:val="es-CO"/>
        </w:rPr>
        <w:t>y</w:t>
      </w:r>
      <w:r w:rsidRPr="00A21B5C">
        <w:rPr>
          <w:rFonts w:ascii="Arial" w:hAnsi="Arial" w:cs="Arial"/>
          <w:i/>
          <w:sz w:val="22"/>
          <w:szCs w:val="22"/>
          <w:lang w:val="es-CO"/>
        </w:rPr>
        <w:t xml:space="preserve"> “El Paujil”</w:t>
      </w:r>
      <w:r w:rsidRPr="00A21B5C">
        <w:rPr>
          <w:rFonts w:ascii="Arial" w:hAnsi="Arial" w:cs="Arial"/>
          <w:sz w:val="22"/>
          <w:szCs w:val="22"/>
          <w:lang w:val="es-CO"/>
        </w:rPr>
        <w:t xml:space="preserve"> por lo que no fue posible validar con certitud la titulación del bien adquirido.</w:t>
      </w:r>
    </w:p>
    <w:p w:rsidR="00202861" w:rsidRPr="00A21B5C" w:rsidRDefault="00202861" w:rsidP="00A21B5C">
      <w:pPr>
        <w:contextualSpacing/>
        <w:jc w:val="both"/>
        <w:rPr>
          <w:rFonts w:ascii="Arial" w:hAnsi="Arial" w:cs="Arial"/>
          <w:sz w:val="22"/>
          <w:szCs w:val="22"/>
          <w:highlight w:val="yellow"/>
          <w:lang w:val="es-CO"/>
        </w:rPr>
      </w:pPr>
    </w:p>
    <w:p w:rsidR="00202861" w:rsidRPr="00A21B5C" w:rsidRDefault="00202861" w:rsidP="00A21B5C">
      <w:pPr>
        <w:tabs>
          <w:tab w:val="left" w:pos="1560"/>
        </w:tabs>
        <w:contextualSpacing/>
        <w:jc w:val="both"/>
        <w:rPr>
          <w:rFonts w:ascii="Arial" w:hAnsi="Arial" w:cs="Arial"/>
          <w:sz w:val="22"/>
          <w:szCs w:val="22"/>
          <w:lang w:val="es-CO"/>
        </w:rPr>
      </w:pPr>
      <w:r w:rsidRPr="00A21B5C">
        <w:rPr>
          <w:rFonts w:ascii="Arial" w:hAnsi="Arial" w:cs="Arial"/>
          <w:sz w:val="22"/>
          <w:szCs w:val="22"/>
          <w:lang w:val="es-CO"/>
        </w:rPr>
        <w:t xml:space="preserve">Sin perjuicio de lo anterior, se lee en las Actas de </w:t>
      </w:r>
      <w:r w:rsidR="00693F51" w:rsidRPr="00A21B5C">
        <w:rPr>
          <w:rFonts w:ascii="Arial" w:hAnsi="Arial" w:cs="Arial"/>
          <w:sz w:val="22"/>
          <w:szCs w:val="22"/>
          <w:lang w:val="es-CO"/>
        </w:rPr>
        <w:t>E</w:t>
      </w:r>
      <w:r w:rsidRPr="00A21B5C">
        <w:rPr>
          <w:rFonts w:ascii="Arial" w:hAnsi="Arial" w:cs="Arial"/>
          <w:sz w:val="22"/>
          <w:szCs w:val="22"/>
          <w:lang w:val="es-CO"/>
        </w:rPr>
        <w:t>ntrega de estas mejoras, que en referencia a la Escritura Pública de cada una de estas, est</w:t>
      </w:r>
      <w:r w:rsidR="0037219F" w:rsidRPr="00A21B5C">
        <w:rPr>
          <w:rFonts w:ascii="Arial" w:hAnsi="Arial" w:cs="Arial"/>
          <w:sz w:val="22"/>
          <w:szCs w:val="22"/>
          <w:lang w:val="es-CO"/>
        </w:rPr>
        <w:t>a</w:t>
      </w:r>
      <w:r w:rsidRPr="00A21B5C">
        <w:rPr>
          <w:rFonts w:ascii="Arial" w:hAnsi="Arial" w:cs="Arial"/>
          <w:sz w:val="22"/>
          <w:szCs w:val="22"/>
          <w:lang w:val="es-CO"/>
        </w:rPr>
        <w:t>s fueron vendid</w:t>
      </w:r>
      <w:r w:rsidR="00693F51" w:rsidRPr="00A21B5C">
        <w:rPr>
          <w:rFonts w:ascii="Arial" w:hAnsi="Arial" w:cs="Arial"/>
          <w:sz w:val="22"/>
          <w:szCs w:val="22"/>
          <w:lang w:val="es-CO"/>
        </w:rPr>
        <w:t>a</w:t>
      </w:r>
      <w:r w:rsidRPr="00A21B5C">
        <w:rPr>
          <w:rFonts w:ascii="Arial" w:hAnsi="Arial" w:cs="Arial"/>
          <w:sz w:val="22"/>
          <w:szCs w:val="22"/>
          <w:lang w:val="es-CO"/>
        </w:rPr>
        <w:t>s al Resguardo Kogui – Malayo- Arhuaco identificado con el N</w:t>
      </w:r>
      <w:r w:rsidR="000529D2" w:rsidRPr="00A21B5C">
        <w:rPr>
          <w:rFonts w:ascii="Arial" w:hAnsi="Arial" w:cs="Arial"/>
          <w:sz w:val="22"/>
          <w:szCs w:val="22"/>
          <w:lang w:val="es-CO"/>
        </w:rPr>
        <w:t>IT</w:t>
      </w:r>
      <w:r w:rsidRPr="00A21B5C">
        <w:rPr>
          <w:rFonts w:ascii="Arial" w:hAnsi="Arial" w:cs="Arial"/>
          <w:sz w:val="22"/>
          <w:szCs w:val="22"/>
          <w:lang w:val="es-CO"/>
        </w:rPr>
        <w:t xml:space="preserve"> 819.005.279-1. Al respecto, se hace la anotación de que el </w:t>
      </w:r>
      <w:r w:rsidR="00E91EEB" w:rsidRPr="00A21B5C">
        <w:rPr>
          <w:rFonts w:ascii="Arial" w:hAnsi="Arial" w:cs="Arial"/>
          <w:sz w:val="22"/>
          <w:szCs w:val="22"/>
          <w:lang w:val="es-CO"/>
        </w:rPr>
        <w:t>NIT</w:t>
      </w:r>
      <w:r w:rsidRPr="00A21B5C">
        <w:rPr>
          <w:rFonts w:ascii="Arial" w:hAnsi="Arial" w:cs="Arial"/>
          <w:sz w:val="22"/>
          <w:szCs w:val="22"/>
          <w:lang w:val="es-CO"/>
        </w:rPr>
        <w:t>. 819.005.279-1 corresponde al “</w:t>
      </w:r>
      <w:r w:rsidRPr="00A21B5C">
        <w:rPr>
          <w:rFonts w:ascii="Arial" w:hAnsi="Arial" w:cs="Arial"/>
          <w:i/>
          <w:iCs/>
          <w:sz w:val="22"/>
          <w:szCs w:val="22"/>
          <w:lang w:val="es-CO"/>
        </w:rPr>
        <w:t>CABILDO INDIGENA DEL RESGUARDO KOGUI MALAYO ARHUACO</w:t>
      </w:r>
      <w:r w:rsidRPr="00A21B5C">
        <w:rPr>
          <w:rFonts w:ascii="Arial" w:hAnsi="Arial" w:cs="Arial"/>
          <w:sz w:val="22"/>
          <w:szCs w:val="22"/>
          <w:lang w:val="es-CO"/>
        </w:rPr>
        <w:t>”</w:t>
      </w:r>
      <w:r w:rsidRPr="00A21B5C">
        <w:rPr>
          <w:rStyle w:val="Refdenotaalpie"/>
          <w:rFonts w:ascii="Arial" w:hAnsi="Arial" w:cs="Arial"/>
          <w:sz w:val="22"/>
          <w:szCs w:val="22"/>
          <w:lang w:val="es-CO"/>
        </w:rPr>
        <w:footnoteReference w:id="39"/>
      </w:r>
      <w:r w:rsidRPr="00A21B5C">
        <w:rPr>
          <w:rFonts w:ascii="Arial" w:hAnsi="Arial" w:cs="Arial"/>
          <w:sz w:val="22"/>
          <w:szCs w:val="22"/>
          <w:lang w:val="es-CO"/>
        </w:rPr>
        <w:t>, y no al Resguardo Kogui – Malayo- Arhuaco teniendo en cuenta que los resguardos indígenas no poseen personería jurídica.</w:t>
      </w:r>
    </w:p>
    <w:p w:rsidR="00202861" w:rsidRPr="00A21B5C" w:rsidRDefault="00202861" w:rsidP="00A21B5C">
      <w:pPr>
        <w:contextualSpacing/>
        <w:jc w:val="both"/>
        <w:rPr>
          <w:rFonts w:ascii="Arial" w:hAnsi="Arial" w:cs="Arial"/>
          <w:sz w:val="22"/>
          <w:szCs w:val="22"/>
          <w:lang w:val="es-CO"/>
        </w:rPr>
      </w:pPr>
    </w:p>
    <w:p w:rsidR="00202861" w:rsidRPr="00A21B5C" w:rsidRDefault="00202861" w:rsidP="00A21B5C">
      <w:pPr>
        <w:contextualSpacing/>
        <w:jc w:val="both"/>
        <w:rPr>
          <w:rFonts w:ascii="Arial" w:hAnsi="Arial" w:cs="Arial"/>
          <w:iCs/>
          <w:sz w:val="22"/>
          <w:szCs w:val="22"/>
          <w:lang w:val="es-CO"/>
        </w:rPr>
      </w:pPr>
      <w:r w:rsidRPr="00A21B5C">
        <w:rPr>
          <w:rFonts w:ascii="Arial" w:hAnsi="Arial" w:cs="Arial"/>
          <w:sz w:val="22"/>
          <w:szCs w:val="22"/>
          <w:lang w:val="es-CO"/>
        </w:rPr>
        <w:t xml:space="preserve">Por su parte, de acuerdo con la Escritura Pública N° 1336 de la protocolización del Contrato de Compraventa de la mejora </w:t>
      </w:r>
      <w:r w:rsidRPr="00A21B5C">
        <w:rPr>
          <w:rFonts w:ascii="Arial" w:hAnsi="Arial" w:cs="Arial"/>
          <w:i/>
          <w:sz w:val="22"/>
          <w:szCs w:val="22"/>
          <w:lang w:val="es-CO"/>
        </w:rPr>
        <w:t>“El Guaisimito”</w:t>
      </w:r>
      <w:r w:rsidRPr="00A21B5C">
        <w:rPr>
          <w:rFonts w:ascii="Arial" w:hAnsi="Arial" w:cs="Arial"/>
          <w:sz w:val="22"/>
          <w:szCs w:val="22"/>
          <w:lang w:val="es-CO"/>
        </w:rPr>
        <w:t xml:space="preserve">, el predio rural se vendió al señor Gobernador del Cabildo Indígena José de los Santos Limaco. No obstante, se evidenció en la cláusula sexta de dicha </w:t>
      </w:r>
      <w:r w:rsidR="00693F51" w:rsidRPr="00A21B5C">
        <w:rPr>
          <w:rFonts w:ascii="Arial" w:hAnsi="Arial" w:cs="Arial"/>
          <w:sz w:val="22"/>
          <w:szCs w:val="22"/>
          <w:lang w:val="es-CO"/>
        </w:rPr>
        <w:t>E</w:t>
      </w:r>
      <w:r w:rsidRPr="00A21B5C">
        <w:rPr>
          <w:rFonts w:ascii="Arial" w:hAnsi="Arial" w:cs="Arial"/>
          <w:sz w:val="22"/>
          <w:szCs w:val="22"/>
          <w:lang w:val="es-CO"/>
        </w:rPr>
        <w:t xml:space="preserve">scritura que </w:t>
      </w:r>
      <w:r w:rsidRPr="00A21B5C">
        <w:rPr>
          <w:rFonts w:ascii="Arial" w:hAnsi="Arial" w:cs="Arial"/>
          <w:i/>
          <w:sz w:val="22"/>
          <w:szCs w:val="22"/>
          <w:lang w:val="es-CO"/>
        </w:rPr>
        <w:t>“</w:t>
      </w:r>
      <w:r w:rsidR="00693F51" w:rsidRPr="00A21B5C">
        <w:rPr>
          <w:rFonts w:ascii="Arial" w:hAnsi="Arial" w:cs="Arial"/>
          <w:i/>
          <w:sz w:val="22"/>
          <w:szCs w:val="22"/>
          <w:lang w:val="es-CO"/>
        </w:rPr>
        <w:t>[</w:t>
      </w:r>
      <w:r w:rsidRPr="00A21B5C">
        <w:rPr>
          <w:rFonts w:ascii="Arial" w:hAnsi="Arial" w:cs="Arial"/>
          <w:i/>
          <w:sz w:val="22"/>
          <w:szCs w:val="22"/>
          <w:lang w:val="es-CO"/>
        </w:rPr>
        <w:t>…</w:t>
      </w:r>
      <w:r w:rsidR="00693F51" w:rsidRPr="00A21B5C">
        <w:rPr>
          <w:rFonts w:ascii="Arial" w:hAnsi="Arial" w:cs="Arial"/>
          <w:i/>
          <w:sz w:val="22"/>
          <w:szCs w:val="22"/>
          <w:lang w:val="es-CO"/>
        </w:rPr>
        <w:t xml:space="preserve">] </w:t>
      </w:r>
      <w:r w:rsidRPr="00A21B5C">
        <w:rPr>
          <w:rFonts w:ascii="Arial" w:hAnsi="Arial" w:cs="Arial"/>
          <w:i/>
          <w:sz w:val="22"/>
          <w:szCs w:val="22"/>
          <w:lang w:val="es-CO"/>
        </w:rPr>
        <w:t>al momento de recibir las mejoras ubicadas en el punto “El Guasimito”, éstas serán tratadas como colectivas por lo cual se determinó que ningún miembro de la comunidad puede vender total o parcial cualquier de ellas, dándose por sentado que estas mejoras son de propiedad exclusiva de la comunidad indígena y del Resguardo y solo los representantes legales de ellos pueden adjudicar el uso y distribución de las mismas”</w:t>
      </w:r>
      <w:r w:rsidR="00693F51" w:rsidRPr="00A21B5C">
        <w:rPr>
          <w:rFonts w:ascii="Arial" w:hAnsi="Arial" w:cs="Arial"/>
          <w:iCs/>
          <w:sz w:val="22"/>
          <w:szCs w:val="22"/>
          <w:lang w:val="es-CO"/>
        </w:rPr>
        <w:t>.</w:t>
      </w:r>
    </w:p>
    <w:p w:rsidR="00202861" w:rsidRPr="00A21B5C" w:rsidRDefault="00202861" w:rsidP="00A21B5C">
      <w:pPr>
        <w:contextualSpacing/>
        <w:jc w:val="both"/>
        <w:rPr>
          <w:rFonts w:ascii="Arial" w:hAnsi="Arial" w:cs="Arial"/>
          <w:i/>
          <w:sz w:val="22"/>
          <w:szCs w:val="22"/>
          <w:highlight w:val="yellow"/>
          <w:lang w:val="es-CO"/>
        </w:rPr>
      </w:pPr>
    </w:p>
    <w:p w:rsidR="00202861" w:rsidRPr="00A21B5C" w:rsidRDefault="00202861" w:rsidP="00A21B5C">
      <w:pPr>
        <w:contextualSpacing/>
        <w:jc w:val="both"/>
        <w:rPr>
          <w:rFonts w:ascii="Arial" w:hAnsi="Arial" w:cs="Arial"/>
          <w:sz w:val="22"/>
          <w:szCs w:val="22"/>
          <w:lang w:val="es-CO"/>
        </w:rPr>
      </w:pPr>
      <w:r w:rsidRPr="00A21B5C">
        <w:rPr>
          <w:rFonts w:ascii="Arial" w:hAnsi="Arial" w:cs="Arial"/>
          <w:sz w:val="22"/>
          <w:szCs w:val="22"/>
          <w:lang w:val="es-CO"/>
        </w:rPr>
        <w:t xml:space="preserve">Así mismo, de acuerdo con la Escritura Pública N° 1335 de la protocolización del Contrato de Compraventa del predio </w:t>
      </w:r>
      <w:r w:rsidRPr="00A21B5C">
        <w:rPr>
          <w:rFonts w:ascii="Arial" w:hAnsi="Arial" w:cs="Arial"/>
          <w:i/>
          <w:sz w:val="22"/>
          <w:szCs w:val="22"/>
          <w:lang w:val="es-CO"/>
        </w:rPr>
        <w:t xml:space="preserve">“La Estrella”, </w:t>
      </w:r>
      <w:r w:rsidRPr="00A21B5C">
        <w:rPr>
          <w:rFonts w:ascii="Arial" w:hAnsi="Arial" w:cs="Arial"/>
          <w:sz w:val="22"/>
          <w:szCs w:val="22"/>
          <w:lang w:val="es-CO"/>
        </w:rPr>
        <w:t>se evidenció que la transferencia de dominio y posesión real se realizó al Resguardo Indígena Kogui Malayo Arhuaco, siendo comprador el Cabildo Gobernador del mismo, José de los Santos Limaco, estipulándose el mismo clausulado restrictivo para la destinación del título, siendo éste de carácter colectivo. Así mismo, se evidenció en la Constancia de Inscripción del título del 4 de diciembre de 2017, que el titular de derecho real de dominio es el Resguardo Indígena Kogui Malayo Arhuaco.</w:t>
      </w:r>
    </w:p>
    <w:p w:rsidR="00202861" w:rsidRPr="00A21B5C" w:rsidRDefault="00202861" w:rsidP="00A21B5C">
      <w:pPr>
        <w:contextualSpacing/>
        <w:jc w:val="both"/>
        <w:rPr>
          <w:rFonts w:ascii="Arial" w:hAnsi="Arial" w:cs="Arial"/>
          <w:i/>
          <w:sz w:val="22"/>
          <w:szCs w:val="22"/>
          <w:lang w:val="es-CO"/>
        </w:rPr>
      </w:pPr>
    </w:p>
    <w:p w:rsidR="00202861" w:rsidRPr="00A21B5C" w:rsidRDefault="00202861">
      <w:pPr>
        <w:pStyle w:val="Prrafodelista"/>
        <w:numPr>
          <w:ilvl w:val="0"/>
          <w:numId w:val="11"/>
        </w:numPr>
        <w:ind w:left="1418" w:hanging="425"/>
        <w:jc w:val="both"/>
        <w:rPr>
          <w:rFonts w:ascii="Arial" w:hAnsi="Arial" w:cs="Arial"/>
          <w:iCs/>
          <w:sz w:val="22"/>
          <w:szCs w:val="22"/>
          <w:lang w:val="es-CO"/>
        </w:rPr>
      </w:pPr>
      <w:r w:rsidRPr="00A21B5C">
        <w:rPr>
          <w:rFonts w:ascii="Arial" w:hAnsi="Arial" w:cs="Arial"/>
          <w:iCs/>
          <w:sz w:val="22"/>
          <w:szCs w:val="22"/>
          <w:lang w:val="es-CO"/>
        </w:rPr>
        <w:t>Proceso de legalización con la ANT</w:t>
      </w:r>
      <w:r w:rsidR="00693F51" w:rsidRPr="00A21B5C">
        <w:rPr>
          <w:rFonts w:ascii="Arial" w:hAnsi="Arial" w:cs="Arial"/>
          <w:iCs/>
          <w:sz w:val="22"/>
          <w:szCs w:val="22"/>
          <w:lang w:val="es-CO"/>
        </w:rPr>
        <w:t>.</w:t>
      </w:r>
    </w:p>
    <w:p w:rsidR="00202861" w:rsidRPr="00A21B5C" w:rsidRDefault="00202861" w:rsidP="00A21B5C">
      <w:pPr>
        <w:contextualSpacing/>
        <w:jc w:val="both"/>
        <w:rPr>
          <w:rFonts w:ascii="Arial" w:hAnsi="Arial" w:cs="Arial"/>
          <w:i/>
          <w:sz w:val="22"/>
          <w:szCs w:val="22"/>
          <w:lang w:val="es-CO"/>
        </w:rPr>
      </w:pPr>
    </w:p>
    <w:p w:rsidR="00202861" w:rsidRPr="00A21B5C" w:rsidRDefault="00202861" w:rsidP="00A21B5C">
      <w:pPr>
        <w:contextualSpacing/>
        <w:jc w:val="both"/>
        <w:rPr>
          <w:rFonts w:ascii="Arial" w:hAnsi="Arial" w:cs="Arial"/>
          <w:sz w:val="22"/>
          <w:szCs w:val="22"/>
          <w:lang w:val="es-CO"/>
        </w:rPr>
      </w:pPr>
      <w:r w:rsidRPr="00A21B5C">
        <w:rPr>
          <w:rFonts w:ascii="Arial" w:hAnsi="Arial" w:cs="Arial"/>
          <w:sz w:val="22"/>
          <w:szCs w:val="22"/>
          <w:lang w:val="es-CO"/>
        </w:rPr>
        <w:t>No se conoció documentación alguna sobre trámite de ampliación y saneamiento del Resguardo Indígena Kogu</w:t>
      </w:r>
      <w:r w:rsidR="00471DAF" w:rsidRPr="00A21B5C">
        <w:rPr>
          <w:rFonts w:ascii="Arial" w:hAnsi="Arial" w:cs="Arial"/>
          <w:sz w:val="22"/>
          <w:szCs w:val="22"/>
          <w:lang w:val="es-CO"/>
        </w:rPr>
        <w:t>i</w:t>
      </w:r>
      <w:r w:rsidRPr="00A21B5C">
        <w:rPr>
          <w:rFonts w:ascii="Arial" w:hAnsi="Arial" w:cs="Arial"/>
          <w:sz w:val="22"/>
          <w:szCs w:val="22"/>
          <w:lang w:val="es-CO"/>
        </w:rPr>
        <w:t xml:space="preserve"> – Malayo – Arhuaco; es decir, del reconocimiento legal y englobe de los predios adquiridos, al título colectivo del Resguardo Indígena, ni se conoció información al respecto por parte de la Entidad Territorial a su solicitud o a solicitud del Resguardo Indígena de acuerdo con lo establecido en el artículo 2.14.7.3.1 del Decreto 1071 de 2015</w:t>
      </w:r>
      <w:r w:rsidRPr="00A21B5C">
        <w:rPr>
          <w:rStyle w:val="Refdenotaalpie"/>
          <w:rFonts w:ascii="Arial" w:hAnsi="Arial" w:cs="Arial"/>
          <w:sz w:val="22"/>
          <w:szCs w:val="22"/>
          <w:lang w:val="es-CO"/>
        </w:rPr>
        <w:footnoteReference w:id="40"/>
      </w:r>
      <w:r w:rsidRPr="00A21B5C">
        <w:rPr>
          <w:rFonts w:ascii="Arial" w:hAnsi="Arial" w:cs="Arial"/>
          <w:sz w:val="22"/>
          <w:szCs w:val="22"/>
          <w:lang w:val="es-CO"/>
        </w:rPr>
        <w:t>.</w:t>
      </w:r>
    </w:p>
    <w:p w:rsidR="00202861" w:rsidRPr="00A21B5C" w:rsidRDefault="00202861" w:rsidP="00A21B5C">
      <w:pPr>
        <w:contextualSpacing/>
        <w:jc w:val="both"/>
        <w:rPr>
          <w:rFonts w:ascii="Arial" w:hAnsi="Arial" w:cs="Arial"/>
          <w:i/>
          <w:sz w:val="22"/>
          <w:szCs w:val="22"/>
          <w:lang w:val="es-CO"/>
        </w:rPr>
      </w:pPr>
    </w:p>
    <w:p w:rsidR="008C2E4A" w:rsidRPr="00A21B5C" w:rsidRDefault="00BA6A03">
      <w:pPr>
        <w:pStyle w:val="Prrafodelista"/>
        <w:numPr>
          <w:ilvl w:val="0"/>
          <w:numId w:val="43"/>
        </w:numPr>
        <w:ind w:left="426" w:hanging="284"/>
        <w:jc w:val="both"/>
        <w:rPr>
          <w:rFonts w:ascii="Arial" w:hAnsi="Arial" w:cs="Arial"/>
          <w:b/>
          <w:sz w:val="22"/>
          <w:szCs w:val="22"/>
          <w:lang w:val="es-CO"/>
        </w:rPr>
      </w:pPr>
      <w:r w:rsidRPr="00A21B5C">
        <w:rPr>
          <w:rFonts w:ascii="Arial" w:hAnsi="Arial" w:cs="Arial"/>
          <w:b/>
          <w:sz w:val="22"/>
          <w:szCs w:val="22"/>
          <w:lang w:val="es-CO"/>
        </w:rPr>
        <w:t>Contrato de Obra N° 004 de 2016</w:t>
      </w:r>
      <w:r w:rsidR="00693F51" w:rsidRPr="00A21B5C">
        <w:rPr>
          <w:rFonts w:ascii="Arial" w:hAnsi="Arial" w:cs="Arial"/>
          <w:b/>
          <w:sz w:val="22"/>
          <w:szCs w:val="22"/>
          <w:lang w:val="es-CO"/>
        </w:rPr>
        <w:t>.</w:t>
      </w:r>
    </w:p>
    <w:p w:rsidR="008C2E4A" w:rsidRPr="00A21B5C" w:rsidRDefault="008C2E4A" w:rsidP="00A21B5C">
      <w:pPr>
        <w:contextualSpacing/>
        <w:jc w:val="both"/>
        <w:rPr>
          <w:rFonts w:ascii="Arial" w:hAnsi="Arial" w:cs="Arial"/>
          <w:sz w:val="22"/>
          <w:szCs w:val="22"/>
          <w:lang w:val="es-CO"/>
        </w:rPr>
      </w:pPr>
    </w:p>
    <w:p w:rsidR="008C2E4A" w:rsidRPr="00A21B5C" w:rsidRDefault="008C2E4A" w:rsidP="00A21B5C">
      <w:pPr>
        <w:contextualSpacing/>
        <w:jc w:val="both"/>
        <w:rPr>
          <w:rFonts w:ascii="Arial" w:hAnsi="Arial" w:cs="Arial"/>
          <w:sz w:val="22"/>
          <w:szCs w:val="22"/>
          <w:lang w:val="es-CO"/>
        </w:rPr>
      </w:pPr>
      <w:r w:rsidRPr="00A21B5C">
        <w:rPr>
          <w:rFonts w:ascii="Arial" w:hAnsi="Arial" w:cs="Arial"/>
          <w:sz w:val="22"/>
          <w:szCs w:val="22"/>
          <w:lang w:val="es-CO"/>
        </w:rPr>
        <w:t xml:space="preserve">Mediante </w:t>
      </w:r>
      <w:r w:rsidR="00693F51" w:rsidRPr="00A21B5C">
        <w:rPr>
          <w:rFonts w:ascii="Arial" w:hAnsi="Arial" w:cs="Arial"/>
          <w:sz w:val="22"/>
          <w:szCs w:val="22"/>
          <w:lang w:val="es-CO"/>
        </w:rPr>
        <w:t>L</w:t>
      </w:r>
      <w:r w:rsidRPr="00A21B5C">
        <w:rPr>
          <w:rFonts w:ascii="Arial" w:hAnsi="Arial" w:cs="Arial"/>
          <w:sz w:val="22"/>
          <w:szCs w:val="22"/>
          <w:lang w:val="es-CO"/>
        </w:rPr>
        <w:t xml:space="preserve">icitación </w:t>
      </w:r>
      <w:r w:rsidR="00693F51" w:rsidRPr="00A21B5C">
        <w:rPr>
          <w:rFonts w:ascii="Arial" w:hAnsi="Arial" w:cs="Arial"/>
          <w:sz w:val="22"/>
          <w:szCs w:val="22"/>
          <w:lang w:val="es-CO"/>
        </w:rPr>
        <w:t>P</w:t>
      </w:r>
      <w:r w:rsidRPr="00A21B5C">
        <w:rPr>
          <w:rFonts w:ascii="Arial" w:hAnsi="Arial" w:cs="Arial"/>
          <w:sz w:val="22"/>
          <w:szCs w:val="22"/>
          <w:lang w:val="es-CO"/>
        </w:rPr>
        <w:t xml:space="preserve">ública N° 001 de 2016 se </w:t>
      </w:r>
      <w:r w:rsidR="00E653EE" w:rsidRPr="00A21B5C">
        <w:rPr>
          <w:rFonts w:ascii="Arial" w:hAnsi="Arial" w:cs="Arial"/>
          <w:sz w:val="22"/>
          <w:szCs w:val="22"/>
          <w:lang w:val="es-CO"/>
        </w:rPr>
        <w:t>adjudicó</w:t>
      </w:r>
      <w:r w:rsidRPr="00A21B5C">
        <w:rPr>
          <w:rFonts w:ascii="Arial" w:hAnsi="Arial" w:cs="Arial"/>
          <w:sz w:val="22"/>
          <w:szCs w:val="22"/>
          <w:lang w:val="es-CO"/>
        </w:rPr>
        <w:t xml:space="preserve"> el Contrato de Obra N° 004 el día 8 de septiembre de 2016. Sobre este contrato, cuyo objeto contractual consistió en </w:t>
      </w:r>
      <w:r w:rsidRPr="00A21B5C">
        <w:rPr>
          <w:rFonts w:ascii="Arial" w:hAnsi="Arial" w:cs="Arial"/>
          <w:i/>
          <w:sz w:val="22"/>
          <w:szCs w:val="22"/>
          <w:lang w:val="es-CO"/>
        </w:rPr>
        <w:t>“Construcción de dos (2) bodegas para la instalación de trilladora y adecuación y construcción de oficinas para funcionamiento del programa de desarrollo económico del Pueblo Kogui en el corregimiento de Mingueo Municipio de Dibulla Departamento de la Guajira”,</w:t>
      </w:r>
      <w:r w:rsidRPr="00A21B5C">
        <w:rPr>
          <w:rFonts w:ascii="Arial" w:hAnsi="Arial" w:cs="Arial"/>
          <w:sz w:val="22"/>
          <w:szCs w:val="22"/>
          <w:lang w:val="es-CO"/>
        </w:rPr>
        <w:t xml:space="preserve"> por valor de $424.060.786 con el contratista Antonio C</w:t>
      </w:r>
      <w:r w:rsidR="00E653EE" w:rsidRPr="00A21B5C">
        <w:rPr>
          <w:rFonts w:ascii="Arial" w:hAnsi="Arial" w:cs="Arial"/>
          <w:sz w:val="22"/>
          <w:szCs w:val="22"/>
          <w:lang w:val="es-CO"/>
        </w:rPr>
        <w:t>é</w:t>
      </w:r>
      <w:r w:rsidRPr="00A21B5C">
        <w:rPr>
          <w:rFonts w:ascii="Arial" w:hAnsi="Arial" w:cs="Arial"/>
          <w:sz w:val="22"/>
          <w:szCs w:val="22"/>
          <w:lang w:val="es-CO"/>
        </w:rPr>
        <w:t>sar Ragonesi Redondo</w:t>
      </w:r>
      <w:r w:rsidRPr="00A21B5C">
        <w:rPr>
          <w:rStyle w:val="Refdenotaalpie"/>
          <w:rFonts w:ascii="Arial" w:hAnsi="Arial" w:cs="Arial"/>
          <w:sz w:val="22"/>
          <w:szCs w:val="22"/>
          <w:lang w:val="es-CO"/>
        </w:rPr>
        <w:footnoteReference w:id="41"/>
      </w:r>
      <w:r w:rsidRPr="00A21B5C">
        <w:rPr>
          <w:rFonts w:ascii="Arial" w:hAnsi="Arial" w:cs="Arial"/>
          <w:sz w:val="22"/>
          <w:szCs w:val="22"/>
          <w:lang w:val="es-CO"/>
        </w:rPr>
        <w:t>, se resaltan las siguientes situaciones:</w:t>
      </w:r>
    </w:p>
    <w:p w:rsidR="008C2E4A" w:rsidRPr="00A21B5C" w:rsidRDefault="008C2E4A" w:rsidP="00A21B5C">
      <w:pPr>
        <w:contextualSpacing/>
        <w:jc w:val="both"/>
        <w:rPr>
          <w:rFonts w:ascii="Arial" w:hAnsi="Arial" w:cs="Arial"/>
          <w:sz w:val="22"/>
          <w:szCs w:val="22"/>
          <w:lang w:val="es-CO"/>
        </w:rPr>
      </w:pPr>
    </w:p>
    <w:p w:rsidR="008C2E4A" w:rsidRPr="00A21B5C" w:rsidRDefault="008C2E4A">
      <w:pPr>
        <w:pStyle w:val="Prrafodelista"/>
        <w:numPr>
          <w:ilvl w:val="0"/>
          <w:numId w:val="18"/>
        </w:numPr>
        <w:ind w:left="709"/>
        <w:jc w:val="both"/>
        <w:rPr>
          <w:rFonts w:ascii="Arial" w:hAnsi="Arial" w:cs="Arial"/>
          <w:i/>
          <w:sz w:val="22"/>
          <w:szCs w:val="22"/>
          <w:lang w:val="es-CO"/>
        </w:rPr>
      </w:pPr>
      <w:r w:rsidRPr="00A21B5C">
        <w:rPr>
          <w:rFonts w:ascii="Arial" w:hAnsi="Arial" w:cs="Arial"/>
          <w:sz w:val="22"/>
          <w:szCs w:val="22"/>
          <w:lang w:val="es-CO"/>
        </w:rPr>
        <w:t xml:space="preserve">El </w:t>
      </w:r>
      <w:r w:rsidR="00F40B3E" w:rsidRPr="00A21B5C">
        <w:rPr>
          <w:rFonts w:ascii="Arial" w:hAnsi="Arial" w:cs="Arial"/>
          <w:sz w:val="22"/>
          <w:szCs w:val="22"/>
          <w:lang w:val="es-CO"/>
        </w:rPr>
        <w:t>C</w:t>
      </w:r>
      <w:r w:rsidRPr="00A21B5C">
        <w:rPr>
          <w:rFonts w:ascii="Arial" w:hAnsi="Arial" w:cs="Arial"/>
          <w:sz w:val="22"/>
          <w:szCs w:val="22"/>
          <w:lang w:val="es-CO"/>
        </w:rPr>
        <w:t xml:space="preserve">ontrato presentó cambios en plazo y suspensión en su ejecución: El </w:t>
      </w:r>
      <w:r w:rsidR="00F40B3E" w:rsidRPr="00A21B5C">
        <w:rPr>
          <w:rFonts w:ascii="Arial" w:hAnsi="Arial" w:cs="Arial"/>
          <w:sz w:val="22"/>
          <w:szCs w:val="22"/>
          <w:lang w:val="es-CO"/>
        </w:rPr>
        <w:t>C</w:t>
      </w:r>
      <w:r w:rsidRPr="00A21B5C">
        <w:rPr>
          <w:rFonts w:ascii="Arial" w:hAnsi="Arial" w:cs="Arial"/>
          <w:sz w:val="22"/>
          <w:szCs w:val="22"/>
          <w:lang w:val="es-CO"/>
        </w:rPr>
        <w:t xml:space="preserve">ontrato fue suscrito el día 8 de septiembre de 2016, de acuerdo con </w:t>
      </w:r>
      <w:r w:rsidR="00F40B3E" w:rsidRPr="00A21B5C">
        <w:rPr>
          <w:rFonts w:ascii="Arial" w:hAnsi="Arial" w:cs="Arial"/>
          <w:sz w:val="22"/>
          <w:szCs w:val="22"/>
          <w:lang w:val="es-CO"/>
        </w:rPr>
        <w:t xml:space="preserve">el </w:t>
      </w:r>
      <w:r w:rsidRPr="00A21B5C">
        <w:rPr>
          <w:rFonts w:ascii="Arial" w:hAnsi="Arial" w:cs="Arial"/>
          <w:sz w:val="22"/>
          <w:szCs w:val="22"/>
          <w:lang w:val="es-CO"/>
        </w:rPr>
        <w:t>Contrato de obra pública N° 004 de 2016</w:t>
      </w:r>
      <w:r w:rsidRPr="00A21B5C">
        <w:rPr>
          <w:rFonts w:ascii="Arial" w:hAnsi="Arial" w:cs="Arial"/>
          <w:i/>
          <w:sz w:val="22"/>
          <w:szCs w:val="22"/>
          <w:lang w:val="es-CO"/>
        </w:rPr>
        <w:t xml:space="preserve"> </w:t>
      </w:r>
      <w:r w:rsidRPr="00A21B5C">
        <w:rPr>
          <w:rFonts w:ascii="Arial" w:hAnsi="Arial" w:cs="Arial"/>
          <w:sz w:val="22"/>
          <w:szCs w:val="22"/>
          <w:lang w:val="es-CO"/>
        </w:rPr>
        <w:t xml:space="preserve">por un plazo de 6 meses. Posteriormente fue modificado en su plazo, reduciéndose a 3 meses y 22 días de acuerdo con el </w:t>
      </w:r>
      <w:r w:rsidRPr="00A21B5C">
        <w:rPr>
          <w:rFonts w:ascii="Arial" w:hAnsi="Arial" w:cs="Arial"/>
          <w:iCs/>
          <w:sz w:val="22"/>
          <w:szCs w:val="22"/>
          <w:lang w:val="es-CO"/>
        </w:rPr>
        <w:t>Otrosí</w:t>
      </w:r>
      <w:r w:rsidR="00F40B3E" w:rsidRPr="00A21B5C">
        <w:rPr>
          <w:rFonts w:ascii="Arial" w:hAnsi="Arial" w:cs="Arial"/>
          <w:iCs/>
          <w:sz w:val="22"/>
          <w:szCs w:val="22"/>
          <w:lang w:val="es-CO"/>
        </w:rPr>
        <w:t xml:space="preserve"> </w:t>
      </w:r>
      <w:r w:rsidRPr="00A21B5C">
        <w:rPr>
          <w:rFonts w:ascii="Arial" w:hAnsi="Arial" w:cs="Arial"/>
          <w:iCs/>
          <w:sz w:val="22"/>
          <w:szCs w:val="22"/>
          <w:lang w:val="es-CO"/>
        </w:rPr>
        <w:t xml:space="preserve">N° 001 al Contrato de obra pública N° 004 de 2016, derivado del proceso de selección por </w:t>
      </w:r>
      <w:r w:rsidR="00F40B3E" w:rsidRPr="00A21B5C">
        <w:rPr>
          <w:rFonts w:ascii="Arial" w:hAnsi="Arial" w:cs="Arial"/>
          <w:iCs/>
          <w:sz w:val="22"/>
          <w:szCs w:val="22"/>
          <w:lang w:val="es-CO"/>
        </w:rPr>
        <w:t>L</w:t>
      </w:r>
      <w:r w:rsidRPr="00A21B5C">
        <w:rPr>
          <w:rFonts w:ascii="Arial" w:hAnsi="Arial" w:cs="Arial"/>
          <w:iCs/>
          <w:sz w:val="22"/>
          <w:szCs w:val="22"/>
          <w:lang w:val="es-CO"/>
        </w:rPr>
        <w:t>icitación Pública N°001 de 2016, celebrado entre el Municipio de Dibulla – La Guajira y Antonio Cesar Ragonesi Redondo</w:t>
      </w:r>
      <w:r w:rsidRPr="00A21B5C">
        <w:rPr>
          <w:rFonts w:ascii="Arial" w:hAnsi="Arial" w:cs="Arial"/>
          <w:i/>
          <w:sz w:val="22"/>
          <w:szCs w:val="22"/>
          <w:lang w:val="es-CO"/>
        </w:rPr>
        <w:t xml:space="preserve"> </w:t>
      </w:r>
      <w:r w:rsidRPr="00A21B5C">
        <w:rPr>
          <w:rFonts w:ascii="Arial" w:hAnsi="Arial" w:cs="Arial"/>
          <w:sz w:val="22"/>
          <w:szCs w:val="22"/>
          <w:lang w:val="es-CO"/>
        </w:rPr>
        <w:t>del día 9 de septiembre de 2016.</w:t>
      </w:r>
    </w:p>
    <w:p w:rsidR="008C2E4A" w:rsidRPr="00A21B5C" w:rsidRDefault="008C2E4A" w:rsidP="00A21B5C">
      <w:pPr>
        <w:ind w:left="708"/>
        <w:contextualSpacing/>
        <w:jc w:val="both"/>
        <w:rPr>
          <w:rFonts w:ascii="Arial" w:hAnsi="Arial" w:cs="Arial"/>
          <w:i/>
          <w:sz w:val="22"/>
          <w:szCs w:val="22"/>
          <w:lang w:val="es-CO"/>
        </w:rPr>
      </w:pPr>
    </w:p>
    <w:p w:rsidR="008C2E4A" w:rsidRPr="00A21B5C" w:rsidRDefault="008C2E4A" w:rsidP="00A21B5C">
      <w:pPr>
        <w:ind w:left="708"/>
        <w:contextualSpacing/>
        <w:jc w:val="both"/>
        <w:rPr>
          <w:rFonts w:ascii="Arial" w:hAnsi="Arial" w:cs="Arial"/>
          <w:iCs/>
          <w:sz w:val="22"/>
          <w:szCs w:val="22"/>
          <w:lang w:val="es-CO"/>
        </w:rPr>
      </w:pPr>
      <w:r w:rsidRPr="00A21B5C">
        <w:rPr>
          <w:rFonts w:ascii="Arial" w:hAnsi="Arial" w:cs="Arial"/>
          <w:sz w:val="22"/>
          <w:szCs w:val="22"/>
          <w:lang w:val="es-CO"/>
        </w:rPr>
        <w:t xml:space="preserve">El </w:t>
      </w:r>
      <w:r w:rsidR="00F40B3E" w:rsidRPr="00A21B5C">
        <w:rPr>
          <w:rFonts w:ascii="Arial" w:hAnsi="Arial" w:cs="Arial"/>
          <w:sz w:val="22"/>
          <w:szCs w:val="22"/>
          <w:lang w:val="es-CO"/>
        </w:rPr>
        <w:t>A</w:t>
      </w:r>
      <w:r w:rsidRPr="00A21B5C">
        <w:rPr>
          <w:rFonts w:ascii="Arial" w:hAnsi="Arial" w:cs="Arial"/>
          <w:sz w:val="22"/>
          <w:szCs w:val="22"/>
          <w:lang w:val="es-CO"/>
        </w:rPr>
        <w:t xml:space="preserve">cta de </w:t>
      </w:r>
      <w:r w:rsidR="00F40B3E" w:rsidRPr="00A21B5C">
        <w:rPr>
          <w:rFonts w:ascii="Arial" w:hAnsi="Arial" w:cs="Arial"/>
          <w:sz w:val="22"/>
          <w:szCs w:val="22"/>
          <w:lang w:val="es-CO"/>
        </w:rPr>
        <w:t>I</w:t>
      </w:r>
      <w:r w:rsidRPr="00A21B5C">
        <w:rPr>
          <w:rFonts w:ascii="Arial" w:hAnsi="Arial" w:cs="Arial"/>
          <w:sz w:val="22"/>
          <w:szCs w:val="22"/>
          <w:lang w:val="es-CO"/>
        </w:rPr>
        <w:t>nicio de ejecución del Contrato</w:t>
      </w:r>
      <w:r w:rsidR="00F40B3E" w:rsidRPr="00A21B5C">
        <w:rPr>
          <w:rFonts w:ascii="Arial" w:hAnsi="Arial" w:cs="Arial"/>
          <w:iCs/>
          <w:sz w:val="22"/>
          <w:szCs w:val="22"/>
          <w:lang w:val="es-CO"/>
        </w:rPr>
        <w:t xml:space="preserve"> de Obra Pública N° 004 de 2016</w:t>
      </w:r>
      <w:r w:rsidRPr="00A21B5C">
        <w:rPr>
          <w:rFonts w:ascii="Arial" w:hAnsi="Arial" w:cs="Arial"/>
          <w:sz w:val="22"/>
          <w:szCs w:val="22"/>
          <w:lang w:val="es-CO"/>
        </w:rPr>
        <w:t xml:space="preserve"> data del 18 de noviembre de 2016, contándose así con fecha de terminación del 12 de marzo de 2016</w:t>
      </w:r>
      <w:r w:rsidR="00F40B3E" w:rsidRPr="00A21B5C">
        <w:rPr>
          <w:rFonts w:ascii="Arial" w:hAnsi="Arial" w:cs="Arial"/>
          <w:iCs/>
          <w:sz w:val="22"/>
          <w:szCs w:val="22"/>
          <w:lang w:val="es-CO"/>
        </w:rPr>
        <w:t>.</w:t>
      </w:r>
    </w:p>
    <w:p w:rsidR="008C2E4A" w:rsidRPr="00A21B5C" w:rsidRDefault="008C2E4A" w:rsidP="00A21B5C">
      <w:pPr>
        <w:ind w:left="708"/>
        <w:contextualSpacing/>
        <w:jc w:val="both"/>
        <w:rPr>
          <w:rFonts w:ascii="Arial" w:hAnsi="Arial" w:cs="Arial"/>
          <w:i/>
          <w:sz w:val="22"/>
          <w:szCs w:val="22"/>
          <w:lang w:val="es-CO"/>
        </w:rPr>
      </w:pPr>
    </w:p>
    <w:p w:rsidR="008C2E4A" w:rsidRPr="00A21B5C" w:rsidRDefault="008C2E4A" w:rsidP="00A21B5C">
      <w:pPr>
        <w:ind w:left="708"/>
        <w:contextualSpacing/>
        <w:jc w:val="both"/>
        <w:rPr>
          <w:rFonts w:ascii="Arial" w:hAnsi="Arial" w:cs="Arial"/>
          <w:sz w:val="22"/>
          <w:szCs w:val="22"/>
          <w:lang w:val="es-CO"/>
        </w:rPr>
      </w:pPr>
      <w:r w:rsidRPr="00A21B5C">
        <w:rPr>
          <w:rFonts w:ascii="Arial" w:hAnsi="Arial" w:cs="Arial"/>
          <w:sz w:val="22"/>
          <w:szCs w:val="22"/>
          <w:lang w:val="es-CO"/>
        </w:rPr>
        <w:t xml:space="preserve">Posteriormente, y a partir del </w:t>
      </w:r>
      <w:r w:rsidRPr="00A21B5C">
        <w:rPr>
          <w:rFonts w:ascii="Arial" w:hAnsi="Arial" w:cs="Arial"/>
          <w:iCs/>
          <w:sz w:val="22"/>
          <w:szCs w:val="22"/>
          <w:lang w:val="es-CO"/>
        </w:rPr>
        <w:t xml:space="preserve">Acta de </w:t>
      </w:r>
      <w:r w:rsidR="00F40B3E" w:rsidRPr="00A21B5C">
        <w:rPr>
          <w:rFonts w:ascii="Arial" w:hAnsi="Arial" w:cs="Arial"/>
          <w:iCs/>
          <w:sz w:val="22"/>
          <w:szCs w:val="22"/>
          <w:lang w:val="es-CO"/>
        </w:rPr>
        <w:t>S</w:t>
      </w:r>
      <w:r w:rsidRPr="00A21B5C">
        <w:rPr>
          <w:rFonts w:ascii="Arial" w:hAnsi="Arial" w:cs="Arial"/>
          <w:iCs/>
          <w:sz w:val="22"/>
          <w:szCs w:val="22"/>
          <w:lang w:val="es-CO"/>
        </w:rPr>
        <w:t>uspensión N° 1</w:t>
      </w:r>
      <w:r w:rsidR="00F40B3E" w:rsidRPr="00A21B5C">
        <w:rPr>
          <w:rFonts w:ascii="Arial" w:hAnsi="Arial" w:cs="Arial"/>
          <w:iCs/>
          <w:sz w:val="22"/>
          <w:szCs w:val="22"/>
          <w:lang w:val="es-CO"/>
        </w:rPr>
        <w:t xml:space="preserve"> del</w:t>
      </w:r>
      <w:r w:rsidRPr="00A21B5C">
        <w:rPr>
          <w:rFonts w:ascii="Arial" w:hAnsi="Arial" w:cs="Arial"/>
          <w:iCs/>
          <w:sz w:val="22"/>
          <w:szCs w:val="22"/>
          <w:lang w:val="es-CO"/>
        </w:rPr>
        <w:t xml:space="preserve"> Contrato de Interventoría N° 003 de 2016</w:t>
      </w:r>
      <w:r w:rsidRPr="00A21B5C">
        <w:rPr>
          <w:rFonts w:ascii="Arial" w:hAnsi="Arial" w:cs="Arial"/>
          <w:sz w:val="22"/>
          <w:szCs w:val="22"/>
          <w:lang w:val="es-CO"/>
        </w:rPr>
        <w:t xml:space="preserve"> se conoció que </w:t>
      </w:r>
      <w:r w:rsidR="00F40B3E" w:rsidRPr="00A21B5C">
        <w:rPr>
          <w:rFonts w:ascii="Arial" w:hAnsi="Arial" w:cs="Arial"/>
          <w:sz w:val="22"/>
          <w:szCs w:val="22"/>
          <w:lang w:val="es-CO"/>
        </w:rPr>
        <w:t>este</w:t>
      </w:r>
      <w:r w:rsidRPr="00A21B5C">
        <w:rPr>
          <w:rFonts w:ascii="Arial" w:hAnsi="Arial" w:cs="Arial"/>
          <w:sz w:val="22"/>
          <w:szCs w:val="22"/>
          <w:lang w:val="es-CO"/>
        </w:rPr>
        <w:t xml:space="preserve"> fue suspendido el 21 de noviembre de 2016</w:t>
      </w:r>
      <w:r w:rsidR="00135232" w:rsidRPr="00A21B5C">
        <w:rPr>
          <w:rFonts w:ascii="Arial" w:hAnsi="Arial" w:cs="Arial"/>
          <w:sz w:val="22"/>
          <w:szCs w:val="22"/>
          <w:lang w:val="es-CO"/>
        </w:rPr>
        <w:t xml:space="preserve">, </w:t>
      </w:r>
      <w:r w:rsidRPr="00A21B5C">
        <w:rPr>
          <w:rFonts w:ascii="Arial" w:hAnsi="Arial" w:cs="Arial"/>
          <w:sz w:val="22"/>
          <w:szCs w:val="22"/>
          <w:lang w:val="es-CO"/>
        </w:rPr>
        <w:t>sin encontrarse publicada</w:t>
      </w:r>
      <w:r w:rsidR="00F40B3E" w:rsidRPr="00A21B5C">
        <w:rPr>
          <w:rFonts w:ascii="Arial" w:hAnsi="Arial" w:cs="Arial"/>
          <w:sz w:val="22"/>
          <w:szCs w:val="22"/>
          <w:lang w:val="es-CO"/>
        </w:rPr>
        <w:t xml:space="preserve"> en el SECOP</w:t>
      </w:r>
      <w:r w:rsidRPr="00A21B5C">
        <w:rPr>
          <w:rFonts w:ascii="Arial" w:hAnsi="Arial" w:cs="Arial"/>
          <w:sz w:val="22"/>
          <w:szCs w:val="22"/>
          <w:lang w:val="es-CO"/>
        </w:rPr>
        <w:t xml:space="preserve"> el </w:t>
      </w:r>
      <w:r w:rsidR="00F40B3E" w:rsidRPr="00A21B5C">
        <w:rPr>
          <w:rFonts w:ascii="Arial" w:hAnsi="Arial" w:cs="Arial"/>
          <w:sz w:val="22"/>
          <w:szCs w:val="22"/>
          <w:lang w:val="es-CO"/>
        </w:rPr>
        <w:t>A</w:t>
      </w:r>
      <w:r w:rsidRPr="00A21B5C">
        <w:rPr>
          <w:rFonts w:ascii="Arial" w:hAnsi="Arial" w:cs="Arial"/>
          <w:sz w:val="22"/>
          <w:szCs w:val="22"/>
          <w:lang w:val="es-CO"/>
        </w:rPr>
        <w:t xml:space="preserve">cta de </w:t>
      </w:r>
      <w:r w:rsidR="00F40B3E" w:rsidRPr="00A21B5C">
        <w:rPr>
          <w:rFonts w:ascii="Arial" w:hAnsi="Arial" w:cs="Arial"/>
          <w:sz w:val="22"/>
          <w:szCs w:val="22"/>
          <w:lang w:val="es-CO"/>
        </w:rPr>
        <w:t>S</w:t>
      </w:r>
      <w:r w:rsidRPr="00A21B5C">
        <w:rPr>
          <w:rFonts w:ascii="Arial" w:hAnsi="Arial" w:cs="Arial"/>
          <w:sz w:val="22"/>
          <w:szCs w:val="22"/>
          <w:lang w:val="es-CO"/>
        </w:rPr>
        <w:t>uspensión al que se hace referencia</w:t>
      </w:r>
      <w:r w:rsidRPr="00A21B5C">
        <w:rPr>
          <w:rStyle w:val="Refdenotaalpie"/>
          <w:rFonts w:ascii="Arial" w:hAnsi="Arial" w:cs="Arial"/>
          <w:sz w:val="22"/>
          <w:szCs w:val="22"/>
          <w:lang w:val="es-CO"/>
        </w:rPr>
        <w:footnoteReference w:id="42"/>
      </w:r>
      <w:r w:rsidRPr="00A21B5C">
        <w:rPr>
          <w:rFonts w:ascii="Arial" w:hAnsi="Arial" w:cs="Arial"/>
          <w:sz w:val="22"/>
          <w:szCs w:val="22"/>
          <w:lang w:val="es-CO"/>
        </w:rPr>
        <w:t xml:space="preserve"> que permitiera conocer los motivos que llevaron a dicha suspensión 3 días después del inicio de su ejecución. </w:t>
      </w:r>
    </w:p>
    <w:p w:rsidR="008C2E4A" w:rsidRPr="00A21B5C" w:rsidRDefault="008C2E4A" w:rsidP="00A21B5C">
      <w:pPr>
        <w:ind w:left="708"/>
        <w:contextualSpacing/>
        <w:jc w:val="both"/>
        <w:rPr>
          <w:rFonts w:ascii="Arial" w:hAnsi="Arial" w:cs="Arial"/>
          <w:sz w:val="22"/>
          <w:szCs w:val="22"/>
          <w:lang w:val="es-CO"/>
        </w:rPr>
      </w:pPr>
    </w:p>
    <w:p w:rsidR="008C2E4A" w:rsidRPr="00A21B5C" w:rsidRDefault="008C2E4A" w:rsidP="00A21B5C">
      <w:pPr>
        <w:ind w:left="708"/>
        <w:contextualSpacing/>
        <w:jc w:val="both"/>
        <w:rPr>
          <w:rFonts w:ascii="Arial" w:hAnsi="Arial" w:cs="Arial"/>
          <w:sz w:val="22"/>
          <w:szCs w:val="22"/>
          <w:lang w:val="es-CO"/>
        </w:rPr>
      </w:pPr>
      <w:r w:rsidRPr="00A21B5C">
        <w:rPr>
          <w:rFonts w:ascii="Arial" w:hAnsi="Arial" w:cs="Arial"/>
          <w:sz w:val="22"/>
          <w:szCs w:val="22"/>
          <w:lang w:val="es-CO"/>
        </w:rPr>
        <w:t xml:space="preserve">Así, la ejecución del Contrato fue reiniciada a los 13 días de febrero de 2017, según </w:t>
      </w:r>
      <w:r w:rsidR="00F40B3E" w:rsidRPr="00A21B5C">
        <w:rPr>
          <w:rFonts w:ascii="Arial" w:hAnsi="Arial" w:cs="Arial"/>
          <w:sz w:val="22"/>
          <w:szCs w:val="22"/>
          <w:lang w:val="es-CO"/>
        </w:rPr>
        <w:t xml:space="preserve">el </w:t>
      </w:r>
      <w:r w:rsidRPr="00A21B5C">
        <w:rPr>
          <w:rFonts w:ascii="Arial" w:hAnsi="Arial" w:cs="Arial"/>
          <w:iCs/>
          <w:sz w:val="22"/>
          <w:szCs w:val="22"/>
          <w:lang w:val="es-CO"/>
        </w:rPr>
        <w:t>Acta de reinicio N° 1,</w:t>
      </w:r>
      <w:r w:rsidRPr="00A21B5C">
        <w:rPr>
          <w:rFonts w:ascii="Arial" w:hAnsi="Arial" w:cs="Arial"/>
          <w:i/>
          <w:sz w:val="22"/>
          <w:szCs w:val="22"/>
          <w:lang w:val="es-CO"/>
        </w:rPr>
        <w:t xml:space="preserve"> </w:t>
      </w:r>
      <w:r w:rsidRPr="00A21B5C">
        <w:rPr>
          <w:rFonts w:ascii="Arial" w:hAnsi="Arial" w:cs="Arial"/>
          <w:sz w:val="22"/>
          <w:szCs w:val="22"/>
          <w:lang w:val="es-CO"/>
        </w:rPr>
        <w:t xml:space="preserve">se computó el plazo para la ejecución del </w:t>
      </w:r>
      <w:r w:rsidR="00F40B3E" w:rsidRPr="00A21B5C">
        <w:rPr>
          <w:rFonts w:ascii="Arial" w:hAnsi="Arial" w:cs="Arial"/>
          <w:sz w:val="22"/>
          <w:szCs w:val="22"/>
          <w:lang w:val="es-CO"/>
        </w:rPr>
        <w:t>C</w:t>
      </w:r>
      <w:r w:rsidRPr="00A21B5C">
        <w:rPr>
          <w:rFonts w:ascii="Arial" w:hAnsi="Arial" w:cs="Arial"/>
          <w:sz w:val="22"/>
          <w:szCs w:val="22"/>
          <w:lang w:val="es-CO"/>
        </w:rPr>
        <w:t>ontrato establecido en la minuta contractual, con nueva fecha de finalización del 3 de junio de 2017.</w:t>
      </w:r>
    </w:p>
    <w:p w:rsidR="008C2E4A" w:rsidRPr="00A21B5C" w:rsidRDefault="008C2E4A" w:rsidP="00A21B5C">
      <w:pPr>
        <w:ind w:left="708"/>
        <w:contextualSpacing/>
        <w:jc w:val="both"/>
        <w:rPr>
          <w:rFonts w:ascii="Arial" w:hAnsi="Arial" w:cs="Arial"/>
          <w:sz w:val="22"/>
          <w:szCs w:val="22"/>
          <w:lang w:val="es-CO"/>
        </w:rPr>
      </w:pPr>
    </w:p>
    <w:p w:rsidR="008C2E4A" w:rsidRPr="00A21B5C" w:rsidRDefault="008C2E4A">
      <w:pPr>
        <w:pStyle w:val="Prrafodelista"/>
        <w:numPr>
          <w:ilvl w:val="0"/>
          <w:numId w:val="18"/>
        </w:numPr>
        <w:ind w:left="709"/>
        <w:jc w:val="both"/>
        <w:rPr>
          <w:rFonts w:ascii="Arial" w:hAnsi="Arial" w:cs="Arial"/>
          <w:sz w:val="22"/>
          <w:szCs w:val="22"/>
          <w:lang w:val="es-CO"/>
        </w:rPr>
      </w:pPr>
      <w:r w:rsidRPr="00A21B5C">
        <w:rPr>
          <w:rFonts w:ascii="Arial" w:hAnsi="Arial" w:cs="Arial"/>
          <w:sz w:val="22"/>
          <w:szCs w:val="22"/>
          <w:lang w:val="es-CO"/>
        </w:rPr>
        <w:t xml:space="preserve">De igual forma se conoció que 10 días después del reinicio de la ejecución del Contrato, se expidió </w:t>
      </w:r>
      <w:r w:rsidR="00F40B3E" w:rsidRPr="00A21B5C">
        <w:rPr>
          <w:rFonts w:ascii="Arial" w:hAnsi="Arial" w:cs="Arial"/>
          <w:sz w:val="22"/>
          <w:szCs w:val="22"/>
          <w:lang w:val="es-CO"/>
        </w:rPr>
        <w:t xml:space="preserve">el </w:t>
      </w:r>
      <w:r w:rsidRPr="00A21B5C">
        <w:rPr>
          <w:rFonts w:ascii="Arial" w:hAnsi="Arial" w:cs="Arial"/>
          <w:iCs/>
          <w:sz w:val="22"/>
          <w:szCs w:val="22"/>
          <w:lang w:val="es-CO"/>
        </w:rPr>
        <w:t>Acta modificatoria N° 1 mediante la cual,</w:t>
      </w:r>
      <w:r w:rsidRPr="00A21B5C">
        <w:rPr>
          <w:rFonts w:ascii="Arial" w:hAnsi="Arial" w:cs="Arial"/>
          <w:i/>
          <w:sz w:val="22"/>
          <w:szCs w:val="22"/>
          <w:lang w:val="es-CO"/>
        </w:rPr>
        <w:t xml:space="preserve"> </w:t>
      </w:r>
      <w:r w:rsidRPr="00A21B5C">
        <w:rPr>
          <w:rFonts w:ascii="Arial" w:hAnsi="Arial" w:cs="Arial"/>
          <w:sz w:val="22"/>
          <w:szCs w:val="22"/>
          <w:lang w:val="es-CO"/>
        </w:rPr>
        <w:t>según se lee en el documento</w:t>
      </w:r>
      <w:r w:rsidRPr="00A21B5C">
        <w:rPr>
          <w:rFonts w:ascii="Arial" w:hAnsi="Arial" w:cs="Arial"/>
          <w:i/>
          <w:sz w:val="22"/>
          <w:szCs w:val="22"/>
          <w:lang w:val="es-CO"/>
        </w:rPr>
        <w:t>, “</w:t>
      </w:r>
      <w:r w:rsidR="00F40B3E" w:rsidRPr="00A21B5C">
        <w:rPr>
          <w:rFonts w:ascii="Arial" w:hAnsi="Arial" w:cs="Arial"/>
          <w:i/>
          <w:sz w:val="22"/>
          <w:szCs w:val="22"/>
          <w:lang w:val="es-CO"/>
        </w:rPr>
        <w:t>[</w:t>
      </w:r>
      <w:r w:rsidRPr="00A21B5C">
        <w:rPr>
          <w:rFonts w:ascii="Arial" w:hAnsi="Arial" w:cs="Arial"/>
          <w:i/>
          <w:sz w:val="22"/>
          <w:szCs w:val="22"/>
          <w:lang w:val="es-CO"/>
        </w:rPr>
        <w:t>…</w:t>
      </w:r>
      <w:r w:rsidR="00F40B3E" w:rsidRPr="00A21B5C">
        <w:rPr>
          <w:rFonts w:ascii="Arial" w:hAnsi="Arial" w:cs="Arial"/>
          <w:i/>
          <w:sz w:val="22"/>
          <w:szCs w:val="22"/>
          <w:lang w:val="es-CO"/>
        </w:rPr>
        <w:t xml:space="preserve">] </w:t>
      </w:r>
      <w:r w:rsidRPr="00A21B5C">
        <w:rPr>
          <w:rFonts w:ascii="Arial" w:hAnsi="Arial" w:cs="Arial"/>
          <w:i/>
          <w:sz w:val="22"/>
          <w:szCs w:val="22"/>
          <w:lang w:val="es-CO"/>
        </w:rPr>
        <w:t xml:space="preserve">se requieren hacer ajustes en las cantidades de obra objeto del contrato, por cantidades que suben, cantidades que bajan y se introducen ítems adicionales no previstos, todo para lograr el cabal cumplimiento del objeto contractual </w:t>
      </w:r>
      <w:r w:rsidR="00F40B3E" w:rsidRPr="00A21B5C">
        <w:rPr>
          <w:rFonts w:ascii="Arial" w:hAnsi="Arial" w:cs="Arial"/>
          <w:i/>
          <w:sz w:val="22"/>
          <w:szCs w:val="22"/>
          <w:lang w:val="es-CO"/>
        </w:rPr>
        <w:t>[</w:t>
      </w:r>
      <w:r w:rsidRPr="00A21B5C">
        <w:rPr>
          <w:rFonts w:ascii="Arial" w:hAnsi="Arial" w:cs="Arial"/>
          <w:i/>
          <w:sz w:val="22"/>
          <w:szCs w:val="22"/>
          <w:lang w:val="es-CO"/>
        </w:rPr>
        <w:t>…</w:t>
      </w:r>
      <w:r w:rsidR="00F40B3E" w:rsidRPr="00A21B5C">
        <w:rPr>
          <w:rFonts w:ascii="Arial" w:hAnsi="Arial" w:cs="Arial"/>
          <w:i/>
          <w:sz w:val="22"/>
          <w:szCs w:val="22"/>
          <w:lang w:val="es-CO"/>
        </w:rPr>
        <w:t>]</w:t>
      </w:r>
      <w:r w:rsidRPr="00A21B5C">
        <w:rPr>
          <w:rFonts w:ascii="Arial" w:hAnsi="Arial" w:cs="Arial"/>
          <w:i/>
          <w:sz w:val="22"/>
          <w:szCs w:val="22"/>
          <w:lang w:val="es-CO"/>
        </w:rPr>
        <w:t xml:space="preserve"> todo esto sin que se incremente el valor total del presente contrato”. </w:t>
      </w:r>
    </w:p>
    <w:p w:rsidR="008C2E4A" w:rsidRPr="00A21B5C" w:rsidRDefault="008C2E4A" w:rsidP="00A21B5C">
      <w:pPr>
        <w:ind w:left="708"/>
        <w:contextualSpacing/>
        <w:jc w:val="both"/>
        <w:rPr>
          <w:rFonts w:ascii="Arial" w:hAnsi="Arial" w:cs="Arial"/>
          <w:sz w:val="22"/>
          <w:szCs w:val="22"/>
          <w:lang w:val="es-CO"/>
        </w:rPr>
      </w:pPr>
    </w:p>
    <w:p w:rsidR="008C2E4A" w:rsidRPr="00A21B5C" w:rsidRDefault="008C2E4A" w:rsidP="00A21B5C">
      <w:pPr>
        <w:ind w:left="708"/>
        <w:contextualSpacing/>
        <w:jc w:val="both"/>
        <w:rPr>
          <w:rFonts w:ascii="Arial" w:hAnsi="Arial" w:cs="Arial"/>
          <w:sz w:val="22"/>
          <w:szCs w:val="22"/>
          <w:lang w:val="es-CO"/>
        </w:rPr>
      </w:pPr>
      <w:r w:rsidRPr="00A21B5C">
        <w:rPr>
          <w:rFonts w:ascii="Arial" w:hAnsi="Arial" w:cs="Arial"/>
          <w:sz w:val="22"/>
          <w:szCs w:val="22"/>
          <w:lang w:val="es-CO"/>
        </w:rPr>
        <w:t xml:space="preserve">Al respecto, a partir del </w:t>
      </w:r>
      <w:r w:rsidRPr="00A21B5C">
        <w:rPr>
          <w:rFonts w:ascii="Arial" w:hAnsi="Arial" w:cs="Arial"/>
          <w:iCs/>
          <w:sz w:val="22"/>
          <w:szCs w:val="22"/>
          <w:lang w:val="es-CO"/>
        </w:rPr>
        <w:t>Informe de supervisión N° 1</w:t>
      </w:r>
      <w:r w:rsidR="00F40B3E" w:rsidRPr="00A21B5C">
        <w:rPr>
          <w:rFonts w:ascii="Arial" w:hAnsi="Arial" w:cs="Arial"/>
          <w:iCs/>
          <w:sz w:val="22"/>
          <w:szCs w:val="22"/>
          <w:lang w:val="es-CO"/>
        </w:rPr>
        <w:t xml:space="preserve"> en su</w:t>
      </w:r>
      <w:r w:rsidRPr="00A21B5C">
        <w:rPr>
          <w:rFonts w:ascii="Arial" w:hAnsi="Arial" w:cs="Arial"/>
          <w:i/>
          <w:sz w:val="22"/>
          <w:szCs w:val="22"/>
          <w:lang w:val="es-CO"/>
        </w:rPr>
        <w:t xml:space="preserve"> </w:t>
      </w:r>
      <w:r w:rsidRPr="00A21B5C">
        <w:rPr>
          <w:rFonts w:ascii="Arial" w:hAnsi="Arial" w:cs="Arial"/>
          <w:sz w:val="22"/>
          <w:szCs w:val="22"/>
          <w:lang w:val="es-CO"/>
        </w:rPr>
        <w:t>numeral 2.1.2 se conoció que:</w:t>
      </w:r>
    </w:p>
    <w:p w:rsidR="008C2E4A" w:rsidRPr="00A21B5C" w:rsidRDefault="008C2E4A" w:rsidP="00A21B5C">
      <w:pPr>
        <w:autoSpaceDE w:val="0"/>
        <w:autoSpaceDN w:val="0"/>
        <w:adjustRightInd w:val="0"/>
        <w:contextualSpacing/>
        <w:jc w:val="both"/>
        <w:rPr>
          <w:rFonts w:ascii="Arial" w:hAnsi="Arial" w:cs="Arial"/>
          <w:sz w:val="22"/>
          <w:szCs w:val="22"/>
          <w:lang w:val="es-CO"/>
        </w:rPr>
      </w:pPr>
    </w:p>
    <w:p w:rsidR="008C2E4A" w:rsidRPr="00A21B5C" w:rsidRDefault="008C2E4A" w:rsidP="00A21B5C">
      <w:pPr>
        <w:autoSpaceDE w:val="0"/>
        <w:autoSpaceDN w:val="0"/>
        <w:adjustRightInd w:val="0"/>
        <w:ind w:left="2124"/>
        <w:contextualSpacing/>
        <w:jc w:val="both"/>
        <w:rPr>
          <w:rFonts w:ascii="Arial" w:eastAsiaTheme="minorHAnsi" w:hAnsi="Arial" w:cs="Arial"/>
          <w:i/>
          <w:color w:val="000000" w:themeColor="text1"/>
          <w:sz w:val="18"/>
          <w:szCs w:val="18"/>
          <w:lang w:val="es-CO" w:eastAsia="en-US"/>
        </w:rPr>
      </w:pPr>
      <w:r w:rsidRPr="00A21B5C">
        <w:rPr>
          <w:rFonts w:ascii="Arial" w:hAnsi="Arial" w:cs="Arial"/>
          <w:sz w:val="18"/>
          <w:szCs w:val="18"/>
          <w:lang w:val="es-CO"/>
        </w:rPr>
        <w:t>“</w:t>
      </w:r>
      <w:r w:rsidRPr="00A21B5C">
        <w:rPr>
          <w:rFonts w:ascii="Arial" w:eastAsiaTheme="minorHAnsi" w:hAnsi="Arial" w:cs="Arial"/>
          <w:i/>
          <w:color w:val="000000" w:themeColor="text1"/>
          <w:sz w:val="18"/>
          <w:szCs w:val="18"/>
          <w:lang w:val="es-CO" w:eastAsia="en-US"/>
        </w:rPr>
        <w:t xml:space="preserve">La Supervisión en común acuerdo con la </w:t>
      </w:r>
      <w:r w:rsidR="00F40B3E" w:rsidRPr="00A21B5C">
        <w:rPr>
          <w:rFonts w:ascii="Arial" w:eastAsiaTheme="minorHAnsi" w:hAnsi="Arial" w:cs="Arial"/>
          <w:i/>
          <w:color w:val="000000" w:themeColor="text1"/>
          <w:sz w:val="18"/>
          <w:szCs w:val="18"/>
          <w:lang w:val="es-CO" w:eastAsia="en-US"/>
        </w:rPr>
        <w:t>interventoría</w:t>
      </w:r>
      <w:r w:rsidRPr="00A21B5C">
        <w:rPr>
          <w:rFonts w:ascii="Arial" w:eastAsiaTheme="minorHAnsi" w:hAnsi="Arial" w:cs="Arial"/>
          <w:i/>
          <w:color w:val="000000" w:themeColor="text1"/>
          <w:sz w:val="18"/>
          <w:szCs w:val="18"/>
          <w:lang w:val="es-CO" w:eastAsia="en-US"/>
        </w:rPr>
        <w:t xml:space="preserve"> y el Contratista realizó el estudio general de las actividades objeto del presente contrato y se determinó ajustar el presupuesto para que correspondan con las actividades reales necesarias e imprescindibles para que la obra pueda cumplir de mejor manera con el propósito para el que está concebida, arrojando como resultado de este estudio la definición de mayores y menores cantidades de obra en algunos Ítems contractuales, y la inclusión de Ítems adicionales no previstos que son necesarios desde el punto de vista técnico, todo esto sin que se incremente el valor total del presente contrato.</w:t>
      </w:r>
    </w:p>
    <w:p w:rsidR="008C2E4A" w:rsidRPr="00A21B5C" w:rsidRDefault="008C2E4A" w:rsidP="00A21B5C">
      <w:pPr>
        <w:ind w:left="2124"/>
        <w:contextualSpacing/>
        <w:jc w:val="both"/>
        <w:rPr>
          <w:rFonts w:ascii="Arial" w:hAnsi="Arial" w:cs="Arial"/>
          <w:i/>
          <w:sz w:val="18"/>
          <w:szCs w:val="18"/>
          <w:lang w:val="es-CO"/>
        </w:rPr>
      </w:pPr>
    </w:p>
    <w:p w:rsidR="008C2E4A" w:rsidRPr="00A21B5C" w:rsidRDefault="008C2E4A" w:rsidP="00A21B5C">
      <w:pPr>
        <w:autoSpaceDE w:val="0"/>
        <w:autoSpaceDN w:val="0"/>
        <w:adjustRightInd w:val="0"/>
        <w:ind w:left="2124"/>
        <w:contextualSpacing/>
        <w:jc w:val="both"/>
        <w:rPr>
          <w:rFonts w:ascii="Arial" w:eastAsiaTheme="minorHAnsi" w:hAnsi="Arial" w:cs="Arial"/>
          <w:i/>
          <w:sz w:val="18"/>
          <w:szCs w:val="18"/>
          <w:lang w:val="es-CO" w:eastAsia="en-US"/>
        </w:rPr>
      </w:pPr>
      <w:r w:rsidRPr="00A21B5C">
        <w:rPr>
          <w:rFonts w:ascii="Arial" w:eastAsiaTheme="minorHAnsi" w:hAnsi="Arial" w:cs="Arial"/>
          <w:i/>
          <w:sz w:val="18"/>
          <w:szCs w:val="18"/>
          <w:lang w:val="es-CO" w:eastAsia="en-US"/>
        </w:rPr>
        <w:t>En comité técnico y visita realizada al sitio de ejecución de las obras en compañía del Contratista, Interventoría y representante de las comunidades indígenas, se observó que se hace absolutamente necesaria la realización de un movimiento de tierra en el área de ejecución de las bodegas, debido a que el terreno destinado para la construcción presenta altas pendientes, por lo que es necesario su nivelación, para lo cual se deben realizar actividades de excavación y relleno para llegar a la cota de construcción del proyecto. Las actividades necesarias para la realización del movimiento de tierra no fueron estimadas en las actividades contratadas.</w:t>
      </w:r>
    </w:p>
    <w:p w:rsidR="008C2E4A" w:rsidRPr="00A21B5C" w:rsidRDefault="008C2E4A" w:rsidP="00A21B5C">
      <w:pPr>
        <w:autoSpaceDE w:val="0"/>
        <w:autoSpaceDN w:val="0"/>
        <w:adjustRightInd w:val="0"/>
        <w:ind w:left="2124"/>
        <w:contextualSpacing/>
        <w:jc w:val="both"/>
        <w:rPr>
          <w:rFonts w:ascii="Arial" w:eastAsiaTheme="minorHAnsi" w:hAnsi="Arial" w:cs="Arial"/>
          <w:i/>
          <w:sz w:val="18"/>
          <w:szCs w:val="18"/>
          <w:lang w:val="es-CO" w:eastAsia="en-US"/>
        </w:rPr>
      </w:pPr>
    </w:p>
    <w:p w:rsidR="008C2E4A" w:rsidRPr="00A21B5C" w:rsidRDefault="008C2E4A" w:rsidP="00A21B5C">
      <w:pPr>
        <w:autoSpaceDE w:val="0"/>
        <w:autoSpaceDN w:val="0"/>
        <w:adjustRightInd w:val="0"/>
        <w:ind w:left="2124"/>
        <w:contextualSpacing/>
        <w:jc w:val="both"/>
        <w:rPr>
          <w:rFonts w:ascii="Arial" w:eastAsiaTheme="minorHAnsi" w:hAnsi="Arial" w:cs="Arial"/>
          <w:i/>
          <w:sz w:val="18"/>
          <w:szCs w:val="18"/>
          <w:lang w:val="es-CO" w:eastAsia="en-US"/>
        </w:rPr>
      </w:pPr>
      <w:r w:rsidRPr="00A21B5C">
        <w:rPr>
          <w:rFonts w:ascii="Arial" w:eastAsiaTheme="minorHAnsi" w:hAnsi="Arial" w:cs="Arial"/>
          <w:i/>
          <w:sz w:val="18"/>
          <w:szCs w:val="18"/>
          <w:lang w:val="es-CO" w:eastAsia="en-US"/>
        </w:rPr>
        <w:t xml:space="preserve">Así mismo, las actividades para el movimiento de tierra y construcción de la vía de acceso tampoco fueron estimadas en las actividades contratadas; por lo que en el comité de obra efectuado se estipulo para la vía de acceso al área de instrucción, </w:t>
      </w:r>
      <w:r w:rsidR="00F40B3E" w:rsidRPr="00A21B5C">
        <w:rPr>
          <w:rFonts w:ascii="Arial" w:eastAsiaTheme="minorHAnsi" w:hAnsi="Arial" w:cs="Arial"/>
          <w:i/>
          <w:sz w:val="18"/>
          <w:szCs w:val="18"/>
          <w:lang w:val="es-CO" w:eastAsia="en-US"/>
        </w:rPr>
        <w:t xml:space="preserve">la </w:t>
      </w:r>
      <w:r w:rsidRPr="00A21B5C">
        <w:rPr>
          <w:rFonts w:ascii="Arial" w:eastAsiaTheme="minorHAnsi" w:hAnsi="Arial" w:cs="Arial"/>
          <w:i/>
          <w:sz w:val="18"/>
          <w:szCs w:val="18"/>
          <w:lang w:val="es-CO" w:eastAsia="en-US"/>
        </w:rPr>
        <w:t>demolición de parte de la oficina actual y muro posterior para el acceso de vehículos y maquinaria; proyectando esta vía de acceso en dejarla permanente para el ingreso de camiones de carga.</w:t>
      </w:r>
    </w:p>
    <w:p w:rsidR="008C2E4A" w:rsidRPr="00A21B5C" w:rsidRDefault="008C2E4A" w:rsidP="00A21B5C">
      <w:pPr>
        <w:ind w:left="2124"/>
        <w:contextualSpacing/>
        <w:jc w:val="both"/>
        <w:rPr>
          <w:rFonts w:ascii="Arial" w:eastAsiaTheme="minorHAnsi" w:hAnsi="Arial" w:cs="Arial"/>
          <w:i/>
          <w:sz w:val="18"/>
          <w:szCs w:val="18"/>
          <w:lang w:val="es-CO" w:eastAsia="en-US"/>
        </w:rPr>
      </w:pPr>
    </w:p>
    <w:p w:rsidR="008C2E4A" w:rsidRPr="00A21B5C" w:rsidRDefault="008C2E4A" w:rsidP="00A21B5C">
      <w:pPr>
        <w:autoSpaceDE w:val="0"/>
        <w:autoSpaceDN w:val="0"/>
        <w:adjustRightInd w:val="0"/>
        <w:ind w:left="2124"/>
        <w:contextualSpacing/>
        <w:jc w:val="both"/>
        <w:rPr>
          <w:rFonts w:ascii="Arial" w:eastAsiaTheme="minorHAnsi" w:hAnsi="Arial" w:cs="Arial"/>
          <w:i/>
          <w:sz w:val="18"/>
          <w:szCs w:val="18"/>
          <w:lang w:val="es-CO" w:eastAsia="en-US"/>
        </w:rPr>
      </w:pPr>
      <w:r w:rsidRPr="00A21B5C">
        <w:rPr>
          <w:rFonts w:ascii="Arial" w:eastAsiaTheme="minorHAnsi" w:hAnsi="Arial" w:cs="Arial"/>
          <w:i/>
          <w:sz w:val="18"/>
          <w:szCs w:val="18"/>
          <w:lang w:val="es-CO" w:eastAsia="en-US"/>
        </w:rPr>
        <w:t>Con respecto a las oficinas, el contrato planteaba la construcción de las oficinas en un segundo piso, el cual se debía construir sobre una edificación que existe actualmente y que se utiliza como dormitorios.</w:t>
      </w:r>
      <w:r w:rsidR="00F40B3E" w:rsidRPr="00A21B5C">
        <w:rPr>
          <w:rFonts w:ascii="Arial" w:eastAsiaTheme="minorHAnsi" w:hAnsi="Arial" w:cs="Arial"/>
          <w:i/>
          <w:sz w:val="18"/>
          <w:szCs w:val="18"/>
          <w:lang w:val="es-CO" w:eastAsia="en-US"/>
        </w:rPr>
        <w:t xml:space="preserve"> </w:t>
      </w:r>
      <w:r w:rsidRPr="00A21B5C">
        <w:rPr>
          <w:rFonts w:ascii="Arial" w:eastAsiaTheme="minorHAnsi" w:hAnsi="Arial" w:cs="Arial"/>
          <w:i/>
          <w:sz w:val="18"/>
          <w:szCs w:val="18"/>
          <w:lang w:val="es-CO" w:eastAsia="en-US"/>
        </w:rPr>
        <w:t xml:space="preserve">Teniendo en cuenta que la construcción existente es obsoleta, puesto que data de muchos años de construida, y que en el presupuesto del contrato no estaba implícito todos los requerimientos desde el punto de vista estructural para construir sobre ella un segundo piso; se realizó una modificación para garantizar la estabilidad y durabilidad de la nueva construcción. Por ello se dividió la construcción en dos pares: una construcción nueva cerca al área de construcción de las bodegas en la cual quedaran las oficinas; </w:t>
      </w:r>
      <w:r w:rsidRPr="00A21B5C">
        <w:rPr>
          <w:rFonts w:ascii="Arial" w:eastAsiaTheme="minorHAnsi" w:hAnsi="Arial" w:cs="Arial"/>
          <w:sz w:val="18"/>
          <w:szCs w:val="18"/>
          <w:lang w:val="es-CO" w:eastAsia="en-US"/>
        </w:rPr>
        <w:t>y se dejó la construcción existente, para que posteriormente se le haga la intervención y pueda servir como dormitorios, como estaba planteado inicialmente</w:t>
      </w:r>
      <w:r w:rsidRPr="00A21B5C">
        <w:rPr>
          <w:rFonts w:ascii="Arial" w:eastAsiaTheme="minorHAnsi" w:hAnsi="Arial" w:cs="Arial"/>
          <w:i/>
          <w:sz w:val="18"/>
          <w:szCs w:val="18"/>
          <w:lang w:val="es-CO" w:eastAsia="en-US"/>
        </w:rPr>
        <w:t>, puesto que después de realizado el balance general del contrato, el presupuesto no alcanza para esta intervención.</w:t>
      </w:r>
    </w:p>
    <w:p w:rsidR="008C2E4A" w:rsidRPr="00A21B5C" w:rsidRDefault="008C2E4A" w:rsidP="00A21B5C">
      <w:pPr>
        <w:autoSpaceDE w:val="0"/>
        <w:autoSpaceDN w:val="0"/>
        <w:adjustRightInd w:val="0"/>
        <w:ind w:left="2124"/>
        <w:contextualSpacing/>
        <w:rPr>
          <w:rFonts w:ascii="Arial" w:eastAsiaTheme="minorHAnsi" w:hAnsi="Arial" w:cs="Arial"/>
          <w:i/>
          <w:sz w:val="18"/>
          <w:szCs w:val="18"/>
          <w:lang w:val="es-CO" w:eastAsia="en-US"/>
        </w:rPr>
      </w:pPr>
    </w:p>
    <w:p w:rsidR="008C2E4A" w:rsidRPr="00A21B5C" w:rsidRDefault="008C2E4A" w:rsidP="00A21B5C">
      <w:pPr>
        <w:autoSpaceDE w:val="0"/>
        <w:autoSpaceDN w:val="0"/>
        <w:adjustRightInd w:val="0"/>
        <w:ind w:left="2124"/>
        <w:contextualSpacing/>
        <w:jc w:val="both"/>
        <w:rPr>
          <w:rFonts w:ascii="Arial" w:eastAsiaTheme="minorHAnsi" w:hAnsi="Arial" w:cs="Arial"/>
          <w:i/>
          <w:sz w:val="18"/>
          <w:szCs w:val="18"/>
          <w:lang w:val="es-CO" w:eastAsia="en-US"/>
        </w:rPr>
      </w:pPr>
      <w:r w:rsidRPr="00A21B5C">
        <w:rPr>
          <w:rFonts w:ascii="Arial" w:eastAsiaTheme="minorHAnsi" w:hAnsi="Arial" w:cs="Arial"/>
          <w:i/>
          <w:sz w:val="18"/>
          <w:szCs w:val="18"/>
          <w:lang w:val="es-CO" w:eastAsia="en-US"/>
        </w:rPr>
        <w:t>El balance económico del contrato arrojó un valor de SEISCIENTOS TREINTA Y SEIS MILLONES CUARENTA Y CINCO MIL DOSCIENTOS TREINTA Y NUEVE PESOS CON OCHENTA Y NUEVE CENTAVOS ($636.045.239,89), necesarios para la ejecución de la adecuada ejecución de las Dos (02) Bodegas y de las oficinas.</w:t>
      </w:r>
    </w:p>
    <w:p w:rsidR="008C2E4A" w:rsidRPr="00A21B5C" w:rsidRDefault="008C2E4A" w:rsidP="00A21B5C">
      <w:pPr>
        <w:autoSpaceDE w:val="0"/>
        <w:autoSpaceDN w:val="0"/>
        <w:adjustRightInd w:val="0"/>
        <w:ind w:left="2124"/>
        <w:contextualSpacing/>
        <w:rPr>
          <w:rFonts w:ascii="Arial" w:eastAsiaTheme="minorHAnsi" w:hAnsi="Arial" w:cs="Arial"/>
          <w:i/>
          <w:sz w:val="18"/>
          <w:szCs w:val="18"/>
          <w:lang w:val="es-CO" w:eastAsia="en-US"/>
        </w:rPr>
      </w:pPr>
    </w:p>
    <w:p w:rsidR="008C2E4A" w:rsidRPr="00A21B5C" w:rsidRDefault="008C2E4A" w:rsidP="00A21B5C">
      <w:pPr>
        <w:autoSpaceDE w:val="0"/>
        <w:autoSpaceDN w:val="0"/>
        <w:adjustRightInd w:val="0"/>
        <w:ind w:left="2124"/>
        <w:contextualSpacing/>
        <w:jc w:val="both"/>
        <w:rPr>
          <w:rFonts w:ascii="Arial" w:eastAsiaTheme="minorHAnsi" w:hAnsi="Arial" w:cs="Arial"/>
          <w:i/>
          <w:sz w:val="22"/>
          <w:szCs w:val="22"/>
          <w:lang w:val="es-CO" w:eastAsia="en-US"/>
        </w:rPr>
      </w:pPr>
      <w:r w:rsidRPr="00A21B5C">
        <w:rPr>
          <w:rFonts w:ascii="Arial" w:eastAsiaTheme="minorHAnsi" w:hAnsi="Arial" w:cs="Arial"/>
          <w:i/>
          <w:sz w:val="18"/>
          <w:szCs w:val="18"/>
          <w:lang w:val="es-CO" w:eastAsia="en-US"/>
        </w:rPr>
        <w:lastRenderedPageBreak/>
        <w:t>Teniendo en cuenta que se contaba con el recurso del contrato inicial por valor de CUATROCIENTOS VEINTICUATRO MILLONES SESENTA MIL SETECIENTOS OCHENTA Y SEIS PESOS ML ($424.060.786,00), se decidió realizar un ajuste con este valor al presupuesto del contrato, con las obras que requieren ejecutarse de manera prioritaria, mientras que el Municipio de Dibulla realiza las gestiones requeridas para el adicional antes mencionado”</w:t>
      </w:r>
      <w:r w:rsidR="0094529E" w:rsidRPr="00A21B5C">
        <w:rPr>
          <w:rFonts w:ascii="Arial" w:eastAsiaTheme="minorHAnsi" w:hAnsi="Arial" w:cs="Arial"/>
          <w:i/>
          <w:sz w:val="18"/>
          <w:szCs w:val="18"/>
          <w:lang w:val="es-CO" w:eastAsia="en-US"/>
        </w:rPr>
        <w:t>.</w:t>
      </w:r>
    </w:p>
    <w:p w:rsidR="008C2E4A" w:rsidRPr="00A21B5C" w:rsidRDefault="008C2E4A" w:rsidP="00A21B5C">
      <w:pPr>
        <w:contextualSpacing/>
        <w:jc w:val="both"/>
        <w:rPr>
          <w:rFonts w:ascii="Arial" w:hAnsi="Arial" w:cs="Arial"/>
          <w:sz w:val="22"/>
          <w:szCs w:val="22"/>
          <w:lang w:val="es-CO"/>
        </w:rPr>
      </w:pPr>
    </w:p>
    <w:p w:rsidR="008C2E4A" w:rsidRPr="00A21B5C" w:rsidRDefault="008C2E4A" w:rsidP="00A21B5C">
      <w:pPr>
        <w:ind w:left="708"/>
        <w:contextualSpacing/>
        <w:jc w:val="both"/>
        <w:rPr>
          <w:rFonts w:ascii="Arial" w:hAnsi="Arial" w:cs="Arial"/>
          <w:sz w:val="22"/>
          <w:szCs w:val="22"/>
          <w:lang w:val="es-CO"/>
        </w:rPr>
      </w:pPr>
      <w:r w:rsidRPr="00A21B5C">
        <w:rPr>
          <w:rFonts w:ascii="Arial" w:hAnsi="Arial" w:cs="Arial"/>
          <w:sz w:val="22"/>
          <w:szCs w:val="22"/>
          <w:lang w:val="es-CO"/>
        </w:rPr>
        <w:t xml:space="preserve">Adicionalmente, se conoció también el </w:t>
      </w:r>
      <w:r w:rsidRPr="00A21B5C">
        <w:rPr>
          <w:rFonts w:ascii="Arial" w:hAnsi="Arial" w:cs="Arial"/>
          <w:iCs/>
          <w:sz w:val="22"/>
          <w:szCs w:val="22"/>
          <w:lang w:val="es-CO"/>
        </w:rPr>
        <w:t xml:space="preserve">Acta de fijación de precios no previstos en </w:t>
      </w:r>
      <w:r w:rsidR="00F40B3E" w:rsidRPr="00A21B5C">
        <w:rPr>
          <w:rFonts w:ascii="Arial" w:hAnsi="Arial" w:cs="Arial"/>
          <w:iCs/>
          <w:sz w:val="22"/>
          <w:szCs w:val="22"/>
          <w:lang w:val="es-CO"/>
        </w:rPr>
        <w:t>la</w:t>
      </w:r>
      <w:r w:rsidRPr="00A21B5C">
        <w:rPr>
          <w:rFonts w:ascii="Arial" w:hAnsi="Arial" w:cs="Arial"/>
          <w:iCs/>
          <w:sz w:val="22"/>
          <w:szCs w:val="22"/>
          <w:lang w:val="es-CO"/>
        </w:rPr>
        <w:t xml:space="preserve"> cual se evidencia el listado de actividades adicionales anexa al Informe de Supervisión del 3 de marzo de 2017, mediante el cual se informa de un 84,5</w:t>
      </w:r>
      <w:r w:rsidR="00A2579F" w:rsidRPr="00A21B5C">
        <w:rPr>
          <w:rFonts w:ascii="Arial" w:hAnsi="Arial" w:cs="Arial"/>
          <w:iCs/>
          <w:sz w:val="22"/>
          <w:szCs w:val="22"/>
          <w:lang w:val="es-CO"/>
        </w:rPr>
        <w:t xml:space="preserve"> </w:t>
      </w:r>
      <w:r w:rsidRPr="00A21B5C">
        <w:rPr>
          <w:rFonts w:ascii="Arial" w:hAnsi="Arial" w:cs="Arial"/>
          <w:iCs/>
          <w:sz w:val="22"/>
          <w:szCs w:val="22"/>
          <w:lang w:val="es-CO"/>
        </w:rPr>
        <w:t>% de ejecución física de la obra; y se conocieron los CDP N° 211102 y 211103, y los RP N° 3011170</w:t>
      </w:r>
      <w:r w:rsidR="00D76F8A" w:rsidRPr="00A21B5C">
        <w:rPr>
          <w:rFonts w:ascii="Arial" w:hAnsi="Arial" w:cs="Arial"/>
          <w:iCs/>
          <w:sz w:val="22"/>
          <w:szCs w:val="22"/>
          <w:lang w:val="es-CO"/>
        </w:rPr>
        <w:t>1</w:t>
      </w:r>
      <w:r w:rsidRPr="00A21B5C">
        <w:rPr>
          <w:rFonts w:ascii="Arial" w:hAnsi="Arial" w:cs="Arial"/>
          <w:iCs/>
          <w:sz w:val="22"/>
          <w:szCs w:val="22"/>
          <w:lang w:val="es-CO"/>
        </w:rPr>
        <w:t xml:space="preserve"> Y 30111702 por $100.000.000, expedidos el 21 de noviembre de 2017, para adicionar el Contrato de </w:t>
      </w:r>
      <w:r w:rsidR="00A2579F" w:rsidRPr="00A21B5C">
        <w:rPr>
          <w:rFonts w:ascii="Arial" w:hAnsi="Arial" w:cs="Arial"/>
          <w:iCs/>
          <w:sz w:val="22"/>
          <w:szCs w:val="22"/>
          <w:lang w:val="es-CO"/>
        </w:rPr>
        <w:t>O</w:t>
      </w:r>
      <w:r w:rsidRPr="00A21B5C">
        <w:rPr>
          <w:rFonts w:ascii="Arial" w:hAnsi="Arial" w:cs="Arial"/>
          <w:iCs/>
          <w:sz w:val="22"/>
          <w:szCs w:val="22"/>
          <w:lang w:val="es-CO"/>
        </w:rPr>
        <w:t>bra.</w:t>
      </w:r>
    </w:p>
    <w:p w:rsidR="008C2E4A" w:rsidRPr="00A21B5C" w:rsidRDefault="008C2E4A" w:rsidP="00A21B5C">
      <w:pPr>
        <w:contextualSpacing/>
        <w:jc w:val="both"/>
        <w:rPr>
          <w:rFonts w:ascii="Arial" w:hAnsi="Arial" w:cs="Arial"/>
          <w:sz w:val="22"/>
          <w:szCs w:val="22"/>
          <w:lang w:val="es-CO"/>
        </w:rPr>
      </w:pPr>
    </w:p>
    <w:p w:rsidR="008C2E4A" w:rsidRPr="00A21B5C" w:rsidRDefault="008C2E4A" w:rsidP="00A21B5C">
      <w:pPr>
        <w:ind w:left="708"/>
        <w:contextualSpacing/>
        <w:jc w:val="both"/>
        <w:rPr>
          <w:rFonts w:ascii="Arial" w:hAnsi="Arial" w:cs="Arial"/>
          <w:sz w:val="22"/>
          <w:szCs w:val="22"/>
          <w:lang w:val="es-CO"/>
        </w:rPr>
      </w:pPr>
      <w:r w:rsidRPr="00A21B5C">
        <w:rPr>
          <w:rFonts w:ascii="Arial" w:hAnsi="Arial" w:cs="Arial"/>
          <w:sz w:val="22"/>
          <w:szCs w:val="22"/>
          <w:lang w:val="es-CO"/>
        </w:rPr>
        <w:t>De lo anterior, se evidencia que</w:t>
      </w:r>
      <w:r w:rsidRPr="00A21B5C">
        <w:rPr>
          <w:rFonts w:ascii="Arial" w:hAnsi="Arial" w:cs="Arial"/>
          <w:i/>
          <w:sz w:val="22"/>
          <w:szCs w:val="22"/>
          <w:lang w:val="es-CO"/>
        </w:rPr>
        <w:t xml:space="preserve"> </w:t>
      </w:r>
      <w:r w:rsidRPr="00A21B5C">
        <w:rPr>
          <w:rFonts w:ascii="Arial" w:hAnsi="Arial" w:cs="Arial"/>
          <w:sz w:val="22"/>
          <w:szCs w:val="22"/>
          <w:lang w:val="es-CO"/>
        </w:rPr>
        <w:t xml:space="preserve">la Entidad Territorial no realizó un adecuado proceso de planeación contractual, faltando al </w:t>
      </w:r>
      <w:r w:rsidR="00A2579F" w:rsidRPr="00A21B5C">
        <w:rPr>
          <w:rFonts w:ascii="Arial" w:hAnsi="Arial" w:cs="Arial"/>
          <w:sz w:val="22"/>
          <w:szCs w:val="22"/>
          <w:lang w:val="es-CO"/>
        </w:rPr>
        <w:t>P</w:t>
      </w:r>
      <w:r w:rsidRPr="00A21B5C">
        <w:rPr>
          <w:rFonts w:ascii="Arial" w:hAnsi="Arial" w:cs="Arial"/>
          <w:sz w:val="22"/>
          <w:szCs w:val="22"/>
          <w:lang w:val="es-CO"/>
        </w:rPr>
        <w:t xml:space="preserve">rincipio de </w:t>
      </w:r>
      <w:r w:rsidR="00A2579F" w:rsidRPr="00A21B5C">
        <w:rPr>
          <w:rFonts w:ascii="Arial" w:hAnsi="Arial" w:cs="Arial"/>
          <w:sz w:val="22"/>
          <w:szCs w:val="22"/>
          <w:lang w:val="es-CO"/>
        </w:rPr>
        <w:t>P</w:t>
      </w:r>
      <w:r w:rsidRPr="00A21B5C">
        <w:rPr>
          <w:rFonts w:ascii="Arial" w:hAnsi="Arial" w:cs="Arial"/>
          <w:sz w:val="22"/>
          <w:szCs w:val="22"/>
          <w:lang w:val="es-CO"/>
        </w:rPr>
        <w:t>laneación que como bien resalta Colombia Compra Eficiente</w:t>
      </w:r>
      <w:r w:rsidRPr="00A21B5C">
        <w:rPr>
          <w:rStyle w:val="Refdenotaalpie"/>
          <w:rFonts w:ascii="Arial" w:hAnsi="Arial" w:cs="Arial"/>
          <w:sz w:val="22"/>
          <w:szCs w:val="22"/>
          <w:lang w:val="es-CO"/>
        </w:rPr>
        <w:footnoteReference w:id="43"/>
      </w:r>
      <w:r w:rsidRPr="00A21B5C">
        <w:rPr>
          <w:rFonts w:ascii="Arial" w:hAnsi="Arial" w:cs="Arial"/>
          <w:sz w:val="22"/>
          <w:szCs w:val="22"/>
          <w:lang w:val="es-CO"/>
        </w:rPr>
        <w:t>:</w:t>
      </w:r>
    </w:p>
    <w:p w:rsidR="008C2E4A" w:rsidRPr="00A21B5C" w:rsidRDefault="008C2E4A" w:rsidP="00A21B5C">
      <w:pPr>
        <w:ind w:left="2124"/>
        <w:contextualSpacing/>
        <w:jc w:val="both"/>
        <w:rPr>
          <w:rFonts w:ascii="Arial" w:hAnsi="Arial" w:cs="Arial"/>
          <w:sz w:val="22"/>
          <w:szCs w:val="22"/>
          <w:lang w:val="es-CO"/>
        </w:rPr>
      </w:pPr>
    </w:p>
    <w:p w:rsidR="008C2E4A" w:rsidRPr="00A21B5C" w:rsidRDefault="008C2E4A" w:rsidP="00A21B5C">
      <w:pPr>
        <w:ind w:left="2124"/>
        <w:contextualSpacing/>
        <w:jc w:val="both"/>
        <w:rPr>
          <w:rFonts w:ascii="Arial" w:hAnsi="Arial" w:cs="Arial"/>
          <w:i/>
          <w:sz w:val="18"/>
          <w:szCs w:val="18"/>
          <w:lang w:val="es-CO"/>
        </w:rPr>
      </w:pPr>
      <w:r w:rsidRPr="00A21B5C">
        <w:rPr>
          <w:rFonts w:ascii="Arial" w:hAnsi="Arial" w:cs="Arial"/>
          <w:i/>
          <w:sz w:val="18"/>
          <w:szCs w:val="18"/>
          <w:lang w:val="es-CO"/>
        </w:rPr>
        <w:t xml:space="preserve">“El principio de planeación impone que la decisión de contratar no sea el resultado de la imprevisión, la improvisación o la discrecionalidad de las autoridades, sino que obedezca a reales necesidades de la comunidad, </w:t>
      </w:r>
      <w:r w:rsidRPr="00A21B5C">
        <w:rPr>
          <w:rFonts w:ascii="Arial" w:hAnsi="Arial" w:cs="Arial"/>
          <w:i/>
          <w:sz w:val="18"/>
          <w:szCs w:val="18"/>
          <w:u w:val="single"/>
          <w:lang w:val="es-CO"/>
        </w:rPr>
        <w:t>cuya solución ha sido estudiada, planeada y presupuestada</w:t>
      </w:r>
      <w:r w:rsidRPr="00A21B5C">
        <w:rPr>
          <w:rFonts w:ascii="Arial" w:hAnsi="Arial" w:cs="Arial"/>
          <w:i/>
          <w:sz w:val="18"/>
          <w:szCs w:val="18"/>
          <w:lang w:val="es-CO"/>
        </w:rPr>
        <w:t xml:space="preserve"> por el Estado con la debida antelación, con la única finalidad de cumplir los cometidos estatales. Los contratos del Estado deben siempre corresponder a negocios </w:t>
      </w:r>
      <w:r w:rsidRPr="00A21B5C">
        <w:rPr>
          <w:rFonts w:ascii="Arial" w:hAnsi="Arial" w:cs="Arial"/>
          <w:i/>
          <w:sz w:val="18"/>
          <w:szCs w:val="18"/>
          <w:u w:val="single"/>
          <w:lang w:val="es-CO"/>
        </w:rPr>
        <w:t>debidamente diseñados, pensados</w:t>
      </w:r>
      <w:r w:rsidRPr="00A21B5C">
        <w:rPr>
          <w:rFonts w:ascii="Arial" w:hAnsi="Arial" w:cs="Arial"/>
          <w:i/>
          <w:sz w:val="18"/>
          <w:szCs w:val="18"/>
          <w:lang w:val="es-CO"/>
        </w:rPr>
        <w:t>, conforme a las necesidades y prioridades que demanda el interés público…”</w:t>
      </w:r>
    </w:p>
    <w:p w:rsidR="008C2E4A" w:rsidRPr="00A21B5C" w:rsidRDefault="008C2E4A" w:rsidP="00A21B5C">
      <w:pPr>
        <w:ind w:left="2124"/>
        <w:contextualSpacing/>
        <w:jc w:val="both"/>
        <w:rPr>
          <w:rFonts w:ascii="Arial" w:hAnsi="Arial" w:cs="Arial"/>
          <w:i/>
          <w:sz w:val="18"/>
          <w:szCs w:val="18"/>
          <w:lang w:val="es-CO"/>
        </w:rPr>
      </w:pPr>
    </w:p>
    <w:p w:rsidR="008C2E4A" w:rsidRPr="00A21B5C" w:rsidRDefault="008C2E4A" w:rsidP="00A21B5C">
      <w:pPr>
        <w:ind w:left="2124"/>
        <w:contextualSpacing/>
        <w:jc w:val="both"/>
        <w:rPr>
          <w:rFonts w:ascii="Arial" w:hAnsi="Arial" w:cs="Arial"/>
          <w:i/>
          <w:sz w:val="18"/>
          <w:szCs w:val="18"/>
          <w:lang w:val="es-CO"/>
        </w:rPr>
      </w:pPr>
      <w:r w:rsidRPr="00A21B5C">
        <w:rPr>
          <w:rFonts w:ascii="Arial" w:hAnsi="Arial" w:cs="Arial"/>
          <w:i/>
          <w:sz w:val="18"/>
          <w:szCs w:val="18"/>
          <w:lang w:val="es-CO"/>
        </w:rPr>
        <w:t xml:space="preserve">“De acuerdo con </w:t>
      </w:r>
      <w:r w:rsidR="00AA0092" w:rsidRPr="00A21B5C">
        <w:rPr>
          <w:rFonts w:ascii="Arial" w:hAnsi="Arial" w:cs="Arial"/>
          <w:i/>
          <w:sz w:val="18"/>
          <w:szCs w:val="18"/>
          <w:lang w:val="es-CO"/>
        </w:rPr>
        <w:t>este</w:t>
      </w:r>
      <w:r w:rsidRPr="00A21B5C">
        <w:rPr>
          <w:rFonts w:ascii="Arial" w:hAnsi="Arial" w:cs="Arial"/>
          <w:i/>
          <w:sz w:val="18"/>
          <w:szCs w:val="18"/>
          <w:lang w:val="es-CO"/>
        </w:rPr>
        <w:t xml:space="preserve"> principio, en los contratos de obra las entidades públicas deben elaborar y entregar </w:t>
      </w:r>
      <w:r w:rsidRPr="00A21B5C">
        <w:rPr>
          <w:rFonts w:ascii="Arial" w:hAnsi="Arial" w:cs="Arial"/>
          <w:i/>
          <w:sz w:val="18"/>
          <w:szCs w:val="18"/>
          <w:u w:val="single"/>
          <w:lang w:val="es-CO"/>
        </w:rPr>
        <w:t>estudios completos</w:t>
      </w:r>
      <w:r w:rsidRPr="00A21B5C">
        <w:rPr>
          <w:rFonts w:ascii="Arial" w:hAnsi="Arial" w:cs="Arial"/>
          <w:i/>
          <w:sz w:val="18"/>
          <w:szCs w:val="18"/>
          <w:lang w:val="es-CO"/>
        </w:rPr>
        <w:t>, planos y diseños definitivos para la ejecución del contrato. Estos documentos deben ser elaborados por la entidad con anterioridad a la convocatoria formulada; el plazo real de su ejecución y el costo que demandaba su instalación.</w:t>
      </w:r>
    </w:p>
    <w:p w:rsidR="008C2E4A" w:rsidRPr="00A21B5C" w:rsidRDefault="008C2E4A" w:rsidP="00A21B5C">
      <w:pPr>
        <w:ind w:left="2124"/>
        <w:contextualSpacing/>
        <w:jc w:val="both"/>
        <w:rPr>
          <w:rFonts w:ascii="Arial" w:hAnsi="Arial" w:cs="Arial"/>
          <w:i/>
          <w:sz w:val="18"/>
          <w:szCs w:val="18"/>
          <w:lang w:val="es-CO"/>
        </w:rPr>
      </w:pPr>
    </w:p>
    <w:p w:rsidR="008C2E4A" w:rsidRPr="00A21B5C" w:rsidRDefault="008C2E4A" w:rsidP="00A21B5C">
      <w:pPr>
        <w:shd w:val="clear" w:color="auto" w:fill="FFFFFF"/>
        <w:spacing w:after="150"/>
        <w:ind w:left="2124"/>
        <w:contextualSpacing/>
        <w:jc w:val="both"/>
        <w:rPr>
          <w:rFonts w:ascii="Arial" w:hAnsi="Arial" w:cs="Arial"/>
          <w:i/>
          <w:sz w:val="18"/>
          <w:szCs w:val="18"/>
          <w:lang w:val="es-CO"/>
        </w:rPr>
      </w:pPr>
      <w:r w:rsidRPr="00A21B5C">
        <w:rPr>
          <w:rFonts w:ascii="Arial" w:hAnsi="Arial" w:cs="Arial"/>
          <w:i/>
          <w:sz w:val="18"/>
          <w:szCs w:val="18"/>
          <w:lang w:val="es-CO"/>
        </w:rPr>
        <w:t xml:space="preserve">“1.9. Omisión al deber de planeación. En tal virtud, el deber de planeación, como manifestación del principio de economía, tiene por finalidad asegurar que </w:t>
      </w:r>
      <w:r w:rsidRPr="00A21B5C">
        <w:rPr>
          <w:rFonts w:ascii="Arial" w:hAnsi="Arial" w:cs="Arial"/>
          <w:i/>
          <w:sz w:val="18"/>
          <w:szCs w:val="18"/>
          <w:u w:val="single"/>
          <w:lang w:val="es-CO"/>
        </w:rPr>
        <w:t>todo proyecto esté precedido de los estudios de orden técnico, financiero y jurídico requeridos para determinar su viabilidad económica y técnica</w:t>
      </w:r>
      <w:r w:rsidRPr="00A21B5C">
        <w:rPr>
          <w:rFonts w:ascii="Arial" w:hAnsi="Arial" w:cs="Arial"/>
          <w:i/>
          <w:sz w:val="18"/>
          <w:szCs w:val="18"/>
          <w:lang w:val="es-CO"/>
        </w:rPr>
        <w:t>. Bajo estos presupuestos, es necesario que los contratos estatales estén debidamente planeados para que el objeto contractual se pueda realizar y así satisfacer el interés público. Omitir dicho deber conduce a la nulidad absoluta del contrato por ilicitud del objeto. Por otro lado, la Administración y sus funcionarios son responsables por el incumplimiento del deber legal de contar con estudios planos y diseños definitivos, previamente al procedimiento de selección, cuando tales omisiones ocasionen daños antijurídicos al contratista...  </w:t>
      </w:r>
    </w:p>
    <w:p w:rsidR="008C2E4A" w:rsidRPr="00A21B5C" w:rsidRDefault="008C2E4A" w:rsidP="00A21B5C">
      <w:pPr>
        <w:shd w:val="clear" w:color="auto" w:fill="FFFFFF"/>
        <w:ind w:left="2124"/>
        <w:contextualSpacing/>
        <w:jc w:val="both"/>
        <w:rPr>
          <w:rFonts w:ascii="Arial" w:hAnsi="Arial" w:cs="Arial"/>
          <w:b/>
          <w:bCs/>
          <w:iCs/>
          <w:sz w:val="18"/>
          <w:szCs w:val="18"/>
          <w:lang w:val="es-CO"/>
        </w:rPr>
      </w:pPr>
      <w:r w:rsidRPr="00A21B5C">
        <w:rPr>
          <w:rFonts w:ascii="Arial" w:hAnsi="Arial" w:cs="Arial"/>
          <w:i/>
          <w:sz w:val="18"/>
          <w:szCs w:val="18"/>
          <w:lang w:val="es-CO"/>
        </w:rPr>
        <w:t xml:space="preserve">Debe aclararse que no toda falencia en la planeación del contrato implica la nulidad del mismo por ilicitud del objeto, ello ocurre cuando hay falencias que desde el momento de la celebración del contrato </w:t>
      </w:r>
      <w:r w:rsidRPr="00A21B5C">
        <w:rPr>
          <w:rFonts w:ascii="Arial" w:hAnsi="Arial" w:cs="Arial"/>
          <w:i/>
          <w:sz w:val="18"/>
          <w:szCs w:val="18"/>
          <w:u w:val="single"/>
          <w:lang w:val="es-CO"/>
        </w:rPr>
        <w:t>ponen en evidencia que el objeto contractual no podrá ejecutarse o que su ejecución va a depender de situaciones indefinidas o inciertas por necesitar de decisiones de terceros o que los tiempos de ejecución del contrato no podrán cumplirse</w:t>
      </w:r>
      <w:r w:rsidRPr="00A21B5C">
        <w:rPr>
          <w:rFonts w:ascii="Arial" w:hAnsi="Arial" w:cs="Arial"/>
          <w:i/>
          <w:sz w:val="18"/>
          <w:szCs w:val="18"/>
          <w:lang w:val="es-CO"/>
        </w:rPr>
        <w:t>”</w:t>
      </w:r>
      <w:r w:rsidR="00AA0092" w:rsidRPr="00A21B5C">
        <w:rPr>
          <w:rFonts w:ascii="Arial" w:hAnsi="Arial" w:cs="Arial"/>
          <w:i/>
          <w:sz w:val="18"/>
          <w:szCs w:val="18"/>
          <w:lang w:val="es-CO"/>
        </w:rPr>
        <w:t>.</w:t>
      </w:r>
      <w:r w:rsidR="00A2579F" w:rsidRPr="00A21B5C">
        <w:rPr>
          <w:rFonts w:ascii="Arial" w:hAnsi="Arial" w:cs="Arial"/>
          <w:iCs/>
          <w:sz w:val="18"/>
          <w:szCs w:val="18"/>
          <w:lang w:val="es-CO"/>
        </w:rPr>
        <w:t xml:space="preserve"> </w:t>
      </w:r>
      <w:r w:rsidR="00A2579F" w:rsidRPr="00A21B5C">
        <w:rPr>
          <w:rFonts w:ascii="Arial" w:hAnsi="Arial" w:cs="Arial"/>
          <w:b/>
          <w:bCs/>
          <w:iCs/>
          <w:sz w:val="18"/>
          <w:szCs w:val="18"/>
          <w:lang w:val="es-CO"/>
        </w:rPr>
        <w:t>(Énfasis por fuera de texto)</w:t>
      </w:r>
    </w:p>
    <w:p w:rsidR="004E50FB" w:rsidRPr="00A21B5C" w:rsidRDefault="004E50FB" w:rsidP="00A21B5C">
      <w:pPr>
        <w:shd w:val="clear" w:color="auto" w:fill="FFFFFF"/>
        <w:ind w:left="1416"/>
        <w:contextualSpacing/>
        <w:jc w:val="both"/>
        <w:rPr>
          <w:rFonts w:ascii="Arial" w:hAnsi="Arial" w:cs="Arial"/>
          <w:i/>
          <w:sz w:val="22"/>
          <w:szCs w:val="22"/>
          <w:lang w:val="es-CO"/>
        </w:rPr>
      </w:pPr>
    </w:p>
    <w:p w:rsidR="008C2E4A" w:rsidRPr="00A21B5C" w:rsidRDefault="008C2E4A" w:rsidP="00A21B5C">
      <w:pPr>
        <w:ind w:left="708"/>
        <w:contextualSpacing/>
        <w:jc w:val="both"/>
        <w:rPr>
          <w:rFonts w:ascii="Arial" w:hAnsi="Arial" w:cs="Arial"/>
          <w:sz w:val="22"/>
          <w:szCs w:val="22"/>
          <w:lang w:val="es-CO"/>
        </w:rPr>
      </w:pPr>
      <w:r w:rsidRPr="00A21B5C">
        <w:rPr>
          <w:rFonts w:ascii="Arial" w:hAnsi="Arial" w:cs="Arial"/>
          <w:sz w:val="22"/>
          <w:szCs w:val="22"/>
          <w:lang w:val="es-CO"/>
        </w:rPr>
        <w:t xml:space="preserve">De esta manera, y partiendo de las declaraciones conocidas en el Informe de Supervisión, se evidencia que la Entidad Territorial omitió el deber de planeación y afectó la debida ejecución de la obra, también generando desequilibrio económico </w:t>
      </w:r>
      <w:r w:rsidRPr="00A21B5C">
        <w:rPr>
          <w:rFonts w:ascii="Arial" w:hAnsi="Arial" w:cs="Arial"/>
          <w:sz w:val="22"/>
          <w:szCs w:val="22"/>
          <w:lang w:val="es-CO"/>
        </w:rPr>
        <w:lastRenderedPageBreak/>
        <w:t>en el contrato, perjudicándose la ecuación contractual de la que trata el artículo 27 de la Ley 80 de 1993, en cuanto que,</w:t>
      </w:r>
      <w:r w:rsidR="00C4072F" w:rsidRPr="00A21B5C">
        <w:rPr>
          <w:rFonts w:ascii="Arial" w:hAnsi="Arial" w:cs="Arial"/>
          <w:sz w:val="22"/>
          <w:szCs w:val="22"/>
          <w:lang w:val="es-CO"/>
        </w:rPr>
        <w:t xml:space="preserve"> </w:t>
      </w:r>
      <w:r w:rsidRPr="00A21B5C">
        <w:rPr>
          <w:rFonts w:ascii="Arial" w:hAnsi="Arial" w:cs="Arial"/>
          <w:sz w:val="22"/>
          <w:szCs w:val="22"/>
          <w:lang w:val="es-CO"/>
        </w:rPr>
        <w:t xml:space="preserve">la ejecución del objeto contractual imponía actividades adicionales que no fueron contempladas, y que sin perjuicio de la salida que halló la Entidad Territorial al dividir la construcción en dos etapas, se afectó la ejecución </w:t>
      </w:r>
      <w:r w:rsidR="00AA0092" w:rsidRPr="00A21B5C">
        <w:rPr>
          <w:rFonts w:ascii="Arial" w:hAnsi="Arial" w:cs="Arial"/>
          <w:sz w:val="22"/>
          <w:szCs w:val="22"/>
          <w:lang w:val="es-CO"/>
        </w:rPr>
        <w:t xml:space="preserve">del </w:t>
      </w:r>
      <w:r w:rsidRPr="00A21B5C">
        <w:rPr>
          <w:rFonts w:ascii="Arial" w:hAnsi="Arial" w:cs="Arial"/>
          <w:sz w:val="22"/>
          <w:szCs w:val="22"/>
          <w:lang w:val="es-CO"/>
        </w:rPr>
        <w:t>objeto contractual tal como se había planteado inicialmente y se alteraron las actividades contratadas:</w:t>
      </w:r>
    </w:p>
    <w:p w:rsidR="008C2E4A" w:rsidRPr="00A21B5C" w:rsidRDefault="008C2E4A" w:rsidP="00A21B5C">
      <w:pPr>
        <w:ind w:left="708"/>
        <w:contextualSpacing/>
        <w:jc w:val="both"/>
        <w:rPr>
          <w:rFonts w:ascii="Arial" w:hAnsi="Arial" w:cs="Arial"/>
          <w:sz w:val="22"/>
          <w:szCs w:val="22"/>
          <w:lang w:val="es-CO"/>
        </w:rPr>
      </w:pPr>
    </w:p>
    <w:p w:rsidR="008C2E4A" w:rsidRPr="00A21B5C" w:rsidRDefault="008C2E4A" w:rsidP="00100DED">
      <w:pPr>
        <w:shd w:val="clear" w:color="auto" w:fill="FFFFFF"/>
        <w:spacing w:after="150"/>
        <w:ind w:left="2124"/>
        <w:contextualSpacing/>
        <w:jc w:val="both"/>
        <w:rPr>
          <w:rFonts w:ascii="Arial" w:eastAsia="Times New Roman" w:hAnsi="Arial" w:cs="Arial"/>
          <w:i/>
          <w:sz w:val="18"/>
          <w:szCs w:val="18"/>
          <w:lang w:val="es-CO" w:eastAsia="es-CO"/>
        </w:rPr>
      </w:pPr>
      <w:r w:rsidRPr="00A21B5C">
        <w:rPr>
          <w:rFonts w:ascii="Arial" w:eastAsia="Times New Roman" w:hAnsi="Arial" w:cs="Arial"/>
          <w:i/>
          <w:sz w:val="18"/>
          <w:szCs w:val="18"/>
          <w:lang w:val="es-CO" w:eastAsia="es-CO"/>
        </w:rPr>
        <w:t xml:space="preserve">“El Estatuto de Contratación Pública establece que </w:t>
      </w:r>
      <w:r w:rsidRPr="00A21B5C">
        <w:rPr>
          <w:rFonts w:ascii="Arial" w:eastAsia="Times New Roman" w:hAnsi="Arial" w:cs="Arial"/>
          <w:i/>
          <w:sz w:val="18"/>
          <w:szCs w:val="18"/>
          <w:u w:val="single"/>
          <w:lang w:val="es-CO" w:eastAsia="es-CO"/>
        </w:rPr>
        <w:t>se debe respetar el equilibrio económico del contrato, de tal forma que se debe mantener una equivalencia entre los derechos y obligaciones que se acordaron desde el inicio del contrato</w:t>
      </w:r>
      <w:r w:rsidRPr="00A21B5C">
        <w:rPr>
          <w:rFonts w:ascii="Arial" w:eastAsia="Times New Roman" w:hAnsi="Arial" w:cs="Arial"/>
          <w:i/>
          <w:sz w:val="18"/>
          <w:szCs w:val="18"/>
          <w:lang w:val="es-CO" w:eastAsia="es-CO"/>
        </w:rPr>
        <w:t>.</w:t>
      </w:r>
    </w:p>
    <w:p w:rsidR="00E91EEB" w:rsidRPr="00A21B5C" w:rsidRDefault="00E91EEB" w:rsidP="00A21B5C">
      <w:pPr>
        <w:shd w:val="clear" w:color="auto" w:fill="FFFFFF"/>
        <w:spacing w:after="150"/>
        <w:ind w:left="2124"/>
        <w:contextualSpacing/>
        <w:jc w:val="both"/>
        <w:rPr>
          <w:rFonts w:ascii="Arial" w:eastAsia="Times New Roman" w:hAnsi="Arial" w:cs="Arial"/>
          <w:i/>
          <w:sz w:val="18"/>
          <w:szCs w:val="18"/>
          <w:lang w:val="es-CO" w:eastAsia="es-CO"/>
        </w:rPr>
      </w:pPr>
    </w:p>
    <w:p w:rsidR="008C2E4A" w:rsidRPr="00A21B5C" w:rsidRDefault="008C2E4A" w:rsidP="00100DED">
      <w:pPr>
        <w:shd w:val="clear" w:color="auto" w:fill="FFFFFF"/>
        <w:spacing w:after="150"/>
        <w:ind w:left="2124"/>
        <w:contextualSpacing/>
        <w:jc w:val="both"/>
        <w:rPr>
          <w:rFonts w:ascii="Arial" w:eastAsia="Times New Roman" w:hAnsi="Arial" w:cs="Arial"/>
          <w:i/>
          <w:sz w:val="18"/>
          <w:szCs w:val="18"/>
          <w:lang w:val="es-CO" w:eastAsia="es-CO"/>
        </w:rPr>
      </w:pPr>
      <w:r w:rsidRPr="00A21B5C">
        <w:rPr>
          <w:rFonts w:ascii="Arial" w:eastAsia="Times New Roman" w:hAnsi="Arial" w:cs="Arial"/>
          <w:i/>
          <w:sz w:val="18"/>
          <w:szCs w:val="18"/>
          <w:lang w:val="es-CO" w:eastAsia="es-CO"/>
        </w:rPr>
        <w:t>El rompimiento del equilibrio económico contractual tiene las siguientes características:</w:t>
      </w:r>
    </w:p>
    <w:p w:rsidR="00E91EEB" w:rsidRPr="00A21B5C" w:rsidRDefault="00E91EEB" w:rsidP="00A21B5C">
      <w:pPr>
        <w:shd w:val="clear" w:color="auto" w:fill="FFFFFF"/>
        <w:spacing w:after="150"/>
        <w:ind w:left="2124"/>
        <w:contextualSpacing/>
        <w:jc w:val="both"/>
        <w:rPr>
          <w:rFonts w:ascii="Arial" w:eastAsia="Times New Roman" w:hAnsi="Arial" w:cs="Arial"/>
          <w:i/>
          <w:sz w:val="18"/>
          <w:szCs w:val="18"/>
          <w:lang w:val="es-CO" w:eastAsia="es-CO"/>
        </w:rPr>
      </w:pPr>
    </w:p>
    <w:p w:rsidR="008C2E4A" w:rsidRPr="00A21B5C" w:rsidRDefault="008C2E4A" w:rsidP="00A21B5C">
      <w:pPr>
        <w:shd w:val="clear" w:color="auto" w:fill="FFFFFF"/>
        <w:spacing w:after="150"/>
        <w:ind w:left="2124"/>
        <w:contextualSpacing/>
        <w:jc w:val="both"/>
        <w:rPr>
          <w:rFonts w:ascii="Arial" w:eastAsia="Times New Roman" w:hAnsi="Arial" w:cs="Arial"/>
          <w:i/>
          <w:sz w:val="18"/>
          <w:szCs w:val="18"/>
          <w:lang w:val="es-CO" w:eastAsia="es-CO"/>
        </w:rPr>
      </w:pPr>
      <w:r w:rsidRPr="00A21B5C">
        <w:rPr>
          <w:rFonts w:ascii="Arial" w:eastAsia="Times New Roman" w:hAnsi="Arial" w:cs="Arial"/>
          <w:i/>
          <w:sz w:val="18"/>
          <w:szCs w:val="18"/>
          <w:lang w:val="es-CO" w:eastAsia="es-CO"/>
        </w:rPr>
        <w:t>a) Afectación real, grave y significativa.</w:t>
      </w:r>
    </w:p>
    <w:p w:rsidR="008C2E4A" w:rsidRPr="00A21B5C" w:rsidRDefault="008C2E4A" w:rsidP="00A21B5C">
      <w:pPr>
        <w:shd w:val="clear" w:color="auto" w:fill="FFFFFF"/>
        <w:spacing w:after="150"/>
        <w:ind w:left="2124"/>
        <w:contextualSpacing/>
        <w:jc w:val="both"/>
        <w:rPr>
          <w:rFonts w:ascii="Arial" w:eastAsia="Times New Roman" w:hAnsi="Arial" w:cs="Arial"/>
          <w:i/>
          <w:sz w:val="18"/>
          <w:szCs w:val="18"/>
          <w:lang w:val="es-CO" w:eastAsia="es-CO"/>
        </w:rPr>
      </w:pPr>
      <w:r w:rsidRPr="00A21B5C">
        <w:rPr>
          <w:rFonts w:ascii="Arial" w:eastAsia="Times New Roman" w:hAnsi="Arial" w:cs="Arial"/>
          <w:i/>
          <w:sz w:val="18"/>
          <w:szCs w:val="18"/>
          <w:lang w:val="es-CO" w:eastAsia="es-CO"/>
        </w:rPr>
        <w:t xml:space="preserve">b) </w:t>
      </w:r>
      <w:r w:rsidRPr="00A21B5C">
        <w:rPr>
          <w:rFonts w:ascii="Arial" w:eastAsia="Times New Roman" w:hAnsi="Arial" w:cs="Arial"/>
          <w:i/>
          <w:sz w:val="18"/>
          <w:szCs w:val="18"/>
          <w:u w:val="single"/>
          <w:lang w:val="es-CO" w:eastAsia="es-CO"/>
        </w:rPr>
        <w:t>No hay una equivalencia entre lo previsto en los pliegos de condiciones y la ejecución del contrato</w:t>
      </w:r>
    </w:p>
    <w:p w:rsidR="008C2E4A" w:rsidRPr="00A21B5C" w:rsidRDefault="008C2E4A" w:rsidP="00A21B5C">
      <w:pPr>
        <w:shd w:val="clear" w:color="auto" w:fill="FFFFFF"/>
        <w:ind w:left="2124"/>
        <w:contextualSpacing/>
        <w:jc w:val="both"/>
        <w:rPr>
          <w:rFonts w:ascii="Arial" w:eastAsia="Times New Roman" w:hAnsi="Arial" w:cs="Arial"/>
          <w:i/>
          <w:sz w:val="18"/>
          <w:szCs w:val="18"/>
          <w:lang w:val="es-CO" w:eastAsia="es-CO"/>
        </w:rPr>
      </w:pPr>
      <w:r w:rsidRPr="00A21B5C">
        <w:rPr>
          <w:rFonts w:ascii="Arial" w:eastAsia="Times New Roman" w:hAnsi="Arial" w:cs="Arial"/>
          <w:i/>
          <w:sz w:val="18"/>
          <w:szCs w:val="18"/>
          <w:u w:val="single"/>
          <w:lang w:val="es-CO" w:eastAsia="es-CO"/>
        </w:rPr>
        <w:t>Es un principio cardinal en la contratación estatal el mantener el desarrollo y la ejecución del contrato, las condiciones técnicas, económicas y financieras existentes al momento de proponer o contratar</w:t>
      </w:r>
      <w:r w:rsidRPr="00A21B5C">
        <w:rPr>
          <w:rFonts w:ascii="Arial" w:eastAsia="Times New Roman" w:hAnsi="Arial" w:cs="Arial"/>
          <w:i/>
          <w:sz w:val="18"/>
          <w:szCs w:val="18"/>
          <w:lang w:val="es-CO" w:eastAsia="es-CO"/>
        </w:rPr>
        <w:t>, equilibrio que se puede afectar por diferentes factores, Cuando esto ocurre la ley ordena utilizar los mecanismos de ajuste y revisión de precios”</w:t>
      </w:r>
      <w:r w:rsidRPr="00A21B5C">
        <w:rPr>
          <w:rStyle w:val="Refdenotaalpie"/>
          <w:rFonts w:ascii="Arial" w:eastAsia="Times New Roman" w:hAnsi="Arial" w:cs="Arial"/>
          <w:i/>
          <w:sz w:val="18"/>
          <w:szCs w:val="18"/>
          <w:lang w:val="es-CO" w:eastAsia="es-CO"/>
        </w:rPr>
        <w:footnoteReference w:id="44"/>
      </w:r>
      <w:r w:rsidR="00AA0092" w:rsidRPr="00A21B5C">
        <w:rPr>
          <w:rFonts w:ascii="Arial" w:eastAsia="Times New Roman" w:hAnsi="Arial" w:cs="Arial"/>
          <w:i/>
          <w:sz w:val="18"/>
          <w:szCs w:val="18"/>
          <w:lang w:val="es-CO" w:eastAsia="es-CO"/>
        </w:rPr>
        <w:t>.</w:t>
      </w:r>
      <w:r w:rsidR="00E91EEB" w:rsidRPr="00A21B5C">
        <w:rPr>
          <w:rFonts w:ascii="Arial" w:eastAsia="Times New Roman" w:hAnsi="Arial" w:cs="Arial"/>
          <w:b/>
          <w:bCs/>
          <w:iCs/>
          <w:sz w:val="18"/>
          <w:szCs w:val="18"/>
          <w:lang w:val="es-CO" w:eastAsia="es-CO"/>
        </w:rPr>
        <w:t xml:space="preserve"> (Énfasis por fuera de texto)</w:t>
      </w:r>
    </w:p>
    <w:p w:rsidR="00C4072F" w:rsidRPr="00A21B5C" w:rsidRDefault="00C4072F" w:rsidP="00A21B5C">
      <w:pPr>
        <w:shd w:val="clear" w:color="auto" w:fill="FFFFFF"/>
        <w:contextualSpacing/>
        <w:jc w:val="both"/>
        <w:rPr>
          <w:rFonts w:ascii="Arial" w:eastAsia="Times New Roman" w:hAnsi="Arial" w:cs="Arial"/>
          <w:color w:val="333333"/>
          <w:sz w:val="22"/>
          <w:szCs w:val="23"/>
          <w:lang w:val="es-CO" w:eastAsia="es-CO"/>
        </w:rPr>
      </w:pPr>
    </w:p>
    <w:p w:rsidR="00276F7B" w:rsidRPr="00A21B5C" w:rsidRDefault="00DF0393" w:rsidP="00A21B5C">
      <w:pPr>
        <w:contextualSpacing/>
        <w:jc w:val="both"/>
        <w:rPr>
          <w:rFonts w:ascii="Arial" w:eastAsia="Times New Roman" w:hAnsi="Arial" w:cs="Arial"/>
          <w:color w:val="000000"/>
          <w:sz w:val="22"/>
          <w:szCs w:val="22"/>
          <w:lang w:val="es-CO" w:eastAsia="es-CO"/>
        </w:rPr>
      </w:pPr>
      <w:r w:rsidRPr="00A21B5C">
        <w:rPr>
          <w:rFonts w:ascii="Arial" w:eastAsia="Times New Roman" w:hAnsi="Arial" w:cs="Arial"/>
          <w:color w:val="000000"/>
          <w:sz w:val="22"/>
          <w:szCs w:val="22"/>
          <w:lang w:val="es-CO" w:eastAsia="es-CO"/>
        </w:rPr>
        <w:t xml:space="preserve">Llaman especialmente la atención </w:t>
      </w:r>
      <w:r w:rsidR="004E67FB" w:rsidRPr="00A21B5C">
        <w:rPr>
          <w:rFonts w:ascii="Arial" w:eastAsia="Times New Roman" w:hAnsi="Arial" w:cs="Arial"/>
          <w:color w:val="000000"/>
          <w:sz w:val="22"/>
          <w:szCs w:val="22"/>
          <w:lang w:val="es-CO" w:eastAsia="es-CO"/>
        </w:rPr>
        <w:t xml:space="preserve">que se presenten </w:t>
      </w:r>
      <w:r w:rsidRPr="00A21B5C">
        <w:rPr>
          <w:rFonts w:ascii="Arial" w:eastAsia="Times New Roman" w:hAnsi="Arial" w:cs="Arial"/>
          <w:color w:val="000000"/>
          <w:sz w:val="22"/>
          <w:szCs w:val="22"/>
          <w:lang w:val="es-CO" w:eastAsia="es-CO"/>
        </w:rPr>
        <w:t>las situaciones</w:t>
      </w:r>
      <w:r w:rsidR="004E67FB" w:rsidRPr="00A21B5C">
        <w:rPr>
          <w:rFonts w:ascii="Arial" w:eastAsia="Times New Roman" w:hAnsi="Arial" w:cs="Arial"/>
          <w:color w:val="000000"/>
          <w:sz w:val="22"/>
          <w:szCs w:val="22"/>
          <w:lang w:val="es-CO" w:eastAsia="es-CO"/>
        </w:rPr>
        <w:t xml:space="preserve"> y problemas</w:t>
      </w:r>
      <w:r w:rsidRPr="00A21B5C">
        <w:rPr>
          <w:rFonts w:ascii="Arial" w:eastAsia="Times New Roman" w:hAnsi="Arial" w:cs="Arial"/>
          <w:color w:val="000000"/>
          <w:sz w:val="22"/>
          <w:szCs w:val="22"/>
          <w:lang w:val="es-CO" w:eastAsia="es-CO"/>
        </w:rPr>
        <w:t xml:space="preserve"> expuest</w:t>
      </w:r>
      <w:r w:rsidR="004E67FB" w:rsidRPr="00A21B5C">
        <w:rPr>
          <w:rFonts w:ascii="Arial" w:eastAsia="Times New Roman" w:hAnsi="Arial" w:cs="Arial"/>
          <w:color w:val="000000"/>
          <w:sz w:val="22"/>
          <w:szCs w:val="22"/>
          <w:lang w:val="es-CO" w:eastAsia="es-CO"/>
        </w:rPr>
        <w:t>o</w:t>
      </w:r>
      <w:r w:rsidRPr="00A21B5C">
        <w:rPr>
          <w:rFonts w:ascii="Arial" w:eastAsia="Times New Roman" w:hAnsi="Arial" w:cs="Arial"/>
          <w:color w:val="000000"/>
          <w:sz w:val="22"/>
          <w:szCs w:val="22"/>
          <w:lang w:val="es-CO" w:eastAsia="es-CO"/>
        </w:rPr>
        <w:t xml:space="preserve">s en relación a la ejecución de este </w:t>
      </w:r>
      <w:r w:rsidR="00A2579F" w:rsidRPr="00A21B5C">
        <w:rPr>
          <w:rFonts w:ascii="Arial" w:eastAsia="Times New Roman" w:hAnsi="Arial" w:cs="Arial"/>
          <w:color w:val="000000"/>
          <w:sz w:val="22"/>
          <w:szCs w:val="22"/>
          <w:lang w:val="es-CO" w:eastAsia="es-CO"/>
        </w:rPr>
        <w:t>C</w:t>
      </w:r>
      <w:r w:rsidRPr="00A21B5C">
        <w:rPr>
          <w:rFonts w:ascii="Arial" w:eastAsia="Times New Roman" w:hAnsi="Arial" w:cs="Arial"/>
          <w:color w:val="000000"/>
          <w:sz w:val="22"/>
          <w:szCs w:val="22"/>
          <w:lang w:val="es-CO" w:eastAsia="es-CO"/>
        </w:rPr>
        <w:t xml:space="preserve">ontrato, toda vez que </w:t>
      </w:r>
      <w:r w:rsidR="00276F7B" w:rsidRPr="00A21B5C">
        <w:rPr>
          <w:rFonts w:ascii="Arial" w:eastAsia="Times New Roman" w:hAnsi="Arial" w:cs="Arial"/>
          <w:color w:val="000000"/>
          <w:sz w:val="22"/>
          <w:szCs w:val="22"/>
          <w:lang w:val="es-CO" w:eastAsia="es-CO"/>
        </w:rPr>
        <w:t xml:space="preserve">como se mencionó anteriormente en este </w:t>
      </w:r>
      <w:r w:rsidR="00A2579F" w:rsidRPr="00A21B5C">
        <w:rPr>
          <w:rFonts w:ascii="Arial" w:eastAsia="Times New Roman" w:hAnsi="Arial" w:cs="Arial"/>
          <w:color w:val="000000"/>
          <w:sz w:val="22"/>
          <w:szCs w:val="22"/>
          <w:lang w:val="es-CO" w:eastAsia="es-CO"/>
        </w:rPr>
        <w:t>I</w:t>
      </w:r>
      <w:r w:rsidR="00276F7B" w:rsidRPr="00A21B5C">
        <w:rPr>
          <w:rFonts w:ascii="Arial" w:eastAsia="Times New Roman" w:hAnsi="Arial" w:cs="Arial"/>
          <w:color w:val="000000"/>
          <w:sz w:val="22"/>
          <w:szCs w:val="22"/>
          <w:lang w:val="es-CO" w:eastAsia="es-CO"/>
        </w:rPr>
        <w:t>nforme, la Secretaría de Planeación del Municipio de Dibulla – La Guajira acompaña la formulaci</w:t>
      </w:r>
      <w:r w:rsidRPr="00A21B5C">
        <w:rPr>
          <w:rFonts w:ascii="Arial" w:eastAsia="Times New Roman" w:hAnsi="Arial" w:cs="Arial"/>
          <w:color w:val="000000"/>
          <w:sz w:val="22"/>
          <w:szCs w:val="22"/>
          <w:lang w:val="es-CO" w:eastAsia="es-CO"/>
        </w:rPr>
        <w:t>ón, particularmente en lo referente a los</w:t>
      </w:r>
      <w:r w:rsidR="00EE447A" w:rsidRPr="00A21B5C">
        <w:rPr>
          <w:rFonts w:ascii="Arial" w:eastAsia="Times New Roman" w:hAnsi="Arial" w:cs="Arial"/>
          <w:color w:val="000000"/>
          <w:sz w:val="22"/>
          <w:szCs w:val="22"/>
          <w:lang w:val="es-CO" w:eastAsia="es-CO"/>
        </w:rPr>
        <w:t xml:space="preserve"> requerimientos</w:t>
      </w:r>
      <w:r w:rsidRPr="00A21B5C">
        <w:rPr>
          <w:rFonts w:ascii="Arial" w:eastAsia="Times New Roman" w:hAnsi="Arial" w:cs="Arial"/>
          <w:color w:val="000000"/>
          <w:sz w:val="22"/>
          <w:szCs w:val="22"/>
          <w:lang w:val="es-CO" w:eastAsia="es-CO"/>
        </w:rPr>
        <w:t xml:space="preserve"> técnicos, </w:t>
      </w:r>
      <w:r w:rsidR="00276F7B" w:rsidRPr="00A21B5C">
        <w:rPr>
          <w:rFonts w:ascii="Arial" w:eastAsia="Times New Roman" w:hAnsi="Arial" w:cs="Arial"/>
          <w:color w:val="000000"/>
          <w:sz w:val="22"/>
          <w:szCs w:val="22"/>
          <w:lang w:val="es-CO" w:eastAsia="es-CO"/>
        </w:rPr>
        <w:t xml:space="preserve">de aquellos proyectos de inversión priorizados por el Resguardo </w:t>
      </w:r>
      <w:r w:rsidRPr="00A21B5C">
        <w:rPr>
          <w:rFonts w:ascii="Arial" w:eastAsia="Times New Roman" w:hAnsi="Arial" w:cs="Arial"/>
          <w:color w:val="000000"/>
          <w:sz w:val="22"/>
          <w:szCs w:val="22"/>
          <w:lang w:val="es-CO" w:eastAsia="es-CO"/>
        </w:rPr>
        <w:t>I</w:t>
      </w:r>
      <w:r w:rsidR="00276F7B" w:rsidRPr="00A21B5C">
        <w:rPr>
          <w:rFonts w:ascii="Arial" w:eastAsia="Times New Roman" w:hAnsi="Arial" w:cs="Arial"/>
          <w:color w:val="000000"/>
          <w:sz w:val="22"/>
          <w:szCs w:val="22"/>
          <w:lang w:val="es-CO" w:eastAsia="es-CO"/>
        </w:rPr>
        <w:t>ndígena Kogui – Malayo – Arhuaco que implican actividades de obra</w:t>
      </w:r>
      <w:r w:rsidRPr="00A21B5C">
        <w:rPr>
          <w:rFonts w:ascii="Arial" w:eastAsia="Times New Roman" w:hAnsi="Arial" w:cs="Arial"/>
          <w:color w:val="000000"/>
          <w:sz w:val="22"/>
          <w:szCs w:val="22"/>
          <w:lang w:val="es-CO" w:eastAsia="es-CO"/>
        </w:rPr>
        <w:t xml:space="preserve">, como es el caso </w:t>
      </w:r>
      <w:r w:rsidR="00EE447A" w:rsidRPr="00A21B5C">
        <w:rPr>
          <w:rFonts w:ascii="Arial" w:eastAsia="Times New Roman" w:hAnsi="Arial" w:cs="Arial"/>
          <w:color w:val="000000"/>
          <w:sz w:val="22"/>
          <w:szCs w:val="22"/>
          <w:lang w:val="es-CO" w:eastAsia="es-CO"/>
        </w:rPr>
        <w:t>de este proyecto, en cuya ejecución se evidencian dificultades considerables asociadas al proceso de planeación.</w:t>
      </w:r>
    </w:p>
    <w:p w:rsidR="00276F7B" w:rsidRPr="00A21B5C" w:rsidRDefault="00276F7B" w:rsidP="00A21B5C">
      <w:pPr>
        <w:contextualSpacing/>
        <w:jc w:val="both"/>
        <w:rPr>
          <w:rFonts w:ascii="Arial" w:eastAsia="Times New Roman" w:hAnsi="Arial" w:cs="Arial"/>
          <w:b/>
          <w:color w:val="000000"/>
          <w:sz w:val="22"/>
          <w:szCs w:val="22"/>
          <w:u w:val="single"/>
          <w:lang w:val="es-CO" w:eastAsia="es-CO"/>
        </w:rPr>
      </w:pPr>
    </w:p>
    <w:p w:rsidR="008C2E4A" w:rsidRPr="00A21B5C" w:rsidRDefault="00BA6A03">
      <w:pPr>
        <w:pStyle w:val="Prrafodelista"/>
        <w:numPr>
          <w:ilvl w:val="0"/>
          <w:numId w:val="43"/>
        </w:numPr>
        <w:ind w:left="426" w:hanging="284"/>
        <w:jc w:val="both"/>
        <w:rPr>
          <w:rFonts w:ascii="Arial" w:eastAsia="Times New Roman" w:hAnsi="Arial" w:cs="Arial"/>
          <w:b/>
          <w:color w:val="000000"/>
          <w:sz w:val="22"/>
          <w:szCs w:val="22"/>
          <w:lang w:val="es-CO" w:eastAsia="es-CO"/>
        </w:rPr>
      </w:pPr>
      <w:r w:rsidRPr="00A21B5C">
        <w:rPr>
          <w:rFonts w:ascii="Arial" w:eastAsia="Times New Roman" w:hAnsi="Arial" w:cs="Arial"/>
          <w:b/>
          <w:color w:val="000000"/>
          <w:sz w:val="22"/>
          <w:szCs w:val="22"/>
          <w:lang w:val="es-CO" w:eastAsia="es-CO"/>
        </w:rPr>
        <w:t>C</w:t>
      </w:r>
      <w:r w:rsidR="003876D0" w:rsidRPr="00A21B5C">
        <w:rPr>
          <w:rFonts w:ascii="Arial" w:eastAsia="Times New Roman" w:hAnsi="Arial" w:cs="Arial"/>
          <w:b/>
          <w:color w:val="000000"/>
          <w:sz w:val="22"/>
          <w:szCs w:val="22"/>
          <w:lang w:val="es-CO" w:eastAsia="es-CO"/>
        </w:rPr>
        <w:t>ontrato de C</w:t>
      </w:r>
      <w:r w:rsidRPr="00A21B5C">
        <w:rPr>
          <w:rFonts w:ascii="Arial" w:eastAsia="Times New Roman" w:hAnsi="Arial" w:cs="Arial"/>
          <w:b/>
          <w:color w:val="000000"/>
          <w:sz w:val="22"/>
          <w:szCs w:val="22"/>
          <w:lang w:val="es-CO" w:eastAsia="es-CO"/>
        </w:rPr>
        <w:t>ompraventa N° 017 de 2017 (Subasta Inversa)</w:t>
      </w:r>
      <w:r w:rsidR="00A2579F" w:rsidRPr="00A21B5C">
        <w:rPr>
          <w:rFonts w:ascii="Arial" w:eastAsia="Times New Roman" w:hAnsi="Arial" w:cs="Arial"/>
          <w:b/>
          <w:color w:val="000000"/>
          <w:sz w:val="22"/>
          <w:szCs w:val="22"/>
          <w:lang w:val="es-CO" w:eastAsia="es-CO"/>
        </w:rPr>
        <w:t>.</w:t>
      </w:r>
    </w:p>
    <w:p w:rsidR="008C2E4A" w:rsidRPr="00A21B5C" w:rsidRDefault="008C2E4A" w:rsidP="00A21B5C">
      <w:pPr>
        <w:contextualSpacing/>
        <w:jc w:val="both"/>
        <w:rPr>
          <w:rFonts w:ascii="Arial" w:eastAsia="Times New Roman" w:hAnsi="Arial" w:cs="Arial"/>
          <w:b/>
          <w:color w:val="000000"/>
          <w:sz w:val="22"/>
          <w:szCs w:val="22"/>
          <w:lang w:val="es-CO" w:eastAsia="es-CO"/>
        </w:rPr>
      </w:pPr>
    </w:p>
    <w:p w:rsidR="008C2E4A" w:rsidRPr="00A21B5C" w:rsidRDefault="008C2E4A" w:rsidP="00A21B5C">
      <w:pPr>
        <w:contextualSpacing/>
        <w:jc w:val="both"/>
        <w:rPr>
          <w:rFonts w:ascii="Arial" w:eastAsia="Times New Roman" w:hAnsi="Arial" w:cs="Arial"/>
          <w:color w:val="000000"/>
          <w:sz w:val="22"/>
          <w:szCs w:val="22"/>
          <w:lang w:val="es-CO" w:eastAsia="es-CO"/>
        </w:rPr>
      </w:pPr>
      <w:r w:rsidRPr="00A21B5C">
        <w:rPr>
          <w:rFonts w:ascii="Arial" w:eastAsia="Times New Roman" w:hAnsi="Arial" w:cs="Arial"/>
          <w:color w:val="000000"/>
          <w:sz w:val="22"/>
          <w:szCs w:val="22"/>
          <w:lang w:val="es-CO" w:eastAsia="es-CO"/>
        </w:rPr>
        <w:t xml:space="preserve">Sobre el proceso contractual </w:t>
      </w:r>
      <w:r w:rsidR="00257E5D" w:rsidRPr="00A21B5C">
        <w:rPr>
          <w:rFonts w:ascii="Arial" w:eastAsia="Times New Roman" w:hAnsi="Arial" w:cs="Arial"/>
          <w:color w:val="000000"/>
          <w:sz w:val="22"/>
          <w:szCs w:val="22"/>
          <w:lang w:val="es-CO" w:eastAsia="es-CO"/>
        </w:rPr>
        <w:t>d</w:t>
      </w:r>
      <w:r w:rsidRPr="00A21B5C">
        <w:rPr>
          <w:rFonts w:ascii="Arial" w:eastAsia="Times New Roman" w:hAnsi="Arial" w:cs="Arial"/>
          <w:color w:val="000000"/>
          <w:sz w:val="22"/>
          <w:szCs w:val="22"/>
          <w:lang w:val="es-CO" w:eastAsia="es-CO"/>
        </w:rPr>
        <w:t xml:space="preserve">el Contrato de Compraventa N° 017 del </w:t>
      </w:r>
      <w:r w:rsidR="00E44ED6" w:rsidRPr="00A21B5C">
        <w:rPr>
          <w:rFonts w:ascii="Arial" w:eastAsia="Times New Roman" w:hAnsi="Arial" w:cs="Arial"/>
          <w:color w:val="000000"/>
          <w:sz w:val="22"/>
          <w:szCs w:val="22"/>
          <w:lang w:val="es-CO" w:eastAsia="es-CO"/>
        </w:rPr>
        <w:t>14</w:t>
      </w:r>
      <w:r w:rsidRPr="00A21B5C">
        <w:rPr>
          <w:rFonts w:ascii="Arial" w:eastAsia="Times New Roman" w:hAnsi="Arial" w:cs="Arial"/>
          <w:color w:val="000000"/>
          <w:sz w:val="22"/>
          <w:szCs w:val="22"/>
          <w:lang w:val="es-CO" w:eastAsia="es-CO"/>
        </w:rPr>
        <w:t xml:space="preserve"> de diciembre de 2017, para la </w:t>
      </w:r>
      <w:r w:rsidRPr="00A21B5C">
        <w:rPr>
          <w:rFonts w:ascii="Arial" w:eastAsia="Times New Roman" w:hAnsi="Arial" w:cs="Arial"/>
          <w:i/>
          <w:color w:val="000000"/>
          <w:sz w:val="22"/>
          <w:szCs w:val="22"/>
          <w:lang w:val="es-CO" w:eastAsia="es-CO"/>
        </w:rPr>
        <w:t xml:space="preserve">“Adquisición de Textos, Material Didáctico, Mobiliarios e Insumos para la Sede Educativa La Laguna del Pueblo Wiwa y Los Establecimientos Educativos Kogui del Resguardo Kogui-Malayo-Arhuaco del Municipio de Dibulla Departamento de La Guajira” </w:t>
      </w:r>
      <w:r w:rsidRPr="00A21B5C">
        <w:rPr>
          <w:rFonts w:ascii="Arial" w:eastAsia="Times New Roman" w:hAnsi="Arial" w:cs="Arial"/>
          <w:color w:val="000000"/>
          <w:sz w:val="22"/>
          <w:szCs w:val="22"/>
          <w:lang w:val="es-CO" w:eastAsia="es-CO"/>
        </w:rPr>
        <w:t xml:space="preserve">por valor de $143.473.772, solo fue posible evaluar la etapa precontractual y contractual, puesto que la Entidad Territorial no compartió ni publicó en el Sistema Electrónico de Contratación Pública – SECOP, la información de la ejecución ni </w:t>
      </w:r>
      <w:r w:rsidR="008E42C6" w:rsidRPr="00A21B5C">
        <w:rPr>
          <w:rFonts w:ascii="Arial" w:eastAsia="Times New Roman" w:hAnsi="Arial" w:cs="Arial"/>
          <w:color w:val="000000"/>
          <w:sz w:val="22"/>
          <w:szCs w:val="22"/>
          <w:lang w:val="es-CO" w:eastAsia="es-CO"/>
        </w:rPr>
        <w:t xml:space="preserve">de </w:t>
      </w:r>
      <w:r w:rsidRPr="00A21B5C">
        <w:rPr>
          <w:rFonts w:ascii="Arial" w:eastAsia="Times New Roman" w:hAnsi="Arial" w:cs="Arial"/>
          <w:color w:val="000000"/>
          <w:sz w:val="22"/>
          <w:szCs w:val="22"/>
          <w:lang w:val="es-CO" w:eastAsia="es-CO"/>
        </w:rPr>
        <w:t>la etapa pos</w:t>
      </w:r>
      <w:r w:rsidR="00C01E24" w:rsidRPr="00A21B5C">
        <w:rPr>
          <w:rFonts w:ascii="Arial" w:eastAsia="Times New Roman" w:hAnsi="Arial" w:cs="Arial"/>
          <w:color w:val="000000"/>
          <w:sz w:val="22"/>
          <w:szCs w:val="22"/>
          <w:lang w:val="es-CO" w:eastAsia="es-CO"/>
        </w:rPr>
        <w:t>t</w:t>
      </w:r>
      <w:r w:rsidRPr="00A21B5C">
        <w:rPr>
          <w:rFonts w:ascii="Arial" w:eastAsia="Times New Roman" w:hAnsi="Arial" w:cs="Arial"/>
          <w:color w:val="000000"/>
          <w:sz w:val="22"/>
          <w:szCs w:val="22"/>
          <w:lang w:val="es-CO" w:eastAsia="es-CO"/>
        </w:rPr>
        <w:t>contractual. De la revisión realizada a los documentos obtenidos</w:t>
      </w:r>
      <w:r w:rsidR="00257E5D" w:rsidRPr="00A21B5C">
        <w:rPr>
          <w:rFonts w:ascii="Arial" w:eastAsia="Times New Roman" w:hAnsi="Arial" w:cs="Arial"/>
          <w:color w:val="000000"/>
          <w:sz w:val="22"/>
          <w:szCs w:val="22"/>
          <w:lang w:val="es-CO" w:eastAsia="es-CO"/>
        </w:rPr>
        <w:t>,</w:t>
      </w:r>
      <w:r w:rsidRPr="00A21B5C">
        <w:rPr>
          <w:rFonts w:ascii="Arial" w:eastAsia="Times New Roman" w:hAnsi="Arial" w:cs="Arial"/>
          <w:color w:val="000000"/>
          <w:sz w:val="22"/>
          <w:szCs w:val="22"/>
          <w:lang w:val="es-CO" w:eastAsia="es-CO"/>
        </w:rPr>
        <w:t xml:space="preserve"> se tienen las siguientes consideraciones:</w:t>
      </w:r>
    </w:p>
    <w:p w:rsidR="008C2E4A" w:rsidRPr="00A21B5C" w:rsidRDefault="008C2E4A" w:rsidP="00A21B5C">
      <w:pPr>
        <w:pStyle w:val="Default"/>
        <w:ind w:left="708"/>
        <w:contextualSpacing/>
        <w:jc w:val="both"/>
        <w:rPr>
          <w:b/>
          <w:sz w:val="22"/>
          <w:szCs w:val="22"/>
        </w:rPr>
      </w:pPr>
    </w:p>
    <w:p w:rsidR="008C2E4A" w:rsidRPr="00A21B5C" w:rsidRDefault="008C2E4A" w:rsidP="00A21B5C">
      <w:pPr>
        <w:pStyle w:val="Default"/>
        <w:numPr>
          <w:ilvl w:val="1"/>
          <w:numId w:val="7"/>
        </w:numPr>
        <w:ind w:left="708"/>
        <w:contextualSpacing/>
        <w:jc w:val="both"/>
        <w:rPr>
          <w:b/>
          <w:sz w:val="22"/>
          <w:szCs w:val="22"/>
        </w:rPr>
      </w:pPr>
      <w:r w:rsidRPr="00A21B5C">
        <w:rPr>
          <w:rFonts w:eastAsia="Times New Roman"/>
          <w:sz w:val="22"/>
          <w:szCs w:val="22"/>
          <w:lang w:eastAsia="es-CO"/>
        </w:rPr>
        <w:t>A partir de</w:t>
      </w:r>
      <w:r w:rsidR="00A2579F" w:rsidRPr="00A21B5C">
        <w:rPr>
          <w:rFonts w:eastAsia="Times New Roman"/>
          <w:sz w:val="22"/>
          <w:szCs w:val="22"/>
          <w:lang w:eastAsia="es-CO"/>
        </w:rPr>
        <w:t xml:space="preserve"> los</w:t>
      </w:r>
      <w:r w:rsidRPr="00A21B5C">
        <w:rPr>
          <w:rFonts w:eastAsia="Times New Roman"/>
          <w:sz w:val="22"/>
          <w:szCs w:val="22"/>
          <w:lang w:eastAsia="es-CO"/>
        </w:rPr>
        <w:t xml:space="preserve"> Estudios Previos y documentos previos</w:t>
      </w:r>
      <w:r w:rsidRPr="00A21B5C">
        <w:rPr>
          <w:rFonts w:eastAsia="Times New Roman"/>
          <w:i/>
          <w:sz w:val="22"/>
          <w:szCs w:val="22"/>
          <w:lang w:eastAsia="es-CO"/>
        </w:rPr>
        <w:t xml:space="preserve"> </w:t>
      </w:r>
      <w:r w:rsidRPr="00A21B5C">
        <w:rPr>
          <w:rFonts w:eastAsia="Times New Roman"/>
          <w:sz w:val="22"/>
          <w:szCs w:val="22"/>
          <w:lang w:eastAsia="es-CO"/>
        </w:rPr>
        <w:t>del expediente contractual</w:t>
      </w:r>
      <w:r w:rsidRPr="00A21B5C">
        <w:rPr>
          <w:rFonts w:eastAsia="Times New Roman"/>
          <w:i/>
          <w:sz w:val="22"/>
          <w:szCs w:val="22"/>
          <w:lang w:eastAsia="es-CO"/>
        </w:rPr>
        <w:t xml:space="preserve">, </w:t>
      </w:r>
      <w:r w:rsidRPr="00A21B5C">
        <w:rPr>
          <w:rFonts w:eastAsia="Times New Roman"/>
          <w:sz w:val="22"/>
          <w:szCs w:val="22"/>
          <w:lang w:eastAsia="es-CO"/>
        </w:rPr>
        <w:t xml:space="preserve">se conoció que la solicitud del proceso contractual fue realizada por la Secretaría de Educación </w:t>
      </w:r>
      <w:r w:rsidR="00A2579F" w:rsidRPr="00A21B5C">
        <w:rPr>
          <w:rFonts w:eastAsia="Times New Roman"/>
          <w:sz w:val="22"/>
          <w:szCs w:val="22"/>
          <w:lang w:eastAsia="es-CO"/>
        </w:rPr>
        <w:t>M</w:t>
      </w:r>
      <w:r w:rsidRPr="00A21B5C">
        <w:rPr>
          <w:rFonts w:eastAsia="Times New Roman"/>
          <w:sz w:val="22"/>
          <w:szCs w:val="22"/>
          <w:lang w:eastAsia="es-CO"/>
        </w:rPr>
        <w:t xml:space="preserve">unicipal. Así mismo, se resalta que el proceso contractual fue solicitado arguyendo las deficiencias en los servicios prestados por el sistema educativo formal, declarándose que no cubre todas las necesidades que al respecto se presentan, especialmente, en lo relacionado con la dotación mobiliaria, didáctica y </w:t>
      </w:r>
      <w:r w:rsidRPr="00A21B5C">
        <w:rPr>
          <w:rFonts w:eastAsia="Times New Roman"/>
          <w:sz w:val="22"/>
          <w:szCs w:val="22"/>
          <w:lang w:eastAsia="es-CO"/>
        </w:rPr>
        <w:lastRenderedPageBreak/>
        <w:t xml:space="preserve">los insumos, buscándose complementar los servicios educativos a las comunidades indígenas. Ante lo cual se anota que, si bien no hay impedimento para ejecutar recursos de la AESGPRI en este objeto contractual, al ser este uno de los proyectos formulados por el Resguardo Indígena, queda abierto el interrogante </w:t>
      </w:r>
      <w:r w:rsidR="00B14124" w:rsidRPr="00A21B5C">
        <w:rPr>
          <w:rFonts w:eastAsia="Times New Roman"/>
          <w:sz w:val="22"/>
          <w:szCs w:val="22"/>
          <w:lang w:eastAsia="es-CO"/>
        </w:rPr>
        <w:t>d</w:t>
      </w:r>
      <w:r w:rsidRPr="00A21B5C">
        <w:rPr>
          <w:rFonts w:eastAsia="Times New Roman"/>
          <w:sz w:val="22"/>
          <w:szCs w:val="22"/>
          <w:lang w:eastAsia="es-CO"/>
        </w:rPr>
        <w:t>el porqué de la concurrencia de la AESGPRI en servicios de educación para comunidades indígenas en el Municipio de Dibulla – La Guajira.</w:t>
      </w:r>
    </w:p>
    <w:p w:rsidR="008C2E4A" w:rsidRPr="00A21B5C" w:rsidRDefault="008C2E4A" w:rsidP="00A21B5C">
      <w:pPr>
        <w:pStyle w:val="Default"/>
        <w:ind w:left="708"/>
        <w:contextualSpacing/>
        <w:jc w:val="both"/>
        <w:rPr>
          <w:b/>
          <w:sz w:val="22"/>
          <w:szCs w:val="22"/>
        </w:rPr>
      </w:pPr>
    </w:p>
    <w:p w:rsidR="008C2E4A" w:rsidRPr="00A21B5C" w:rsidRDefault="008C2E4A" w:rsidP="00A21B5C">
      <w:pPr>
        <w:pStyle w:val="Default"/>
        <w:numPr>
          <w:ilvl w:val="1"/>
          <w:numId w:val="7"/>
        </w:numPr>
        <w:ind w:left="708"/>
        <w:contextualSpacing/>
        <w:jc w:val="both"/>
        <w:rPr>
          <w:sz w:val="22"/>
          <w:szCs w:val="22"/>
        </w:rPr>
      </w:pPr>
      <w:r w:rsidRPr="00A21B5C">
        <w:rPr>
          <w:sz w:val="22"/>
          <w:szCs w:val="22"/>
        </w:rPr>
        <w:t>En el numeral 4 de</w:t>
      </w:r>
      <w:r w:rsidR="00A2579F" w:rsidRPr="00A21B5C">
        <w:rPr>
          <w:sz w:val="22"/>
          <w:szCs w:val="22"/>
        </w:rPr>
        <w:t xml:space="preserve"> </w:t>
      </w:r>
      <w:r w:rsidRPr="00A21B5C">
        <w:rPr>
          <w:sz w:val="22"/>
          <w:szCs w:val="22"/>
        </w:rPr>
        <w:t>l</w:t>
      </w:r>
      <w:r w:rsidR="00A2579F" w:rsidRPr="00A21B5C">
        <w:rPr>
          <w:sz w:val="22"/>
          <w:szCs w:val="22"/>
        </w:rPr>
        <w:t>os</w:t>
      </w:r>
      <w:r w:rsidRPr="00A21B5C">
        <w:rPr>
          <w:sz w:val="22"/>
          <w:szCs w:val="22"/>
        </w:rPr>
        <w:t xml:space="preserve"> </w:t>
      </w:r>
      <w:r w:rsidRPr="00A21B5C">
        <w:rPr>
          <w:rFonts w:eastAsia="Times New Roman"/>
          <w:sz w:val="22"/>
          <w:szCs w:val="22"/>
          <w:lang w:eastAsia="es-CO"/>
        </w:rPr>
        <w:t xml:space="preserve">Estudios </w:t>
      </w:r>
      <w:r w:rsidR="007B0A51" w:rsidRPr="00A21B5C">
        <w:rPr>
          <w:rFonts w:eastAsia="Times New Roman"/>
          <w:sz w:val="22"/>
          <w:szCs w:val="22"/>
          <w:lang w:eastAsia="es-CO"/>
        </w:rPr>
        <w:t>p</w:t>
      </w:r>
      <w:r w:rsidRPr="00A21B5C">
        <w:rPr>
          <w:rFonts w:eastAsia="Times New Roman"/>
          <w:sz w:val="22"/>
          <w:szCs w:val="22"/>
          <w:lang w:eastAsia="es-CO"/>
        </w:rPr>
        <w:t>revios y documentos previos</w:t>
      </w:r>
      <w:r w:rsidRPr="00A21B5C">
        <w:rPr>
          <w:rFonts w:eastAsia="Times New Roman"/>
          <w:i/>
          <w:sz w:val="22"/>
          <w:szCs w:val="22"/>
          <w:lang w:eastAsia="es-CO"/>
        </w:rPr>
        <w:t xml:space="preserve"> </w:t>
      </w:r>
      <w:r w:rsidRPr="00A21B5C">
        <w:rPr>
          <w:rFonts w:eastAsia="Times New Roman"/>
          <w:sz w:val="22"/>
          <w:szCs w:val="22"/>
          <w:lang w:eastAsia="es-CO"/>
        </w:rPr>
        <w:t xml:space="preserve">del expediente contractual, se establece el valor estimado para la contratación por valor de $143.524.772, siendo este el presupuesto establecido para el proceso contractual. Allí mismo, se expresa que el presupuesto se estableció con </w:t>
      </w:r>
      <w:r w:rsidRPr="00A21B5C">
        <w:rPr>
          <w:sz w:val="22"/>
          <w:szCs w:val="22"/>
        </w:rPr>
        <w:t xml:space="preserve">base en </w:t>
      </w:r>
      <w:r w:rsidRPr="00A21B5C">
        <w:rPr>
          <w:i/>
          <w:sz w:val="22"/>
          <w:szCs w:val="22"/>
        </w:rPr>
        <w:t xml:space="preserve">“Los precios unitarios indicativos de mercado, producto del estudio respectivo, teniendo en cuenta para ello tres (3) cotizaciones solicitadas por el almacén general e inventario del municipio a empresas que ofrecen estos bienes”, </w:t>
      </w:r>
      <w:r w:rsidRPr="00A21B5C">
        <w:rPr>
          <w:sz w:val="22"/>
          <w:szCs w:val="22"/>
        </w:rPr>
        <w:t xml:space="preserve">las cuales no se encontraron adjuntas </w:t>
      </w:r>
      <w:r w:rsidR="00A2579F" w:rsidRPr="00A21B5C">
        <w:rPr>
          <w:sz w:val="22"/>
          <w:szCs w:val="22"/>
        </w:rPr>
        <w:t>en los</w:t>
      </w:r>
      <w:r w:rsidRPr="00A21B5C">
        <w:rPr>
          <w:sz w:val="22"/>
          <w:szCs w:val="22"/>
        </w:rPr>
        <w:t xml:space="preserve"> Estudios Previos.</w:t>
      </w:r>
    </w:p>
    <w:p w:rsidR="008C2E4A" w:rsidRPr="00A21B5C" w:rsidRDefault="008C2E4A" w:rsidP="00A21B5C">
      <w:pPr>
        <w:pStyle w:val="Default"/>
        <w:contextualSpacing/>
        <w:jc w:val="both"/>
        <w:rPr>
          <w:rFonts w:eastAsia="MS Mincho"/>
          <w:color w:val="auto"/>
          <w:sz w:val="22"/>
          <w:szCs w:val="22"/>
          <w:lang w:eastAsia="es-ES"/>
        </w:rPr>
      </w:pPr>
    </w:p>
    <w:p w:rsidR="008C2E4A" w:rsidRPr="00A21B5C" w:rsidRDefault="008C2E4A" w:rsidP="00A21B5C">
      <w:pPr>
        <w:pStyle w:val="Default"/>
        <w:ind w:left="708"/>
        <w:contextualSpacing/>
        <w:jc w:val="both"/>
        <w:rPr>
          <w:rFonts w:eastAsia="MS Mincho"/>
          <w:color w:val="auto"/>
          <w:sz w:val="22"/>
          <w:szCs w:val="22"/>
          <w:lang w:eastAsia="es-ES"/>
        </w:rPr>
      </w:pPr>
      <w:r w:rsidRPr="00A21B5C">
        <w:rPr>
          <w:rFonts w:eastAsia="MS Mincho"/>
          <w:color w:val="auto"/>
          <w:sz w:val="22"/>
          <w:szCs w:val="22"/>
          <w:lang w:eastAsia="es-ES"/>
        </w:rPr>
        <w:t xml:space="preserve">No obstante, en el detalle de precios se evidenció que fueron cotizados los </w:t>
      </w:r>
      <w:r w:rsidRPr="00A21B5C">
        <w:rPr>
          <w:rFonts w:eastAsia="MS Mincho"/>
          <w:i/>
          <w:color w:val="auto"/>
          <w:sz w:val="22"/>
          <w:szCs w:val="22"/>
          <w:lang w:eastAsia="es-ES"/>
        </w:rPr>
        <w:t xml:space="preserve">“precios unitarios indicativos”, </w:t>
      </w:r>
      <w:r w:rsidRPr="00A21B5C">
        <w:rPr>
          <w:rFonts w:eastAsia="MS Mincho"/>
          <w:color w:val="auto"/>
          <w:sz w:val="22"/>
          <w:szCs w:val="22"/>
          <w:lang w:eastAsia="es-ES"/>
        </w:rPr>
        <w:t xml:space="preserve">sin tenerse en cuenta las cantidades requeridas en la contratación, teniendo en cuenta que, por ejemplo, para 9 ítems de la </w:t>
      </w:r>
      <w:r w:rsidR="00A2579F" w:rsidRPr="00A21B5C">
        <w:rPr>
          <w:rFonts w:eastAsia="MS Mincho"/>
          <w:color w:val="auto"/>
          <w:sz w:val="22"/>
          <w:szCs w:val="22"/>
          <w:lang w:eastAsia="es-ES"/>
        </w:rPr>
        <w:t>C</w:t>
      </w:r>
      <w:r w:rsidRPr="00A21B5C">
        <w:rPr>
          <w:rFonts w:eastAsia="MS Mincho"/>
          <w:color w:val="auto"/>
          <w:sz w:val="22"/>
          <w:szCs w:val="22"/>
          <w:lang w:eastAsia="es-ES"/>
        </w:rPr>
        <w:t>ategoría Cuadernos se requerían entre 500 y 800 unidades, y que solo en 26 de los 95 artículos a contratar, se requerían menos de 20 unidades</w:t>
      </w:r>
      <w:r w:rsidRPr="00A21B5C">
        <w:rPr>
          <w:rStyle w:val="Refdenotaalpie"/>
          <w:color w:val="auto"/>
          <w:sz w:val="22"/>
          <w:szCs w:val="22"/>
        </w:rPr>
        <w:footnoteReference w:id="45"/>
      </w:r>
      <w:r w:rsidRPr="00A21B5C">
        <w:rPr>
          <w:rFonts w:eastAsia="MS Mincho"/>
          <w:color w:val="auto"/>
          <w:sz w:val="22"/>
          <w:szCs w:val="22"/>
          <w:lang w:eastAsia="es-ES"/>
        </w:rPr>
        <w:t xml:space="preserve">, pudiendo cotizar </w:t>
      </w:r>
      <w:r w:rsidR="00E2478A" w:rsidRPr="00A21B5C">
        <w:rPr>
          <w:rFonts w:eastAsia="MS Mincho"/>
          <w:color w:val="auto"/>
          <w:sz w:val="22"/>
          <w:szCs w:val="22"/>
          <w:lang w:eastAsia="es-ES"/>
        </w:rPr>
        <w:t xml:space="preserve">entonces </w:t>
      </w:r>
      <w:r w:rsidRPr="00A21B5C">
        <w:rPr>
          <w:rFonts w:eastAsia="MS Mincho"/>
          <w:color w:val="auto"/>
          <w:sz w:val="22"/>
          <w:szCs w:val="22"/>
          <w:lang w:eastAsia="es-ES"/>
        </w:rPr>
        <w:t xml:space="preserve">precios </w:t>
      </w:r>
      <w:r w:rsidR="00420F7F" w:rsidRPr="00A21B5C">
        <w:rPr>
          <w:rFonts w:eastAsia="MS Mincho"/>
          <w:color w:val="auto"/>
          <w:sz w:val="22"/>
          <w:szCs w:val="22"/>
          <w:lang w:eastAsia="es-ES"/>
        </w:rPr>
        <w:t>mayoristas</w:t>
      </w:r>
      <w:r w:rsidRPr="00A21B5C">
        <w:rPr>
          <w:rFonts w:eastAsia="MS Mincho"/>
          <w:color w:val="auto"/>
          <w:sz w:val="22"/>
          <w:szCs w:val="22"/>
          <w:lang w:eastAsia="es-ES"/>
        </w:rPr>
        <w:t xml:space="preserve">; sin perjuicio de que en el Análisis </w:t>
      </w:r>
      <w:r w:rsidR="00A2579F" w:rsidRPr="00A21B5C">
        <w:rPr>
          <w:rFonts w:eastAsia="MS Mincho"/>
          <w:color w:val="auto"/>
          <w:sz w:val="22"/>
          <w:szCs w:val="22"/>
          <w:lang w:eastAsia="es-ES"/>
        </w:rPr>
        <w:t>E</w:t>
      </w:r>
      <w:r w:rsidRPr="00A21B5C">
        <w:rPr>
          <w:rFonts w:eastAsia="MS Mincho"/>
          <w:color w:val="auto"/>
          <w:sz w:val="22"/>
          <w:szCs w:val="22"/>
          <w:lang w:eastAsia="es-ES"/>
        </w:rPr>
        <w:t xml:space="preserve">conómico del </w:t>
      </w:r>
      <w:r w:rsidR="00A2579F" w:rsidRPr="00A21B5C">
        <w:rPr>
          <w:rFonts w:eastAsia="MS Mincho"/>
          <w:color w:val="auto"/>
          <w:sz w:val="22"/>
          <w:szCs w:val="22"/>
          <w:lang w:eastAsia="es-ES"/>
        </w:rPr>
        <w:t>S</w:t>
      </w:r>
      <w:r w:rsidRPr="00A21B5C">
        <w:rPr>
          <w:rFonts w:eastAsia="MS Mincho"/>
          <w:color w:val="auto"/>
          <w:sz w:val="22"/>
          <w:szCs w:val="22"/>
          <w:lang w:eastAsia="es-ES"/>
        </w:rPr>
        <w:t>ector</w:t>
      </w:r>
      <w:r w:rsidR="00257E5D" w:rsidRPr="00A21B5C">
        <w:rPr>
          <w:rFonts w:eastAsia="MS Mincho"/>
          <w:color w:val="auto"/>
          <w:sz w:val="22"/>
          <w:szCs w:val="22"/>
          <w:lang w:eastAsia="es-ES"/>
        </w:rPr>
        <w:t>,</w:t>
      </w:r>
      <w:r w:rsidRPr="00A21B5C">
        <w:rPr>
          <w:rFonts w:eastAsia="MS Mincho"/>
          <w:color w:val="auto"/>
          <w:sz w:val="22"/>
          <w:szCs w:val="22"/>
          <w:lang w:eastAsia="es-ES"/>
        </w:rPr>
        <w:t xml:space="preserve"> la Entidad Territorial determinó que la mayoría de oferentes eran minoristas e intermediarios entre el productor y el consumidor final. Al respecto, se evidenció que el análisis de mercado fue realizado sobre cifras y reportes de </w:t>
      </w:r>
      <w:r w:rsidR="00BA7F5F" w:rsidRPr="00A21B5C">
        <w:rPr>
          <w:rFonts w:eastAsia="MS Mincho"/>
          <w:color w:val="auto"/>
          <w:sz w:val="22"/>
          <w:szCs w:val="22"/>
          <w:lang w:eastAsia="es-ES"/>
        </w:rPr>
        <w:t>l</w:t>
      </w:r>
      <w:r w:rsidRPr="00A21B5C">
        <w:rPr>
          <w:rFonts w:eastAsia="MS Mincho"/>
          <w:color w:val="auto"/>
          <w:sz w:val="22"/>
          <w:szCs w:val="22"/>
          <w:lang w:eastAsia="es-ES"/>
        </w:rPr>
        <w:t xml:space="preserve">os años 2012, 2013 y 2014, ante lo cual se resalta la importancia de actualizar los estudios de mercado, con miras a obtener un conocimiento </w:t>
      </w:r>
      <w:r w:rsidR="00F95493" w:rsidRPr="00A21B5C">
        <w:rPr>
          <w:rFonts w:eastAsia="MS Mincho"/>
          <w:color w:val="auto"/>
          <w:sz w:val="22"/>
          <w:szCs w:val="22"/>
          <w:lang w:eastAsia="es-ES"/>
        </w:rPr>
        <w:t xml:space="preserve">del sector </w:t>
      </w:r>
      <w:r w:rsidR="002E0529" w:rsidRPr="00A21B5C">
        <w:rPr>
          <w:rFonts w:eastAsia="MS Mincho"/>
          <w:color w:val="auto"/>
          <w:sz w:val="22"/>
          <w:szCs w:val="22"/>
          <w:lang w:eastAsia="es-ES"/>
        </w:rPr>
        <w:t xml:space="preserve">lo </w:t>
      </w:r>
      <w:r w:rsidRPr="00A21B5C">
        <w:rPr>
          <w:rFonts w:eastAsia="MS Mincho"/>
          <w:color w:val="auto"/>
          <w:sz w:val="22"/>
          <w:szCs w:val="22"/>
          <w:lang w:eastAsia="es-ES"/>
        </w:rPr>
        <w:t xml:space="preserve">más preciso y acertado </w:t>
      </w:r>
      <w:r w:rsidR="002E0529" w:rsidRPr="00A21B5C">
        <w:rPr>
          <w:rFonts w:eastAsia="MS Mincho"/>
          <w:color w:val="auto"/>
          <w:sz w:val="22"/>
          <w:szCs w:val="22"/>
          <w:lang w:eastAsia="es-ES"/>
        </w:rPr>
        <w:t xml:space="preserve">posible </w:t>
      </w:r>
      <w:r w:rsidRPr="00A21B5C">
        <w:rPr>
          <w:rFonts w:eastAsia="MS Mincho"/>
          <w:color w:val="auto"/>
          <w:sz w:val="22"/>
          <w:szCs w:val="22"/>
          <w:lang w:eastAsia="es-ES"/>
        </w:rPr>
        <w:t xml:space="preserve">para el momento de la contratación, </w:t>
      </w:r>
      <w:r w:rsidR="00930714" w:rsidRPr="00A21B5C">
        <w:rPr>
          <w:rFonts w:eastAsia="MS Mincho"/>
          <w:color w:val="auto"/>
          <w:sz w:val="22"/>
          <w:szCs w:val="22"/>
          <w:lang w:eastAsia="es-ES"/>
        </w:rPr>
        <w:t xml:space="preserve">y </w:t>
      </w:r>
      <w:r w:rsidRPr="00A21B5C">
        <w:rPr>
          <w:rFonts w:eastAsia="MS Mincho"/>
          <w:color w:val="auto"/>
          <w:sz w:val="22"/>
          <w:szCs w:val="22"/>
          <w:lang w:eastAsia="es-ES"/>
        </w:rPr>
        <w:t>de establecer con mayor precisión el tipo de proveedor que se  requiere</w:t>
      </w:r>
      <w:r w:rsidRPr="00A21B5C">
        <w:rPr>
          <w:rStyle w:val="Refdenotaalpie"/>
          <w:color w:val="auto"/>
          <w:sz w:val="22"/>
          <w:szCs w:val="22"/>
        </w:rPr>
        <w:footnoteReference w:id="46"/>
      </w:r>
      <w:r w:rsidRPr="00A21B5C">
        <w:rPr>
          <w:rFonts w:eastAsia="MS Mincho"/>
          <w:color w:val="auto"/>
          <w:sz w:val="22"/>
          <w:szCs w:val="22"/>
          <w:lang w:eastAsia="es-ES"/>
        </w:rPr>
        <w:t xml:space="preserve">, en provecho de </w:t>
      </w:r>
      <w:r w:rsidR="00591D32" w:rsidRPr="00A21B5C">
        <w:rPr>
          <w:rFonts w:eastAsia="MS Mincho"/>
          <w:color w:val="auto"/>
          <w:sz w:val="22"/>
          <w:szCs w:val="22"/>
          <w:lang w:eastAsia="es-ES"/>
        </w:rPr>
        <w:t>las</w:t>
      </w:r>
      <w:r w:rsidRPr="00A21B5C">
        <w:rPr>
          <w:rFonts w:eastAsia="MS Mincho"/>
          <w:color w:val="auto"/>
          <w:sz w:val="22"/>
          <w:szCs w:val="22"/>
          <w:lang w:eastAsia="es-ES"/>
        </w:rPr>
        <w:t xml:space="preserve"> especificaciones en el objeto a contratar, </w:t>
      </w:r>
      <w:r w:rsidR="00591D32" w:rsidRPr="00A21B5C">
        <w:rPr>
          <w:rFonts w:eastAsia="MS Mincho"/>
          <w:color w:val="auto"/>
          <w:sz w:val="22"/>
          <w:szCs w:val="22"/>
          <w:lang w:eastAsia="es-ES"/>
        </w:rPr>
        <w:t xml:space="preserve">que </w:t>
      </w:r>
      <w:r w:rsidR="00257E5D" w:rsidRPr="00A21B5C">
        <w:rPr>
          <w:rFonts w:eastAsia="MS Mincho"/>
          <w:color w:val="auto"/>
          <w:sz w:val="22"/>
          <w:szCs w:val="22"/>
          <w:lang w:eastAsia="es-ES"/>
        </w:rPr>
        <w:t xml:space="preserve">en </w:t>
      </w:r>
      <w:r w:rsidR="00591D32" w:rsidRPr="00A21B5C">
        <w:rPr>
          <w:rFonts w:eastAsia="MS Mincho"/>
          <w:color w:val="auto"/>
          <w:sz w:val="22"/>
          <w:szCs w:val="22"/>
          <w:lang w:eastAsia="es-ES"/>
        </w:rPr>
        <w:t xml:space="preserve">este caso correspondía a </w:t>
      </w:r>
      <w:r w:rsidRPr="00A21B5C">
        <w:rPr>
          <w:rFonts w:eastAsia="MS Mincho"/>
          <w:color w:val="auto"/>
          <w:sz w:val="22"/>
          <w:szCs w:val="22"/>
          <w:lang w:eastAsia="es-ES"/>
        </w:rPr>
        <w:t>la compra de bienes genéricos y uniformes en altas cantidades.</w:t>
      </w:r>
    </w:p>
    <w:p w:rsidR="00257E5D" w:rsidRPr="00A21B5C" w:rsidRDefault="00257E5D" w:rsidP="00A21B5C">
      <w:pPr>
        <w:pStyle w:val="Default"/>
        <w:ind w:left="708"/>
        <w:contextualSpacing/>
        <w:jc w:val="both"/>
        <w:rPr>
          <w:rFonts w:eastAsia="MS Mincho"/>
          <w:color w:val="auto"/>
          <w:sz w:val="22"/>
          <w:szCs w:val="22"/>
          <w:lang w:eastAsia="es-ES"/>
        </w:rPr>
      </w:pPr>
    </w:p>
    <w:p w:rsidR="008C2E4A" w:rsidRPr="00A21B5C" w:rsidRDefault="00BA6A03">
      <w:pPr>
        <w:pStyle w:val="Prrafodelista"/>
        <w:numPr>
          <w:ilvl w:val="0"/>
          <w:numId w:val="43"/>
        </w:numPr>
        <w:ind w:left="426" w:hanging="284"/>
        <w:rPr>
          <w:rFonts w:ascii="Arial" w:hAnsi="Arial" w:cs="Arial"/>
          <w:b/>
          <w:sz w:val="22"/>
          <w:szCs w:val="22"/>
          <w:lang w:val="es-CO"/>
        </w:rPr>
      </w:pPr>
      <w:r w:rsidRPr="00A21B5C">
        <w:rPr>
          <w:rFonts w:ascii="Arial" w:hAnsi="Arial" w:cs="Arial"/>
          <w:b/>
          <w:sz w:val="22"/>
          <w:szCs w:val="22"/>
          <w:lang w:val="es-CO"/>
        </w:rPr>
        <w:t>Convenio de Asociación N° 032 de 2016</w:t>
      </w:r>
      <w:r w:rsidR="00A2579F" w:rsidRPr="00A21B5C">
        <w:rPr>
          <w:rFonts w:ascii="Arial" w:hAnsi="Arial" w:cs="Arial"/>
          <w:b/>
          <w:sz w:val="22"/>
          <w:szCs w:val="22"/>
          <w:lang w:val="es-CO"/>
        </w:rPr>
        <w:t>.</w:t>
      </w:r>
    </w:p>
    <w:p w:rsidR="008C2E4A" w:rsidRPr="00A21B5C" w:rsidRDefault="008C2E4A" w:rsidP="00A21B5C">
      <w:pPr>
        <w:contextualSpacing/>
        <w:rPr>
          <w:rFonts w:ascii="Arial" w:hAnsi="Arial" w:cs="Arial"/>
          <w:sz w:val="22"/>
          <w:szCs w:val="22"/>
          <w:lang w:val="es-CO"/>
        </w:rPr>
      </w:pPr>
    </w:p>
    <w:p w:rsidR="008C2E4A" w:rsidRPr="00A21B5C" w:rsidRDefault="008C2E4A" w:rsidP="00A21B5C">
      <w:pPr>
        <w:contextualSpacing/>
        <w:jc w:val="both"/>
        <w:rPr>
          <w:rFonts w:ascii="Arial" w:hAnsi="Arial" w:cs="Arial"/>
          <w:sz w:val="22"/>
          <w:szCs w:val="22"/>
          <w:lang w:val="es-CO"/>
        </w:rPr>
      </w:pPr>
      <w:r w:rsidRPr="00A21B5C">
        <w:rPr>
          <w:rFonts w:ascii="Arial" w:hAnsi="Arial" w:cs="Arial"/>
          <w:sz w:val="22"/>
          <w:szCs w:val="22"/>
          <w:lang w:val="es-CO"/>
        </w:rPr>
        <w:t xml:space="preserve">Este </w:t>
      </w:r>
      <w:r w:rsidR="00066F0C" w:rsidRPr="00A21B5C">
        <w:rPr>
          <w:rFonts w:ascii="Arial" w:hAnsi="Arial" w:cs="Arial"/>
          <w:sz w:val="22"/>
          <w:szCs w:val="22"/>
          <w:lang w:val="es-CO"/>
        </w:rPr>
        <w:t>C</w:t>
      </w:r>
      <w:r w:rsidRPr="00A21B5C">
        <w:rPr>
          <w:rFonts w:ascii="Arial" w:hAnsi="Arial" w:cs="Arial"/>
          <w:sz w:val="22"/>
          <w:szCs w:val="22"/>
          <w:lang w:val="es-CO"/>
        </w:rPr>
        <w:t xml:space="preserve">onvenio de </w:t>
      </w:r>
      <w:r w:rsidR="00066F0C" w:rsidRPr="00A21B5C">
        <w:rPr>
          <w:rFonts w:ascii="Arial" w:hAnsi="Arial" w:cs="Arial"/>
          <w:sz w:val="22"/>
          <w:szCs w:val="22"/>
          <w:lang w:val="es-CO"/>
        </w:rPr>
        <w:t>A</w:t>
      </w:r>
      <w:r w:rsidRPr="00A21B5C">
        <w:rPr>
          <w:rFonts w:ascii="Arial" w:hAnsi="Arial" w:cs="Arial"/>
          <w:sz w:val="22"/>
          <w:szCs w:val="22"/>
          <w:lang w:val="es-CO"/>
        </w:rPr>
        <w:t xml:space="preserve">sociación realizado entre el Municipio de Dibulla – La Guajira y la Organización Gonawindua Tayrona – OGT, cuyo representante legal es José de los Santos Sauna Limaco, consistió en </w:t>
      </w:r>
      <w:r w:rsidRPr="00A21B5C">
        <w:rPr>
          <w:rFonts w:ascii="Arial" w:hAnsi="Arial" w:cs="Arial"/>
          <w:i/>
          <w:sz w:val="22"/>
          <w:szCs w:val="22"/>
          <w:lang w:val="es-CO"/>
        </w:rPr>
        <w:t xml:space="preserve">“Aunar esfuerzos técnicos, administrativos y financieros para fortalecer el sistema educativo, de salud, gobierno propio y territorio de los pueblos indígenas Kogui, Wiwa y Arhuaco de la Sierra Nevada de Santa Marta asentados en la jurisdicción del Municipio de Dibulla La Guajira”. </w:t>
      </w:r>
      <w:r w:rsidRPr="00A21B5C">
        <w:rPr>
          <w:rFonts w:ascii="Arial" w:hAnsi="Arial" w:cs="Arial"/>
          <w:sz w:val="22"/>
          <w:szCs w:val="22"/>
          <w:lang w:val="es-CO"/>
        </w:rPr>
        <w:t xml:space="preserve">Fue pactado por valor de $785.492.144 con aportes </w:t>
      </w:r>
      <w:r w:rsidR="00257E5D" w:rsidRPr="00A21B5C">
        <w:rPr>
          <w:rFonts w:ascii="Arial" w:hAnsi="Arial" w:cs="Arial"/>
          <w:sz w:val="22"/>
          <w:szCs w:val="22"/>
          <w:lang w:val="es-CO"/>
        </w:rPr>
        <w:t xml:space="preserve">de la AESGPRI </w:t>
      </w:r>
      <w:r w:rsidRPr="00A21B5C">
        <w:rPr>
          <w:rFonts w:ascii="Arial" w:hAnsi="Arial" w:cs="Arial"/>
          <w:sz w:val="22"/>
          <w:szCs w:val="22"/>
          <w:lang w:val="es-CO"/>
        </w:rPr>
        <w:t xml:space="preserve">por $734.792.144 y aportes de la Organización Gonawindua </w:t>
      </w:r>
      <w:r w:rsidRPr="00A21B5C">
        <w:rPr>
          <w:rFonts w:ascii="Arial" w:hAnsi="Arial" w:cs="Arial"/>
          <w:sz w:val="22"/>
          <w:szCs w:val="22"/>
          <w:lang w:val="es-CO"/>
        </w:rPr>
        <w:lastRenderedPageBreak/>
        <w:t>por $50.700.000</w:t>
      </w:r>
      <w:r w:rsidRPr="00A21B5C">
        <w:rPr>
          <w:rFonts w:ascii="Arial" w:hAnsi="Arial" w:cs="Arial"/>
          <w:i/>
          <w:sz w:val="22"/>
          <w:szCs w:val="22"/>
          <w:lang w:val="es-CO"/>
        </w:rPr>
        <w:t xml:space="preserve">. </w:t>
      </w:r>
      <w:r w:rsidR="003E5629" w:rsidRPr="00A21B5C">
        <w:rPr>
          <w:rFonts w:ascii="Arial" w:hAnsi="Arial" w:cs="Arial"/>
          <w:sz w:val="22"/>
          <w:szCs w:val="22"/>
          <w:lang w:val="es-CO"/>
        </w:rPr>
        <w:t>Producto de la</w:t>
      </w:r>
      <w:r w:rsidRPr="00A21B5C">
        <w:rPr>
          <w:rFonts w:ascii="Arial" w:hAnsi="Arial" w:cs="Arial"/>
          <w:sz w:val="22"/>
          <w:szCs w:val="22"/>
          <w:lang w:val="es-CO"/>
        </w:rPr>
        <w:t xml:space="preserve"> inspección al expediente contractual del mismo, se tienen las siguientes consideraciones:</w:t>
      </w:r>
    </w:p>
    <w:p w:rsidR="008C2E4A" w:rsidRPr="00A21B5C" w:rsidRDefault="008C2E4A" w:rsidP="00A21B5C">
      <w:pPr>
        <w:contextualSpacing/>
        <w:jc w:val="both"/>
        <w:rPr>
          <w:rFonts w:ascii="Arial" w:hAnsi="Arial" w:cs="Arial"/>
          <w:sz w:val="22"/>
          <w:szCs w:val="22"/>
          <w:lang w:val="es-CO"/>
        </w:rPr>
      </w:pPr>
    </w:p>
    <w:p w:rsidR="008C2E4A" w:rsidRPr="00A21B5C" w:rsidRDefault="008C2E4A">
      <w:pPr>
        <w:pStyle w:val="Prrafodelista"/>
        <w:numPr>
          <w:ilvl w:val="0"/>
          <w:numId w:val="19"/>
        </w:numPr>
        <w:ind w:left="709"/>
        <w:jc w:val="both"/>
        <w:rPr>
          <w:rFonts w:ascii="Arial" w:hAnsi="Arial" w:cs="Arial"/>
          <w:sz w:val="22"/>
          <w:szCs w:val="22"/>
          <w:lang w:val="es-CO"/>
        </w:rPr>
      </w:pPr>
      <w:r w:rsidRPr="00A21B5C">
        <w:rPr>
          <w:rFonts w:ascii="Arial" w:hAnsi="Arial" w:cs="Arial"/>
          <w:sz w:val="22"/>
          <w:szCs w:val="22"/>
          <w:lang w:val="es-CO"/>
        </w:rPr>
        <w:t xml:space="preserve">En </w:t>
      </w:r>
      <w:r w:rsidR="00066F0C" w:rsidRPr="00A21B5C">
        <w:rPr>
          <w:rFonts w:ascii="Arial" w:hAnsi="Arial" w:cs="Arial"/>
          <w:sz w:val="22"/>
          <w:szCs w:val="22"/>
          <w:lang w:val="es-CO"/>
        </w:rPr>
        <w:t xml:space="preserve">los </w:t>
      </w:r>
      <w:r w:rsidRPr="00A21B5C">
        <w:rPr>
          <w:rFonts w:ascii="Arial" w:hAnsi="Arial" w:cs="Arial"/>
          <w:iCs/>
          <w:sz w:val="22"/>
          <w:szCs w:val="22"/>
          <w:lang w:val="es-CO"/>
        </w:rPr>
        <w:t>Estudios y documentos previos</w:t>
      </w:r>
      <w:r w:rsidRPr="00A21B5C">
        <w:rPr>
          <w:rFonts w:ascii="Arial" w:hAnsi="Arial" w:cs="Arial"/>
          <w:i/>
          <w:sz w:val="22"/>
          <w:szCs w:val="22"/>
          <w:lang w:val="es-CO"/>
        </w:rPr>
        <w:t xml:space="preserve"> </w:t>
      </w:r>
      <w:r w:rsidRPr="00A21B5C">
        <w:rPr>
          <w:rFonts w:ascii="Arial" w:hAnsi="Arial" w:cs="Arial"/>
          <w:sz w:val="22"/>
          <w:szCs w:val="22"/>
          <w:lang w:val="es-CO"/>
        </w:rPr>
        <w:t xml:space="preserve">y con base en la descripción de las necesidades y los proyectos a ejecutar mediante este Convenio de Asociación, se evidenció que el perfil del oferente establecido para la contratación fue de una </w:t>
      </w:r>
      <w:r w:rsidRPr="00A21B5C">
        <w:rPr>
          <w:rFonts w:ascii="Arial" w:hAnsi="Arial" w:cs="Arial"/>
          <w:i/>
          <w:sz w:val="22"/>
          <w:szCs w:val="22"/>
          <w:lang w:val="es-CO"/>
        </w:rPr>
        <w:t xml:space="preserve">“Persona jurídica sin ánimo de lucro que tenga un período de constitución superior a tres años, con objeto social referente a la realización y/o desarrollo de programas de atención a población indígena vulnerable o similar mediante estrategias de actividades educativas, culturales y de gobierno indígena, con experiencia contractual en la ejecución de actividades que persigue este estudio previo”. </w:t>
      </w:r>
      <w:r w:rsidRPr="00A21B5C">
        <w:rPr>
          <w:rFonts w:ascii="Arial" w:hAnsi="Arial" w:cs="Arial"/>
          <w:sz w:val="22"/>
          <w:szCs w:val="22"/>
          <w:lang w:val="es-CO"/>
        </w:rPr>
        <w:t xml:space="preserve">Así, en revisión del objeto social a la Organización Gonawindua Tayrona, a partir del </w:t>
      </w:r>
      <w:r w:rsidR="00066F0C" w:rsidRPr="00A21B5C">
        <w:rPr>
          <w:rFonts w:ascii="Arial" w:hAnsi="Arial" w:cs="Arial"/>
          <w:sz w:val="22"/>
          <w:szCs w:val="22"/>
          <w:lang w:val="es-CO"/>
        </w:rPr>
        <w:t>C</w:t>
      </w:r>
      <w:r w:rsidRPr="00A21B5C">
        <w:rPr>
          <w:rFonts w:ascii="Arial" w:hAnsi="Arial" w:cs="Arial"/>
          <w:sz w:val="22"/>
          <w:szCs w:val="22"/>
          <w:lang w:val="es-CO"/>
        </w:rPr>
        <w:t xml:space="preserve">ódigo de </w:t>
      </w:r>
      <w:r w:rsidR="00066F0C" w:rsidRPr="00A21B5C">
        <w:rPr>
          <w:rFonts w:ascii="Arial" w:hAnsi="Arial" w:cs="Arial"/>
          <w:sz w:val="22"/>
          <w:szCs w:val="22"/>
          <w:lang w:val="es-CO"/>
        </w:rPr>
        <w:t>A</w:t>
      </w:r>
      <w:r w:rsidRPr="00A21B5C">
        <w:rPr>
          <w:rFonts w:ascii="Arial" w:hAnsi="Arial" w:cs="Arial"/>
          <w:sz w:val="22"/>
          <w:szCs w:val="22"/>
          <w:lang w:val="es-CO"/>
        </w:rPr>
        <w:t xml:space="preserve">ctividad </w:t>
      </w:r>
      <w:r w:rsidR="00066F0C" w:rsidRPr="00A21B5C">
        <w:rPr>
          <w:rFonts w:ascii="Arial" w:hAnsi="Arial" w:cs="Arial"/>
          <w:sz w:val="22"/>
          <w:szCs w:val="22"/>
          <w:lang w:val="es-CO"/>
        </w:rPr>
        <w:t>E</w:t>
      </w:r>
      <w:r w:rsidRPr="00A21B5C">
        <w:rPr>
          <w:rFonts w:ascii="Arial" w:hAnsi="Arial" w:cs="Arial"/>
          <w:sz w:val="22"/>
          <w:szCs w:val="22"/>
          <w:lang w:val="es-CO"/>
        </w:rPr>
        <w:t xml:space="preserve">conómica (9499) en Registro Único Tributario – RUT de la Organización, adjunto en el expediente contractual compartido por la Entidad Territorial, se determinó </w:t>
      </w:r>
      <w:r w:rsidRPr="00A21B5C">
        <w:rPr>
          <w:rFonts w:ascii="Arial" w:hAnsi="Arial" w:cs="Arial"/>
          <w:color w:val="000000" w:themeColor="text1"/>
          <w:sz w:val="22"/>
          <w:szCs w:val="22"/>
          <w:lang w:val="es-CO"/>
        </w:rPr>
        <w:t>que la actividad económica de la Organización está asociado al objeto contractual.</w:t>
      </w:r>
      <w:r w:rsidRPr="00A21B5C">
        <w:rPr>
          <w:rStyle w:val="Refdenotaalpie"/>
          <w:rFonts w:ascii="Arial" w:hAnsi="Arial" w:cs="Arial"/>
          <w:color w:val="000000" w:themeColor="text1"/>
          <w:sz w:val="22"/>
          <w:szCs w:val="22"/>
          <w:shd w:val="clear" w:color="auto" w:fill="FFFFFF"/>
          <w:lang w:val="es-CO"/>
        </w:rPr>
        <w:t xml:space="preserve"> </w:t>
      </w:r>
      <w:r w:rsidRPr="00A21B5C">
        <w:rPr>
          <w:rStyle w:val="Refdenotaalpie"/>
          <w:rFonts w:ascii="Arial" w:hAnsi="Arial" w:cs="Arial"/>
          <w:color w:val="000000" w:themeColor="text1"/>
          <w:sz w:val="22"/>
          <w:szCs w:val="22"/>
          <w:shd w:val="clear" w:color="auto" w:fill="FFFFFF"/>
          <w:lang w:val="es-CO"/>
        </w:rPr>
        <w:footnoteReference w:id="47"/>
      </w:r>
      <w:r w:rsidRPr="00A21B5C">
        <w:rPr>
          <w:rFonts w:ascii="Arial" w:hAnsi="Arial" w:cs="Arial"/>
          <w:color w:val="000000" w:themeColor="text1"/>
          <w:sz w:val="22"/>
          <w:szCs w:val="22"/>
          <w:shd w:val="clear" w:color="auto" w:fill="FFFFFF"/>
          <w:lang w:val="es-CO"/>
        </w:rPr>
        <w:t xml:space="preserve"> No obstante, </w:t>
      </w:r>
      <w:r w:rsidRPr="00A21B5C">
        <w:rPr>
          <w:rFonts w:ascii="Arial" w:hAnsi="Arial" w:cs="Arial"/>
          <w:sz w:val="22"/>
          <w:szCs w:val="22"/>
          <w:lang w:val="es-CO"/>
        </w:rPr>
        <w:t>la Organización no se encontró registrada en el Registro Único Empresarial de Entidades Sin Ánimo de Lucro</w:t>
      </w:r>
      <w:r w:rsidRPr="00A21B5C">
        <w:rPr>
          <w:rStyle w:val="Refdenotaalpie"/>
          <w:rFonts w:ascii="Arial" w:hAnsi="Arial" w:cs="Arial"/>
          <w:sz w:val="22"/>
          <w:szCs w:val="22"/>
          <w:lang w:val="es-CO"/>
        </w:rPr>
        <w:footnoteReference w:id="48"/>
      </w:r>
      <w:r w:rsidRPr="00A21B5C">
        <w:rPr>
          <w:rFonts w:ascii="Arial" w:hAnsi="Arial" w:cs="Arial"/>
          <w:sz w:val="22"/>
          <w:szCs w:val="22"/>
          <w:lang w:val="es-CO"/>
        </w:rPr>
        <w:t>.</w:t>
      </w:r>
    </w:p>
    <w:p w:rsidR="008C2E4A" w:rsidRPr="00A21B5C" w:rsidRDefault="008C2E4A" w:rsidP="00A21B5C">
      <w:pPr>
        <w:ind w:left="709" w:hanging="425"/>
        <w:contextualSpacing/>
        <w:jc w:val="both"/>
        <w:rPr>
          <w:rFonts w:ascii="Arial" w:hAnsi="Arial" w:cs="Arial"/>
          <w:color w:val="000000" w:themeColor="text1"/>
          <w:sz w:val="22"/>
          <w:szCs w:val="22"/>
          <w:lang w:val="es-CO"/>
        </w:rPr>
      </w:pPr>
    </w:p>
    <w:p w:rsidR="008C2E4A" w:rsidRPr="00A21B5C" w:rsidRDefault="008C2E4A">
      <w:pPr>
        <w:pStyle w:val="Prrafodelista"/>
        <w:numPr>
          <w:ilvl w:val="0"/>
          <w:numId w:val="19"/>
        </w:numPr>
        <w:jc w:val="both"/>
        <w:rPr>
          <w:rFonts w:ascii="Arial" w:hAnsi="Arial" w:cs="Arial"/>
          <w:color w:val="000000" w:themeColor="text1"/>
          <w:sz w:val="22"/>
          <w:szCs w:val="22"/>
          <w:lang w:val="es-CO"/>
        </w:rPr>
      </w:pPr>
      <w:r w:rsidRPr="00A21B5C">
        <w:rPr>
          <w:rFonts w:ascii="Arial" w:hAnsi="Arial" w:cs="Arial"/>
          <w:color w:val="000000" w:themeColor="text1"/>
          <w:sz w:val="22"/>
          <w:szCs w:val="22"/>
          <w:lang w:val="es-CO"/>
        </w:rPr>
        <w:t xml:space="preserve">Se evidenció una inconsistencia en </w:t>
      </w:r>
      <w:r w:rsidR="00066F0C" w:rsidRPr="00A21B5C">
        <w:rPr>
          <w:rFonts w:ascii="Arial" w:hAnsi="Arial" w:cs="Arial"/>
          <w:color w:val="000000" w:themeColor="text1"/>
          <w:sz w:val="22"/>
          <w:szCs w:val="22"/>
          <w:lang w:val="es-CO"/>
        </w:rPr>
        <w:t xml:space="preserve">la </w:t>
      </w:r>
      <w:r w:rsidRPr="00A21B5C">
        <w:rPr>
          <w:rFonts w:ascii="Arial" w:hAnsi="Arial" w:cs="Arial"/>
          <w:iCs/>
          <w:color w:val="000000" w:themeColor="text1"/>
          <w:sz w:val="22"/>
          <w:szCs w:val="22"/>
          <w:lang w:val="es-CO"/>
        </w:rPr>
        <w:t>Evaluación de Idoneidad y Experiencia de una Entidad Sin Ánimo de Lucro</w:t>
      </w:r>
      <w:r w:rsidRPr="00A21B5C">
        <w:rPr>
          <w:rFonts w:ascii="Arial" w:hAnsi="Arial" w:cs="Arial"/>
          <w:i/>
          <w:color w:val="000000" w:themeColor="text1"/>
          <w:sz w:val="22"/>
          <w:szCs w:val="22"/>
          <w:lang w:val="es-CO"/>
        </w:rPr>
        <w:t xml:space="preserve"> </w:t>
      </w:r>
      <w:r w:rsidRPr="00A21B5C">
        <w:rPr>
          <w:rFonts w:ascii="Arial" w:hAnsi="Arial" w:cs="Arial"/>
          <w:color w:val="000000" w:themeColor="text1"/>
          <w:sz w:val="22"/>
          <w:szCs w:val="22"/>
          <w:lang w:val="es-CO"/>
        </w:rPr>
        <w:t xml:space="preserve">puesto que se lee </w:t>
      </w:r>
      <w:r w:rsidRPr="00A21B5C">
        <w:rPr>
          <w:rFonts w:ascii="Arial" w:hAnsi="Arial" w:cs="Arial"/>
          <w:i/>
          <w:color w:val="000000" w:themeColor="text1"/>
          <w:sz w:val="22"/>
          <w:szCs w:val="22"/>
          <w:lang w:val="es-CO"/>
        </w:rPr>
        <w:t>“</w:t>
      </w:r>
      <w:r w:rsidR="00066F0C" w:rsidRPr="00A21B5C">
        <w:rPr>
          <w:rFonts w:ascii="Arial" w:hAnsi="Arial" w:cs="Arial"/>
          <w:i/>
          <w:color w:val="000000" w:themeColor="text1"/>
          <w:sz w:val="22"/>
          <w:szCs w:val="22"/>
          <w:lang w:val="es-CO"/>
        </w:rPr>
        <w:t>[</w:t>
      </w:r>
      <w:r w:rsidRPr="00A21B5C">
        <w:rPr>
          <w:rFonts w:ascii="Arial" w:hAnsi="Arial" w:cs="Arial"/>
          <w:i/>
          <w:color w:val="000000" w:themeColor="text1"/>
          <w:sz w:val="22"/>
          <w:szCs w:val="22"/>
          <w:lang w:val="es-CO"/>
        </w:rPr>
        <w:t>…</w:t>
      </w:r>
      <w:r w:rsidR="00066F0C" w:rsidRPr="00A21B5C">
        <w:rPr>
          <w:rFonts w:ascii="Arial" w:hAnsi="Arial" w:cs="Arial"/>
          <w:i/>
          <w:color w:val="000000" w:themeColor="text1"/>
          <w:sz w:val="22"/>
          <w:szCs w:val="22"/>
          <w:lang w:val="es-CO"/>
        </w:rPr>
        <w:t>]</w:t>
      </w:r>
      <w:r w:rsidRPr="00A21B5C">
        <w:rPr>
          <w:rFonts w:ascii="Arial" w:hAnsi="Arial" w:cs="Arial"/>
          <w:i/>
          <w:color w:val="000000" w:themeColor="text1"/>
          <w:sz w:val="22"/>
          <w:szCs w:val="22"/>
          <w:lang w:val="es-CO"/>
        </w:rPr>
        <w:t xml:space="preserve"> hemos recibido la propuesta Técnica y Económica, con el fin de desarrollar estrategias para alcanzar dichos objetivos y de la mano de entidades que desarrollen trabajos de interés público, las cuales estén enmarcada en el proyecto mencionado, dicha propuesta fue presentada por la ORGANIZACIÓN GONAWINDUA TAYRONA. Persona Jurídica sin ánimo de lucro que se identifica con el </w:t>
      </w:r>
      <w:r w:rsidRPr="00A21B5C">
        <w:rPr>
          <w:rFonts w:ascii="Arial" w:hAnsi="Arial" w:cs="Arial"/>
          <w:b/>
          <w:i/>
          <w:color w:val="000000" w:themeColor="text1"/>
          <w:sz w:val="22"/>
          <w:szCs w:val="22"/>
          <w:lang w:val="es-CO"/>
        </w:rPr>
        <w:t>NIT. No. 900217374-7,</w:t>
      </w:r>
      <w:r w:rsidRPr="00A21B5C">
        <w:rPr>
          <w:rFonts w:ascii="Arial" w:hAnsi="Arial" w:cs="Arial"/>
          <w:i/>
          <w:color w:val="000000" w:themeColor="text1"/>
          <w:sz w:val="22"/>
          <w:szCs w:val="22"/>
          <w:lang w:val="es-CO"/>
        </w:rPr>
        <w:t xml:space="preserve"> con domicilio en la ciudad de Santa Marta – La Guajira</w:t>
      </w:r>
      <w:r w:rsidRPr="00A21B5C">
        <w:rPr>
          <w:rFonts w:ascii="Arial" w:hAnsi="Arial" w:cs="Arial"/>
          <w:iCs/>
          <w:color w:val="000000" w:themeColor="text1"/>
          <w:sz w:val="22"/>
          <w:szCs w:val="22"/>
          <w:lang w:val="es-CO"/>
        </w:rPr>
        <w:t>”</w:t>
      </w:r>
      <w:r w:rsidR="00066F0C" w:rsidRPr="00A21B5C">
        <w:rPr>
          <w:rFonts w:ascii="Arial" w:hAnsi="Arial" w:cs="Arial"/>
          <w:iCs/>
          <w:color w:val="000000" w:themeColor="text1"/>
          <w:sz w:val="22"/>
          <w:szCs w:val="22"/>
          <w:lang w:val="es-CO"/>
        </w:rPr>
        <w:t>,</w:t>
      </w:r>
      <w:r w:rsidRPr="00A21B5C">
        <w:rPr>
          <w:rFonts w:ascii="Arial" w:hAnsi="Arial" w:cs="Arial"/>
          <w:i/>
          <w:color w:val="000000" w:themeColor="text1"/>
          <w:sz w:val="22"/>
          <w:szCs w:val="22"/>
          <w:lang w:val="es-CO"/>
        </w:rPr>
        <w:t xml:space="preserve"> </w:t>
      </w:r>
      <w:r w:rsidRPr="00A21B5C">
        <w:rPr>
          <w:rFonts w:ascii="Arial" w:hAnsi="Arial" w:cs="Arial"/>
          <w:color w:val="000000" w:themeColor="text1"/>
          <w:sz w:val="22"/>
          <w:szCs w:val="22"/>
          <w:lang w:val="es-CO"/>
        </w:rPr>
        <w:t xml:space="preserve">siendo este número de identificación diferente al NIT de la Organización Gonawindua Tayrona, según el </w:t>
      </w:r>
      <w:r w:rsidRPr="00A21B5C">
        <w:rPr>
          <w:rFonts w:ascii="Arial" w:hAnsi="Arial" w:cs="Arial"/>
          <w:iCs/>
          <w:color w:val="000000" w:themeColor="text1"/>
          <w:sz w:val="22"/>
          <w:szCs w:val="22"/>
          <w:lang w:val="es-CO"/>
        </w:rPr>
        <w:t>Convenio de Asociación N° 032 de 2016</w:t>
      </w:r>
      <w:r w:rsidRPr="00A21B5C">
        <w:rPr>
          <w:rFonts w:ascii="Arial" w:hAnsi="Arial" w:cs="Arial"/>
          <w:color w:val="000000" w:themeColor="text1"/>
          <w:sz w:val="22"/>
          <w:szCs w:val="22"/>
          <w:lang w:val="es-CO"/>
        </w:rPr>
        <w:t xml:space="preserve"> y según el Registro Único Tributario- RUT</w:t>
      </w:r>
      <w:r w:rsidRPr="00A21B5C">
        <w:rPr>
          <w:rFonts w:ascii="Arial" w:hAnsi="Arial" w:cs="Arial"/>
          <w:i/>
          <w:color w:val="000000" w:themeColor="text1"/>
          <w:sz w:val="22"/>
          <w:szCs w:val="22"/>
          <w:lang w:val="es-CO"/>
        </w:rPr>
        <w:t xml:space="preserve"> </w:t>
      </w:r>
      <w:r w:rsidRPr="00A21B5C">
        <w:rPr>
          <w:rFonts w:ascii="Arial" w:hAnsi="Arial" w:cs="Arial"/>
          <w:color w:val="000000" w:themeColor="text1"/>
          <w:sz w:val="22"/>
          <w:szCs w:val="22"/>
          <w:lang w:val="es-CO"/>
        </w:rPr>
        <w:t xml:space="preserve">aportado por la Organización, en los cuales se evidencia el NIT No. 800.239.489 – 7. El NIT al que se hace referencia en el texto, corresponde al de la </w:t>
      </w:r>
      <w:r w:rsidRPr="00A21B5C">
        <w:rPr>
          <w:rFonts w:ascii="Arial" w:hAnsi="Arial" w:cs="Arial"/>
          <w:iCs/>
          <w:color w:val="000000" w:themeColor="text1"/>
          <w:sz w:val="22"/>
          <w:szCs w:val="22"/>
          <w:lang w:val="es-CO"/>
        </w:rPr>
        <w:t xml:space="preserve">Fundación </w:t>
      </w:r>
      <w:r w:rsidR="00A21B5C" w:rsidRPr="00A21B5C">
        <w:rPr>
          <w:rFonts w:ascii="Arial" w:hAnsi="Arial" w:cs="Arial"/>
          <w:iCs/>
          <w:color w:val="000000" w:themeColor="text1"/>
          <w:sz w:val="22"/>
          <w:szCs w:val="22"/>
          <w:lang w:val="es-CO"/>
        </w:rPr>
        <w:t>Sociocultural</w:t>
      </w:r>
      <w:r w:rsidRPr="00A21B5C">
        <w:rPr>
          <w:rFonts w:ascii="Arial" w:hAnsi="Arial" w:cs="Arial"/>
          <w:iCs/>
          <w:color w:val="000000" w:themeColor="text1"/>
          <w:sz w:val="22"/>
          <w:szCs w:val="22"/>
          <w:lang w:val="es-CO"/>
        </w:rPr>
        <w:t xml:space="preserve"> Deportiva </w:t>
      </w:r>
      <w:r w:rsidR="00A21B5C" w:rsidRPr="00A21B5C">
        <w:rPr>
          <w:rFonts w:ascii="Arial" w:hAnsi="Arial" w:cs="Arial"/>
          <w:iCs/>
          <w:color w:val="000000" w:themeColor="text1"/>
          <w:sz w:val="22"/>
          <w:szCs w:val="22"/>
          <w:lang w:val="es-CO"/>
        </w:rPr>
        <w:t>Unión</w:t>
      </w:r>
      <w:r w:rsidRPr="00A21B5C">
        <w:rPr>
          <w:rFonts w:ascii="Arial" w:hAnsi="Arial" w:cs="Arial"/>
          <w:iCs/>
          <w:color w:val="000000" w:themeColor="text1"/>
          <w:sz w:val="22"/>
          <w:szCs w:val="22"/>
          <w:lang w:val="es-CO"/>
        </w:rPr>
        <w:t xml:space="preserve"> Wayuu</w:t>
      </w:r>
      <w:r w:rsidRPr="00A21B5C">
        <w:rPr>
          <w:rFonts w:ascii="Arial" w:hAnsi="Arial" w:cs="Arial"/>
          <w:i/>
          <w:color w:val="000000" w:themeColor="text1"/>
          <w:sz w:val="22"/>
          <w:szCs w:val="22"/>
          <w:lang w:val="es-CO"/>
        </w:rPr>
        <w:t xml:space="preserve"> </w:t>
      </w:r>
      <w:r w:rsidRPr="00A21B5C">
        <w:rPr>
          <w:rFonts w:ascii="Arial" w:hAnsi="Arial" w:cs="Arial"/>
          <w:color w:val="000000" w:themeColor="text1"/>
          <w:sz w:val="22"/>
          <w:szCs w:val="22"/>
          <w:lang w:val="es-CO"/>
        </w:rPr>
        <w:t>según consulta al Registro Único Empresarial – RUES de Entidades Sin Ánimo de Lucro – ESAL</w:t>
      </w:r>
      <w:r w:rsidRPr="00A21B5C">
        <w:rPr>
          <w:rStyle w:val="Refdenotaalpie"/>
          <w:rFonts w:ascii="Arial" w:hAnsi="Arial" w:cs="Arial"/>
          <w:color w:val="000000" w:themeColor="text1"/>
          <w:sz w:val="22"/>
          <w:szCs w:val="22"/>
          <w:lang w:val="es-CO"/>
        </w:rPr>
        <w:footnoteReference w:id="49"/>
      </w:r>
      <w:r w:rsidRPr="00A21B5C">
        <w:rPr>
          <w:rFonts w:ascii="Arial" w:hAnsi="Arial" w:cs="Arial"/>
          <w:color w:val="000000" w:themeColor="text1"/>
          <w:sz w:val="22"/>
          <w:szCs w:val="22"/>
          <w:lang w:val="es-CO"/>
        </w:rPr>
        <w:t>.</w:t>
      </w:r>
    </w:p>
    <w:p w:rsidR="008C2E4A" w:rsidRPr="00A21B5C" w:rsidRDefault="008C2E4A">
      <w:pPr>
        <w:pStyle w:val="Prrafodelista"/>
        <w:rPr>
          <w:rFonts w:ascii="Arial" w:hAnsi="Arial" w:cs="Arial"/>
          <w:color w:val="000000" w:themeColor="text1"/>
          <w:sz w:val="22"/>
          <w:szCs w:val="22"/>
          <w:lang w:val="es-CO"/>
        </w:rPr>
      </w:pPr>
    </w:p>
    <w:p w:rsidR="008C2E4A" w:rsidRPr="00A21B5C" w:rsidRDefault="008C2E4A">
      <w:pPr>
        <w:pStyle w:val="Prrafodelista"/>
        <w:numPr>
          <w:ilvl w:val="0"/>
          <w:numId w:val="19"/>
        </w:numPr>
        <w:jc w:val="both"/>
        <w:rPr>
          <w:rFonts w:ascii="Arial" w:hAnsi="Arial" w:cs="Arial"/>
          <w:iCs/>
          <w:color w:val="000000" w:themeColor="text1"/>
          <w:sz w:val="22"/>
          <w:szCs w:val="22"/>
          <w:lang w:val="es-CO"/>
        </w:rPr>
      </w:pPr>
      <w:r w:rsidRPr="00A21B5C">
        <w:rPr>
          <w:rFonts w:ascii="Arial" w:hAnsi="Arial" w:cs="Arial"/>
          <w:color w:val="000000" w:themeColor="text1"/>
          <w:sz w:val="22"/>
          <w:szCs w:val="22"/>
          <w:lang w:val="es-CO"/>
        </w:rPr>
        <w:t xml:space="preserve">En el numeral 10 del apartado </w:t>
      </w:r>
      <w:r w:rsidR="00066F0C" w:rsidRPr="00A21B5C">
        <w:rPr>
          <w:rFonts w:ascii="Arial" w:hAnsi="Arial" w:cs="Arial"/>
          <w:color w:val="000000" w:themeColor="text1"/>
          <w:sz w:val="22"/>
          <w:szCs w:val="22"/>
          <w:lang w:val="es-CO"/>
        </w:rPr>
        <w:t xml:space="preserve">de los </w:t>
      </w:r>
      <w:r w:rsidRPr="00A21B5C">
        <w:rPr>
          <w:rFonts w:ascii="Arial" w:hAnsi="Arial" w:cs="Arial"/>
          <w:iCs/>
          <w:color w:val="000000" w:themeColor="text1"/>
          <w:sz w:val="22"/>
          <w:szCs w:val="22"/>
          <w:lang w:val="es-CO"/>
        </w:rPr>
        <w:t xml:space="preserve">Términos de </w:t>
      </w:r>
      <w:r w:rsidR="00066F0C" w:rsidRPr="00A21B5C">
        <w:rPr>
          <w:rFonts w:ascii="Arial" w:hAnsi="Arial" w:cs="Arial"/>
          <w:iCs/>
          <w:color w:val="000000" w:themeColor="text1"/>
          <w:sz w:val="22"/>
          <w:szCs w:val="22"/>
          <w:lang w:val="es-CO"/>
        </w:rPr>
        <w:t>R</w:t>
      </w:r>
      <w:r w:rsidRPr="00A21B5C">
        <w:rPr>
          <w:rFonts w:ascii="Arial" w:hAnsi="Arial" w:cs="Arial"/>
          <w:iCs/>
          <w:color w:val="000000" w:themeColor="text1"/>
          <w:sz w:val="22"/>
          <w:szCs w:val="22"/>
          <w:lang w:val="es-CO"/>
        </w:rPr>
        <w:t>eferencia</w:t>
      </w:r>
      <w:r w:rsidRPr="00A21B5C">
        <w:rPr>
          <w:rFonts w:ascii="Arial" w:hAnsi="Arial" w:cs="Arial"/>
          <w:i/>
          <w:color w:val="000000" w:themeColor="text1"/>
          <w:sz w:val="22"/>
          <w:szCs w:val="22"/>
          <w:lang w:val="es-CO"/>
        </w:rPr>
        <w:t xml:space="preserve"> </w:t>
      </w:r>
      <w:r w:rsidRPr="00A21B5C">
        <w:rPr>
          <w:rFonts w:ascii="Arial" w:hAnsi="Arial" w:cs="Arial"/>
          <w:color w:val="000000" w:themeColor="text1"/>
          <w:sz w:val="22"/>
          <w:szCs w:val="22"/>
          <w:lang w:val="es-CO"/>
        </w:rPr>
        <w:t>de</w:t>
      </w:r>
      <w:r w:rsidR="00066F0C" w:rsidRPr="00A21B5C">
        <w:rPr>
          <w:rFonts w:ascii="Arial" w:hAnsi="Arial" w:cs="Arial"/>
          <w:color w:val="000000" w:themeColor="text1"/>
          <w:sz w:val="22"/>
          <w:szCs w:val="22"/>
          <w:lang w:val="es-CO"/>
        </w:rPr>
        <w:t xml:space="preserve"> la</w:t>
      </w:r>
      <w:r w:rsidRPr="00A21B5C">
        <w:rPr>
          <w:rFonts w:ascii="Arial" w:hAnsi="Arial" w:cs="Arial"/>
          <w:color w:val="000000" w:themeColor="text1"/>
          <w:sz w:val="22"/>
          <w:szCs w:val="22"/>
          <w:lang w:val="es-CO"/>
        </w:rPr>
        <w:t xml:space="preserve"> </w:t>
      </w:r>
      <w:r w:rsidRPr="00A21B5C">
        <w:rPr>
          <w:rFonts w:ascii="Arial" w:hAnsi="Arial" w:cs="Arial"/>
          <w:iCs/>
          <w:color w:val="000000" w:themeColor="text1"/>
          <w:sz w:val="22"/>
          <w:szCs w:val="22"/>
          <w:lang w:val="es-CO"/>
        </w:rPr>
        <w:t xml:space="preserve">Invitación </w:t>
      </w:r>
      <w:r w:rsidR="00066F0C" w:rsidRPr="00A21B5C">
        <w:rPr>
          <w:rFonts w:ascii="Arial" w:hAnsi="Arial" w:cs="Arial"/>
          <w:iCs/>
          <w:color w:val="000000" w:themeColor="text1"/>
          <w:sz w:val="22"/>
          <w:szCs w:val="22"/>
          <w:lang w:val="es-CO"/>
        </w:rPr>
        <w:t>P</w:t>
      </w:r>
      <w:r w:rsidRPr="00A21B5C">
        <w:rPr>
          <w:rFonts w:ascii="Arial" w:hAnsi="Arial" w:cs="Arial"/>
          <w:iCs/>
          <w:color w:val="000000" w:themeColor="text1"/>
          <w:sz w:val="22"/>
          <w:szCs w:val="22"/>
          <w:lang w:val="es-CO"/>
        </w:rPr>
        <w:t>ública adelantada por el Municipio de Dibulla para la Celebración de Convenio de Asociación</w:t>
      </w:r>
      <w:r w:rsidRPr="00A21B5C">
        <w:rPr>
          <w:rFonts w:ascii="Arial" w:hAnsi="Arial" w:cs="Arial"/>
          <w:i/>
          <w:color w:val="000000" w:themeColor="text1"/>
          <w:sz w:val="22"/>
          <w:szCs w:val="22"/>
          <w:lang w:val="es-CO"/>
        </w:rPr>
        <w:t xml:space="preserve"> </w:t>
      </w:r>
      <w:r w:rsidRPr="00A21B5C">
        <w:rPr>
          <w:rFonts w:ascii="Arial" w:hAnsi="Arial" w:cs="Arial"/>
          <w:color w:val="000000" w:themeColor="text1"/>
          <w:sz w:val="22"/>
          <w:szCs w:val="22"/>
          <w:lang w:val="es-CO"/>
        </w:rPr>
        <w:t>del expediente contractual en revisión</w:t>
      </w:r>
      <w:r w:rsidRPr="00A21B5C">
        <w:rPr>
          <w:rFonts w:ascii="Arial" w:hAnsi="Arial" w:cs="Arial"/>
          <w:i/>
          <w:color w:val="000000" w:themeColor="text1"/>
          <w:sz w:val="22"/>
          <w:szCs w:val="22"/>
          <w:lang w:val="es-CO"/>
        </w:rPr>
        <w:t xml:space="preserve">, </w:t>
      </w:r>
      <w:r w:rsidRPr="00A21B5C">
        <w:rPr>
          <w:rFonts w:ascii="Arial" w:hAnsi="Arial" w:cs="Arial"/>
          <w:color w:val="000000" w:themeColor="text1"/>
          <w:sz w:val="22"/>
          <w:szCs w:val="22"/>
          <w:lang w:val="es-CO"/>
        </w:rPr>
        <w:t>se establecieron las</w:t>
      </w:r>
      <w:r w:rsidRPr="00A21B5C">
        <w:rPr>
          <w:rFonts w:ascii="Arial" w:hAnsi="Arial" w:cs="Arial"/>
          <w:i/>
          <w:color w:val="000000" w:themeColor="text1"/>
          <w:sz w:val="22"/>
          <w:szCs w:val="22"/>
          <w:lang w:val="es-CO"/>
        </w:rPr>
        <w:t xml:space="preserve"> </w:t>
      </w:r>
      <w:r w:rsidRPr="00A21B5C">
        <w:rPr>
          <w:rFonts w:ascii="Arial" w:hAnsi="Arial" w:cs="Arial"/>
          <w:color w:val="000000" w:themeColor="text1"/>
          <w:sz w:val="22"/>
          <w:szCs w:val="22"/>
          <w:lang w:val="es-CO"/>
        </w:rPr>
        <w:t xml:space="preserve">condiciones contractuales para la suscripción del </w:t>
      </w:r>
      <w:r w:rsidR="00C9723F" w:rsidRPr="00A21B5C">
        <w:rPr>
          <w:rFonts w:ascii="Arial" w:hAnsi="Arial" w:cs="Arial"/>
          <w:color w:val="000000" w:themeColor="text1"/>
          <w:sz w:val="22"/>
          <w:szCs w:val="22"/>
          <w:lang w:val="es-CO"/>
        </w:rPr>
        <w:t>C</w:t>
      </w:r>
      <w:r w:rsidRPr="00A21B5C">
        <w:rPr>
          <w:rFonts w:ascii="Arial" w:hAnsi="Arial" w:cs="Arial"/>
          <w:color w:val="000000" w:themeColor="text1"/>
          <w:sz w:val="22"/>
          <w:szCs w:val="22"/>
          <w:lang w:val="es-CO"/>
        </w:rPr>
        <w:t xml:space="preserve">onvenio, entre ellas el Certificado de Existencia y Representación Legal, en original o copia y/o Reconocimiento de Personería Jurídica vigente. Al respecto, se evidenció en </w:t>
      </w:r>
      <w:r w:rsidR="00C9723F" w:rsidRPr="00A21B5C">
        <w:rPr>
          <w:rFonts w:ascii="Arial" w:hAnsi="Arial" w:cs="Arial"/>
          <w:color w:val="000000" w:themeColor="text1"/>
          <w:sz w:val="22"/>
          <w:szCs w:val="22"/>
          <w:lang w:val="es-CO"/>
        </w:rPr>
        <w:t xml:space="preserve">la </w:t>
      </w:r>
      <w:r w:rsidRPr="00A21B5C">
        <w:rPr>
          <w:rFonts w:ascii="Arial" w:hAnsi="Arial" w:cs="Arial"/>
          <w:color w:val="000000" w:themeColor="text1"/>
          <w:sz w:val="22"/>
          <w:szCs w:val="22"/>
          <w:lang w:val="es-CO"/>
        </w:rPr>
        <w:t>Evaluación de Idoneidad y Experiencia de una Entidad Sin Ánimo de Lucro</w:t>
      </w:r>
      <w:r w:rsidRPr="00A21B5C">
        <w:rPr>
          <w:rFonts w:ascii="Arial" w:hAnsi="Arial" w:cs="Arial"/>
          <w:i/>
          <w:color w:val="000000" w:themeColor="text1"/>
          <w:sz w:val="22"/>
          <w:szCs w:val="22"/>
          <w:lang w:val="es-CO"/>
        </w:rPr>
        <w:t xml:space="preserve"> </w:t>
      </w:r>
      <w:r w:rsidRPr="00A21B5C">
        <w:rPr>
          <w:rFonts w:ascii="Arial" w:hAnsi="Arial" w:cs="Arial"/>
          <w:color w:val="000000" w:themeColor="text1"/>
          <w:sz w:val="22"/>
          <w:szCs w:val="22"/>
          <w:lang w:val="es-CO"/>
        </w:rPr>
        <w:t xml:space="preserve">que la Organización Gonawindua presentó </w:t>
      </w:r>
      <w:r w:rsidR="00C9723F" w:rsidRPr="00A21B5C">
        <w:rPr>
          <w:rFonts w:ascii="Arial" w:hAnsi="Arial" w:cs="Arial"/>
          <w:color w:val="000000" w:themeColor="text1"/>
          <w:sz w:val="22"/>
          <w:szCs w:val="22"/>
          <w:lang w:val="es-CO"/>
        </w:rPr>
        <w:t xml:space="preserve">el </w:t>
      </w:r>
      <w:r w:rsidRPr="00A21B5C">
        <w:rPr>
          <w:rFonts w:ascii="Arial" w:hAnsi="Arial" w:cs="Arial"/>
          <w:iCs/>
          <w:color w:val="000000" w:themeColor="text1"/>
          <w:sz w:val="22"/>
          <w:szCs w:val="22"/>
          <w:lang w:val="es-CO"/>
        </w:rPr>
        <w:t>Acta de Reconocimiento del 23 de enero de 1987, expedida por la Gobernación del Magdalena y</w:t>
      </w:r>
      <w:r w:rsidR="00B129DB" w:rsidRPr="00A21B5C">
        <w:rPr>
          <w:rFonts w:ascii="Arial" w:hAnsi="Arial" w:cs="Arial"/>
          <w:iCs/>
          <w:color w:val="000000" w:themeColor="text1"/>
          <w:sz w:val="22"/>
          <w:szCs w:val="22"/>
          <w:lang w:val="es-CO"/>
        </w:rPr>
        <w:t xml:space="preserve"> </w:t>
      </w:r>
      <w:r w:rsidRPr="00A21B5C">
        <w:rPr>
          <w:rFonts w:ascii="Arial" w:hAnsi="Arial" w:cs="Arial"/>
          <w:iCs/>
          <w:color w:val="000000" w:themeColor="text1"/>
          <w:sz w:val="22"/>
          <w:szCs w:val="22"/>
          <w:lang w:val="es-CO"/>
        </w:rPr>
        <w:t>otras</w:t>
      </w:r>
      <w:r w:rsidR="007B7CA9" w:rsidRPr="00A21B5C">
        <w:rPr>
          <w:rFonts w:ascii="Arial" w:hAnsi="Arial" w:cs="Arial"/>
          <w:iCs/>
          <w:color w:val="000000" w:themeColor="text1"/>
          <w:sz w:val="22"/>
          <w:szCs w:val="22"/>
          <w:lang w:val="es-CO"/>
        </w:rPr>
        <w:t xml:space="preserve"> </w:t>
      </w:r>
      <w:r w:rsidRPr="00A21B5C">
        <w:rPr>
          <w:rFonts w:ascii="Arial" w:hAnsi="Arial" w:cs="Arial"/>
          <w:iCs/>
          <w:color w:val="000000" w:themeColor="text1"/>
          <w:sz w:val="22"/>
          <w:szCs w:val="22"/>
          <w:lang w:val="es-CO"/>
        </w:rPr>
        <w:t>entidades estatales.</w:t>
      </w:r>
    </w:p>
    <w:p w:rsidR="008C2E4A" w:rsidRPr="00A21B5C" w:rsidRDefault="008C2E4A">
      <w:pPr>
        <w:pStyle w:val="Prrafodelista"/>
        <w:rPr>
          <w:rFonts w:ascii="Arial" w:hAnsi="Arial" w:cs="Arial"/>
          <w:color w:val="000000" w:themeColor="text1"/>
          <w:sz w:val="22"/>
          <w:szCs w:val="22"/>
          <w:lang w:val="es-CO"/>
        </w:rPr>
      </w:pPr>
    </w:p>
    <w:p w:rsidR="008C2E4A" w:rsidRPr="00A21B5C" w:rsidRDefault="008C2E4A">
      <w:pPr>
        <w:pStyle w:val="Prrafodelista"/>
        <w:jc w:val="both"/>
        <w:rPr>
          <w:rFonts w:ascii="Arial" w:hAnsi="Arial" w:cs="Arial"/>
          <w:color w:val="000000" w:themeColor="text1"/>
          <w:sz w:val="22"/>
          <w:szCs w:val="22"/>
          <w:lang w:val="es-CO"/>
        </w:rPr>
      </w:pPr>
      <w:r w:rsidRPr="00A21B5C">
        <w:rPr>
          <w:rFonts w:ascii="Arial" w:hAnsi="Arial" w:cs="Arial"/>
          <w:color w:val="000000" w:themeColor="text1"/>
          <w:sz w:val="22"/>
          <w:szCs w:val="22"/>
          <w:lang w:val="es-CO"/>
        </w:rPr>
        <w:t xml:space="preserve">En lectura a dicha acta, adjunta en el expediente contractual compartido por la Entidad Territorial, se lee que </w:t>
      </w:r>
      <w:r w:rsidRPr="00A21B5C">
        <w:rPr>
          <w:rFonts w:ascii="Arial" w:hAnsi="Arial" w:cs="Arial"/>
          <w:i/>
          <w:color w:val="000000" w:themeColor="text1"/>
          <w:sz w:val="22"/>
          <w:szCs w:val="22"/>
          <w:lang w:val="es-CO"/>
        </w:rPr>
        <w:t>“Todas las entidades expresan su reconocimiento a la organización GONAWINDUA TAYRONA y exalta la decisión de los Indígenas Kogui – Arhuaco de los Departamentos de Magdalena y Guajira de formar una organización independiente y autónoma, por ser de gran ayuda para la defensa de sus tradiciones y derechos</w:t>
      </w:r>
      <w:r w:rsidR="00194061" w:rsidRPr="00A21B5C">
        <w:rPr>
          <w:rFonts w:ascii="Arial" w:hAnsi="Arial" w:cs="Arial"/>
          <w:i/>
          <w:color w:val="000000" w:themeColor="text1"/>
          <w:sz w:val="22"/>
          <w:szCs w:val="22"/>
          <w:lang w:val="es-CO"/>
        </w:rPr>
        <w:t>”</w:t>
      </w:r>
      <w:r w:rsidRPr="00A21B5C">
        <w:rPr>
          <w:rFonts w:ascii="Arial" w:hAnsi="Arial" w:cs="Arial"/>
          <w:i/>
          <w:color w:val="000000" w:themeColor="text1"/>
          <w:sz w:val="22"/>
          <w:szCs w:val="22"/>
          <w:lang w:val="es-CO"/>
        </w:rPr>
        <w:t xml:space="preserve">, </w:t>
      </w:r>
      <w:r w:rsidRPr="00A21B5C">
        <w:rPr>
          <w:rFonts w:ascii="Arial" w:hAnsi="Arial" w:cs="Arial"/>
          <w:color w:val="000000" w:themeColor="text1"/>
          <w:sz w:val="22"/>
          <w:szCs w:val="22"/>
          <w:lang w:val="es-CO"/>
        </w:rPr>
        <w:t>la cual es una referencia a la Organización sin ningún efecto jurídico, puesto que, en principio no son las Entidades suscritas en el Acta, las competentes para certificar o reconocer personería jurídica.</w:t>
      </w:r>
    </w:p>
    <w:p w:rsidR="008C2E4A" w:rsidRPr="00A21B5C" w:rsidRDefault="008C2E4A">
      <w:pPr>
        <w:pStyle w:val="Prrafodelista"/>
        <w:jc w:val="both"/>
        <w:rPr>
          <w:rFonts w:ascii="Arial" w:hAnsi="Arial" w:cs="Arial"/>
          <w:color w:val="000000" w:themeColor="text1"/>
          <w:sz w:val="22"/>
          <w:szCs w:val="22"/>
          <w:lang w:val="es-CO"/>
        </w:rPr>
      </w:pPr>
    </w:p>
    <w:p w:rsidR="008C2E4A" w:rsidRPr="00A21B5C" w:rsidRDefault="008C2E4A">
      <w:pPr>
        <w:pStyle w:val="Prrafodelista"/>
        <w:numPr>
          <w:ilvl w:val="0"/>
          <w:numId w:val="19"/>
        </w:numPr>
        <w:jc w:val="both"/>
        <w:rPr>
          <w:rFonts w:ascii="Arial" w:hAnsi="Arial" w:cs="Arial"/>
          <w:color w:val="000000" w:themeColor="text1"/>
          <w:sz w:val="22"/>
          <w:szCs w:val="22"/>
          <w:lang w:val="es-CO"/>
        </w:rPr>
      </w:pPr>
      <w:r w:rsidRPr="00A21B5C">
        <w:rPr>
          <w:rFonts w:ascii="Arial" w:hAnsi="Arial" w:cs="Arial"/>
          <w:color w:val="000000" w:themeColor="text1"/>
          <w:sz w:val="22"/>
          <w:szCs w:val="22"/>
          <w:lang w:val="es-CO"/>
        </w:rPr>
        <w:t>En el numeral 10 de</w:t>
      </w:r>
      <w:r w:rsidR="0065737A" w:rsidRPr="00A21B5C">
        <w:rPr>
          <w:rFonts w:ascii="Arial" w:hAnsi="Arial" w:cs="Arial"/>
          <w:color w:val="000000" w:themeColor="text1"/>
          <w:sz w:val="22"/>
          <w:szCs w:val="22"/>
          <w:lang w:val="es-CO"/>
        </w:rPr>
        <w:t xml:space="preserve"> los</w:t>
      </w:r>
      <w:r w:rsidRPr="00A21B5C">
        <w:rPr>
          <w:rFonts w:ascii="Arial" w:hAnsi="Arial" w:cs="Arial"/>
          <w:color w:val="000000" w:themeColor="text1"/>
          <w:sz w:val="22"/>
          <w:szCs w:val="22"/>
          <w:lang w:val="es-CO"/>
        </w:rPr>
        <w:t xml:space="preserve"> </w:t>
      </w:r>
      <w:r w:rsidRPr="00A21B5C">
        <w:rPr>
          <w:rFonts w:ascii="Arial" w:hAnsi="Arial" w:cs="Arial"/>
          <w:iCs/>
          <w:color w:val="000000" w:themeColor="text1"/>
          <w:sz w:val="22"/>
          <w:szCs w:val="22"/>
          <w:lang w:val="es-CO"/>
        </w:rPr>
        <w:t xml:space="preserve">Términos de </w:t>
      </w:r>
      <w:r w:rsidR="0065737A" w:rsidRPr="00A21B5C">
        <w:rPr>
          <w:rFonts w:ascii="Arial" w:hAnsi="Arial" w:cs="Arial"/>
          <w:iCs/>
          <w:color w:val="000000" w:themeColor="text1"/>
          <w:sz w:val="22"/>
          <w:szCs w:val="22"/>
          <w:lang w:val="es-CO"/>
        </w:rPr>
        <w:t>R</w:t>
      </w:r>
      <w:r w:rsidRPr="00A21B5C">
        <w:rPr>
          <w:rFonts w:ascii="Arial" w:hAnsi="Arial" w:cs="Arial"/>
          <w:iCs/>
          <w:color w:val="000000" w:themeColor="text1"/>
          <w:sz w:val="22"/>
          <w:szCs w:val="22"/>
          <w:lang w:val="es-CO"/>
        </w:rPr>
        <w:t>eferencia</w:t>
      </w:r>
      <w:r w:rsidRPr="00A21B5C">
        <w:rPr>
          <w:rFonts w:ascii="Arial" w:hAnsi="Arial" w:cs="Arial"/>
          <w:i/>
          <w:color w:val="000000" w:themeColor="text1"/>
          <w:sz w:val="22"/>
          <w:szCs w:val="22"/>
          <w:lang w:val="es-CO"/>
        </w:rPr>
        <w:t xml:space="preserve"> </w:t>
      </w:r>
      <w:r w:rsidRPr="00A21B5C">
        <w:rPr>
          <w:rFonts w:ascii="Arial" w:hAnsi="Arial" w:cs="Arial"/>
          <w:color w:val="000000" w:themeColor="text1"/>
          <w:sz w:val="22"/>
          <w:szCs w:val="22"/>
          <w:lang w:val="es-CO"/>
        </w:rPr>
        <w:t>de</w:t>
      </w:r>
      <w:r w:rsidR="0065737A" w:rsidRPr="00A21B5C">
        <w:rPr>
          <w:rFonts w:ascii="Arial" w:hAnsi="Arial" w:cs="Arial"/>
          <w:color w:val="000000" w:themeColor="text1"/>
          <w:sz w:val="22"/>
          <w:szCs w:val="22"/>
          <w:lang w:val="es-CO"/>
        </w:rPr>
        <w:t xml:space="preserve"> la</w:t>
      </w:r>
      <w:r w:rsidRPr="00A21B5C">
        <w:rPr>
          <w:rFonts w:ascii="Arial" w:hAnsi="Arial" w:cs="Arial"/>
          <w:color w:val="000000" w:themeColor="text1"/>
          <w:sz w:val="22"/>
          <w:szCs w:val="22"/>
          <w:lang w:val="es-CO"/>
        </w:rPr>
        <w:t xml:space="preserve"> Invitación pública adelantada por el Municipio de Dibulla para la Celebración de Convenio de Asociación, y en atención al proceso competitivo para la celebración de Convenios de asociación por criterio de idoneidad</w:t>
      </w:r>
      <w:r w:rsidRPr="00A21B5C">
        <w:rPr>
          <w:rStyle w:val="Refdenotaalpie"/>
          <w:rFonts w:ascii="Arial" w:hAnsi="Arial" w:cs="Arial"/>
          <w:color w:val="000000" w:themeColor="text1"/>
          <w:sz w:val="22"/>
          <w:szCs w:val="22"/>
          <w:lang w:val="es-CO"/>
        </w:rPr>
        <w:footnoteReference w:id="50"/>
      </w:r>
      <w:r w:rsidRPr="00A21B5C">
        <w:rPr>
          <w:rFonts w:ascii="Arial" w:hAnsi="Arial" w:cs="Arial"/>
          <w:color w:val="000000" w:themeColor="text1"/>
          <w:sz w:val="22"/>
          <w:szCs w:val="22"/>
          <w:lang w:val="es-CO"/>
        </w:rPr>
        <w:t>, la Entidad Territorial estableció que el oferente debía acreditar la participación de personal mínimo, indicando las calidades y cualidades detalladas en el documento: 1) instructores indígenas para la realización de formación en conocimiento propio, Gobierno propio, Música Tradicional con experiencia mínima de 1 año, 2) dinamizadores o autoridades indígenas para la realización de las actividades con experiencia no menor a 1 año y 3) profesional para las actividades relacionadas con el sistema educativo con experiencia no menor a 1 año.</w:t>
      </w:r>
    </w:p>
    <w:p w:rsidR="008C2E4A" w:rsidRPr="00A21B5C" w:rsidRDefault="008C2E4A">
      <w:pPr>
        <w:pStyle w:val="Prrafodelista"/>
        <w:jc w:val="both"/>
        <w:rPr>
          <w:rFonts w:ascii="Arial" w:hAnsi="Arial" w:cs="Arial"/>
          <w:color w:val="000000" w:themeColor="text1"/>
          <w:sz w:val="22"/>
          <w:szCs w:val="22"/>
          <w:lang w:val="es-CO"/>
        </w:rPr>
      </w:pPr>
    </w:p>
    <w:p w:rsidR="008C2E4A" w:rsidRPr="00A21B5C" w:rsidRDefault="008C2E4A">
      <w:pPr>
        <w:pStyle w:val="Prrafodelista"/>
        <w:jc w:val="both"/>
        <w:rPr>
          <w:rFonts w:ascii="Arial" w:hAnsi="Arial" w:cs="Arial"/>
          <w:color w:val="000000" w:themeColor="text1"/>
          <w:sz w:val="22"/>
          <w:szCs w:val="22"/>
          <w:lang w:val="es-CO"/>
        </w:rPr>
      </w:pPr>
      <w:r w:rsidRPr="00A21B5C">
        <w:rPr>
          <w:rFonts w:ascii="Arial" w:hAnsi="Arial" w:cs="Arial"/>
          <w:color w:val="000000" w:themeColor="text1"/>
          <w:sz w:val="22"/>
          <w:szCs w:val="22"/>
          <w:lang w:val="es-CO"/>
        </w:rPr>
        <w:t xml:space="preserve">No obstante, en </w:t>
      </w:r>
      <w:r w:rsidR="0065737A" w:rsidRPr="00A21B5C">
        <w:rPr>
          <w:rFonts w:ascii="Arial" w:hAnsi="Arial" w:cs="Arial"/>
          <w:color w:val="000000" w:themeColor="text1"/>
          <w:sz w:val="22"/>
          <w:szCs w:val="22"/>
          <w:lang w:val="es-CO"/>
        </w:rPr>
        <w:t xml:space="preserve">la </w:t>
      </w:r>
      <w:r w:rsidRPr="00A21B5C">
        <w:rPr>
          <w:rFonts w:ascii="Arial" w:hAnsi="Arial" w:cs="Arial"/>
          <w:iCs/>
          <w:color w:val="000000" w:themeColor="text1"/>
          <w:sz w:val="22"/>
          <w:szCs w:val="22"/>
          <w:lang w:val="es-CO"/>
        </w:rPr>
        <w:t>Evaluación de Idoneidad y Experiencia de una Entidad Sin Ánimo de Lucro</w:t>
      </w:r>
      <w:r w:rsidRPr="00A21B5C">
        <w:rPr>
          <w:rFonts w:ascii="Arial" w:hAnsi="Arial" w:cs="Arial"/>
          <w:i/>
          <w:color w:val="000000" w:themeColor="text1"/>
          <w:sz w:val="22"/>
          <w:szCs w:val="22"/>
          <w:lang w:val="es-CO"/>
        </w:rPr>
        <w:t xml:space="preserve"> </w:t>
      </w:r>
      <w:r w:rsidRPr="00A21B5C">
        <w:rPr>
          <w:rFonts w:ascii="Arial" w:hAnsi="Arial" w:cs="Arial"/>
          <w:color w:val="000000" w:themeColor="text1"/>
          <w:sz w:val="22"/>
          <w:szCs w:val="22"/>
          <w:lang w:val="es-CO"/>
        </w:rPr>
        <w:t>no se hace referencia alguna a la evaluación de estos requerimientos en el personal mínimo como uno de los requerimientos para garantizar la idoneidad de la contraparte en el Convenio a adelantarse. Se evidenció particularmente que la evaluación realizada tuvo en cuenta solo la experiencia contractual del único oferente presentado, omitiendo el componente de personal establecido por la misma Entidad Territorial.</w:t>
      </w:r>
    </w:p>
    <w:p w:rsidR="008C2E4A" w:rsidRPr="00A21B5C" w:rsidRDefault="008C2E4A" w:rsidP="00A21B5C">
      <w:pPr>
        <w:contextualSpacing/>
        <w:jc w:val="both"/>
        <w:rPr>
          <w:rFonts w:ascii="Arial" w:hAnsi="Arial" w:cs="Arial"/>
          <w:color w:val="000000" w:themeColor="text1"/>
          <w:sz w:val="22"/>
          <w:szCs w:val="22"/>
          <w:lang w:val="es-CO"/>
        </w:rPr>
      </w:pPr>
    </w:p>
    <w:p w:rsidR="008C2E4A" w:rsidRPr="00A21B5C" w:rsidRDefault="008C2E4A">
      <w:pPr>
        <w:pStyle w:val="Prrafodelista"/>
        <w:numPr>
          <w:ilvl w:val="0"/>
          <w:numId w:val="19"/>
        </w:numPr>
        <w:jc w:val="both"/>
        <w:rPr>
          <w:rFonts w:ascii="Arial" w:hAnsi="Arial" w:cs="Arial"/>
          <w:color w:val="000000" w:themeColor="text1"/>
          <w:sz w:val="22"/>
          <w:szCs w:val="22"/>
          <w:lang w:val="es-CO"/>
        </w:rPr>
      </w:pPr>
      <w:r w:rsidRPr="00A21B5C">
        <w:rPr>
          <w:rFonts w:ascii="Arial" w:hAnsi="Arial" w:cs="Arial"/>
          <w:color w:val="000000" w:themeColor="text1"/>
          <w:sz w:val="22"/>
          <w:szCs w:val="22"/>
          <w:lang w:val="es-CO"/>
        </w:rPr>
        <w:t xml:space="preserve">En la cláusula cuarta del </w:t>
      </w:r>
      <w:r w:rsidRPr="00A21B5C">
        <w:rPr>
          <w:rFonts w:ascii="Arial" w:hAnsi="Arial" w:cs="Arial"/>
          <w:iCs/>
          <w:color w:val="000000" w:themeColor="text1"/>
          <w:sz w:val="22"/>
          <w:szCs w:val="22"/>
          <w:lang w:val="es-CO"/>
        </w:rPr>
        <w:t>Convenio de Asociación N° 032 de 2016</w:t>
      </w:r>
      <w:r w:rsidRPr="00A21B5C">
        <w:rPr>
          <w:rFonts w:ascii="Arial" w:hAnsi="Arial" w:cs="Arial"/>
          <w:color w:val="000000" w:themeColor="text1"/>
          <w:sz w:val="22"/>
          <w:szCs w:val="22"/>
          <w:lang w:val="es-CO"/>
        </w:rPr>
        <w:t xml:space="preserve"> se pactó un anticipo por el 40</w:t>
      </w:r>
      <w:r w:rsidR="0065737A" w:rsidRPr="00A21B5C">
        <w:rPr>
          <w:rFonts w:ascii="Arial" w:hAnsi="Arial" w:cs="Arial"/>
          <w:color w:val="000000" w:themeColor="text1"/>
          <w:sz w:val="22"/>
          <w:szCs w:val="22"/>
          <w:lang w:val="es-CO"/>
        </w:rPr>
        <w:t xml:space="preserve"> </w:t>
      </w:r>
      <w:r w:rsidRPr="00A21B5C">
        <w:rPr>
          <w:rFonts w:ascii="Arial" w:hAnsi="Arial" w:cs="Arial"/>
          <w:color w:val="000000" w:themeColor="text1"/>
          <w:sz w:val="22"/>
          <w:szCs w:val="22"/>
          <w:lang w:val="es-CO"/>
        </w:rPr>
        <w:t xml:space="preserve">% del aporte </w:t>
      </w:r>
      <w:r w:rsidR="00A02EBD" w:rsidRPr="00A21B5C">
        <w:rPr>
          <w:rFonts w:ascii="Arial" w:hAnsi="Arial" w:cs="Arial"/>
          <w:color w:val="000000" w:themeColor="text1"/>
          <w:sz w:val="22"/>
          <w:szCs w:val="22"/>
          <w:lang w:val="es-CO"/>
        </w:rPr>
        <w:t>con recursos AESGPRI,</w:t>
      </w:r>
      <w:r w:rsidRPr="00A21B5C">
        <w:rPr>
          <w:rFonts w:ascii="Arial" w:hAnsi="Arial" w:cs="Arial"/>
          <w:color w:val="000000" w:themeColor="text1"/>
          <w:sz w:val="22"/>
          <w:szCs w:val="22"/>
          <w:lang w:val="es-CO"/>
        </w:rPr>
        <w:t xml:space="preserve"> el cual sería entregado dentro de los 5 días siguientes al cumplimiento de los requisitos de ejecución del </w:t>
      </w:r>
      <w:r w:rsidR="0065737A" w:rsidRPr="00A21B5C">
        <w:rPr>
          <w:rFonts w:ascii="Arial" w:hAnsi="Arial" w:cs="Arial"/>
          <w:color w:val="000000" w:themeColor="text1"/>
          <w:sz w:val="22"/>
          <w:szCs w:val="22"/>
          <w:lang w:val="es-CO"/>
        </w:rPr>
        <w:t>Convenio</w:t>
      </w:r>
      <w:r w:rsidRPr="00A21B5C">
        <w:rPr>
          <w:rFonts w:ascii="Arial" w:hAnsi="Arial" w:cs="Arial"/>
          <w:color w:val="000000" w:themeColor="text1"/>
          <w:sz w:val="22"/>
          <w:szCs w:val="22"/>
          <w:lang w:val="es-CO"/>
        </w:rPr>
        <w:t xml:space="preserve">, adicional a la entrega del Plan de Inversión aprobado por el Supervisor del </w:t>
      </w:r>
      <w:r w:rsidR="0065737A" w:rsidRPr="00A21B5C">
        <w:rPr>
          <w:rFonts w:ascii="Arial" w:hAnsi="Arial" w:cs="Arial"/>
          <w:color w:val="000000" w:themeColor="text1"/>
          <w:sz w:val="22"/>
          <w:szCs w:val="22"/>
          <w:lang w:val="es-CO"/>
        </w:rPr>
        <w:t>C</w:t>
      </w:r>
      <w:r w:rsidRPr="00A21B5C">
        <w:rPr>
          <w:rFonts w:ascii="Arial" w:hAnsi="Arial" w:cs="Arial"/>
          <w:color w:val="000000" w:themeColor="text1"/>
          <w:sz w:val="22"/>
          <w:szCs w:val="22"/>
          <w:lang w:val="es-CO"/>
        </w:rPr>
        <w:t xml:space="preserve">onvenio, como se establece en la cláusula tercera. Adicionalmente, se conoció en el numeral 4.4. de los </w:t>
      </w:r>
      <w:r w:rsidRPr="00A21B5C">
        <w:rPr>
          <w:rFonts w:ascii="Arial" w:hAnsi="Arial" w:cs="Arial"/>
          <w:sz w:val="22"/>
          <w:szCs w:val="22"/>
          <w:lang w:val="es-CO"/>
        </w:rPr>
        <w:t>Estudios y documentos previos</w:t>
      </w:r>
      <w:r w:rsidRPr="00A21B5C">
        <w:rPr>
          <w:rFonts w:ascii="Arial" w:hAnsi="Arial" w:cs="Arial"/>
          <w:i/>
          <w:sz w:val="22"/>
          <w:szCs w:val="22"/>
          <w:lang w:val="es-CO"/>
        </w:rPr>
        <w:t xml:space="preserve"> </w:t>
      </w:r>
      <w:r w:rsidRPr="00A21B5C">
        <w:rPr>
          <w:rFonts w:ascii="Arial" w:hAnsi="Arial" w:cs="Arial"/>
          <w:sz w:val="22"/>
          <w:szCs w:val="22"/>
          <w:lang w:val="es-CO"/>
        </w:rPr>
        <w:t>que,</w:t>
      </w:r>
      <w:r w:rsidRPr="00A21B5C">
        <w:rPr>
          <w:rFonts w:ascii="Arial" w:hAnsi="Arial" w:cs="Arial"/>
          <w:i/>
          <w:sz w:val="22"/>
          <w:szCs w:val="22"/>
          <w:lang w:val="es-CO"/>
        </w:rPr>
        <w:t xml:space="preserve"> “el manejo de los recursos asignados al Convinente a título de anticipo, deberá realizarse en cuenta bancaria separada, a nombre del Convenio suscrito. Los rendimientos que llegaren a producir los recursos así entregados pertenecerán al tesoro”. </w:t>
      </w:r>
      <w:r w:rsidRPr="00A21B5C">
        <w:rPr>
          <w:rFonts w:ascii="Arial" w:hAnsi="Arial" w:cs="Arial"/>
          <w:sz w:val="22"/>
          <w:szCs w:val="22"/>
          <w:lang w:val="es-CO"/>
        </w:rPr>
        <w:t>Al respecto de este anticipo:</w:t>
      </w:r>
    </w:p>
    <w:p w:rsidR="008C2E4A" w:rsidRPr="00A21B5C" w:rsidRDefault="008C2E4A">
      <w:pPr>
        <w:pStyle w:val="Prrafodelista"/>
        <w:jc w:val="both"/>
        <w:rPr>
          <w:rFonts w:ascii="Arial" w:hAnsi="Arial" w:cs="Arial"/>
          <w:color w:val="000000" w:themeColor="text1"/>
          <w:sz w:val="22"/>
          <w:szCs w:val="22"/>
          <w:lang w:val="es-CO"/>
        </w:rPr>
      </w:pPr>
    </w:p>
    <w:p w:rsidR="008C2E4A" w:rsidRPr="00A21B5C" w:rsidRDefault="008C2E4A">
      <w:pPr>
        <w:pStyle w:val="Prrafodelista"/>
        <w:numPr>
          <w:ilvl w:val="0"/>
          <w:numId w:val="20"/>
        </w:numPr>
        <w:jc w:val="both"/>
        <w:rPr>
          <w:rFonts w:ascii="Arial" w:hAnsi="Arial" w:cs="Arial"/>
          <w:color w:val="000000" w:themeColor="text1"/>
          <w:sz w:val="22"/>
          <w:szCs w:val="22"/>
          <w:lang w:val="es-CO"/>
        </w:rPr>
      </w:pPr>
      <w:r w:rsidRPr="00A21B5C">
        <w:rPr>
          <w:rFonts w:ascii="Arial" w:hAnsi="Arial" w:cs="Arial"/>
          <w:sz w:val="22"/>
          <w:szCs w:val="22"/>
          <w:lang w:val="es-CO"/>
        </w:rPr>
        <w:t>No se encontró dentro del expediente contractual el Plan de Inversión aprobado por el Supervisor del Convenio.</w:t>
      </w:r>
    </w:p>
    <w:p w:rsidR="008C2E4A" w:rsidRPr="00A21B5C" w:rsidRDefault="008C2E4A">
      <w:pPr>
        <w:pStyle w:val="Prrafodelista"/>
        <w:numPr>
          <w:ilvl w:val="0"/>
          <w:numId w:val="20"/>
        </w:numPr>
        <w:jc w:val="both"/>
        <w:rPr>
          <w:rFonts w:ascii="Arial" w:hAnsi="Arial" w:cs="Arial"/>
          <w:color w:val="000000" w:themeColor="text1"/>
          <w:sz w:val="22"/>
          <w:szCs w:val="22"/>
          <w:lang w:val="es-CO"/>
        </w:rPr>
      </w:pPr>
      <w:r w:rsidRPr="00A21B5C">
        <w:rPr>
          <w:rFonts w:ascii="Arial" w:hAnsi="Arial" w:cs="Arial"/>
          <w:color w:val="000000" w:themeColor="text1"/>
          <w:sz w:val="22"/>
          <w:szCs w:val="22"/>
          <w:lang w:val="es-CO"/>
        </w:rPr>
        <w:t xml:space="preserve">El </w:t>
      </w:r>
      <w:r w:rsidR="0065737A" w:rsidRPr="00A21B5C">
        <w:rPr>
          <w:rFonts w:ascii="Arial" w:hAnsi="Arial" w:cs="Arial"/>
          <w:color w:val="000000" w:themeColor="text1"/>
          <w:sz w:val="22"/>
          <w:szCs w:val="22"/>
          <w:lang w:val="es-CO"/>
        </w:rPr>
        <w:t>A</w:t>
      </w:r>
      <w:r w:rsidRPr="00A21B5C">
        <w:rPr>
          <w:rFonts w:ascii="Arial" w:hAnsi="Arial" w:cs="Arial"/>
          <w:color w:val="000000" w:themeColor="text1"/>
          <w:sz w:val="22"/>
          <w:szCs w:val="22"/>
          <w:lang w:val="es-CO"/>
        </w:rPr>
        <w:t xml:space="preserve">cta de </w:t>
      </w:r>
      <w:r w:rsidR="0065737A" w:rsidRPr="00A21B5C">
        <w:rPr>
          <w:rFonts w:ascii="Arial" w:hAnsi="Arial" w:cs="Arial"/>
          <w:color w:val="000000" w:themeColor="text1"/>
          <w:sz w:val="22"/>
          <w:szCs w:val="22"/>
          <w:lang w:val="es-CO"/>
        </w:rPr>
        <w:t>I</w:t>
      </w:r>
      <w:r w:rsidRPr="00A21B5C">
        <w:rPr>
          <w:rFonts w:ascii="Arial" w:hAnsi="Arial" w:cs="Arial"/>
          <w:color w:val="000000" w:themeColor="text1"/>
          <w:sz w:val="22"/>
          <w:szCs w:val="22"/>
          <w:lang w:val="es-CO"/>
        </w:rPr>
        <w:t xml:space="preserve">nicio del Convenio se dio el 28 de diciembre de 2016. No obstante, el pago del anticipo pactado se dio sobre el mes de febrero de 2017, como consta en la orden de pago N° 067 del 15 de febrero de 2017, y en el extracto </w:t>
      </w:r>
      <w:r w:rsidRPr="00A21B5C">
        <w:rPr>
          <w:rFonts w:ascii="Arial" w:hAnsi="Arial" w:cs="Arial"/>
          <w:color w:val="000000" w:themeColor="text1"/>
          <w:sz w:val="22"/>
          <w:szCs w:val="22"/>
          <w:lang w:val="es-CO"/>
        </w:rPr>
        <w:lastRenderedPageBreak/>
        <w:t>bancario de la Cuenta Maestra del Resguardo Indígena y la conciliación bancaria del mes de febrero de 2017, compartidos por la Entidad Territorial, por valor de $293.916.857, correspondientes al 40</w:t>
      </w:r>
      <w:r w:rsidR="0065737A" w:rsidRPr="00A21B5C">
        <w:rPr>
          <w:rFonts w:ascii="Arial" w:hAnsi="Arial" w:cs="Arial"/>
          <w:color w:val="000000" w:themeColor="text1"/>
          <w:sz w:val="22"/>
          <w:szCs w:val="22"/>
          <w:lang w:val="es-CO"/>
        </w:rPr>
        <w:t xml:space="preserve"> </w:t>
      </w:r>
      <w:r w:rsidRPr="00A21B5C">
        <w:rPr>
          <w:rFonts w:ascii="Arial" w:hAnsi="Arial" w:cs="Arial"/>
          <w:color w:val="000000" w:themeColor="text1"/>
          <w:sz w:val="22"/>
          <w:szCs w:val="22"/>
          <w:lang w:val="es-CO"/>
        </w:rPr>
        <w:t xml:space="preserve">% del valor del aporte </w:t>
      </w:r>
      <w:r w:rsidR="00A02EBD" w:rsidRPr="00A21B5C">
        <w:rPr>
          <w:rFonts w:ascii="Arial" w:hAnsi="Arial" w:cs="Arial"/>
          <w:color w:val="000000" w:themeColor="text1"/>
          <w:sz w:val="22"/>
          <w:szCs w:val="22"/>
          <w:lang w:val="es-CO"/>
        </w:rPr>
        <w:t>con recursos AESGPRI</w:t>
      </w:r>
      <w:r w:rsidRPr="00A21B5C">
        <w:rPr>
          <w:rFonts w:ascii="Arial" w:hAnsi="Arial" w:cs="Arial"/>
          <w:color w:val="000000" w:themeColor="text1"/>
          <w:sz w:val="22"/>
          <w:szCs w:val="22"/>
          <w:lang w:val="es-CO"/>
        </w:rPr>
        <w:t>.</w:t>
      </w:r>
    </w:p>
    <w:p w:rsidR="009D414E" w:rsidRPr="00A21B5C" w:rsidRDefault="009D414E" w:rsidP="00A21B5C">
      <w:pPr>
        <w:contextualSpacing/>
        <w:jc w:val="both"/>
        <w:rPr>
          <w:rFonts w:ascii="Arial" w:hAnsi="Arial" w:cs="Arial"/>
          <w:color w:val="000000" w:themeColor="text1"/>
          <w:sz w:val="22"/>
          <w:szCs w:val="22"/>
          <w:lang w:val="es-CO"/>
        </w:rPr>
      </w:pPr>
    </w:p>
    <w:p w:rsidR="009D414E" w:rsidRPr="00A21B5C" w:rsidRDefault="0036087A" w:rsidP="00A21B5C">
      <w:pPr>
        <w:contextualSpacing/>
        <w:jc w:val="both"/>
        <w:rPr>
          <w:rFonts w:ascii="Arial" w:hAnsi="Arial" w:cs="Arial"/>
          <w:color w:val="000000" w:themeColor="text1"/>
          <w:sz w:val="22"/>
          <w:szCs w:val="22"/>
          <w:lang w:val="es-CO"/>
        </w:rPr>
      </w:pPr>
      <w:r w:rsidRPr="00A21B5C">
        <w:rPr>
          <w:rFonts w:ascii="Arial" w:hAnsi="Arial" w:cs="Arial"/>
          <w:color w:val="000000" w:themeColor="text1"/>
          <w:sz w:val="22"/>
          <w:szCs w:val="22"/>
          <w:lang w:val="es-CO"/>
        </w:rPr>
        <w:t>Así</w:t>
      </w:r>
      <w:r w:rsidR="009D414E" w:rsidRPr="00A21B5C">
        <w:rPr>
          <w:rFonts w:ascii="Arial" w:hAnsi="Arial" w:cs="Arial"/>
          <w:color w:val="000000" w:themeColor="text1"/>
          <w:sz w:val="22"/>
          <w:szCs w:val="22"/>
          <w:lang w:val="es-CO"/>
        </w:rPr>
        <w:t>, no es claro entonces el proceso que la Entidad Territorial siguió para evaluar la idoneidad de la Organización Gonawindua Tayrona</w:t>
      </w:r>
      <w:r w:rsidRPr="00A21B5C">
        <w:rPr>
          <w:rFonts w:ascii="Arial" w:hAnsi="Arial" w:cs="Arial"/>
          <w:color w:val="000000" w:themeColor="text1"/>
          <w:sz w:val="22"/>
          <w:szCs w:val="22"/>
          <w:lang w:val="es-CO"/>
        </w:rPr>
        <w:t xml:space="preserve"> como contraparte del Convenio de Asociación suscrito, ni tampoco las condiciones bajo las cuales se entregó el anticipo contemplado en este.</w:t>
      </w:r>
    </w:p>
    <w:p w:rsidR="008C2E4A" w:rsidRPr="00A21B5C" w:rsidRDefault="008C2E4A" w:rsidP="00A21B5C">
      <w:pPr>
        <w:contextualSpacing/>
        <w:jc w:val="both"/>
        <w:rPr>
          <w:rFonts w:ascii="Arial" w:hAnsi="Arial" w:cs="Arial"/>
          <w:b/>
          <w:sz w:val="22"/>
          <w:szCs w:val="22"/>
          <w:u w:val="single"/>
          <w:lang w:val="es-CO"/>
        </w:rPr>
      </w:pPr>
    </w:p>
    <w:p w:rsidR="008C2E4A" w:rsidRPr="00A21B5C" w:rsidRDefault="008C2E4A">
      <w:pPr>
        <w:pStyle w:val="Prrafodelista"/>
        <w:numPr>
          <w:ilvl w:val="0"/>
          <w:numId w:val="43"/>
        </w:numPr>
        <w:ind w:left="426" w:hanging="284"/>
        <w:jc w:val="both"/>
        <w:rPr>
          <w:rFonts w:ascii="Arial" w:hAnsi="Arial" w:cs="Arial"/>
          <w:b/>
          <w:sz w:val="22"/>
          <w:szCs w:val="22"/>
          <w:lang w:val="es-CO"/>
        </w:rPr>
      </w:pPr>
      <w:r w:rsidRPr="00A21B5C">
        <w:rPr>
          <w:rFonts w:ascii="Arial" w:hAnsi="Arial" w:cs="Arial"/>
          <w:b/>
          <w:sz w:val="22"/>
          <w:szCs w:val="22"/>
          <w:lang w:val="es-CO"/>
        </w:rPr>
        <w:t>C</w:t>
      </w:r>
      <w:r w:rsidR="003876D0" w:rsidRPr="00A21B5C">
        <w:rPr>
          <w:rFonts w:ascii="Arial" w:hAnsi="Arial" w:cs="Arial"/>
          <w:b/>
          <w:sz w:val="22"/>
          <w:szCs w:val="22"/>
          <w:lang w:val="es-CO"/>
        </w:rPr>
        <w:t>ontrato</w:t>
      </w:r>
      <w:r w:rsidRPr="00A21B5C">
        <w:rPr>
          <w:rFonts w:ascii="Arial" w:hAnsi="Arial" w:cs="Arial"/>
          <w:b/>
          <w:sz w:val="22"/>
          <w:szCs w:val="22"/>
          <w:lang w:val="es-CO"/>
        </w:rPr>
        <w:t xml:space="preserve"> </w:t>
      </w:r>
      <w:r w:rsidR="003876D0" w:rsidRPr="00A21B5C">
        <w:rPr>
          <w:rFonts w:ascii="Arial" w:hAnsi="Arial" w:cs="Arial"/>
          <w:b/>
          <w:sz w:val="22"/>
          <w:szCs w:val="22"/>
          <w:lang w:val="es-CO"/>
        </w:rPr>
        <w:t>de</w:t>
      </w:r>
      <w:r w:rsidRPr="00A21B5C">
        <w:rPr>
          <w:rFonts w:ascii="Arial" w:hAnsi="Arial" w:cs="Arial"/>
          <w:b/>
          <w:sz w:val="22"/>
          <w:szCs w:val="22"/>
          <w:lang w:val="es-CO"/>
        </w:rPr>
        <w:t xml:space="preserve"> C</w:t>
      </w:r>
      <w:r w:rsidR="003876D0" w:rsidRPr="00A21B5C">
        <w:rPr>
          <w:rFonts w:ascii="Arial" w:hAnsi="Arial" w:cs="Arial"/>
          <w:b/>
          <w:sz w:val="22"/>
          <w:szCs w:val="22"/>
          <w:lang w:val="es-CO"/>
        </w:rPr>
        <w:t>alamidad</w:t>
      </w:r>
      <w:r w:rsidRPr="00A21B5C">
        <w:rPr>
          <w:rFonts w:ascii="Arial" w:hAnsi="Arial" w:cs="Arial"/>
          <w:b/>
          <w:sz w:val="22"/>
          <w:szCs w:val="22"/>
          <w:lang w:val="es-CO"/>
        </w:rPr>
        <w:t xml:space="preserve"> N° 004 </w:t>
      </w:r>
      <w:r w:rsidR="003876D0" w:rsidRPr="00A21B5C">
        <w:rPr>
          <w:rFonts w:ascii="Arial" w:hAnsi="Arial" w:cs="Arial"/>
          <w:b/>
          <w:sz w:val="22"/>
          <w:szCs w:val="22"/>
          <w:lang w:val="es-CO"/>
        </w:rPr>
        <w:t>de</w:t>
      </w:r>
      <w:r w:rsidRPr="00A21B5C">
        <w:rPr>
          <w:rFonts w:ascii="Arial" w:hAnsi="Arial" w:cs="Arial"/>
          <w:b/>
          <w:sz w:val="22"/>
          <w:szCs w:val="22"/>
          <w:lang w:val="es-CO"/>
        </w:rPr>
        <w:t xml:space="preserve"> 2017</w:t>
      </w:r>
      <w:r w:rsidR="0065737A" w:rsidRPr="00A21B5C">
        <w:rPr>
          <w:rFonts w:ascii="Arial" w:hAnsi="Arial" w:cs="Arial"/>
          <w:b/>
          <w:sz w:val="22"/>
          <w:szCs w:val="22"/>
          <w:lang w:val="es-CO"/>
        </w:rPr>
        <w:t>.</w:t>
      </w:r>
    </w:p>
    <w:p w:rsidR="008C2E4A" w:rsidRPr="00A21B5C" w:rsidRDefault="008C2E4A" w:rsidP="00A21B5C">
      <w:pPr>
        <w:contextualSpacing/>
        <w:jc w:val="both"/>
        <w:rPr>
          <w:rFonts w:ascii="Arial" w:hAnsi="Arial" w:cs="Arial"/>
          <w:b/>
          <w:sz w:val="22"/>
          <w:szCs w:val="22"/>
          <w:lang w:val="es-CO"/>
        </w:rPr>
      </w:pPr>
    </w:p>
    <w:p w:rsidR="008C2E4A" w:rsidRPr="00A21B5C" w:rsidRDefault="008C2E4A" w:rsidP="00A21B5C">
      <w:pPr>
        <w:contextualSpacing/>
        <w:jc w:val="both"/>
        <w:rPr>
          <w:rFonts w:ascii="Arial" w:hAnsi="Arial" w:cs="Arial"/>
          <w:sz w:val="22"/>
          <w:szCs w:val="22"/>
          <w:lang w:val="es-CO"/>
        </w:rPr>
      </w:pPr>
      <w:r w:rsidRPr="00A21B5C">
        <w:rPr>
          <w:rFonts w:ascii="Arial" w:hAnsi="Arial" w:cs="Arial"/>
          <w:sz w:val="22"/>
          <w:szCs w:val="22"/>
          <w:lang w:val="es-CO"/>
        </w:rPr>
        <w:t>Bajo la declaratoria del Estado de Calamidad</w:t>
      </w:r>
      <w:r w:rsidR="00A02EBD" w:rsidRPr="00A21B5C">
        <w:rPr>
          <w:rFonts w:ascii="Arial" w:hAnsi="Arial" w:cs="Arial"/>
          <w:sz w:val="22"/>
          <w:szCs w:val="22"/>
          <w:lang w:val="es-CO"/>
        </w:rPr>
        <w:t>,</w:t>
      </w:r>
      <w:r w:rsidRPr="00A21B5C">
        <w:rPr>
          <w:rFonts w:ascii="Arial" w:hAnsi="Arial" w:cs="Arial"/>
          <w:sz w:val="22"/>
          <w:szCs w:val="22"/>
          <w:lang w:val="es-CO"/>
        </w:rPr>
        <w:t xml:space="preserve"> el Municipio de Dibulla adelantó la contratación para el </w:t>
      </w:r>
      <w:r w:rsidRPr="00A21B5C">
        <w:rPr>
          <w:rFonts w:ascii="Arial" w:hAnsi="Arial" w:cs="Arial"/>
          <w:i/>
          <w:sz w:val="22"/>
          <w:szCs w:val="22"/>
          <w:lang w:val="es-CO"/>
        </w:rPr>
        <w:t xml:space="preserve">“Mantenimiento, construcción y reparación de puentes colgantes en las comunidades de Santa Clara y Dumingueka, Jurisdicción del Resguardo Kogui – Malayo – Arhuaco, afectados por la primera temporada de lluvia en el marco de la declaratoria de calamidad pública en el municipio de Dibulla – La Guajira” </w:t>
      </w:r>
      <w:r w:rsidRPr="00A21B5C">
        <w:rPr>
          <w:rFonts w:ascii="Arial" w:hAnsi="Arial" w:cs="Arial"/>
          <w:sz w:val="22"/>
          <w:szCs w:val="22"/>
          <w:lang w:val="es-CO"/>
        </w:rPr>
        <w:t>por un monto de $100.000.000</w:t>
      </w:r>
      <w:r w:rsidRPr="00A21B5C">
        <w:rPr>
          <w:rFonts w:ascii="Arial" w:hAnsi="Arial" w:cs="Arial"/>
          <w:i/>
          <w:sz w:val="22"/>
          <w:szCs w:val="22"/>
          <w:lang w:val="es-CO"/>
        </w:rPr>
        <w:t xml:space="preserve">; </w:t>
      </w:r>
      <w:r w:rsidRPr="00A21B5C">
        <w:rPr>
          <w:rFonts w:ascii="Arial" w:hAnsi="Arial" w:cs="Arial"/>
          <w:sz w:val="22"/>
          <w:szCs w:val="22"/>
          <w:lang w:val="es-CO"/>
        </w:rPr>
        <w:t xml:space="preserve">siendo un proyecto priorizado e incluido en el Contrato de Administración en </w:t>
      </w:r>
      <w:r w:rsidR="00E023F6" w:rsidRPr="00A21B5C">
        <w:rPr>
          <w:rFonts w:ascii="Arial" w:hAnsi="Arial" w:cs="Arial"/>
          <w:sz w:val="22"/>
          <w:szCs w:val="22"/>
          <w:lang w:val="es-CO"/>
        </w:rPr>
        <w:t xml:space="preserve">el Otrosí </w:t>
      </w:r>
      <w:r w:rsidRPr="00A21B5C">
        <w:rPr>
          <w:rFonts w:ascii="Arial" w:hAnsi="Arial" w:cs="Arial"/>
          <w:sz w:val="22"/>
          <w:szCs w:val="22"/>
          <w:lang w:val="es-CO"/>
        </w:rPr>
        <w:t>N° 01</w:t>
      </w:r>
      <w:r w:rsidR="00A02EBD" w:rsidRPr="00A21B5C">
        <w:rPr>
          <w:rFonts w:ascii="Arial" w:hAnsi="Arial" w:cs="Arial"/>
          <w:sz w:val="22"/>
          <w:szCs w:val="22"/>
          <w:lang w:val="es-CO"/>
        </w:rPr>
        <w:t xml:space="preserve"> de 2017</w:t>
      </w:r>
      <w:r w:rsidRPr="00A21B5C">
        <w:rPr>
          <w:rFonts w:ascii="Arial" w:hAnsi="Arial" w:cs="Arial"/>
          <w:sz w:val="22"/>
          <w:szCs w:val="22"/>
          <w:lang w:val="es-CO"/>
        </w:rPr>
        <w:t>, después de haber sido concertado con la comunidad indígena sobre marzo de 2017. Al respecto de esta contratación se resalta que:</w:t>
      </w:r>
    </w:p>
    <w:p w:rsidR="008C2E4A" w:rsidRPr="00A21B5C" w:rsidRDefault="008C2E4A" w:rsidP="00A21B5C">
      <w:pPr>
        <w:contextualSpacing/>
        <w:jc w:val="both"/>
        <w:rPr>
          <w:rFonts w:ascii="Arial" w:hAnsi="Arial" w:cs="Arial"/>
          <w:sz w:val="22"/>
          <w:szCs w:val="22"/>
          <w:lang w:val="es-CO"/>
        </w:rPr>
      </w:pPr>
    </w:p>
    <w:p w:rsidR="008C2E4A" w:rsidRPr="00A21B5C" w:rsidRDefault="008C2E4A">
      <w:pPr>
        <w:pStyle w:val="Prrafodelista"/>
        <w:numPr>
          <w:ilvl w:val="0"/>
          <w:numId w:val="19"/>
        </w:numPr>
        <w:jc w:val="both"/>
        <w:rPr>
          <w:rFonts w:ascii="Arial" w:hAnsi="Arial" w:cs="Arial"/>
          <w:sz w:val="22"/>
          <w:szCs w:val="22"/>
          <w:lang w:val="es-CO"/>
        </w:rPr>
      </w:pPr>
      <w:r w:rsidRPr="00A21B5C">
        <w:rPr>
          <w:rFonts w:ascii="Arial" w:hAnsi="Arial" w:cs="Arial"/>
          <w:sz w:val="22"/>
          <w:szCs w:val="22"/>
          <w:lang w:val="es-CO"/>
        </w:rPr>
        <w:t>El expediente contractual se encontraba totalmente desordenado, no había continuidad en los documentos, no se encontró foliado, los documentos se repetían (copias) y no seguían un orden cronológico, dificultando la revisión del proceso contractual.</w:t>
      </w:r>
    </w:p>
    <w:p w:rsidR="008C2E4A" w:rsidRPr="00A21B5C" w:rsidRDefault="008C2E4A" w:rsidP="00A21B5C">
      <w:pPr>
        <w:contextualSpacing/>
        <w:rPr>
          <w:rFonts w:ascii="Arial" w:hAnsi="Arial" w:cs="Arial"/>
          <w:sz w:val="22"/>
          <w:szCs w:val="22"/>
          <w:lang w:val="es-CO"/>
        </w:rPr>
      </w:pPr>
    </w:p>
    <w:p w:rsidR="008C2E4A" w:rsidRPr="00A21B5C" w:rsidRDefault="008C2E4A">
      <w:pPr>
        <w:pStyle w:val="Prrafodelista"/>
        <w:numPr>
          <w:ilvl w:val="0"/>
          <w:numId w:val="19"/>
        </w:numPr>
        <w:jc w:val="both"/>
        <w:rPr>
          <w:rFonts w:ascii="Arial" w:hAnsi="Arial" w:cs="Arial"/>
          <w:lang w:val="es-CO"/>
        </w:rPr>
      </w:pPr>
      <w:r w:rsidRPr="00A21B5C">
        <w:rPr>
          <w:rFonts w:ascii="Arial" w:hAnsi="Arial" w:cs="Arial"/>
          <w:sz w:val="22"/>
          <w:szCs w:val="22"/>
          <w:lang w:val="es-CO"/>
        </w:rPr>
        <w:t xml:space="preserve">En el parágrafo de la cláusula cuarta del </w:t>
      </w:r>
      <w:r w:rsidRPr="00A21B5C">
        <w:rPr>
          <w:rFonts w:ascii="Arial" w:hAnsi="Arial" w:cs="Arial"/>
          <w:iCs/>
          <w:sz w:val="22"/>
          <w:szCs w:val="22"/>
          <w:lang w:val="es-CO"/>
        </w:rPr>
        <w:t>Contrato de calamidad N° 004 de 2017</w:t>
      </w:r>
      <w:r w:rsidRPr="00A21B5C">
        <w:rPr>
          <w:rFonts w:ascii="Arial" w:hAnsi="Arial" w:cs="Arial"/>
          <w:sz w:val="22"/>
          <w:szCs w:val="22"/>
          <w:lang w:val="es-CO"/>
        </w:rPr>
        <w:t xml:space="preserve"> el Municipio pactó con el contratista la entrega de un anticipo equivalente al 50</w:t>
      </w:r>
      <w:r w:rsidR="00E023F6" w:rsidRPr="00A21B5C">
        <w:rPr>
          <w:rFonts w:ascii="Arial" w:hAnsi="Arial" w:cs="Arial"/>
          <w:sz w:val="22"/>
          <w:szCs w:val="22"/>
          <w:lang w:val="es-CO"/>
        </w:rPr>
        <w:t xml:space="preserve"> </w:t>
      </w:r>
      <w:r w:rsidRPr="00A21B5C">
        <w:rPr>
          <w:rFonts w:ascii="Arial" w:hAnsi="Arial" w:cs="Arial"/>
          <w:sz w:val="22"/>
          <w:szCs w:val="22"/>
          <w:lang w:val="es-CO"/>
        </w:rPr>
        <w:t xml:space="preserve">% sobre el valor total del </w:t>
      </w:r>
      <w:r w:rsidR="00E023F6" w:rsidRPr="00A21B5C">
        <w:rPr>
          <w:rFonts w:ascii="Arial" w:hAnsi="Arial" w:cs="Arial"/>
          <w:sz w:val="22"/>
          <w:szCs w:val="22"/>
          <w:lang w:val="es-CO"/>
        </w:rPr>
        <w:t>C</w:t>
      </w:r>
      <w:r w:rsidRPr="00A21B5C">
        <w:rPr>
          <w:rFonts w:ascii="Arial" w:hAnsi="Arial" w:cs="Arial"/>
          <w:sz w:val="22"/>
          <w:szCs w:val="22"/>
          <w:lang w:val="es-CO"/>
        </w:rPr>
        <w:t>ontrato, previo cumplimiento de los requisitos legales establecidos para el perfeccionamiento y ejecución</w:t>
      </w:r>
      <w:r w:rsidR="008F7BB5" w:rsidRPr="00A21B5C">
        <w:rPr>
          <w:rFonts w:ascii="Arial" w:hAnsi="Arial" w:cs="Arial"/>
          <w:sz w:val="22"/>
          <w:szCs w:val="22"/>
          <w:lang w:val="es-CO"/>
        </w:rPr>
        <w:t>,</w:t>
      </w:r>
      <w:r w:rsidRPr="00A21B5C">
        <w:rPr>
          <w:rFonts w:ascii="Arial" w:hAnsi="Arial" w:cs="Arial"/>
          <w:sz w:val="22"/>
          <w:szCs w:val="22"/>
          <w:lang w:val="es-CO"/>
        </w:rPr>
        <w:t xml:space="preserve"> entre ellos, la apertura de una </w:t>
      </w:r>
      <w:r w:rsidR="00E023F6" w:rsidRPr="00A21B5C">
        <w:rPr>
          <w:rFonts w:ascii="Arial" w:hAnsi="Arial" w:cs="Arial"/>
          <w:sz w:val="22"/>
          <w:szCs w:val="22"/>
          <w:lang w:val="es-CO"/>
        </w:rPr>
        <w:t>c</w:t>
      </w:r>
      <w:r w:rsidRPr="00A21B5C">
        <w:rPr>
          <w:rFonts w:ascii="Arial" w:hAnsi="Arial" w:cs="Arial"/>
          <w:sz w:val="22"/>
          <w:szCs w:val="22"/>
          <w:lang w:val="es-CO"/>
        </w:rPr>
        <w:t xml:space="preserve">uenta </w:t>
      </w:r>
      <w:r w:rsidR="00E023F6" w:rsidRPr="00A21B5C">
        <w:rPr>
          <w:rFonts w:ascii="Arial" w:hAnsi="Arial" w:cs="Arial"/>
          <w:sz w:val="22"/>
          <w:szCs w:val="22"/>
          <w:lang w:val="es-CO"/>
        </w:rPr>
        <w:t>b</w:t>
      </w:r>
      <w:r w:rsidRPr="00A21B5C">
        <w:rPr>
          <w:rFonts w:ascii="Arial" w:hAnsi="Arial" w:cs="Arial"/>
          <w:sz w:val="22"/>
          <w:szCs w:val="22"/>
          <w:lang w:val="es-CO"/>
        </w:rPr>
        <w:t>ancaria separada para el giro del anticipo. No obstante, se encontró la cuenta de cobro N° 1 del día 27 de septiembre de 2017, para el pago del anticipo pactado, en la cual el Contratista, Jairo Esteban Correa, solicita realizar la consignación en la cuenta corriente a su nombre</w:t>
      </w:r>
      <w:r w:rsidRPr="00A21B5C">
        <w:rPr>
          <w:rStyle w:val="Refdenotaalpie"/>
          <w:rFonts w:ascii="Arial" w:hAnsi="Arial" w:cs="Arial"/>
          <w:sz w:val="22"/>
          <w:szCs w:val="22"/>
          <w:lang w:val="es-CO"/>
        </w:rPr>
        <w:footnoteReference w:id="51"/>
      </w:r>
      <w:r w:rsidRPr="00A21B5C">
        <w:rPr>
          <w:rFonts w:ascii="Arial" w:hAnsi="Arial" w:cs="Arial"/>
          <w:sz w:val="22"/>
          <w:szCs w:val="22"/>
          <w:lang w:val="es-CO"/>
        </w:rPr>
        <w:t xml:space="preserve">. Así, con este indicio, se </w:t>
      </w:r>
      <w:r w:rsidR="002B617E" w:rsidRPr="00A21B5C">
        <w:rPr>
          <w:rFonts w:ascii="Arial" w:hAnsi="Arial" w:cs="Arial"/>
          <w:sz w:val="22"/>
          <w:szCs w:val="22"/>
          <w:lang w:val="es-CO"/>
        </w:rPr>
        <w:t xml:space="preserve">conoció a partir del extracto de septiembre de 2017 de </w:t>
      </w:r>
      <w:r w:rsidRPr="00A21B5C">
        <w:rPr>
          <w:rFonts w:ascii="Arial" w:hAnsi="Arial" w:cs="Arial"/>
          <w:sz w:val="22"/>
          <w:szCs w:val="22"/>
          <w:lang w:val="es-CO"/>
        </w:rPr>
        <w:t>la Cuenta Maestra del Resguardo Indígena Kogui – Malayo – Arhuaco</w:t>
      </w:r>
      <w:r w:rsidR="002B617E" w:rsidRPr="00A21B5C">
        <w:rPr>
          <w:rFonts w:ascii="Arial" w:hAnsi="Arial" w:cs="Arial"/>
          <w:sz w:val="22"/>
          <w:szCs w:val="22"/>
          <w:lang w:val="es-CO"/>
        </w:rPr>
        <w:t xml:space="preserve"> y su respectiva </w:t>
      </w:r>
      <w:r w:rsidR="00CB56F6" w:rsidRPr="00A21B5C">
        <w:rPr>
          <w:rFonts w:ascii="Arial" w:hAnsi="Arial" w:cs="Arial"/>
          <w:sz w:val="22"/>
          <w:szCs w:val="22"/>
          <w:lang w:val="es-CO"/>
        </w:rPr>
        <w:t>conciliación</w:t>
      </w:r>
      <w:r w:rsidR="002B617E" w:rsidRPr="00A21B5C">
        <w:rPr>
          <w:rFonts w:ascii="Arial" w:hAnsi="Arial" w:cs="Arial"/>
          <w:sz w:val="22"/>
          <w:szCs w:val="22"/>
          <w:lang w:val="es-CO"/>
        </w:rPr>
        <w:t xml:space="preserve"> bancaria</w:t>
      </w:r>
      <w:r w:rsidRPr="00A21B5C">
        <w:rPr>
          <w:rFonts w:ascii="Arial" w:hAnsi="Arial" w:cs="Arial"/>
          <w:sz w:val="22"/>
          <w:szCs w:val="22"/>
          <w:lang w:val="es-CO"/>
        </w:rPr>
        <w:t xml:space="preserve">, </w:t>
      </w:r>
      <w:r w:rsidR="002B617E" w:rsidRPr="00A21B5C">
        <w:rPr>
          <w:rFonts w:ascii="Arial" w:hAnsi="Arial" w:cs="Arial"/>
          <w:sz w:val="22"/>
          <w:szCs w:val="22"/>
          <w:lang w:val="es-CO"/>
        </w:rPr>
        <w:t>que</w:t>
      </w:r>
      <w:r w:rsidRPr="00A21B5C">
        <w:rPr>
          <w:rFonts w:ascii="Arial" w:hAnsi="Arial" w:cs="Arial"/>
          <w:sz w:val="22"/>
          <w:szCs w:val="22"/>
          <w:lang w:val="es-CO"/>
        </w:rPr>
        <w:t xml:space="preserve"> en efecto, </w:t>
      </w:r>
      <w:r w:rsidR="002B617E" w:rsidRPr="00A21B5C">
        <w:rPr>
          <w:rFonts w:ascii="Arial" w:hAnsi="Arial" w:cs="Arial"/>
          <w:sz w:val="22"/>
          <w:szCs w:val="22"/>
          <w:lang w:val="es-CO"/>
        </w:rPr>
        <w:t>se realizó</w:t>
      </w:r>
      <w:r w:rsidR="008F7BB5" w:rsidRPr="00A21B5C">
        <w:rPr>
          <w:rFonts w:ascii="Arial" w:hAnsi="Arial" w:cs="Arial"/>
          <w:sz w:val="22"/>
          <w:szCs w:val="22"/>
          <w:lang w:val="es-CO"/>
        </w:rPr>
        <w:t xml:space="preserve"> </w:t>
      </w:r>
      <w:r w:rsidRPr="00A21B5C">
        <w:rPr>
          <w:rFonts w:ascii="Arial" w:hAnsi="Arial" w:cs="Arial"/>
          <w:sz w:val="22"/>
          <w:szCs w:val="22"/>
          <w:lang w:val="es-CO"/>
        </w:rPr>
        <w:t>traslado de recursos por concepto del anticipo desde la Cuenta Maestra a la cuenta del Contratista</w:t>
      </w:r>
      <w:r w:rsidR="002B617E" w:rsidRPr="00A21B5C">
        <w:rPr>
          <w:rFonts w:ascii="Arial" w:hAnsi="Arial" w:cs="Arial"/>
          <w:sz w:val="22"/>
          <w:szCs w:val="22"/>
          <w:lang w:val="es-CO"/>
        </w:rPr>
        <w:t xml:space="preserve"> el día 10 de octubre de 2017.</w:t>
      </w:r>
    </w:p>
    <w:p w:rsidR="008C2E4A" w:rsidRPr="00A21B5C" w:rsidRDefault="008C2E4A" w:rsidP="00A21B5C">
      <w:pPr>
        <w:contextualSpacing/>
        <w:jc w:val="both"/>
        <w:rPr>
          <w:rFonts w:ascii="Arial" w:hAnsi="Arial" w:cs="Arial"/>
          <w:lang w:val="es-CO"/>
        </w:rPr>
      </w:pPr>
    </w:p>
    <w:p w:rsidR="008C2E4A" w:rsidRPr="00A21B5C" w:rsidRDefault="008C2E4A">
      <w:pPr>
        <w:pStyle w:val="Prrafodelista"/>
        <w:numPr>
          <w:ilvl w:val="0"/>
          <w:numId w:val="19"/>
        </w:numPr>
        <w:jc w:val="both"/>
        <w:rPr>
          <w:rFonts w:ascii="Arial" w:hAnsi="Arial" w:cs="Arial"/>
          <w:sz w:val="22"/>
          <w:szCs w:val="22"/>
          <w:lang w:val="es-CO"/>
        </w:rPr>
      </w:pPr>
      <w:r w:rsidRPr="00A21B5C">
        <w:rPr>
          <w:rFonts w:ascii="Arial" w:hAnsi="Arial" w:cs="Arial"/>
          <w:sz w:val="22"/>
          <w:szCs w:val="22"/>
          <w:lang w:val="es-CO"/>
        </w:rPr>
        <w:t xml:space="preserve">Se evidenciaron inconsistencias </w:t>
      </w:r>
      <w:r w:rsidR="008F7BB5" w:rsidRPr="00A21B5C">
        <w:rPr>
          <w:rFonts w:ascii="Arial" w:hAnsi="Arial" w:cs="Arial"/>
          <w:sz w:val="22"/>
          <w:szCs w:val="22"/>
          <w:lang w:val="es-CO"/>
        </w:rPr>
        <w:t>con relación al</w:t>
      </w:r>
      <w:r w:rsidRPr="00A21B5C">
        <w:rPr>
          <w:rFonts w:ascii="Arial" w:hAnsi="Arial" w:cs="Arial"/>
          <w:sz w:val="22"/>
          <w:szCs w:val="22"/>
          <w:lang w:val="es-CO"/>
        </w:rPr>
        <w:t xml:space="preserve"> pago final realizado al término de la ejecución del Contrato, puesto que en el </w:t>
      </w:r>
      <w:r w:rsidRPr="00A21B5C">
        <w:rPr>
          <w:rFonts w:ascii="Arial" w:hAnsi="Arial" w:cs="Arial"/>
          <w:iCs/>
          <w:sz w:val="22"/>
          <w:szCs w:val="22"/>
          <w:lang w:val="es-CO"/>
        </w:rPr>
        <w:t xml:space="preserve">Acta de </w:t>
      </w:r>
      <w:r w:rsidR="00E023F6" w:rsidRPr="00A21B5C">
        <w:rPr>
          <w:rFonts w:ascii="Arial" w:hAnsi="Arial" w:cs="Arial"/>
          <w:iCs/>
          <w:sz w:val="22"/>
          <w:szCs w:val="22"/>
          <w:lang w:val="es-CO"/>
        </w:rPr>
        <w:t>R</w:t>
      </w:r>
      <w:r w:rsidRPr="00A21B5C">
        <w:rPr>
          <w:rFonts w:ascii="Arial" w:hAnsi="Arial" w:cs="Arial"/>
          <w:iCs/>
          <w:sz w:val="22"/>
          <w:szCs w:val="22"/>
          <w:lang w:val="es-CO"/>
        </w:rPr>
        <w:t xml:space="preserve">ecibo </w:t>
      </w:r>
      <w:r w:rsidR="00E023F6" w:rsidRPr="00A21B5C">
        <w:rPr>
          <w:rFonts w:ascii="Arial" w:hAnsi="Arial" w:cs="Arial"/>
          <w:iCs/>
          <w:sz w:val="22"/>
          <w:szCs w:val="22"/>
          <w:lang w:val="es-CO"/>
        </w:rPr>
        <w:t>F</w:t>
      </w:r>
      <w:r w:rsidRPr="00A21B5C">
        <w:rPr>
          <w:rFonts w:ascii="Arial" w:hAnsi="Arial" w:cs="Arial"/>
          <w:iCs/>
          <w:sz w:val="22"/>
          <w:szCs w:val="22"/>
          <w:lang w:val="es-CO"/>
        </w:rPr>
        <w:t>inal</w:t>
      </w:r>
      <w:r w:rsidRPr="00A21B5C">
        <w:rPr>
          <w:rFonts w:ascii="Arial" w:hAnsi="Arial" w:cs="Arial"/>
          <w:sz w:val="22"/>
          <w:szCs w:val="22"/>
          <w:lang w:val="es-CO"/>
        </w:rPr>
        <w:t xml:space="preserve"> suscrita el día 5 de marzo de 2018, entre el Supervisor del Contrato y el Contratista, se lee que el valor a pagar es de $50.000.000, correspondientes al</w:t>
      </w:r>
      <w:r w:rsidR="00A2437A" w:rsidRPr="00A21B5C">
        <w:rPr>
          <w:rFonts w:ascii="Arial" w:hAnsi="Arial" w:cs="Arial"/>
          <w:sz w:val="22"/>
          <w:szCs w:val="22"/>
          <w:lang w:val="es-CO"/>
        </w:rPr>
        <w:t xml:space="preserve"> 50</w:t>
      </w:r>
      <w:r w:rsidR="00E023F6" w:rsidRPr="00A21B5C">
        <w:rPr>
          <w:rFonts w:ascii="Arial" w:hAnsi="Arial" w:cs="Arial"/>
          <w:sz w:val="22"/>
          <w:szCs w:val="22"/>
          <w:lang w:val="es-CO"/>
        </w:rPr>
        <w:t xml:space="preserve"> </w:t>
      </w:r>
      <w:r w:rsidR="00A2437A" w:rsidRPr="00A21B5C">
        <w:rPr>
          <w:rFonts w:ascii="Arial" w:hAnsi="Arial" w:cs="Arial"/>
          <w:sz w:val="22"/>
          <w:szCs w:val="22"/>
          <w:lang w:val="es-CO"/>
        </w:rPr>
        <w:t>% de los</w:t>
      </w:r>
      <w:r w:rsidRPr="00A21B5C">
        <w:rPr>
          <w:rFonts w:ascii="Arial" w:hAnsi="Arial" w:cs="Arial"/>
          <w:sz w:val="22"/>
          <w:szCs w:val="22"/>
          <w:lang w:val="es-CO"/>
        </w:rPr>
        <w:t xml:space="preserve"> $100.000.000 del valor del Contrato</w:t>
      </w:r>
      <w:r w:rsidR="008F7BB5" w:rsidRPr="00A21B5C">
        <w:rPr>
          <w:rFonts w:ascii="Arial" w:hAnsi="Arial" w:cs="Arial"/>
          <w:sz w:val="22"/>
          <w:szCs w:val="22"/>
          <w:lang w:val="es-CO"/>
        </w:rPr>
        <w:t>,</w:t>
      </w:r>
      <w:r w:rsidRPr="00A21B5C">
        <w:rPr>
          <w:rFonts w:ascii="Arial" w:hAnsi="Arial" w:cs="Arial"/>
          <w:sz w:val="22"/>
          <w:szCs w:val="22"/>
          <w:lang w:val="es-CO"/>
        </w:rPr>
        <w:t xml:space="preserve"> descontando la amortización del anticipo</w:t>
      </w:r>
      <w:r w:rsidR="00A2437A" w:rsidRPr="00A21B5C">
        <w:rPr>
          <w:rFonts w:ascii="Arial" w:hAnsi="Arial" w:cs="Arial"/>
          <w:sz w:val="22"/>
          <w:szCs w:val="22"/>
          <w:lang w:val="es-CO"/>
        </w:rPr>
        <w:t>.</w:t>
      </w:r>
      <w:r w:rsidRPr="00A21B5C">
        <w:rPr>
          <w:rFonts w:ascii="Arial" w:hAnsi="Arial" w:cs="Arial"/>
          <w:sz w:val="22"/>
          <w:szCs w:val="22"/>
          <w:lang w:val="es-CO"/>
        </w:rPr>
        <w:t xml:space="preserve"> No obstante, se encontró dentro del expediente contractual compartido por la Entidad Territorial, </w:t>
      </w:r>
      <w:r w:rsidR="006960E2" w:rsidRPr="00A21B5C">
        <w:rPr>
          <w:rFonts w:ascii="Arial" w:hAnsi="Arial" w:cs="Arial"/>
          <w:sz w:val="22"/>
          <w:szCs w:val="22"/>
          <w:lang w:val="es-CO"/>
        </w:rPr>
        <w:t xml:space="preserve">la </w:t>
      </w:r>
      <w:r w:rsidRPr="00A21B5C">
        <w:rPr>
          <w:rFonts w:ascii="Arial" w:hAnsi="Arial" w:cs="Arial"/>
          <w:sz w:val="22"/>
          <w:szCs w:val="22"/>
          <w:lang w:val="es-CO"/>
        </w:rPr>
        <w:t xml:space="preserve">cuenta de </w:t>
      </w:r>
      <w:r w:rsidRPr="00A21B5C">
        <w:rPr>
          <w:rFonts w:ascii="Arial" w:hAnsi="Arial" w:cs="Arial"/>
          <w:sz w:val="22"/>
          <w:szCs w:val="22"/>
          <w:lang w:val="es-CO"/>
        </w:rPr>
        <w:lastRenderedPageBreak/>
        <w:t>cobro final del día 2 de marzo de 2018 firmada por el Contratista por la suma de $30.000.000</w:t>
      </w:r>
      <w:r w:rsidRPr="00A21B5C">
        <w:rPr>
          <w:rStyle w:val="Refdenotaalpie"/>
          <w:rFonts w:ascii="Arial" w:hAnsi="Arial" w:cs="Arial"/>
          <w:sz w:val="22"/>
          <w:szCs w:val="22"/>
          <w:lang w:val="es-CO"/>
        </w:rPr>
        <w:footnoteReference w:id="52"/>
      </w:r>
      <w:r w:rsidRPr="00A21B5C">
        <w:rPr>
          <w:rFonts w:ascii="Arial" w:hAnsi="Arial" w:cs="Arial"/>
          <w:sz w:val="22"/>
          <w:szCs w:val="22"/>
          <w:lang w:val="es-CO"/>
        </w:rPr>
        <w:t xml:space="preserve">. En contraste, en revisión a los movimientos de la Cuenta Maestra del Resguardo Indígena Kogui </w:t>
      </w:r>
      <w:r w:rsidR="008F7BB5" w:rsidRPr="00A21B5C">
        <w:rPr>
          <w:rFonts w:ascii="Arial" w:hAnsi="Arial" w:cs="Arial"/>
          <w:sz w:val="22"/>
          <w:szCs w:val="22"/>
          <w:lang w:val="es-CO"/>
        </w:rPr>
        <w:t xml:space="preserve">– </w:t>
      </w:r>
      <w:r w:rsidRPr="00A21B5C">
        <w:rPr>
          <w:rFonts w:ascii="Arial" w:hAnsi="Arial" w:cs="Arial"/>
          <w:sz w:val="22"/>
          <w:szCs w:val="22"/>
          <w:lang w:val="es-CO"/>
        </w:rPr>
        <w:t>Malayo</w:t>
      </w:r>
      <w:r w:rsidR="008F7BB5" w:rsidRPr="00A21B5C">
        <w:rPr>
          <w:rFonts w:ascii="Arial" w:hAnsi="Arial" w:cs="Arial"/>
          <w:sz w:val="22"/>
          <w:szCs w:val="22"/>
          <w:lang w:val="es-CO"/>
        </w:rPr>
        <w:t xml:space="preserve"> - </w:t>
      </w:r>
      <w:r w:rsidRPr="00A21B5C">
        <w:rPr>
          <w:rFonts w:ascii="Arial" w:hAnsi="Arial" w:cs="Arial"/>
          <w:sz w:val="22"/>
          <w:szCs w:val="22"/>
          <w:lang w:val="es-CO"/>
        </w:rPr>
        <w:t xml:space="preserve"> Arhuaco, se evidenció traslado a la cuenta de Jairo Esteban Correa</w:t>
      </w:r>
      <w:r w:rsidRPr="00A21B5C">
        <w:rPr>
          <w:rStyle w:val="Refdenotaalpie"/>
          <w:rFonts w:ascii="Arial" w:hAnsi="Arial" w:cs="Arial"/>
          <w:sz w:val="22"/>
          <w:szCs w:val="22"/>
          <w:lang w:val="es-CO"/>
        </w:rPr>
        <w:footnoteReference w:id="53"/>
      </w:r>
      <w:r w:rsidRPr="00A21B5C">
        <w:rPr>
          <w:rFonts w:ascii="Arial" w:hAnsi="Arial" w:cs="Arial"/>
          <w:sz w:val="22"/>
          <w:szCs w:val="22"/>
          <w:lang w:val="es-CO"/>
        </w:rPr>
        <w:t>, con quien se realizó el Contrato, por valor de $33.708.650.</w:t>
      </w:r>
    </w:p>
    <w:p w:rsidR="009F3E2B" w:rsidRPr="00A21B5C" w:rsidRDefault="009F3E2B">
      <w:pPr>
        <w:pStyle w:val="Prrafodelista"/>
        <w:rPr>
          <w:rFonts w:ascii="Arial" w:hAnsi="Arial" w:cs="Arial"/>
          <w:sz w:val="22"/>
          <w:szCs w:val="22"/>
          <w:lang w:val="es-CO"/>
        </w:rPr>
      </w:pPr>
    </w:p>
    <w:p w:rsidR="00EC0278" w:rsidRPr="00A21B5C" w:rsidRDefault="001A30EE" w:rsidP="00A21B5C">
      <w:pPr>
        <w:contextualSpacing/>
        <w:jc w:val="both"/>
        <w:rPr>
          <w:rFonts w:ascii="Arial" w:hAnsi="Arial" w:cs="Arial"/>
          <w:sz w:val="22"/>
          <w:szCs w:val="22"/>
          <w:lang w:val="es-CO"/>
        </w:rPr>
      </w:pPr>
      <w:r w:rsidRPr="00A21B5C">
        <w:rPr>
          <w:rFonts w:ascii="Arial" w:hAnsi="Arial" w:cs="Arial"/>
          <w:sz w:val="22"/>
          <w:szCs w:val="22"/>
          <w:lang w:val="es-CO"/>
        </w:rPr>
        <w:t>Así</w:t>
      </w:r>
      <w:r w:rsidR="00EC0278" w:rsidRPr="00A21B5C">
        <w:rPr>
          <w:rFonts w:ascii="Arial" w:hAnsi="Arial" w:cs="Arial"/>
          <w:sz w:val="22"/>
          <w:szCs w:val="22"/>
          <w:lang w:val="es-CO"/>
        </w:rPr>
        <w:t xml:space="preserve">, al igual que en el Convenio de Asociación N° 032 </w:t>
      </w:r>
      <w:r w:rsidRPr="00A21B5C">
        <w:rPr>
          <w:rFonts w:ascii="Arial" w:hAnsi="Arial" w:cs="Arial"/>
          <w:sz w:val="22"/>
          <w:szCs w:val="22"/>
          <w:lang w:val="es-CO"/>
        </w:rPr>
        <w:t>de</w:t>
      </w:r>
      <w:r w:rsidR="00EC0278" w:rsidRPr="00A21B5C">
        <w:rPr>
          <w:rFonts w:ascii="Arial" w:hAnsi="Arial" w:cs="Arial"/>
          <w:sz w:val="22"/>
          <w:szCs w:val="22"/>
          <w:lang w:val="es-CO"/>
        </w:rPr>
        <w:t xml:space="preserve"> 2016</w:t>
      </w:r>
      <w:r w:rsidRPr="00A21B5C">
        <w:rPr>
          <w:rFonts w:ascii="Arial" w:hAnsi="Arial" w:cs="Arial"/>
          <w:sz w:val="22"/>
          <w:szCs w:val="22"/>
          <w:lang w:val="es-CO"/>
        </w:rPr>
        <w:t xml:space="preserve"> examinado</w:t>
      </w:r>
      <w:r w:rsidR="00EC0278" w:rsidRPr="00A21B5C">
        <w:rPr>
          <w:rFonts w:ascii="Arial" w:hAnsi="Arial" w:cs="Arial"/>
          <w:sz w:val="22"/>
          <w:szCs w:val="22"/>
          <w:lang w:val="es-CO"/>
        </w:rPr>
        <w:t xml:space="preserve"> anteriormente, no </w:t>
      </w:r>
      <w:r w:rsidRPr="00A21B5C">
        <w:rPr>
          <w:rFonts w:ascii="Arial" w:hAnsi="Arial" w:cs="Arial"/>
          <w:sz w:val="22"/>
          <w:szCs w:val="22"/>
          <w:lang w:val="es-CO"/>
        </w:rPr>
        <w:t>queda</w:t>
      </w:r>
      <w:r w:rsidR="00EC0278" w:rsidRPr="00A21B5C">
        <w:rPr>
          <w:rFonts w:ascii="Arial" w:hAnsi="Arial" w:cs="Arial"/>
          <w:sz w:val="22"/>
          <w:szCs w:val="22"/>
          <w:lang w:val="es-CO"/>
        </w:rPr>
        <w:t xml:space="preserve"> claro por</w:t>
      </w:r>
      <w:r w:rsidR="00415A52" w:rsidRPr="00A21B5C">
        <w:rPr>
          <w:rFonts w:ascii="Arial" w:hAnsi="Arial" w:cs="Arial"/>
          <w:sz w:val="22"/>
          <w:szCs w:val="22"/>
          <w:lang w:val="es-CO"/>
        </w:rPr>
        <w:t xml:space="preserve"> </w:t>
      </w:r>
      <w:r w:rsidR="00EC0278" w:rsidRPr="00A21B5C">
        <w:rPr>
          <w:rFonts w:ascii="Arial" w:hAnsi="Arial" w:cs="Arial"/>
          <w:sz w:val="22"/>
          <w:szCs w:val="22"/>
          <w:lang w:val="es-CO"/>
        </w:rPr>
        <w:t>qu</w:t>
      </w:r>
      <w:r w:rsidR="00415A52" w:rsidRPr="00A21B5C">
        <w:rPr>
          <w:rFonts w:ascii="Arial" w:hAnsi="Arial" w:cs="Arial"/>
          <w:sz w:val="22"/>
          <w:szCs w:val="22"/>
          <w:lang w:val="es-CO"/>
        </w:rPr>
        <w:t>é</w:t>
      </w:r>
      <w:r w:rsidR="00EC0278" w:rsidRPr="00A21B5C">
        <w:rPr>
          <w:rFonts w:ascii="Arial" w:hAnsi="Arial" w:cs="Arial"/>
          <w:sz w:val="22"/>
          <w:szCs w:val="22"/>
          <w:lang w:val="es-CO"/>
        </w:rPr>
        <w:t xml:space="preserve"> el Municipio no se ciñe a las condiciones establecidas </w:t>
      </w:r>
      <w:r w:rsidRPr="00A21B5C">
        <w:rPr>
          <w:rFonts w:ascii="Arial" w:hAnsi="Arial" w:cs="Arial"/>
          <w:sz w:val="22"/>
          <w:szCs w:val="22"/>
          <w:lang w:val="es-CO"/>
        </w:rPr>
        <w:t xml:space="preserve">en la minuta contractual </w:t>
      </w:r>
      <w:r w:rsidR="00EC0278" w:rsidRPr="00A21B5C">
        <w:rPr>
          <w:rFonts w:ascii="Arial" w:hAnsi="Arial" w:cs="Arial"/>
          <w:sz w:val="22"/>
          <w:szCs w:val="22"/>
          <w:lang w:val="es-CO"/>
        </w:rPr>
        <w:t>para la entrega del anticipo</w:t>
      </w:r>
      <w:r w:rsidRPr="00A21B5C">
        <w:rPr>
          <w:rFonts w:ascii="Arial" w:hAnsi="Arial" w:cs="Arial"/>
          <w:sz w:val="22"/>
          <w:szCs w:val="22"/>
          <w:lang w:val="es-CO"/>
        </w:rPr>
        <w:t xml:space="preserve">. Además, en este caso en particular, tampoco es claro si el costo total del </w:t>
      </w:r>
      <w:r w:rsidR="00E023F6" w:rsidRPr="00A21B5C">
        <w:rPr>
          <w:rFonts w:ascii="Arial" w:hAnsi="Arial" w:cs="Arial"/>
          <w:sz w:val="22"/>
          <w:szCs w:val="22"/>
          <w:lang w:val="es-CO"/>
        </w:rPr>
        <w:t>C</w:t>
      </w:r>
      <w:r w:rsidRPr="00A21B5C">
        <w:rPr>
          <w:rFonts w:ascii="Arial" w:hAnsi="Arial" w:cs="Arial"/>
          <w:sz w:val="22"/>
          <w:szCs w:val="22"/>
          <w:lang w:val="es-CO"/>
        </w:rPr>
        <w:t>ontrato varió o si este no se liquidó en su totalidad.</w:t>
      </w:r>
    </w:p>
    <w:p w:rsidR="009F3E2B" w:rsidRPr="00A21B5C" w:rsidRDefault="009F3E2B">
      <w:pPr>
        <w:pStyle w:val="Prrafodelista"/>
        <w:ind w:left="0"/>
        <w:jc w:val="both"/>
        <w:rPr>
          <w:rFonts w:ascii="Arial" w:hAnsi="Arial" w:cs="Arial"/>
          <w:sz w:val="22"/>
          <w:szCs w:val="22"/>
          <w:lang w:val="es-CO"/>
        </w:rPr>
      </w:pPr>
    </w:p>
    <w:p w:rsidR="008C2E4A" w:rsidRPr="00A21B5C" w:rsidRDefault="00260733">
      <w:pPr>
        <w:pStyle w:val="Prrafodelista"/>
        <w:numPr>
          <w:ilvl w:val="0"/>
          <w:numId w:val="20"/>
        </w:numPr>
        <w:ind w:left="284" w:hanging="284"/>
        <w:rPr>
          <w:rFonts w:ascii="Arial" w:hAnsi="Arial" w:cs="Arial"/>
          <w:b/>
          <w:sz w:val="22"/>
          <w:szCs w:val="22"/>
          <w:lang w:val="es-CO"/>
        </w:rPr>
      </w:pPr>
      <w:r w:rsidRPr="00A21B5C">
        <w:rPr>
          <w:rFonts w:ascii="Arial" w:hAnsi="Arial" w:cs="Arial"/>
          <w:b/>
          <w:sz w:val="22"/>
          <w:szCs w:val="22"/>
          <w:lang w:val="es-CO"/>
        </w:rPr>
        <w:t>PUBLICACIÓN DE PROCESOS CONTRACTUALES</w:t>
      </w:r>
      <w:r w:rsidR="00E023F6" w:rsidRPr="00A21B5C">
        <w:rPr>
          <w:rFonts w:ascii="Arial" w:hAnsi="Arial" w:cs="Arial"/>
          <w:b/>
          <w:sz w:val="22"/>
          <w:szCs w:val="22"/>
          <w:lang w:val="es-CO"/>
        </w:rPr>
        <w:t>.</w:t>
      </w:r>
    </w:p>
    <w:p w:rsidR="008C2E4A" w:rsidRPr="00A21B5C" w:rsidRDefault="008C2E4A" w:rsidP="00A21B5C">
      <w:pPr>
        <w:contextualSpacing/>
        <w:jc w:val="both"/>
        <w:rPr>
          <w:rFonts w:ascii="Arial" w:hAnsi="Arial" w:cs="Arial"/>
          <w:sz w:val="22"/>
          <w:szCs w:val="22"/>
          <w:lang w:val="es-CO"/>
        </w:rPr>
      </w:pPr>
    </w:p>
    <w:p w:rsidR="00E023F6" w:rsidRPr="00A21B5C" w:rsidRDefault="003B6205" w:rsidP="00A21B5C">
      <w:pPr>
        <w:contextualSpacing/>
        <w:jc w:val="both"/>
        <w:rPr>
          <w:rFonts w:ascii="Arial" w:hAnsi="Arial" w:cs="Arial"/>
          <w:b/>
          <w:sz w:val="22"/>
          <w:szCs w:val="22"/>
          <w:lang w:val="es-CO"/>
        </w:rPr>
      </w:pPr>
      <w:r w:rsidRPr="00A21B5C">
        <w:rPr>
          <w:rFonts w:ascii="Arial" w:hAnsi="Arial" w:cs="Arial"/>
          <w:sz w:val="22"/>
          <w:szCs w:val="22"/>
          <w:lang w:val="es-CO"/>
        </w:rPr>
        <w:t xml:space="preserve">Atendiendo a lo establecido por </w:t>
      </w:r>
      <w:r w:rsidR="008C2E4A" w:rsidRPr="00A21B5C">
        <w:rPr>
          <w:rFonts w:ascii="Arial" w:hAnsi="Arial" w:cs="Arial"/>
          <w:sz w:val="22"/>
          <w:szCs w:val="22"/>
          <w:lang w:val="es-CO"/>
        </w:rPr>
        <w:t>el artículo 2.1.1.2.1.7 del Decreto 1081 de 2015, se consultó en el Sistema Electrónico de Contratación Pública – SECOP la publicación de los procesos contractuales adelantados por el Municipio</w:t>
      </w:r>
      <w:r w:rsidR="009F3E2B" w:rsidRPr="00A21B5C">
        <w:rPr>
          <w:rFonts w:ascii="Arial" w:hAnsi="Arial" w:cs="Arial"/>
          <w:sz w:val="22"/>
          <w:szCs w:val="22"/>
          <w:lang w:val="es-CO"/>
        </w:rPr>
        <w:t>,</w:t>
      </w:r>
      <w:r w:rsidR="008C2E4A" w:rsidRPr="00A21B5C">
        <w:rPr>
          <w:rFonts w:ascii="Arial" w:hAnsi="Arial" w:cs="Arial"/>
          <w:sz w:val="22"/>
          <w:szCs w:val="22"/>
          <w:lang w:val="es-CO"/>
        </w:rPr>
        <w:t xml:space="preserve"> en el marco de la ejecución de los recursos de la AESGPRI, para las vigencias 2017, 2018 y</w:t>
      </w:r>
      <w:r w:rsidR="00AB0A14" w:rsidRPr="00A21B5C">
        <w:rPr>
          <w:rFonts w:ascii="Arial" w:hAnsi="Arial" w:cs="Arial"/>
          <w:sz w:val="22"/>
          <w:szCs w:val="22"/>
          <w:lang w:val="es-CO"/>
        </w:rPr>
        <w:t xml:space="preserve"> el primer trimestre de</w:t>
      </w:r>
      <w:r w:rsidR="008C2E4A" w:rsidRPr="00A21B5C">
        <w:rPr>
          <w:rFonts w:ascii="Arial" w:hAnsi="Arial" w:cs="Arial"/>
          <w:sz w:val="22"/>
          <w:szCs w:val="22"/>
          <w:lang w:val="es-CO"/>
        </w:rPr>
        <w:t xml:space="preserve"> 2019, evidenciándose faltantes en la información publicada:</w:t>
      </w:r>
    </w:p>
    <w:p w:rsidR="008C2E4A" w:rsidRPr="00A21B5C" w:rsidRDefault="008C2E4A" w:rsidP="00A21B5C">
      <w:pPr>
        <w:contextualSpacing/>
        <w:jc w:val="both"/>
        <w:rPr>
          <w:rFonts w:ascii="Arial" w:hAnsi="Arial" w:cs="Arial"/>
          <w:b/>
          <w:sz w:val="22"/>
          <w:szCs w:val="22"/>
          <w:lang w:val="es-CO"/>
        </w:rPr>
      </w:pPr>
    </w:p>
    <w:p w:rsidR="00AB0A14" w:rsidRPr="00A21B5C" w:rsidRDefault="00175643" w:rsidP="00A21B5C">
      <w:pPr>
        <w:contextualSpacing/>
        <w:jc w:val="center"/>
        <w:rPr>
          <w:rFonts w:ascii="Arial" w:hAnsi="Arial" w:cs="Arial"/>
          <w:sz w:val="22"/>
          <w:szCs w:val="22"/>
          <w:lang w:val="es-CO"/>
        </w:rPr>
      </w:pPr>
      <w:r w:rsidRPr="00A21B5C">
        <w:rPr>
          <w:rFonts w:ascii="Arial" w:hAnsi="Arial" w:cs="Arial"/>
          <w:b/>
          <w:sz w:val="22"/>
          <w:szCs w:val="22"/>
          <w:lang w:val="es-CO"/>
        </w:rPr>
        <w:t xml:space="preserve">Tabla N° </w:t>
      </w:r>
      <w:r w:rsidR="000F2E19" w:rsidRPr="00A21B5C">
        <w:rPr>
          <w:rFonts w:ascii="Arial" w:hAnsi="Arial" w:cs="Arial"/>
          <w:b/>
          <w:sz w:val="22"/>
          <w:szCs w:val="22"/>
          <w:lang w:val="es-CO"/>
        </w:rPr>
        <w:t>7</w:t>
      </w:r>
      <w:r w:rsidR="008C2E4A" w:rsidRPr="00A21B5C">
        <w:rPr>
          <w:rFonts w:ascii="Arial" w:hAnsi="Arial" w:cs="Arial"/>
          <w:b/>
          <w:sz w:val="22"/>
          <w:szCs w:val="22"/>
          <w:lang w:val="es-CO"/>
        </w:rPr>
        <w:t>:</w:t>
      </w:r>
      <w:r w:rsidR="008C2E4A" w:rsidRPr="00A21B5C">
        <w:rPr>
          <w:rFonts w:ascii="Arial" w:hAnsi="Arial" w:cs="Arial"/>
          <w:sz w:val="22"/>
          <w:szCs w:val="22"/>
          <w:lang w:val="es-CO"/>
        </w:rPr>
        <w:t xml:space="preserve"> Relación de Contratos de Ejecución con faltantes en el SECOP.</w:t>
      </w:r>
    </w:p>
    <w:p w:rsidR="008C2E4A" w:rsidRPr="00A21B5C" w:rsidRDefault="008C2E4A" w:rsidP="00A21B5C">
      <w:pPr>
        <w:contextualSpacing/>
        <w:jc w:val="center"/>
        <w:rPr>
          <w:rFonts w:ascii="Arial" w:hAnsi="Arial" w:cs="Arial"/>
          <w:b/>
          <w:sz w:val="22"/>
          <w:szCs w:val="22"/>
          <w:lang w:val="es-CO"/>
        </w:rPr>
      </w:pPr>
      <w:r w:rsidRPr="00A21B5C">
        <w:rPr>
          <w:rFonts w:ascii="Arial" w:hAnsi="Arial" w:cs="Arial"/>
          <w:sz w:val="22"/>
          <w:szCs w:val="22"/>
          <w:lang w:val="es-CO"/>
        </w:rPr>
        <w:t>Vigencias 2017 a marzo de 2019.</w:t>
      </w:r>
    </w:p>
    <w:tbl>
      <w:tblPr>
        <w:tblW w:w="5780"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47"/>
        <w:gridCol w:w="4315"/>
        <w:gridCol w:w="3543"/>
      </w:tblGrid>
      <w:tr w:rsidR="00485382" w:rsidRPr="00A21B5C" w:rsidTr="00A21B5C">
        <w:trPr>
          <w:trHeight w:val="345"/>
          <w:tblHeader/>
        </w:trPr>
        <w:tc>
          <w:tcPr>
            <w:tcW w:w="1150" w:type="pct"/>
            <w:shd w:val="clear" w:color="auto" w:fill="215868" w:themeFill="accent5" w:themeFillShade="80"/>
            <w:noWrap/>
            <w:vAlign w:val="center"/>
            <w:hideMark/>
          </w:tcPr>
          <w:p w:rsidR="008C2E4A" w:rsidRPr="00A21B5C" w:rsidRDefault="008C2E4A" w:rsidP="00A21B5C">
            <w:pPr>
              <w:contextualSpacing/>
              <w:jc w:val="center"/>
              <w:rPr>
                <w:rFonts w:ascii="Arial" w:eastAsia="Times New Roman" w:hAnsi="Arial" w:cs="Arial"/>
                <w:b/>
                <w:bCs/>
                <w:color w:val="FFFFFF"/>
                <w:sz w:val="20"/>
                <w:szCs w:val="20"/>
                <w:lang w:val="es-CO" w:eastAsia="es-CO"/>
              </w:rPr>
            </w:pPr>
            <w:r w:rsidRPr="00A21B5C">
              <w:rPr>
                <w:rFonts w:ascii="Arial" w:eastAsia="Times New Roman" w:hAnsi="Arial" w:cs="Arial"/>
                <w:b/>
                <w:bCs/>
                <w:color w:val="FFFFFF"/>
                <w:sz w:val="20"/>
                <w:szCs w:val="20"/>
                <w:lang w:val="es-CO" w:eastAsia="es-CO"/>
              </w:rPr>
              <w:t>N° Proceso/Contrato</w:t>
            </w:r>
          </w:p>
        </w:tc>
        <w:tc>
          <w:tcPr>
            <w:tcW w:w="2114" w:type="pct"/>
            <w:shd w:val="clear" w:color="auto" w:fill="215868" w:themeFill="accent5" w:themeFillShade="80"/>
            <w:noWrap/>
            <w:vAlign w:val="center"/>
            <w:hideMark/>
          </w:tcPr>
          <w:p w:rsidR="008C2E4A" w:rsidRPr="00A21B5C" w:rsidRDefault="008C2E4A" w:rsidP="00A21B5C">
            <w:pPr>
              <w:contextualSpacing/>
              <w:jc w:val="center"/>
              <w:rPr>
                <w:rFonts w:ascii="Arial" w:eastAsia="Times New Roman" w:hAnsi="Arial" w:cs="Arial"/>
                <w:b/>
                <w:bCs/>
                <w:color w:val="FFFFFF"/>
                <w:sz w:val="20"/>
                <w:szCs w:val="20"/>
                <w:lang w:val="es-CO" w:eastAsia="es-CO"/>
              </w:rPr>
            </w:pPr>
            <w:r w:rsidRPr="00A21B5C">
              <w:rPr>
                <w:rFonts w:ascii="Arial" w:eastAsia="Times New Roman" w:hAnsi="Arial" w:cs="Arial"/>
                <w:b/>
                <w:bCs/>
                <w:color w:val="FFFFFF"/>
                <w:sz w:val="20"/>
                <w:szCs w:val="20"/>
                <w:lang w:val="es-CO" w:eastAsia="es-CO"/>
              </w:rPr>
              <w:t>Objeto</w:t>
            </w:r>
          </w:p>
        </w:tc>
        <w:tc>
          <w:tcPr>
            <w:tcW w:w="1736" w:type="pct"/>
            <w:shd w:val="clear" w:color="auto" w:fill="215868" w:themeFill="accent5" w:themeFillShade="80"/>
            <w:vAlign w:val="center"/>
            <w:hideMark/>
          </w:tcPr>
          <w:p w:rsidR="008C2E4A" w:rsidRPr="00A21B5C" w:rsidRDefault="008C2E4A" w:rsidP="00A21B5C">
            <w:pPr>
              <w:contextualSpacing/>
              <w:jc w:val="center"/>
              <w:rPr>
                <w:rFonts w:ascii="Arial" w:eastAsia="Times New Roman" w:hAnsi="Arial" w:cs="Arial"/>
                <w:b/>
                <w:bCs/>
                <w:color w:val="FFFFFF"/>
                <w:sz w:val="20"/>
                <w:szCs w:val="20"/>
                <w:lang w:val="es-CO" w:eastAsia="es-CO"/>
              </w:rPr>
            </w:pPr>
            <w:r w:rsidRPr="00A21B5C">
              <w:rPr>
                <w:rFonts w:ascii="Arial" w:eastAsia="Times New Roman" w:hAnsi="Arial" w:cs="Arial"/>
                <w:b/>
                <w:bCs/>
                <w:color w:val="FFFFFF"/>
                <w:sz w:val="20"/>
                <w:szCs w:val="20"/>
                <w:lang w:val="es-CO" w:eastAsia="es-CO"/>
              </w:rPr>
              <w:t>Faltantes en SECOP</w:t>
            </w:r>
          </w:p>
        </w:tc>
      </w:tr>
      <w:tr w:rsidR="008C2E4A" w:rsidRPr="00A21B5C" w:rsidTr="00613441">
        <w:trPr>
          <w:trHeight w:val="1147"/>
        </w:trPr>
        <w:tc>
          <w:tcPr>
            <w:tcW w:w="1150" w:type="pct"/>
            <w:vAlign w:val="center"/>
            <w:hideMark/>
          </w:tcPr>
          <w:p w:rsidR="008C2E4A" w:rsidRPr="00A21B5C" w:rsidRDefault="008C2E4A" w:rsidP="00A21B5C">
            <w:pPr>
              <w:contextualSpacing/>
              <w:jc w:val="center"/>
              <w:rPr>
                <w:rFonts w:ascii="Arial" w:eastAsia="Times New Roman" w:hAnsi="Arial" w:cs="Arial"/>
                <w:bCs/>
                <w:color w:val="000000"/>
                <w:sz w:val="20"/>
                <w:szCs w:val="20"/>
                <w:lang w:val="es-CO" w:eastAsia="es-CO"/>
              </w:rPr>
            </w:pPr>
            <w:r w:rsidRPr="00A21B5C">
              <w:rPr>
                <w:rFonts w:ascii="Arial" w:eastAsia="Times New Roman" w:hAnsi="Arial" w:cs="Arial"/>
                <w:bCs/>
                <w:color w:val="000000"/>
                <w:sz w:val="20"/>
                <w:szCs w:val="20"/>
                <w:lang w:val="es-CO" w:eastAsia="es-CO"/>
              </w:rPr>
              <w:t>N° 004 de 2017</w:t>
            </w:r>
          </w:p>
          <w:p w:rsidR="008C2E4A" w:rsidRPr="00A21B5C" w:rsidRDefault="008C2E4A" w:rsidP="00A21B5C">
            <w:pPr>
              <w:contextualSpacing/>
              <w:jc w:val="center"/>
              <w:rPr>
                <w:rFonts w:ascii="Arial" w:eastAsia="Times New Roman" w:hAnsi="Arial" w:cs="Arial"/>
                <w:bCs/>
                <w:color w:val="000000"/>
                <w:sz w:val="20"/>
                <w:szCs w:val="20"/>
                <w:lang w:val="es-CO" w:eastAsia="es-CO"/>
              </w:rPr>
            </w:pPr>
            <w:r w:rsidRPr="00A21B5C">
              <w:rPr>
                <w:rFonts w:ascii="Arial" w:eastAsia="Times New Roman" w:hAnsi="Arial" w:cs="Arial"/>
                <w:bCs/>
                <w:color w:val="000000"/>
                <w:sz w:val="20"/>
                <w:szCs w:val="20"/>
                <w:lang w:val="es-CO" w:eastAsia="es-CO"/>
              </w:rPr>
              <w:t>(Compraventa)</w:t>
            </w:r>
          </w:p>
        </w:tc>
        <w:tc>
          <w:tcPr>
            <w:tcW w:w="2114" w:type="pct"/>
            <w:vAlign w:val="center"/>
          </w:tcPr>
          <w:p w:rsidR="008C2E4A" w:rsidRPr="00A21B5C" w:rsidRDefault="008C2E4A" w:rsidP="00A21B5C">
            <w:pPr>
              <w:spacing w:before="40" w:after="40"/>
              <w:contextualSpacing/>
              <w:jc w:val="both"/>
              <w:rPr>
                <w:rFonts w:ascii="Arial" w:eastAsia="Times New Roman" w:hAnsi="Arial" w:cs="Arial"/>
                <w:color w:val="000000"/>
                <w:sz w:val="20"/>
                <w:szCs w:val="20"/>
                <w:lang w:val="es-CO" w:eastAsia="es-CO"/>
              </w:rPr>
            </w:pPr>
            <w:r w:rsidRPr="00A21B5C">
              <w:rPr>
                <w:rFonts w:ascii="Arial" w:eastAsia="Times New Roman" w:hAnsi="Arial" w:cs="Arial"/>
                <w:color w:val="000000"/>
                <w:sz w:val="20"/>
                <w:szCs w:val="20"/>
                <w:lang w:val="es-CO" w:eastAsia="es-CO"/>
              </w:rPr>
              <w:t>Adquisición de título de compraventa de mejoras rurales para el saneamiento del Territorio del Resguardo Indígena Kogui - Malayo - Arhuaco en jurisdicción del corregimiento de Mingueo - Municipio de Dibulla (La Guajira)</w:t>
            </w:r>
          </w:p>
        </w:tc>
        <w:tc>
          <w:tcPr>
            <w:tcW w:w="1736" w:type="pct"/>
            <w:vAlign w:val="center"/>
            <w:hideMark/>
          </w:tcPr>
          <w:p w:rsidR="008C2E4A" w:rsidRPr="00A21B5C" w:rsidRDefault="008C2E4A" w:rsidP="00A21B5C">
            <w:pPr>
              <w:contextualSpacing/>
              <w:jc w:val="both"/>
              <w:rPr>
                <w:rFonts w:ascii="Arial" w:eastAsia="Times New Roman" w:hAnsi="Arial" w:cs="Arial"/>
                <w:color w:val="000000"/>
                <w:sz w:val="20"/>
                <w:szCs w:val="20"/>
                <w:lang w:val="es-CO" w:eastAsia="es-CO"/>
              </w:rPr>
            </w:pPr>
            <w:r w:rsidRPr="00A21B5C">
              <w:rPr>
                <w:rFonts w:ascii="Arial" w:eastAsia="Times New Roman" w:hAnsi="Arial" w:cs="Arial"/>
                <w:color w:val="000000"/>
                <w:sz w:val="20"/>
                <w:szCs w:val="20"/>
                <w:lang w:val="es-CO" w:eastAsia="es-CO"/>
              </w:rPr>
              <w:t>Información de ejecución y pos</w:t>
            </w:r>
            <w:r w:rsidR="008765D2" w:rsidRPr="00A21B5C">
              <w:rPr>
                <w:rFonts w:ascii="Arial" w:eastAsia="Times New Roman" w:hAnsi="Arial" w:cs="Arial"/>
                <w:color w:val="000000"/>
                <w:sz w:val="20"/>
                <w:szCs w:val="20"/>
                <w:lang w:val="es-CO" w:eastAsia="es-CO"/>
              </w:rPr>
              <w:t>t</w:t>
            </w:r>
            <w:r w:rsidRPr="00A21B5C">
              <w:rPr>
                <w:rFonts w:ascii="Arial" w:eastAsia="Times New Roman" w:hAnsi="Arial" w:cs="Arial"/>
                <w:color w:val="000000"/>
                <w:sz w:val="20"/>
                <w:szCs w:val="20"/>
                <w:lang w:val="es-CO" w:eastAsia="es-CO"/>
              </w:rPr>
              <w:t>contractual: Escritura pública y liquidación del contrato.</w:t>
            </w:r>
          </w:p>
        </w:tc>
      </w:tr>
      <w:tr w:rsidR="008C2E4A" w:rsidRPr="00A21B5C" w:rsidTr="00A96D69">
        <w:trPr>
          <w:trHeight w:val="1507"/>
        </w:trPr>
        <w:tc>
          <w:tcPr>
            <w:tcW w:w="1150" w:type="pct"/>
            <w:vAlign w:val="center"/>
            <w:hideMark/>
          </w:tcPr>
          <w:p w:rsidR="008C2E4A" w:rsidRPr="00A21B5C" w:rsidRDefault="008C2E4A" w:rsidP="00A21B5C">
            <w:pPr>
              <w:contextualSpacing/>
              <w:jc w:val="center"/>
              <w:rPr>
                <w:rFonts w:ascii="Arial" w:eastAsia="Times New Roman" w:hAnsi="Arial" w:cs="Arial"/>
                <w:bCs/>
                <w:color w:val="000000"/>
                <w:sz w:val="20"/>
                <w:szCs w:val="20"/>
                <w:lang w:val="es-CO" w:eastAsia="es-CO"/>
              </w:rPr>
            </w:pPr>
            <w:r w:rsidRPr="00A21B5C">
              <w:rPr>
                <w:rFonts w:ascii="Arial" w:eastAsia="Times New Roman" w:hAnsi="Arial" w:cs="Arial"/>
                <w:bCs/>
                <w:color w:val="000000"/>
                <w:sz w:val="20"/>
                <w:szCs w:val="20"/>
                <w:lang w:val="es-CO" w:eastAsia="es-CO"/>
              </w:rPr>
              <w:t>N° 004 de 2017</w:t>
            </w:r>
          </w:p>
          <w:p w:rsidR="008C2E4A" w:rsidRPr="00A21B5C" w:rsidRDefault="008C2E4A" w:rsidP="00A21B5C">
            <w:pPr>
              <w:contextualSpacing/>
              <w:jc w:val="center"/>
              <w:rPr>
                <w:rFonts w:ascii="Arial" w:eastAsia="Times New Roman" w:hAnsi="Arial" w:cs="Arial"/>
                <w:bCs/>
                <w:color w:val="000000"/>
                <w:sz w:val="20"/>
                <w:szCs w:val="20"/>
                <w:lang w:val="es-CO" w:eastAsia="es-CO"/>
              </w:rPr>
            </w:pPr>
            <w:r w:rsidRPr="00A21B5C">
              <w:rPr>
                <w:rFonts w:ascii="Arial" w:eastAsia="Times New Roman" w:hAnsi="Arial" w:cs="Arial"/>
                <w:bCs/>
                <w:color w:val="000000"/>
                <w:sz w:val="20"/>
                <w:szCs w:val="20"/>
                <w:lang w:val="es-CO" w:eastAsia="es-CO"/>
              </w:rPr>
              <w:t>(Contrato de calamidad)</w:t>
            </w:r>
          </w:p>
        </w:tc>
        <w:tc>
          <w:tcPr>
            <w:tcW w:w="2114" w:type="pct"/>
            <w:vAlign w:val="center"/>
          </w:tcPr>
          <w:p w:rsidR="008C2E4A" w:rsidRPr="00A21B5C" w:rsidRDefault="008C2E4A" w:rsidP="00A21B5C">
            <w:pPr>
              <w:spacing w:before="40" w:after="40"/>
              <w:contextualSpacing/>
              <w:jc w:val="both"/>
              <w:rPr>
                <w:rFonts w:ascii="Arial" w:eastAsia="Times New Roman" w:hAnsi="Arial" w:cs="Arial"/>
                <w:color w:val="000000"/>
                <w:sz w:val="20"/>
                <w:szCs w:val="20"/>
                <w:lang w:val="es-CO" w:eastAsia="es-CO"/>
              </w:rPr>
            </w:pPr>
            <w:r w:rsidRPr="00A21B5C">
              <w:rPr>
                <w:rFonts w:ascii="Arial" w:eastAsia="Times New Roman" w:hAnsi="Arial" w:cs="Arial"/>
                <w:color w:val="000000"/>
                <w:sz w:val="20"/>
                <w:szCs w:val="20"/>
                <w:lang w:val="es-CO" w:eastAsia="es-CO"/>
              </w:rPr>
              <w:t>Mantenimiento, construcción y reparación de puentes colgantes en las comunidades</w:t>
            </w:r>
            <w:r w:rsidR="00C01E24" w:rsidRPr="00A21B5C">
              <w:rPr>
                <w:rFonts w:ascii="Arial" w:eastAsia="Times New Roman" w:hAnsi="Arial" w:cs="Arial"/>
                <w:color w:val="000000"/>
                <w:sz w:val="20"/>
                <w:szCs w:val="20"/>
                <w:lang w:val="es-CO" w:eastAsia="es-CO"/>
              </w:rPr>
              <w:t xml:space="preserve"> </w:t>
            </w:r>
            <w:r w:rsidRPr="00A21B5C">
              <w:rPr>
                <w:rFonts w:ascii="Arial" w:eastAsia="Times New Roman" w:hAnsi="Arial" w:cs="Arial"/>
                <w:color w:val="000000"/>
                <w:sz w:val="20"/>
                <w:szCs w:val="20"/>
                <w:lang w:val="es-CO" w:eastAsia="es-CO"/>
              </w:rPr>
              <w:t>de Santa Clara y Dumingueka Jurisdicción del Resguardo Indígena Kogui - Malayo - Arhuaco afectados por la primera temporada de lluvias en el marco de la declaratoria de calamidad pública en el Municipio de Dibulla - La Guajira.</w:t>
            </w:r>
          </w:p>
        </w:tc>
        <w:tc>
          <w:tcPr>
            <w:tcW w:w="1736" w:type="pct"/>
            <w:vAlign w:val="center"/>
            <w:hideMark/>
          </w:tcPr>
          <w:p w:rsidR="008C2E4A" w:rsidRPr="00A21B5C" w:rsidRDefault="008C2E4A" w:rsidP="00A21B5C">
            <w:pPr>
              <w:contextualSpacing/>
              <w:jc w:val="both"/>
              <w:rPr>
                <w:rFonts w:ascii="Arial" w:eastAsia="Times New Roman" w:hAnsi="Arial" w:cs="Arial"/>
                <w:color w:val="000000"/>
                <w:sz w:val="20"/>
                <w:szCs w:val="20"/>
                <w:lang w:val="es-CO" w:eastAsia="es-CO"/>
              </w:rPr>
            </w:pPr>
            <w:r w:rsidRPr="00A21B5C">
              <w:rPr>
                <w:rFonts w:ascii="Arial" w:eastAsia="Times New Roman" w:hAnsi="Arial" w:cs="Arial"/>
                <w:color w:val="000000"/>
                <w:sz w:val="20"/>
                <w:szCs w:val="20"/>
                <w:lang w:val="es-CO" w:eastAsia="es-CO"/>
              </w:rPr>
              <w:t>No publicado.</w:t>
            </w:r>
          </w:p>
        </w:tc>
      </w:tr>
      <w:tr w:rsidR="008C2E4A" w:rsidRPr="00A21B5C" w:rsidTr="00A96D69">
        <w:trPr>
          <w:trHeight w:val="547"/>
        </w:trPr>
        <w:tc>
          <w:tcPr>
            <w:tcW w:w="1150" w:type="pct"/>
            <w:vAlign w:val="center"/>
            <w:hideMark/>
          </w:tcPr>
          <w:p w:rsidR="008C2E4A" w:rsidRPr="00A21B5C" w:rsidRDefault="008C2E4A" w:rsidP="00A21B5C">
            <w:pPr>
              <w:contextualSpacing/>
              <w:jc w:val="center"/>
              <w:rPr>
                <w:rFonts w:ascii="Arial" w:eastAsia="Times New Roman" w:hAnsi="Arial" w:cs="Arial"/>
                <w:bCs/>
                <w:color w:val="000000"/>
                <w:sz w:val="20"/>
                <w:szCs w:val="20"/>
                <w:lang w:val="es-CO" w:eastAsia="es-CO"/>
              </w:rPr>
            </w:pPr>
            <w:r w:rsidRPr="00A21B5C">
              <w:rPr>
                <w:rFonts w:ascii="Arial" w:eastAsia="Times New Roman" w:hAnsi="Arial" w:cs="Arial"/>
                <w:bCs/>
                <w:color w:val="000000"/>
                <w:sz w:val="20"/>
                <w:szCs w:val="20"/>
                <w:lang w:val="es-CO" w:eastAsia="es-CO"/>
              </w:rPr>
              <w:t>N</w:t>
            </w:r>
            <w:r w:rsidR="000F2D8D" w:rsidRPr="00A21B5C">
              <w:rPr>
                <w:rFonts w:ascii="Arial" w:eastAsia="Times New Roman" w:hAnsi="Arial" w:cs="Arial"/>
                <w:bCs/>
                <w:color w:val="000000"/>
                <w:sz w:val="20"/>
                <w:szCs w:val="20"/>
                <w:lang w:val="es-CO" w:eastAsia="es-CO"/>
              </w:rPr>
              <w:t xml:space="preserve">° </w:t>
            </w:r>
            <w:r w:rsidRPr="00A21B5C">
              <w:rPr>
                <w:rFonts w:ascii="Arial" w:eastAsia="Times New Roman" w:hAnsi="Arial" w:cs="Arial"/>
                <w:bCs/>
                <w:color w:val="000000"/>
                <w:sz w:val="20"/>
                <w:szCs w:val="20"/>
                <w:lang w:val="es-CO" w:eastAsia="es-CO"/>
              </w:rPr>
              <w:t>001 de 2019</w:t>
            </w:r>
            <w:r w:rsidR="00494DC5" w:rsidRPr="00A21B5C">
              <w:rPr>
                <w:rFonts w:ascii="Arial" w:eastAsia="Times New Roman" w:hAnsi="Arial" w:cs="Arial"/>
                <w:bCs/>
                <w:color w:val="000000"/>
                <w:sz w:val="20"/>
                <w:szCs w:val="20"/>
                <w:lang w:val="es-CO" w:eastAsia="es-CO"/>
              </w:rPr>
              <w:t xml:space="preserve"> (Compraventa)</w:t>
            </w:r>
          </w:p>
        </w:tc>
        <w:tc>
          <w:tcPr>
            <w:tcW w:w="2114" w:type="pct"/>
            <w:vAlign w:val="center"/>
          </w:tcPr>
          <w:p w:rsidR="008C2E4A" w:rsidRPr="00A21B5C" w:rsidRDefault="008C2E4A" w:rsidP="00A21B5C">
            <w:pPr>
              <w:spacing w:before="40" w:after="40"/>
              <w:contextualSpacing/>
              <w:jc w:val="both"/>
              <w:rPr>
                <w:rFonts w:ascii="Arial" w:eastAsia="Times New Roman" w:hAnsi="Arial" w:cs="Arial"/>
                <w:color w:val="000000"/>
                <w:sz w:val="20"/>
                <w:szCs w:val="20"/>
                <w:lang w:val="es-CO" w:eastAsia="es-CO"/>
              </w:rPr>
            </w:pPr>
            <w:r w:rsidRPr="00A21B5C">
              <w:rPr>
                <w:rFonts w:ascii="Arial" w:eastAsia="Times New Roman" w:hAnsi="Arial" w:cs="Arial"/>
                <w:color w:val="000000"/>
                <w:sz w:val="20"/>
                <w:szCs w:val="20"/>
                <w:lang w:val="es-CO" w:eastAsia="es-CO"/>
              </w:rPr>
              <w:t xml:space="preserve">Adquisición a título de compraventa de mejoras rurales para el saneamiento del territorio del resguardo </w:t>
            </w:r>
            <w:r w:rsidR="00C01E24" w:rsidRPr="00A21B5C">
              <w:rPr>
                <w:rFonts w:ascii="Arial" w:eastAsia="Times New Roman" w:hAnsi="Arial" w:cs="Arial"/>
                <w:color w:val="000000"/>
                <w:sz w:val="20"/>
                <w:szCs w:val="20"/>
                <w:lang w:val="es-CO" w:eastAsia="es-CO"/>
              </w:rPr>
              <w:t>indígena</w:t>
            </w:r>
            <w:r w:rsidRPr="00A21B5C">
              <w:rPr>
                <w:rFonts w:ascii="Arial" w:eastAsia="Times New Roman" w:hAnsi="Arial" w:cs="Arial"/>
                <w:color w:val="000000"/>
                <w:sz w:val="20"/>
                <w:szCs w:val="20"/>
                <w:lang w:val="es-CO" w:eastAsia="es-CO"/>
              </w:rPr>
              <w:t xml:space="preserve"> Kogui Malayo Arhuaco en Jurisdicción del Corregimiento de Rio Ancho Municipio de Dibulla - La Guajira.</w:t>
            </w:r>
          </w:p>
        </w:tc>
        <w:tc>
          <w:tcPr>
            <w:tcW w:w="1736" w:type="pct"/>
            <w:vAlign w:val="center"/>
            <w:hideMark/>
          </w:tcPr>
          <w:p w:rsidR="008C2E4A" w:rsidRPr="00A21B5C" w:rsidRDefault="008C2E4A" w:rsidP="00A21B5C">
            <w:pPr>
              <w:contextualSpacing/>
              <w:jc w:val="both"/>
              <w:rPr>
                <w:rFonts w:ascii="Arial" w:eastAsia="Times New Roman" w:hAnsi="Arial" w:cs="Arial"/>
                <w:color w:val="000000"/>
                <w:sz w:val="20"/>
                <w:szCs w:val="20"/>
                <w:lang w:val="es-CO" w:eastAsia="es-CO"/>
              </w:rPr>
            </w:pPr>
            <w:r w:rsidRPr="00A21B5C">
              <w:rPr>
                <w:rFonts w:ascii="Arial" w:eastAsia="Times New Roman" w:hAnsi="Arial" w:cs="Arial"/>
                <w:color w:val="000000"/>
                <w:sz w:val="20"/>
                <w:szCs w:val="20"/>
                <w:lang w:val="es-CO" w:eastAsia="es-CO"/>
              </w:rPr>
              <w:t>Información de ejecución y pos</w:t>
            </w:r>
            <w:r w:rsidR="00C01E24" w:rsidRPr="00A21B5C">
              <w:rPr>
                <w:rFonts w:ascii="Arial" w:eastAsia="Times New Roman" w:hAnsi="Arial" w:cs="Arial"/>
                <w:color w:val="000000"/>
                <w:sz w:val="20"/>
                <w:szCs w:val="20"/>
                <w:lang w:val="es-CO" w:eastAsia="es-CO"/>
              </w:rPr>
              <w:t>t</w:t>
            </w:r>
            <w:r w:rsidRPr="00A21B5C">
              <w:rPr>
                <w:rFonts w:ascii="Arial" w:eastAsia="Times New Roman" w:hAnsi="Arial" w:cs="Arial"/>
                <w:color w:val="000000"/>
                <w:sz w:val="20"/>
                <w:szCs w:val="20"/>
                <w:lang w:val="es-CO" w:eastAsia="es-CO"/>
              </w:rPr>
              <w:t>contractual: Escritura pública y liquidación del contrato.</w:t>
            </w:r>
          </w:p>
        </w:tc>
      </w:tr>
      <w:tr w:rsidR="008C2E4A" w:rsidRPr="00A21B5C" w:rsidTr="00A96D69">
        <w:trPr>
          <w:trHeight w:val="540"/>
        </w:trPr>
        <w:tc>
          <w:tcPr>
            <w:tcW w:w="1150" w:type="pct"/>
            <w:vAlign w:val="center"/>
            <w:hideMark/>
          </w:tcPr>
          <w:p w:rsidR="008C2E4A" w:rsidRPr="00A21B5C" w:rsidRDefault="008C2E4A" w:rsidP="00A21B5C">
            <w:pPr>
              <w:contextualSpacing/>
              <w:jc w:val="center"/>
              <w:rPr>
                <w:rFonts w:ascii="Arial" w:eastAsia="Times New Roman" w:hAnsi="Arial" w:cs="Arial"/>
                <w:bCs/>
                <w:color w:val="000000"/>
                <w:sz w:val="20"/>
                <w:szCs w:val="20"/>
                <w:lang w:val="es-CO" w:eastAsia="es-CO"/>
              </w:rPr>
            </w:pPr>
            <w:r w:rsidRPr="00A21B5C">
              <w:rPr>
                <w:rFonts w:ascii="Arial" w:eastAsia="Times New Roman" w:hAnsi="Arial" w:cs="Arial"/>
                <w:bCs/>
                <w:color w:val="000000"/>
                <w:sz w:val="20"/>
                <w:szCs w:val="20"/>
                <w:lang w:val="es-CO" w:eastAsia="es-CO"/>
              </w:rPr>
              <w:t>N</w:t>
            </w:r>
            <w:r w:rsidR="000F2D8D" w:rsidRPr="00A21B5C">
              <w:rPr>
                <w:rFonts w:ascii="Arial" w:eastAsia="Times New Roman" w:hAnsi="Arial" w:cs="Arial"/>
                <w:bCs/>
                <w:color w:val="000000"/>
                <w:sz w:val="20"/>
                <w:szCs w:val="20"/>
                <w:lang w:val="es-CO" w:eastAsia="es-CO"/>
              </w:rPr>
              <w:t xml:space="preserve">° </w:t>
            </w:r>
            <w:r w:rsidRPr="00A21B5C">
              <w:rPr>
                <w:rFonts w:ascii="Arial" w:eastAsia="Times New Roman" w:hAnsi="Arial" w:cs="Arial"/>
                <w:bCs/>
                <w:color w:val="000000"/>
                <w:sz w:val="20"/>
                <w:szCs w:val="20"/>
                <w:lang w:val="es-CO" w:eastAsia="es-CO"/>
              </w:rPr>
              <w:t>002 de 2019</w:t>
            </w:r>
            <w:r w:rsidR="00494DC5" w:rsidRPr="00A21B5C">
              <w:rPr>
                <w:rFonts w:ascii="Arial" w:eastAsia="Times New Roman" w:hAnsi="Arial" w:cs="Arial"/>
                <w:bCs/>
                <w:color w:val="000000"/>
                <w:sz w:val="20"/>
                <w:szCs w:val="20"/>
                <w:lang w:val="es-CO" w:eastAsia="es-CO"/>
              </w:rPr>
              <w:t xml:space="preserve"> (Compraventa)</w:t>
            </w:r>
          </w:p>
        </w:tc>
        <w:tc>
          <w:tcPr>
            <w:tcW w:w="2114" w:type="pct"/>
            <w:vAlign w:val="center"/>
          </w:tcPr>
          <w:p w:rsidR="008C2E4A" w:rsidRPr="00A21B5C" w:rsidRDefault="008C2E4A" w:rsidP="00A21B5C">
            <w:pPr>
              <w:spacing w:before="40" w:after="40"/>
              <w:contextualSpacing/>
              <w:jc w:val="both"/>
              <w:rPr>
                <w:rFonts w:ascii="Arial" w:eastAsia="Times New Roman" w:hAnsi="Arial" w:cs="Arial"/>
                <w:color w:val="000000"/>
                <w:sz w:val="20"/>
                <w:szCs w:val="20"/>
                <w:lang w:val="es-CO" w:eastAsia="es-CO"/>
              </w:rPr>
            </w:pPr>
            <w:r w:rsidRPr="00A21B5C">
              <w:rPr>
                <w:rFonts w:ascii="Arial" w:eastAsia="Times New Roman" w:hAnsi="Arial" w:cs="Arial"/>
                <w:color w:val="000000"/>
                <w:sz w:val="20"/>
                <w:szCs w:val="20"/>
                <w:lang w:val="es-CO" w:eastAsia="es-CO"/>
              </w:rPr>
              <w:t>Adquisición a título de compraventa de mejoras rurales para el saneamiento del territorio del resguardo indígena Kogui Malayo Arhuaco, en jurisdicción del Corregimiento de Mingueo Municipio de Dibulla La Guajira.</w:t>
            </w:r>
          </w:p>
        </w:tc>
        <w:tc>
          <w:tcPr>
            <w:tcW w:w="1736" w:type="pct"/>
            <w:vAlign w:val="center"/>
            <w:hideMark/>
          </w:tcPr>
          <w:p w:rsidR="008C2E4A" w:rsidRPr="00A21B5C" w:rsidRDefault="008C2E4A" w:rsidP="00A21B5C">
            <w:pPr>
              <w:contextualSpacing/>
              <w:jc w:val="both"/>
              <w:rPr>
                <w:rFonts w:ascii="Arial" w:eastAsia="Times New Roman" w:hAnsi="Arial" w:cs="Arial"/>
                <w:color w:val="000000"/>
                <w:sz w:val="20"/>
                <w:szCs w:val="20"/>
                <w:lang w:val="es-CO" w:eastAsia="es-CO"/>
              </w:rPr>
            </w:pPr>
            <w:r w:rsidRPr="00A21B5C">
              <w:rPr>
                <w:rFonts w:ascii="Arial" w:eastAsia="Times New Roman" w:hAnsi="Arial" w:cs="Arial"/>
                <w:color w:val="000000"/>
                <w:sz w:val="20"/>
                <w:szCs w:val="20"/>
                <w:lang w:val="es-CO" w:eastAsia="es-CO"/>
              </w:rPr>
              <w:t>Información de ejecución y pos</w:t>
            </w:r>
            <w:r w:rsidR="00C01E24" w:rsidRPr="00A21B5C">
              <w:rPr>
                <w:rFonts w:ascii="Arial" w:eastAsia="Times New Roman" w:hAnsi="Arial" w:cs="Arial"/>
                <w:color w:val="000000"/>
                <w:sz w:val="20"/>
                <w:szCs w:val="20"/>
                <w:lang w:val="es-CO" w:eastAsia="es-CO"/>
              </w:rPr>
              <w:t>t</w:t>
            </w:r>
            <w:r w:rsidRPr="00A21B5C">
              <w:rPr>
                <w:rFonts w:ascii="Arial" w:eastAsia="Times New Roman" w:hAnsi="Arial" w:cs="Arial"/>
                <w:color w:val="000000"/>
                <w:sz w:val="20"/>
                <w:szCs w:val="20"/>
                <w:lang w:val="es-CO" w:eastAsia="es-CO"/>
              </w:rPr>
              <w:t>contractual: Escritura pública y liquidación del contrato.</w:t>
            </w:r>
          </w:p>
        </w:tc>
      </w:tr>
      <w:tr w:rsidR="008C2E4A" w:rsidRPr="00A21B5C" w:rsidTr="00A96D69">
        <w:trPr>
          <w:trHeight w:val="540"/>
        </w:trPr>
        <w:tc>
          <w:tcPr>
            <w:tcW w:w="1150" w:type="pct"/>
            <w:vAlign w:val="center"/>
            <w:hideMark/>
          </w:tcPr>
          <w:p w:rsidR="008C2E4A" w:rsidRPr="00A21B5C" w:rsidRDefault="008C2E4A" w:rsidP="00A21B5C">
            <w:pPr>
              <w:contextualSpacing/>
              <w:jc w:val="center"/>
              <w:rPr>
                <w:rFonts w:ascii="Arial" w:eastAsia="Times New Roman" w:hAnsi="Arial" w:cs="Arial"/>
                <w:bCs/>
                <w:color w:val="000000"/>
                <w:sz w:val="20"/>
                <w:szCs w:val="20"/>
                <w:lang w:val="es-CO" w:eastAsia="es-CO"/>
              </w:rPr>
            </w:pPr>
            <w:r w:rsidRPr="00A21B5C">
              <w:rPr>
                <w:rFonts w:ascii="Arial" w:eastAsia="Times New Roman" w:hAnsi="Arial" w:cs="Arial"/>
                <w:bCs/>
                <w:color w:val="000000"/>
                <w:sz w:val="20"/>
                <w:szCs w:val="20"/>
                <w:lang w:val="es-CO" w:eastAsia="es-CO"/>
              </w:rPr>
              <w:lastRenderedPageBreak/>
              <w:t>N</w:t>
            </w:r>
            <w:r w:rsidR="000F2D8D" w:rsidRPr="00A21B5C">
              <w:rPr>
                <w:rFonts w:ascii="Arial" w:eastAsia="Times New Roman" w:hAnsi="Arial" w:cs="Arial"/>
                <w:bCs/>
                <w:color w:val="000000"/>
                <w:sz w:val="20"/>
                <w:szCs w:val="20"/>
                <w:lang w:val="es-CO" w:eastAsia="es-CO"/>
              </w:rPr>
              <w:t xml:space="preserve">° </w:t>
            </w:r>
            <w:r w:rsidRPr="00A21B5C">
              <w:rPr>
                <w:rFonts w:ascii="Arial" w:eastAsia="Times New Roman" w:hAnsi="Arial" w:cs="Arial"/>
                <w:bCs/>
                <w:color w:val="000000"/>
                <w:sz w:val="20"/>
                <w:szCs w:val="20"/>
                <w:lang w:val="es-CO" w:eastAsia="es-CO"/>
              </w:rPr>
              <w:t>005 de 2019</w:t>
            </w:r>
            <w:r w:rsidR="00494DC5" w:rsidRPr="00A21B5C">
              <w:rPr>
                <w:rFonts w:ascii="Arial" w:eastAsia="Times New Roman" w:hAnsi="Arial" w:cs="Arial"/>
                <w:bCs/>
                <w:color w:val="000000"/>
                <w:sz w:val="20"/>
                <w:szCs w:val="20"/>
                <w:lang w:val="es-CO" w:eastAsia="es-CO"/>
              </w:rPr>
              <w:t xml:space="preserve"> (Compraventa)</w:t>
            </w:r>
          </w:p>
        </w:tc>
        <w:tc>
          <w:tcPr>
            <w:tcW w:w="2114" w:type="pct"/>
            <w:vAlign w:val="center"/>
          </w:tcPr>
          <w:p w:rsidR="008C2E4A" w:rsidRPr="00A21B5C" w:rsidRDefault="008C2E4A" w:rsidP="00A21B5C">
            <w:pPr>
              <w:spacing w:before="40" w:after="40"/>
              <w:contextualSpacing/>
              <w:jc w:val="both"/>
              <w:rPr>
                <w:rFonts w:ascii="Arial" w:eastAsia="Times New Roman" w:hAnsi="Arial" w:cs="Arial"/>
                <w:color w:val="000000"/>
                <w:sz w:val="20"/>
                <w:szCs w:val="20"/>
                <w:lang w:val="es-CO" w:eastAsia="es-CO"/>
              </w:rPr>
            </w:pPr>
            <w:r w:rsidRPr="00A21B5C">
              <w:rPr>
                <w:rFonts w:ascii="Arial" w:eastAsia="Times New Roman" w:hAnsi="Arial" w:cs="Arial"/>
                <w:color w:val="000000"/>
                <w:sz w:val="20"/>
                <w:szCs w:val="20"/>
                <w:lang w:val="es-CO" w:eastAsia="es-CO"/>
              </w:rPr>
              <w:t xml:space="preserve">Adquisición a título de compraventa de mejoras rurales para el saneamiento del territorio del resguardo </w:t>
            </w:r>
            <w:r w:rsidR="00C01E24" w:rsidRPr="00A21B5C">
              <w:rPr>
                <w:rFonts w:ascii="Arial" w:eastAsia="Times New Roman" w:hAnsi="Arial" w:cs="Arial"/>
                <w:color w:val="000000"/>
                <w:sz w:val="20"/>
                <w:szCs w:val="20"/>
                <w:lang w:val="es-CO" w:eastAsia="es-CO"/>
              </w:rPr>
              <w:t>indígena</w:t>
            </w:r>
            <w:r w:rsidRPr="00A21B5C">
              <w:rPr>
                <w:rFonts w:ascii="Arial" w:eastAsia="Times New Roman" w:hAnsi="Arial" w:cs="Arial"/>
                <w:color w:val="000000"/>
                <w:sz w:val="20"/>
                <w:szCs w:val="20"/>
                <w:lang w:val="es-CO" w:eastAsia="es-CO"/>
              </w:rPr>
              <w:t xml:space="preserve"> Kogui Malayo Arhuaco, en jurisdicción del corregimiento de Mingueo -  Municipio de Dibulla La Guajira.</w:t>
            </w:r>
          </w:p>
        </w:tc>
        <w:tc>
          <w:tcPr>
            <w:tcW w:w="1736" w:type="pct"/>
            <w:vAlign w:val="center"/>
            <w:hideMark/>
          </w:tcPr>
          <w:p w:rsidR="008C2E4A" w:rsidRPr="00A21B5C" w:rsidRDefault="008C2E4A" w:rsidP="00A21B5C">
            <w:pPr>
              <w:contextualSpacing/>
              <w:jc w:val="both"/>
              <w:rPr>
                <w:rFonts w:ascii="Arial" w:eastAsia="Times New Roman" w:hAnsi="Arial" w:cs="Arial"/>
                <w:color w:val="000000"/>
                <w:sz w:val="20"/>
                <w:szCs w:val="20"/>
                <w:lang w:val="es-CO" w:eastAsia="es-CO"/>
              </w:rPr>
            </w:pPr>
            <w:r w:rsidRPr="00A21B5C">
              <w:rPr>
                <w:rFonts w:ascii="Arial" w:eastAsia="Times New Roman" w:hAnsi="Arial" w:cs="Arial"/>
                <w:color w:val="000000"/>
                <w:sz w:val="20"/>
                <w:szCs w:val="20"/>
                <w:lang w:val="es-CO" w:eastAsia="es-CO"/>
              </w:rPr>
              <w:t>Información de ejecución y pos</w:t>
            </w:r>
            <w:r w:rsidR="00C01E24" w:rsidRPr="00A21B5C">
              <w:rPr>
                <w:rFonts w:ascii="Arial" w:eastAsia="Times New Roman" w:hAnsi="Arial" w:cs="Arial"/>
                <w:color w:val="000000"/>
                <w:sz w:val="20"/>
                <w:szCs w:val="20"/>
                <w:lang w:val="es-CO" w:eastAsia="es-CO"/>
              </w:rPr>
              <w:t>t</w:t>
            </w:r>
            <w:r w:rsidRPr="00A21B5C">
              <w:rPr>
                <w:rFonts w:ascii="Arial" w:eastAsia="Times New Roman" w:hAnsi="Arial" w:cs="Arial"/>
                <w:color w:val="000000"/>
                <w:sz w:val="20"/>
                <w:szCs w:val="20"/>
                <w:lang w:val="es-CO" w:eastAsia="es-CO"/>
              </w:rPr>
              <w:t>contractual: Escritura pública y liquidación del contrato.</w:t>
            </w:r>
          </w:p>
        </w:tc>
      </w:tr>
    </w:tbl>
    <w:p w:rsidR="00C30866" w:rsidRPr="00A21B5C" w:rsidRDefault="004C5D14" w:rsidP="00A21B5C">
      <w:pPr>
        <w:pBdr>
          <w:bottom w:val="single" w:sz="4" w:space="1" w:color="auto"/>
        </w:pBdr>
        <w:tabs>
          <w:tab w:val="left" w:pos="8460"/>
        </w:tabs>
        <w:contextualSpacing/>
        <w:jc w:val="center"/>
        <w:rPr>
          <w:rFonts w:ascii="Arial" w:hAnsi="Arial" w:cs="Arial"/>
          <w:sz w:val="20"/>
          <w:szCs w:val="20"/>
          <w:lang w:val="es-CO"/>
        </w:rPr>
      </w:pPr>
      <w:r w:rsidRPr="00A21B5C">
        <w:rPr>
          <w:rFonts w:ascii="Arial" w:hAnsi="Arial" w:cs="Arial"/>
          <w:sz w:val="20"/>
          <w:szCs w:val="20"/>
          <w:lang w:val="es-CO"/>
        </w:rPr>
        <w:t xml:space="preserve">Fuente: </w:t>
      </w:r>
      <w:r w:rsidR="00C14FE8" w:rsidRPr="00A21B5C">
        <w:rPr>
          <w:rFonts w:ascii="Arial" w:hAnsi="Arial" w:cs="Arial"/>
          <w:sz w:val="20"/>
          <w:szCs w:val="20"/>
          <w:lang w:val="es-CO"/>
        </w:rPr>
        <w:t>Elaboración propia sobre i</w:t>
      </w:r>
      <w:r w:rsidRPr="00A21B5C">
        <w:rPr>
          <w:rFonts w:ascii="Arial" w:hAnsi="Arial" w:cs="Arial"/>
          <w:sz w:val="20"/>
          <w:szCs w:val="20"/>
          <w:lang w:val="es-CO"/>
        </w:rPr>
        <w:t>nformación consignada en el Sistema Electrónico de Contratación Pública – SECOP</w:t>
      </w:r>
    </w:p>
    <w:p w:rsidR="006A1FF1" w:rsidRPr="00A21B5C" w:rsidRDefault="006A1FF1" w:rsidP="00A21B5C">
      <w:pPr>
        <w:pBdr>
          <w:bottom w:val="single" w:sz="4" w:space="1" w:color="auto"/>
        </w:pBdr>
        <w:tabs>
          <w:tab w:val="left" w:pos="8460"/>
        </w:tabs>
        <w:contextualSpacing/>
        <w:jc w:val="both"/>
        <w:rPr>
          <w:rFonts w:ascii="Arial" w:hAnsi="Arial" w:cs="Arial"/>
          <w:sz w:val="22"/>
          <w:szCs w:val="22"/>
          <w:lang w:val="es-CO"/>
        </w:rPr>
      </w:pPr>
    </w:p>
    <w:p w:rsidR="000F2D8D" w:rsidRPr="00A21B5C" w:rsidRDefault="000F2D8D" w:rsidP="00A21B5C">
      <w:pPr>
        <w:pBdr>
          <w:bottom w:val="single" w:sz="4" w:space="1" w:color="auto"/>
        </w:pBdr>
        <w:tabs>
          <w:tab w:val="left" w:pos="8460"/>
        </w:tabs>
        <w:contextualSpacing/>
        <w:jc w:val="both"/>
        <w:rPr>
          <w:rFonts w:ascii="Arial" w:hAnsi="Arial" w:cs="Arial"/>
          <w:sz w:val="22"/>
          <w:szCs w:val="22"/>
          <w:lang w:val="es-CO"/>
        </w:rPr>
      </w:pPr>
      <w:r w:rsidRPr="00A21B5C">
        <w:rPr>
          <w:rFonts w:ascii="Arial" w:hAnsi="Arial" w:cs="Arial"/>
          <w:sz w:val="22"/>
          <w:szCs w:val="22"/>
          <w:lang w:val="es-CO"/>
        </w:rPr>
        <w:t>A partir de lo consignado en la Tabla N° 7 se evidencia que el Municipio de Dibulla – La G</w:t>
      </w:r>
      <w:r w:rsidR="00564348" w:rsidRPr="00A21B5C">
        <w:rPr>
          <w:rFonts w:ascii="Arial" w:hAnsi="Arial" w:cs="Arial"/>
          <w:sz w:val="22"/>
          <w:szCs w:val="22"/>
          <w:lang w:val="es-CO"/>
        </w:rPr>
        <w:t>uajira no realizó la publicación en el SECOP de la integridad de varios de los expedientes contractuales asociados a la administración de los recursos de la AESGPRI, contraviniendo</w:t>
      </w:r>
      <w:r w:rsidR="00460425" w:rsidRPr="00A21B5C">
        <w:rPr>
          <w:rFonts w:ascii="Arial" w:hAnsi="Arial" w:cs="Arial"/>
          <w:sz w:val="22"/>
          <w:szCs w:val="22"/>
          <w:lang w:val="es-CO"/>
        </w:rPr>
        <w:t xml:space="preserve"> así</w:t>
      </w:r>
      <w:r w:rsidR="00564348" w:rsidRPr="00A21B5C">
        <w:rPr>
          <w:rFonts w:ascii="Arial" w:hAnsi="Arial" w:cs="Arial"/>
          <w:sz w:val="22"/>
          <w:szCs w:val="22"/>
          <w:lang w:val="es-CO"/>
        </w:rPr>
        <w:t xml:space="preserve"> el </w:t>
      </w:r>
      <w:r w:rsidR="00E023F6" w:rsidRPr="00A21B5C">
        <w:rPr>
          <w:rFonts w:ascii="Arial" w:hAnsi="Arial" w:cs="Arial"/>
          <w:sz w:val="22"/>
          <w:szCs w:val="22"/>
          <w:lang w:val="es-CO"/>
        </w:rPr>
        <w:t>P</w:t>
      </w:r>
      <w:r w:rsidR="00564348" w:rsidRPr="00A21B5C">
        <w:rPr>
          <w:rFonts w:ascii="Arial" w:hAnsi="Arial" w:cs="Arial"/>
          <w:sz w:val="22"/>
          <w:szCs w:val="22"/>
          <w:lang w:val="es-CO"/>
        </w:rPr>
        <w:t xml:space="preserve">rincipio de </w:t>
      </w:r>
      <w:r w:rsidR="00E023F6" w:rsidRPr="00A21B5C">
        <w:rPr>
          <w:rFonts w:ascii="Arial" w:hAnsi="Arial" w:cs="Arial"/>
          <w:sz w:val="22"/>
          <w:szCs w:val="22"/>
          <w:lang w:val="es-CO"/>
        </w:rPr>
        <w:t>T</w:t>
      </w:r>
      <w:r w:rsidR="00564348" w:rsidRPr="00A21B5C">
        <w:rPr>
          <w:rFonts w:ascii="Arial" w:hAnsi="Arial" w:cs="Arial"/>
          <w:sz w:val="22"/>
          <w:szCs w:val="22"/>
          <w:lang w:val="es-CO"/>
        </w:rPr>
        <w:t>ransparencia en la Contratación Pública.</w:t>
      </w:r>
    </w:p>
    <w:p w:rsidR="004C5D14" w:rsidRPr="00A21B5C" w:rsidRDefault="004C5D14" w:rsidP="00A21B5C">
      <w:pPr>
        <w:pBdr>
          <w:bottom w:val="single" w:sz="4" w:space="1" w:color="auto"/>
        </w:pBdr>
        <w:tabs>
          <w:tab w:val="left" w:pos="8460"/>
        </w:tabs>
        <w:contextualSpacing/>
        <w:jc w:val="both"/>
        <w:rPr>
          <w:rFonts w:ascii="Arial" w:hAnsi="Arial" w:cs="Arial"/>
          <w:szCs w:val="22"/>
          <w:lang w:val="es-CO"/>
        </w:rPr>
      </w:pPr>
    </w:p>
    <w:p w:rsidR="00C01E24" w:rsidRPr="00A21B5C" w:rsidRDefault="006A1FF1" w:rsidP="00A21B5C">
      <w:pPr>
        <w:pBdr>
          <w:bottom w:val="single" w:sz="4" w:space="1" w:color="auto"/>
        </w:pBdr>
        <w:tabs>
          <w:tab w:val="left" w:pos="8460"/>
        </w:tabs>
        <w:contextualSpacing/>
        <w:jc w:val="both"/>
        <w:rPr>
          <w:rFonts w:ascii="Arial" w:hAnsi="Arial" w:cs="Arial"/>
          <w:b/>
          <w:bCs/>
          <w:szCs w:val="22"/>
          <w:lang w:val="es-CO"/>
        </w:rPr>
      </w:pPr>
      <w:r w:rsidRPr="00A21B5C">
        <w:rPr>
          <w:rFonts w:ascii="Arial" w:hAnsi="Arial" w:cs="Arial"/>
          <w:b/>
          <w:bCs/>
          <w:szCs w:val="22"/>
          <w:lang w:val="es-CO"/>
        </w:rPr>
        <w:t>V. ANÁLISIS DE EJECUCIÓN DE LOS RECURSOS</w:t>
      </w:r>
      <w:r w:rsidR="00E023F6" w:rsidRPr="00A21B5C">
        <w:rPr>
          <w:rFonts w:ascii="Arial" w:hAnsi="Arial" w:cs="Arial"/>
          <w:b/>
          <w:bCs/>
          <w:szCs w:val="22"/>
          <w:lang w:val="es-CO"/>
        </w:rPr>
        <w:t>:</w:t>
      </w:r>
    </w:p>
    <w:p w:rsidR="00C01E24" w:rsidRPr="00A21B5C" w:rsidRDefault="00C01E24" w:rsidP="00A21B5C">
      <w:pPr>
        <w:contextualSpacing/>
        <w:jc w:val="both"/>
        <w:rPr>
          <w:rFonts w:ascii="Arial" w:hAnsi="Arial" w:cs="Arial"/>
          <w:szCs w:val="22"/>
          <w:lang w:val="es-CO"/>
        </w:rPr>
      </w:pPr>
    </w:p>
    <w:p w:rsidR="008C2E4A" w:rsidRPr="00A21B5C" w:rsidRDefault="008C2E4A" w:rsidP="00A21B5C">
      <w:pPr>
        <w:contextualSpacing/>
        <w:jc w:val="both"/>
        <w:rPr>
          <w:rFonts w:ascii="Arial" w:hAnsi="Arial" w:cs="Arial"/>
          <w:i/>
          <w:sz w:val="22"/>
          <w:szCs w:val="22"/>
          <w:lang w:val="es-CO"/>
        </w:rPr>
      </w:pPr>
      <w:r w:rsidRPr="00A21B5C">
        <w:rPr>
          <w:rFonts w:ascii="Arial" w:hAnsi="Arial" w:cs="Arial"/>
          <w:sz w:val="22"/>
          <w:szCs w:val="22"/>
          <w:lang w:val="es-CO"/>
        </w:rPr>
        <w:t xml:space="preserve">A partir del análisis presupuestal, programático y contractual realizado a lo largo del </w:t>
      </w:r>
      <w:r w:rsidR="00C14FE8" w:rsidRPr="00A21B5C">
        <w:rPr>
          <w:rFonts w:ascii="Arial" w:hAnsi="Arial" w:cs="Arial"/>
          <w:sz w:val="22"/>
          <w:szCs w:val="22"/>
          <w:lang w:val="es-CO"/>
        </w:rPr>
        <w:t xml:space="preserve">presente </w:t>
      </w:r>
      <w:r w:rsidRPr="00A21B5C">
        <w:rPr>
          <w:rFonts w:ascii="Arial" w:hAnsi="Arial" w:cs="Arial"/>
          <w:sz w:val="22"/>
          <w:szCs w:val="22"/>
          <w:lang w:val="es-CO"/>
        </w:rPr>
        <w:t>documento</w:t>
      </w:r>
      <w:r w:rsidR="00C14FE8" w:rsidRPr="00A21B5C">
        <w:rPr>
          <w:rFonts w:ascii="Arial" w:hAnsi="Arial" w:cs="Arial"/>
          <w:sz w:val="22"/>
          <w:szCs w:val="22"/>
          <w:lang w:val="es-CO"/>
        </w:rPr>
        <w:t>,</w:t>
      </w:r>
      <w:r w:rsidRPr="00A21B5C">
        <w:rPr>
          <w:rFonts w:ascii="Arial" w:hAnsi="Arial" w:cs="Arial"/>
          <w:sz w:val="22"/>
          <w:szCs w:val="22"/>
          <w:lang w:val="es-CO"/>
        </w:rPr>
        <w:t xml:space="preserve"> se pudieron identificar dos situaciones particulares en el proceso de ejecución de los recursos de la AE</w:t>
      </w:r>
      <w:r w:rsidR="001C2DEC" w:rsidRPr="00A21B5C">
        <w:rPr>
          <w:rFonts w:ascii="Arial" w:hAnsi="Arial" w:cs="Arial"/>
          <w:sz w:val="22"/>
          <w:szCs w:val="22"/>
          <w:lang w:val="es-CO"/>
        </w:rPr>
        <w:t xml:space="preserve">SGPRI </w:t>
      </w:r>
      <w:r w:rsidRPr="00A21B5C">
        <w:rPr>
          <w:rFonts w:ascii="Arial" w:hAnsi="Arial" w:cs="Arial"/>
          <w:sz w:val="22"/>
          <w:szCs w:val="22"/>
          <w:lang w:val="es-CO"/>
        </w:rPr>
        <w:t xml:space="preserve">del </w:t>
      </w:r>
      <w:r w:rsidRPr="00A21B5C">
        <w:rPr>
          <w:rFonts w:ascii="Arial" w:hAnsi="Arial" w:cs="Arial"/>
          <w:iCs/>
          <w:sz w:val="22"/>
          <w:szCs w:val="22"/>
          <w:lang w:val="es-CO"/>
        </w:rPr>
        <w:t xml:space="preserve">Resguardo Kogui </w:t>
      </w:r>
      <w:r w:rsidR="00E37E24" w:rsidRPr="00A21B5C">
        <w:rPr>
          <w:rFonts w:ascii="Arial" w:hAnsi="Arial" w:cs="Arial"/>
          <w:iCs/>
          <w:sz w:val="22"/>
          <w:szCs w:val="22"/>
          <w:lang w:val="es-CO"/>
        </w:rPr>
        <w:t>-</w:t>
      </w:r>
      <w:r w:rsidRPr="00A21B5C">
        <w:rPr>
          <w:rFonts w:ascii="Arial" w:hAnsi="Arial" w:cs="Arial"/>
          <w:iCs/>
          <w:sz w:val="22"/>
          <w:szCs w:val="22"/>
          <w:lang w:val="es-CO"/>
        </w:rPr>
        <w:t xml:space="preserve"> Malayo</w:t>
      </w:r>
      <w:r w:rsidR="00E37E24" w:rsidRPr="00A21B5C">
        <w:rPr>
          <w:rFonts w:ascii="Arial" w:hAnsi="Arial" w:cs="Arial"/>
          <w:iCs/>
          <w:sz w:val="22"/>
          <w:szCs w:val="22"/>
          <w:lang w:val="es-CO"/>
        </w:rPr>
        <w:t xml:space="preserve"> -</w:t>
      </w:r>
      <w:r w:rsidRPr="00A21B5C">
        <w:rPr>
          <w:rFonts w:ascii="Arial" w:hAnsi="Arial" w:cs="Arial"/>
          <w:iCs/>
          <w:sz w:val="22"/>
          <w:szCs w:val="22"/>
          <w:lang w:val="es-CO"/>
        </w:rPr>
        <w:t xml:space="preserve"> Arhuaco</w:t>
      </w:r>
      <w:r w:rsidRPr="00A21B5C">
        <w:rPr>
          <w:rFonts w:ascii="Arial" w:hAnsi="Arial" w:cs="Arial"/>
          <w:i/>
          <w:sz w:val="22"/>
          <w:szCs w:val="22"/>
          <w:lang w:val="es-CO"/>
        </w:rPr>
        <w:t xml:space="preserve"> </w:t>
      </w:r>
      <w:r w:rsidRPr="00A21B5C">
        <w:rPr>
          <w:rFonts w:ascii="Arial" w:hAnsi="Arial" w:cs="Arial"/>
          <w:sz w:val="22"/>
          <w:szCs w:val="22"/>
          <w:lang w:val="es-CO"/>
        </w:rPr>
        <w:t>adelantado por la Entidad Territorial durante las últimas tres vigencias:</w:t>
      </w:r>
    </w:p>
    <w:p w:rsidR="008C2E4A" w:rsidRPr="00A21B5C" w:rsidRDefault="008C2E4A" w:rsidP="00A21B5C">
      <w:pPr>
        <w:contextualSpacing/>
        <w:jc w:val="both"/>
        <w:rPr>
          <w:rFonts w:ascii="Arial" w:hAnsi="Arial" w:cs="Arial"/>
          <w:szCs w:val="22"/>
          <w:lang w:val="es-CO"/>
        </w:rPr>
      </w:pPr>
    </w:p>
    <w:p w:rsidR="008C2E4A" w:rsidRPr="00A21B5C" w:rsidRDefault="008C2E4A">
      <w:pPr>
        <w:pStyle w:val="Prrafodelista"/>
        <w:numPr>
          <w:ilvl w:val="3"/>
          <w:numId w:val="17"/>
        </w:numPr>
        <w:ind w:left="709" w:hanging="283"/>
        <w:jc w:val="both"/>
        <w:rPr>
          <w:rFonts w:ascii="Arial" w:eastAsia="Calibri" w:hAnsi="Arial" w:cs="Arial"/>
          <w:b/>
          <w:sz w:val="22"/>
          <w:szCs w:val="22"/>
          <w:lang w:val="es-CO" w:eastAsia="en-US"/>
        </w:rPr>
      </w:pPr>
      <w:r w:rsidRPr="00A21B5C">
        <w:rPr>
          <w:rFonts w:ascii="Arial" w:eastAsia="Calibri" w:hAnsi="Arial" w:cs="Arial"/>
          <w:bCs/>
          <w:sz w:val="22"/>
          <w:szCs w:val="22"/>
          <w:u w:val="single"/>
          <w:lang w:val="es-CO" w:eastAsia="en-US"/>
        </w:rPr>
        <w:t>Bajos niveles de ejecución de los recursos AESGPRI</w:t>
      </w:r>
      <w:r w:rsidRPr="00A21B5C">
        <w:rPr>
          <w:rFonts w:ascii="Arial" w:eastAsia="Calibri" w:hAnsi="Arial" w:cs="Arial"/>
          <w:b/>
          <w:sz w:val="22"/>
          <w:szCs w:val="22"/>
          <w:u w:val="single"/>
          <w:lang w:val="es-CO" w:eastAsia="en-US"/>
        </w:rPr>
        <w:t>.</w:t>
      </w:r>
    </w:p>
    <w:p w:rsidR="008C2E4A" w:rsidRPr="00A21B5C" w:rsidRDefault="008C2E4A" w:rsidP="00A21B5C">
      <w:pPr>
        <w:contextualSpacing/>
        <w:jc w:val="both"/>
        <w:rPr>
          <w:rFonts w:ascii="Arial" w:eastAsia="Calibri" w:hAnsi="Arial" w:cs="Arial"/>
          <w:b/>
          <w:sz w:val="22"/>
          <w:szCs w:val="22"/>
          <w:lang w:val="es-CO" w:eastAsia="en-US"/>
        </w:rPr>
      </w:pPr>
    </w:p>
    <w:p w:rsidR="008C2E4A" w:rsidRPr="00A21B5C" w:rsidRDefault="008C2E4A" w:rsidP="00A21B5C">
      <w:pPr>
        <w:contextualSpacing/>
        <w:jc w:val="both"/>
        <w:rPr>
          <w:rFonts w:ascii="Arial" w:eastAsia="Calibri" w:hAnsi="Arial" w:cs="Arial"/>
          <w:sz w:val="22"/>
          <w:szCs w:val="22"/>
          <w:lang w:val="es-CO" w:eastAsia="en-US"/>
        </w:rPr>
      </w:pPr>
      <w:r w:rsidRPr="00A21B5C">
        <w:rPr>
          <w:rFonts w:ascii="Arial" w:eastAsia="Calibri" w:hAnsi="Arial" w:cs="Arial"/>
          <w:sz w:val="22"/>
          <w:szCs w:val="22"/>
          <w:lang w:val="es-CO" w:eastAsia="en-US"/>
        </w:rPr>
        <w:t xml:space="preserve">A partir de la información presupuestal compartida por la Entidad Territorial en los documentos de las Ejecuciones Presupuestales de Ingresos y Gastos, se identificó que durante las últimas tres vigencias los recursos de la AESGPRI han presentado porcentajes de ejecución que no sobrepasan el </w:t>
      </w:r>
      <w:r w:rsidR="0073593D" w:rsidRPr="00A21B5C">
        <w:rPr>
          <w:rFonts w:ascii="Arial" w:eastAsia="Calibri" w:hAnsi="Arial" w:cs="Arial"/>
          <w:sz w:val="22"/>
          <w:szCs w:val="22"/>
          <w:lang w:val="es-CO" w:eastAsia="en-US"/>
        </w:rPr>
        <w:t>6</w:t>
      </w:r>
      <w:r w:rsidRPr="00A21B5C">
        <w:rPr>
          <w:rFonts w:ascii="Arial" w:eastAsia="Calibri" w:hAnsi="Arial" w:cs="Arial"/>
          <w:sz w:val="22"/>
          <w:szCs w:val="22"/>
          <w:lang w:val="es-CO" w:eastAsia="en-US"/>
        </w:rPr>
        <w:t>0</w:t>
      </w:r>
      <w:r w:rsidR="00E023F6" w:rsidRPr="00A21B5C">
        <w:rPr>
          <w:rFonts w:ascii="Arial" w:eastAsia="Calibri" w:hAnsi="Arial" w:cs="Arial"/>
          <w:sz w:val="22"/>
          <w:szCs w:val="22"/>
          <w:lang w:val="es-CO" w:eastAsia="en-US"/>
        </w:rPr>
        <w:t xml:space="preserve"> </w:t>
      </w:r>
      <w:r w:rsidRPr="00A21B5C">
        <w:rPr>
          <w:rFonts w:ascii="Arial" w:eastAsia="Calibri" w:hAnsi="Arial" w:cs="Arial"/>
          <w:sz w:val="22"/>
          <w:szCs w:val="22"/>
          <w:lang w:val="es-CO" w:eastAsia="en-US"/>
        </w:rPr>
        <w:t xml:space="preserve">% de los recursos disponibles, destacándose la vigencia fiscal </w:t>
      </w:r>
      <w:r w:rsidR="00C14FE8" w:rsidRPr="00A21B5C">
        <w:rPr>
          <w:rFonts w:ascii="Arial" w:eastAsia="Calibri" w:hAnsi="Arial" w:cs="Arial"/>
          <w:sz w:val="22"/>
          <w:szCs w:val="22"/>
          <w:lang w:val="es-CO" w:eastAsia="en-US"/>
        </w:rPr>
        <w:t xml:space="preserve">2018, </w:t>
      </w:r>
      <w:r w:rsidRPr="00A21B5C">
        <w:rPr>
          <w:rFonts w:ascii="Arial" w:eastAsia="Calibri" w:hAnsi="Arial" w:cs="Arial"/>
          <w:sz w:val="22"/>
          <w:szCs w:val="22"/>
          <w:lang w:val="es-CO" w:eastAsia="en-US"/>
        </w:rPr>
        <w:t>en donde se ejecutó solo el 8</w:t>
      </w:r>
      <w:r w:rsidR="00E023F6" w:rsidRPr="00A21B5C">
        <w:rPr>
          <w:rFonts w:ascii="Arial" w:eastAsia="Calibri" w:hAnsi="Arial" w:cs="Arial"/>
          <w:sz w:val="22"/>
          <w:szCs w:val="22"/>
          <w:lang w:val="es-CO" w:eastAsia="en-US"/>
        </w:rPr>
        <w:t xml:space="preserve"> </w:t>
      </w:r>
      <w:r w:rsidRPr="00A21B5C">
        <w:rPr>
          <w:rFonts w:ascii="Arial" w:eastAsia="Calibri" w:hAnsi="Arial" w:cs="Arial"/>
          <w:sz w:val="22"/>
          <w:szCs w:val="22"/>
          <w:lang w:val="es-CO" w:eastAsia="en-US"/>
        </w:rPr>
        <w:t>% de los recursos. Lo anterior, teniendo en cuenta que fueron priorizados e incorporados a los Contratos de Administración de las vigencias 2016 a 2018, proyectos con asignación de recursos AESGPRI iguales a la totalidad de recursos disponibles para cada una de las vigencias, como se detalló en el apartado contractual de este documento:</w:t>
      </w:r>
    </w:p>
    <w:p w:rsidR="00C30866" w:rsidRPr="00A21B5C" w:rsidRDefault="00C30866" w:rsidP="00A21B5C">
      <w:pPr>
        <w:contextualSpacing/>
        <w:rPr>
          <w:rFonts w:ascii="Arial" w:eastAsia="Calibri" w:hAnsi="Arial" w:cs="Arial"/>
          <w:bCs/>
          <w:color w:val="000000" w:themeColor="text1"/>
          <w:sz w:val="22"/>
          <w:szCs w:val="22"/>
          <w:lang w:val="es-CO" w:eastAsia="en-US"/>
        </w:rPr>
      </w:pPr>
    </w:p>
    <w:p w:rsidR="008C2E4A" w:rsidRPr="00A21B5C" w:rsidRDefault="008C2E4A" w:rsidP="00A21B5C">
      <w:pPr>
        <w:spacing w:after="120"/>
        <w:contextualSpacing/>
        <w:jc w:val="center"/>
        <w:rPr>
          <w:rFonts w:ascii="Arial" w:eastAsia="Calibri" w:hAnsi="Arial" w:cs="Arial"/>
          <w:sz w:val="22"/>
          <w:szCs w:val="22"/>
          <w:lang w:val="es-CO" w:eastAsia="en-US"/>
        </w:rPr>
      </w:pPr>
      <w:r w:rsidRPr="00A21B5C">
        <w:rPr>
          <w:rFonts w:ascii="Arial" w:eastAsia="Calibri" w:hAnsi="Arial" w:cs="Arial"/>
          <w:b/>
          <w:color w:val="000000" w:themeColor="text1"/>
          <w:sz w:val="22"/>
          <w:szCs w:val="22"/>
          <w:lang w:val="es-CO" w:eastAsia="en-US"/>
        </w:rPr>
        <w:t xml:space="preserve">Gráfico N° </w:t>
      </w:r>
      <w:r w:rsidR="00AE5DAC" w:rsidRPr="00A21B5C">
        <w:rPr>
          <w:rFonts w:ascii="Arial" w:eastAsia="Calibri" w:hAnsi="Arial" w:cs="Arial"/>
          <w:b/>
          <w:color w:val="000000" w:themeColor="text1"/>
          <w:sz w:val="22"/>
          <w:szCs w:val="22"/>
          <w:lang w:val="es-CO" w:eastAsia="en-US"/>
        </w:rPr>
        <w:t>4</w:t>
      </w:r>
      <w:r w:rsidRPr="00A21B5C">
        <w:rPr>
          <w:rFonts w:ascii="Arial" w:eastAsia="Calibri" w:hAnsi="Arial" w:cs="Arial"/>
          <w:b/>
          <w:color w:val="000000" w:themeColor="text1"/>
          <w:sz w:val="22"/>
          <w:szCs w:val="22"/>
          <w:lang w:val="es-CO" w:eastAsia="en-US"/>
        </w:rPr>
        <w:t xml:space="preserve">: </w:t>
      </w:r>
      <w:r w:rsidRPr="00A21B5C">
        <w:rPr>
          <w:rFonts w:ascii="Arial" w:eastAsia="Calibri" w:hAnsi="Arial" w:cs="Arial"/>
          <w:color w:val="000000" w:themeColor="text1"/>
          <w:sz w:val="22"/>
          <w:szCs w:val="22"/>
          <w:lang w:val="es-CO" w:eastAsia="en-US"/>
        </w:rPr>
        <w:t>Nivel</w:t>
      </w:r>
      <w:r w:rsidR="00BE3308" w:rsidRPr="00A21B5C">
        <w:rPr>
          <w:rFonts w:ascii="Arial" w:eastAsia="Calibri" w:hAnsi="Arial" w:cs="Arial"/>
          <w:color w:val="000000" w:themeColor="text1"/>
          <w:sz w:val="22"/>
          <w:szCs w:val="22"/>
          <w:lang w:val="es-CO" w:eastAsia="en-US"/>
        </w:rPr>
        <w:t xml:space="preserve"> d</w:t>
      </w:r>
      <w:r w:rsidRPr="00A21B5C">
        <w:rPr>
          <w:rFonts w:ascii="Arial" w:eastAsia="Calibri" w:hAnsi="Arial" w:cs="Arial"/>
          <w:color w:val="000000" w:themeColor="text1"/>
          <w:sz w:val="22"/>
          <w:szCs w:val="22"/>
          <w:lang w:val="es-CO" w:eastAsia="en-US"/>
        </w:rPr>
        <w:t xml:space="preserve">e ejecución de los recursos AESGPRI del Resguardo </w:t>
      </w:r>
      <w:r w:rsidRPr="00A21B5C">
        <w:rPr>
          <w:rFonts w:ascii="Arial" w:eastAsia="Calibri" w:hAnsi="Arial" w:cs="Arial"/>
          <w:iCs/>
          <w:color w:val="000000" w:themeColor="text1"/>
          <w:sz w:val="22"/>
          <w:szCs w:val="22"/>
          <w:lang w:val="es-CO" w:eastAsia="en-US"/>
        </w:rPr>
        <w:t xml:space="preserve">Kogui </w:t>
      </w:r>
      <w:r w:rsidR="009A2959" w:rsidRPr="00A21B5C">
        <w:rPr>
          <w:rFonts w:ascii="Arial" w:eastAsia="Calibri" w:hAnsi="Arial" w:cs="Arial"/>
          <w:iCs/>
          <w:color w:val="000000" w:themeColor="text1"/>
          <w:sz w:val="22"/>
          <w:szCs w:val="22"/>
          <w:lang w:val="es-CO" w:eastAsia="en-US"/>
        </w:rPr>
        <w:t xml:space="preserve">– </w:t>
      </w:r>
      <w:r w:rsidRPr="00A21B5C">
        <w:rPr>
          <w:rFonts w:ascii="Arial" w:eastAsia="Calibri" w:hAnsi="Arial" w:cs="Arial"/>
          <w:iCs/>
          <w:color w:val="000000" w:themeColor="text1"/>
          <w:sz w:val="22"/>
          <w:szCs w:val="22"/>
          <w:lang w:val="es-CO" w:eastAsia="en-US"/>
        </w:rPr>
        <w:t>Malayo</w:t>
      </w:r>
      <w:r w:rsidR="009A2959" w:rsidRPr="00A21B5C">
        <w:rPr>
          <w:rFonts w:ascii="Arial" w:eastAsia="Calibri" w:hAnsi="Arial" w:cs="Arial"/>
          <w:iCs/>
          <w:color w:val="000000" w:themeColor="text1"/>
          <w:sz w:val="22"/>
          <w:szCs w:val="22"/>
          <w:lang w:val="es-CO" w:eastAsia="en-US"/>
        </w:rPr>
        <w:t xml:space="preserve"> -</w:t>
      </w:r>
      <w:r w:rsidRPr="00A21B5C">
        <w:rPr>
          <w:rFonts w:ascii="Arial" w:eastAsia="Calibri" w:hAnsi="Arial" w:cs="Arial"/>
          <w:iCs/>
          <w:color w:val="000000" w:themeColor="text1"/>
          <w:sz w:val="22"/>
          <w:szCs w:val="22"/>
          <w:lang w:val="es-CO" w:eastAsia="en-US"/>
        </w:rPr>
        <w:t xml:space="preserve"> Arhuaco</w:t>
      </w:r>
    </w:p>
    <w:p w:rsidR="005C397E" w:rsidRPr="00A21B5C" w:rsidRDefault="005C397E" w:rsidP="00A21B5C">
      <w:pPr>
        <w:contextualSpacing/>
        <w:jc w:val="center"/>
        <w:rPr>
          <w:rFonts w:ascii="Arial" w:eastAsia="Calibri" w:hAnsi="Arial" w:cs="Arial"/>
          <w:sz w:val="22"/>
          <w:szCs w:val="22"/>
          <w:lang w:val="es-CO" w:eastAsia="en-US"/>
        </w:rPr>
      </w:pPr>
      <w:r w:rsidRPr="00A21B5C">
        <w:rPr>
          <w:rFonts w:ascii="Arial" w:hAnsi="Arial" w:cs="Arial"/>
          <w:noProof/>
          <w:lang w:val="es-CO" w:eastAsia="es-CO"/>
        </w:rPr>
        <w:drawing>
          <wp:inline distT="0" distB="0" distL="0" distR="0">
            <wp:extent cx="4448175" cy="1724025"/>
            <wp:effectExtent l="0" t="0" r="9525" b="9525"/>
            <wp:docPr id="1" name="Gráfico 1">
              <a:extLst xmlns:a="http://schemas.openxmlformats.org/drawingml/2006/main">
                <a:ext uri="{FF2B5EF4-FFF2-40B4-BE49-F238E27FC236}">
                  <a16:creationId xmlns:a16="http://schemas.microsoft.com/office/drawing/2014/main" id="{B3708F57-5B57-418C-9CC1-A8BAE27DAF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8C2E4A" w:rsidRPr="00A21B5C" w:rsidRDefault="008C2E4A" w:rsidP="00A21B5C">
      <w:pPr>
        <w:contextualSpacing/>
        <w:jc w:val="center"/>
        <w:rPr>
          <w:rFonts w:ascii="Arial" w:eastAsia="Calibri" w:hAnsi="Arial" w:cs="Arial"/>
          <w:iCs/>
          <w:sz w:val="20"/>
          <w:szCs w:val="20"/>
          <w:lang w:val="es-CO" w:eastAsia="en-US"/>
        </w:rPr>
      </w:pPr>
      <w:r w:rsidRPr="00A21B5C">
        <w:rPr>
          <w:rFonts w:ascii="Arial" w:eastAsia="Calibri" w:hAnsi="Arial" w:cs="Arial"/>
          <w:b/>
          <w:iCs/>
          <w:sz w:val="20"/>
          <w:szCs w:val="20"/>
          <w:lang w:val="es-CO" w:eastAsia="en-US"/>
        </w:rPr>
        <w:t>Fuente:</w:t>
      </w:r>
      <w:r w:rsidRPr="00A21B5C">
        <w:rPr>
          <w:rFonts w:ascii="Arial" w:eastAsia="Calibri" w:hAnsi="Arial" w:cs="Arial"/>
          <w:iCs/>
          <w:sz w:val="20"/>
          <w:szCs w:val="20"/>
          <w:lang w:val="es-CO" w:eastAsia="en-US"/>
        </w:rPr>
        <w:t xml:space="preserve"> E</w:t>
      </w:r>
      <w:r w:rsidR="00C14FE8" w:rsidRPr="00A21B5C">
        <w:rPr>
          <w:rFonts w:ascii="Arial" w:eastAsia="Calibri" w:hAnsi="Arial" w:cs="Arial"/>
          <w:iCs/>
          <w:sz w:val="20"/>
          <w:szCs w:val="20"/>
          <w:lang w:val="es-CO" w:eastAsia="en-US"/>
        </w:rPr>
        <w:t>laboración propia sobre e</w:t>
      </w:r>
      <w:r w:rsidRPr="00A21B5C">
        <w:rPr>
          <w:rFonts w:ascii="Arial" w:eastAsia="Calibri" w:hAnsi="Arial" w:cs="Arial"/>
          <w:iCs/>
          <w:sz w:val="20"/>
          <w:szCs w:val="20"/>
          <w:lang w:val="es-CO" w:eastAsia="en-US"/>
        </w:rPr>
        <w:t>jecuciones presupuestales y Contratos de Administración. Vigencias 2016 a 201</w:t>
      </w:r>
      <w:r w:rsidR="005C397E" w:rsidRPr="00A21B5C">
        <w:rPr>
          <w:rFonts w:ascii="Arial" w:eastAsia="Calibri" w:hAnsi="Arial" w:cs="Arial"/>
          <w:iCs/>
          <w:sz w:val="20"/>
          <w:szCs w:val="20"/>
          <w:lang w:val="es-CO" w:eastAsia="en-US"/>
        </w:rPr>
        <w:t>9</w:t>
      </w:r>
      <w:r w:rsidRPr="00A21B5C">
        <w:rPr>
          <w:rFonts w:ascii="Arial" w:eastAsia="Calibri" w:hAnsi="Arial" w:cs="Arial"/>
          <w:iCs/>
          <w:sz w:val="20"/>
          <w:szCs w:val="20"/>
          <w:lang w:val="es-CO" w:eastAsia="en-US"/>
        </w:rPr>
        <w:t>.</w:t>
      </w:r>
    </w:p>
    <w:p w:rsidR="008C2E4A" w:rsidRPr="00A21B5C" w:rsidRDefault="008C2E4A" w:rsidP="00A21B5C">
      <w:pPr>
        <w:spacing w:before="120"/>
        <w:contextualSpacing/>
        <w:rPr>
          <w:rFonts w:ascii="Arial" w:eastAsia="Calibri" w:hAnsi="Arial" w:cs="Arial"/>
          <w:iCs/>
          <w:sz w:val="22"/>
          <w:szCs w:val="28"/>
          <w:lang w:val="es-CO" w:eastAsia="en-US"/>
        </w:rPr>
      </w:pPr>
    </w:p>
    <w:p w:rsidR="008C2E4A" w:rsidRPr="00A21B5C" w:rsidRDefault="008C2E4A" w:rsidP="00A21B5C">
      <w:pPr>
        <w:contextualSpacing/>
        <w:jc w:val="both"/>
        <w:rPr>
          <w:rFonts w:ascii="Arial" w:hAnsi="Arial" w:cs="Arial"/>
          <w:sz w:val="22"/>
          <w:szCs w:val="22"/>
          <w:lang w:val="es-CO"/>
        </w:rPr>
      </w:pPr>
      <w:r w:rsidRPr="00A21B5C">
        <w:rPr>
          <w:rFonts w:ascii="Arial" w:hAnsi="Arial" w:cs="Arial"/>
          <w:sz w:val="22"/>
          <w:szCs w:val="22"/>
          <w:lang w:val="es-CO"/>
        </w:rPr>
        <w:t>Así mismo, dada la particularidad en la</w:t>
      </w:r>
      <w:r w:rsidR="00282C7A" w:rsidRPr="00A21B5C">
        <w:rPr>
          <w:rFonts w:ascii="Arial" w:hAnsi="Arial" w:cs="Arial"/>
          <w:sz w:val="22"/>
          <w:szCs w:val="22"/>
          <w:lang w:val="es-CO"/>
        </w:rPr>
        <w:t xml:space="preserve"> forma de </w:t>
      </w:r>
      <w:r w:rsidRPr="00A21B5C">
        <w:rPr>
          <w:rFonts w:ascii="Arial" w:hAnsi="Arial" w:cs="Arial"/>
          <w:sz w:val="22"/>
          <w:szCs w:val="22"/>
          <w:lang w:val="es-CO"/>
        </w:rPr>
        <w:t>programa</w:t>
      </w:r>
      <w:r w:rsidR="00282C7A" w:rsidRPr="00A21B5C">
        <w:rPr>
          <w:rFonts w:ascii="Arial" w:hAnsi="Arial" w:cs="Arial"/>
          <w:sz w:val="22"/>
          <w:szCs w:val="22"/>
          <w:lang w:val="es-CO"/>
        </w:rPr>
        <w:t>r</w:t>
      </w:r>
      <w:r w:rsidRPr="00A21B5C">
        <w:rPr>
          <w:rFonts w:ascii="Arial" w:hAnsi="Arial" w:cs="Arial"/>
          <w:sz w:val="22"/>
          <w:szCs w:val="22"/>
          <w:lang w:val="es-CO"/>
        </w:rPr>
        <w:t xml:space="preserve"> de los recursos de la AESGPRI por parte del Resguardo Indígena </w:t>
      </w:r>
      <w:r w:rsidRPr="00A21B5C">
        <w:rPr>
          <w:rFonts w:ascii="Arial" w:hAnsi="Arial" w:cs="Arial"/>
          <w:iCs/>
          <w:sz w:val="22"/>
          <w:szCs w:val="22"/>
          <w:lang w:val="es-CO"/>
        </w:rPr>
        <w:t>Kogui – Malayo – Arhuaco</w:t>
      </w:r>
      <w:r w:rsidRPr="00A21B5C">
        <w:rPr>
          <w:rStyle w:val="Refdenotaalpie"/>
          <w:rFonts w:ascii="Arial" w:hAnsi="Arial" w:cs="Arial"/>
          <w:sz w:val="22"/>
          <w:szCs w:val="22"/>
          <w:lang w:val="es-CO"/>
        </w:rPr>
        <w:footnoteReference w:id="54"/>
      </w:r>
      <w:r w:rsidRPr="00A21B5C">
        <w:rPr>
          <w:rFonts w:ascii="Arial" w:hAnsi="Arial" w:cs="Arial"/>
          <w:sz w:val="22"/>
          <w:szCs w:val="22"/>
          <w:lang w:val="es-CO"/>
        </w:rPr>
        <w:t xml:space="preserve">, se evidenciaron divergencias en los niveles de ejecución de los recursos programados por cada Pueblo Indígena, con </w:t>
      </w:r>
      <w:r w:rsidR="00252558" w:rsidRPr="00A21B5C">
        <w:rPr>
          <w:rFonts w:ascii="Arial" w:hAnsi="Arial" w:cs="Arial"/>
          <w:sz w:val="22"/>
          <w:szCs w:val="22"/>
          <w:lang w:val="es-CO"/>
        </w:rPr>
        <w:t xml:space="preserve">mayor propensión </w:t>
      </w:r>
      <w:r w:rsidRPr="00A21B5C">
        <w:rPr>
          <w:rFonts w:ascii="Arial" w:hAnsi="Arial" w:cs="Arial"/>
          <w:sz w:val="22"/>
          <w:szCs w:val="22"/>
          <w:lang w:val="es-CO"/>
        </w:rPr>
        <w:t>a la ejecución de los recursos del Pueblo Kogui, como se detalla en el Gráfico 2.</w:t>
      </w:r>
    </w:p>
    <w:p w:rsidR="008C2E4A" w:rsidRPr="00A21B5C" w:rsidRDefault="008C2E4A" w:rsidP="00A21B5C">
      <w:pPr>
        <w:spacing w:before="120"/>
        <w:contextualSpacing/>
        <w:rPr>
          <w:rFonts w:ascii="Arial" w:eastAsia="Calibri" w:hAnsi="Arial" w:cs="Arial"/>
          <w:i/>
          <w:sz w:val="22"/>
          <w:szCs w:val="22"/>
          <w:lang w:val="es-CO" w:eastAsia="en-US"/>
        </w:rPr>
      </w:pPr>
    </w:p>
    <w:p w:rsidR="008C2E4A" w:rsidRPr="00A21B5C" w:rsidRDefault="008C2E4A" w:rsidP="00A21B5C">
      <w:pPr>
        <w:contextualSpacing/>
        <w:jc w:val="center"/>
        <w:rPr>
          <w:rFonts w:ascii="Arial" w:hAnsi="Arial" w:cs="Arial"/>
          <w:sz w:val="22"/>
          <w:szCs w:val="22"/>
          <w:lang w:val="es-CO"/>
        </w:rPr>
      </w:pPr>
      <w:r w:rsidRPr="00A21B5C">
        <w:rPr>
          <w:rFonts w:ascii="Arial" w:hAnsi="Arial" w:cs="Arial"/>
          <w:b/>
          <w:sz w:val="22"/>
          <w:szCs w:val="22"/>
          <w:lang w:val="es-CO"/>
        </w:rPr>
        <w:t>Gráfico N°</w:t>
      </w:r>
      <w:r w:rsidR="00C30866" w:rsidRPr="00A21B5C">
        <w:rPr>
          <w:rFonts w:ascii="Arial" w:hAnsi="Arial" w:cs="Arial"/>
          <w:b/>
          <w:sz w:val="22"/>
          <w:szCs w:val="22"/>
          <w:lang w:val="es-CO"/>
        </w:rPr>
        <w:t>5</w:t>
      </w:r>
      <w:r w:rsidRPr="00A21B5C">
        <w:rPr>
          <w:rFonts w:ascii="Arial" w:hAnsi="Arial" w:cs="Arial"/>
          <w:b/>
          <w:sz w:val="22"/>
          <w:szCs w:val="22"/>
          <w:lang w:val="es-CO"/>
        </w:rPr>
        <w:t>:</w:t>
      </w:r>
      <w:r w:rsidRPr="00A21B5C">
        <w:rPr>
          <w:rFonts w:ascii="Arial" w:hAnsi="Arial" w:cs="Arial"/>
          <w:i/>
          <w:sz w:val="22"/>
          <w:szCs w:val="22"/>
          <w:lang w:val="es-CO"/>
        </w:rPr>
        <w:t xml:space="preserve"> </w:t>
      </w:r>
      <w:r w:rsidRPr="00A21B5C">
        <w:rPr>
          <w:rFonts w:ascii="Arial" w:hAnsi="Arial" w:cs="Arial"/>
          <w:sz w:val="22"/>
          <w:szCs w:val="22"/>
          <w:lang w:val="es-CO"/>
        </w:rPr>
        <w:t xml:space="preserve">Ejecución de recursos AESGPRI por pueblo indígena del Resguardo </w:t>
      </w:r>
      <w:r w:rsidRPr="00A21B5C">
        <w:rPr>
          <w:rFonts w:ascii="Arial" w:hAnsi="Arial" w:cs="Arial"/>
          <w:iCs/>
          <w:sz w:val="22"/>
          <w:szCs w:val="22"/>
          <w:lang w:val="es-CO"/>
        </w:rPr>
        <w:t>Kogui – Malayo</w:t>
      </w:r>
      <w:r w:rsidR="00175643" w:rsidRPr="00A21B5C">
        <w:rPr>
          <w:rFonts w:ascii="Arial" w:hAnsi="Arial" w:cs="Arial"/>
          <w:iCs/>
          <w:sz w:val="22"/>
          <w:szCs w:val="22"/>
          <w:lang w:val="es-CO"/>
        </w:rPr>
        <w:t xml:space="preserve"> - Arhuaco</w:t>
      </w:r>
      <w:r w:rsidRPr="00A21B5C">
        <w:rPr>
          <w:rFonts w:ascii="Arial" w:hAnsi="Arial" w:cs="Arial"/>
          <w:iCs/>
          <w:sz w:val="22"/>
          <w:szCs w:val="22"/>
          <w:lang w:val="es-CO"/>
        </w:rPr>
        <w:t>.</w:t>
      </w:r>
      <w:r w:rsidRPr="00A21B5C">
        <w:rPr>
          <w:rFonts w:ascii="Arial" w:hAnsi="Arial" w:cs="Arial"/>
          <w:sz w:val="22"/>
          <w:szCs w:val="22"/>
          <w:lang w:val="es-CO"/>
        </w:rPr>
        <w:t xml:space="preserve"> Vigencia 2016 – 2018</w:t>
      </w:r>
      <w:r w:rsidR="005C397E" w:rsidRPr="00A21B5C">
        <w:rPr>
          <w:rStyle w:val="Refdenotaalpie"/>
          <w:rFonts w:ascii="Arial" w:hAnsi="Arial" w:cs="Arial"/>
          <w:sz w:val="22"/>
          <w:szCs w:val="22"/>
          <w:lang w:val="es-CO"/>
        </w:rPr>
        <w:footnoteReference w:id="55"/>
      </w:r>
      <w:r w:rsidRPr="00A21B5C">
        <w:rPr>
          <w:rFonts w:ascii="Arial" w:hAnsi="Arial" w:cs="Arial"/>
          <w:sz w:val="22"/>
          <w:szCs w:val="22"/>
          <w:lang w:val="es-CO"/>
        </w:rPr>
        <w:t>.</w:t>
      </w:r>
    </w:p>
    <w:p w:rsidR="008C2E4A" w:rsidRPr="00A21B5C" w:rsidRDefault="008C2E4A" w:rsidP="00A21B5C">
      <w:pPr>
        <w:contextualSpacing/>
        <w:rPr>
          <w:rFonts w:ascii="Arial" w:hAnsi="Arial" w:cs="Arial"/>
          <w:noProof/>
          <w:lang w:val="es-CO" w:eastAsia="es-CO"/>
        </w:rPr>
      </w:pPr>
      <w:r w:rsidRPr="00A21B5C">
        <w:rPr>
          <w:rFonts w:ascii="Arial" w:hAnsi="Arial" w:cs="Arial"/>
          <w:noProof/>
          <w:lang w:val="es-CO" w:eastAsia="es-CO"/>
        </w:rPr>
        <w:t xml:space="preserve"> </w:t>
      </w:r>
      <w:r w:rsidRPr="00A21B5C">
        <w:rPr>
          <w:rFonts w:ascii="Arial" w:hAnsi="Arial" w:cs="Arial"/>
          <w:noProof/>
          <w:lang w:val="es-CO" w:eastAsia="es-CO"/>
        </w:rPr>
        <w:drawing>
          <wp:inline distT="0" distB="0" distL="0" distR="0">
            <wp:extent cx="1866900" cy="2371725"/>
            <wp:effectExtent l="0" t="0" r="0" b="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A21B5C">
        <w:rPr>
          <w:rFonts w:ascii="Arial" w:hAnsi="Arial" w:cs="Arial"/>
          <w:noProof/>
          <w:lang w:val="es-CO" w:eastAsia="es-CO"/>
        </w:rPr>
        <w:t xml:space="preserve"> </w:t>
      </w:r>
      <w:r w:rsidRPr="00A21B5C">
        <w:rPr>
          <w:rFonts w:ascii="Arial" w:hAnsi="Arial" w:cs="Arial"/>
          <w:noProof/>
          <w:lang w:val="es-CO" w:eastAsia="es-CO"/>
        </w:rPr>
        <w:drawing>
          <wp:inline distT="0" distB="0" distL="0" distR="0">
            <wp:extent cx="1714500" cy="2371725"/>
            <wp:effectExtent l="0" t="0" r="0" b="0"/>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Pr="00A21B5C">
        <w:rPr>
          <w:rFonts w:ascii="Arial" w:hAnsi="Arial" w:cs="Arial"/>
          <w:noProof/>
          <w:lang w:val="es-CO" w:eastAsia="es-CO"/>
        </w:rPr>
        <w:t xml:space="preserve"> </w:t>
      </w:r>
      <w:r w:rsidRPr="00A21B5C">
        <w:rPr>
          <w:rFonts w:ascii="Arial" w:hAnsi="Arial" w:cs="Arial"/>
          <w:noProof/>
          <w:lang w:val="es-CO" w:eastAsia="es-CO"/>
        </w:rPr>
        <w:drawing>
          <wp:inline distT="0" distB="0" distL="0" distR="0">
            <wp:extent cx="1838325" cy="2390775"/>
            <wp:effectExtent l="0" t="0" r="0" b="0"/>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8C2E4A" w:rsidRPr="00A21B5C" w:rsidRDefault="008C2E4A" w:rsidP="00A21B5C">
      <w:pPr>
        <w:contextualSpacing/>
        <w:jc w:val="center"/>
        <w:rPr>
          <w:rFonts w:ascii="Arial" w:eastAsia="Calibri" w:hAnsi="Arial" w:cs="Arial"/>
          <w:iCs/>
          <w:sz w:val="20"/>
          <w:szCs w:val="20"/>
          <w:lang w:val="es-CO" w:eastAsia="en-US"/>
        </w:rPr>
      </w:pPr>
      <w:r w:rsidRPr="00A21B5C">
        <w:rPr>
          <w:rFonts w:ascii="Arial" w:eastAsia="Calibri" w:hAnsi="Arial" w:cs="Arial"/>
          <w:b/>
          <w:iCs/>
          <w:sz w:val="20"/>
          <w:szCs w:val="20"/>
          <w:lang w:val="es-CO" w:eastAsia="en-US"/>
        </w:rPr>
        <w:t>Fuente:</w:t>
      </w:r>
      <w:r w:rsidRPr="00A21B5C">
        <w:rPr>
          <w:rFonts w:ascii="Arial" w:eastAsia="Calibri" w:hAnsi="Arial" w:cs="Arial"/>
          <w:iCs/>
          <w:sz w:val="20"/>
          <w:szCs w:val="20"/>
          <w:lang w:val="es-CO" w:eastAsia="en-US"/>
        </w:rPr>
        <w:t xml:space="preserve"> Ejecuciones presupuestales y Contratos de Administración. Vigencias 2016 a 2018.</w:t>
      </w:r>
    </w:p>
    <w:p w:rsidR="008C2E4A" w:rsidRPr="00A21B5C" w:rsidRDefault="008C2E4A">
      <w:pPr>
        <w:pStyle w:val="Prrafodelista"/>
        <w:rPr>
          <w:rFonts w:ascii="Arial" w:eastAsia="Calibri" w:hAnsi="Arial" w:cs="Arial"/>
          <w:b/>
          <w:sz w:val="22"/>
          <w:szCs w:val="22"/>
          <w:lang w:val="es-CO" w:eastAsia="en-US"/>
        </w:rPr>
      </w:pPr>
    </w:p>
    <w:p w:rsidR="008C2E4A" w:rsidRPr="00A21B5C" w:rsidRDefault="008C2E4A">
      <w:pPr>
        <w:pStyle w:val="Prrafodelista"/>
        <w:numPr>
          <w:ilvl w:val="2"/>
          <w:numId w:val="17"/>
        </w:numPr>
        <w:ind w:left="709" w:hanging="283"/>
        <w:jc w:val="both"/>
        <w:rPr>
          <w:rFonts w:ascii="Arial" w:eastAsia="Calibri" w:hAnsi="Arial" w:cs="Arial"/>
          <w:bCs/>
          <w:sz w:val="22"/>
          <w:szCs w:val="22"/>
          <w:u w:val="single"/>
          <w:lang w:val="es-CO" w:eastAsia="en-US"/>
        </w:rPr>
      </w:pPr>
      <w:r w:rsidRPr="00A21B5C">
        <w:rPr>
          <w:rFonts w:ascii="Arial" w:eastAsia="Calibri" w:hAnsi="Arial" w:cs="Arial"/>
          <w:bCs/>
          <w:sz w:val="22"/>
          <w:szCs w:val="22"/>
          <w:u w:val="single"/>
          <w:lang w:val="es-CO" w:eastAsia="en-US"/>
        </w:rPr>
        <w:t>Ejecución de pocos proyectos</w:t>
      </w:r>
      <w:r w:rsidR="00733AC2" w:rsidRPr="00A21B5C">
        <w:rPr>
          <w:rFonts w:ascii="Arial" w:eastAsia="Calibri" w:hAnsi="Arial" w:cs="Arial"/>
          <w:bCs/>
          <w:sz w:val="22"/>
          <w:szCs w:val="22"/>
          <w:u w:val="single"/>
          <w:lang w:val="es-CO" w:eastAsia="en-US"/>
        </w:rPr>
        <w:t>.</w:t>
      </w:r>
    </w:p>
    <w:p w:rsidR="008C2E4A" w:rsidRPr="00A21B5C" w:rsidRDefault="008C2E4A" w:rsidP="00A21B5C">
      <w:pPr>
        <w:contextualSpacing/>
        <w:jc w:val="both"/>
        <w:rPr>
          <w:rFonts w:ascii="Arial" w:eastAsia="Calibri" w:hAnsi="Arial" w:cs="Arial"/>
          <w:b/>
          <w:sz w:val="22"/>
          <w:szCs w:val="22"/>
          <w:lang w:val="es-CO" w:eastAsia="en-US"/>
        </w:rPr>
      </w:pPr>
    </w:p>
    <w:p w:rsidR="008C2E4A" w:rsidRPr="00A21B5C" w:rsidRDefault="008C2E4A" w:rsidP="00A21B5C">
      <w:pPr>
        <w:contextualSpacing/>
        <w:jc w:val="both"/>
        <w:rPr>
          <w:rFonts w:ascii="Arial" w:hAnsi="Arial" w:cs="Arial"/>
          <w:i/>
          <w:sz w:val="22"/>
          <w:szCs w:val="22"/>
          <w:lang w:val="es-CO"/>
        </w:rPr>
      </w:pPr>
      <w:r w:rsidRPr="00A21B5C">
        <w:rPr>
          <w:rFonts w:ascii="Arial" w:hAnsi="Arial" w:cs="Arial"/>
          <w:sz w:val="22"/>
          <w:szCs w:val="22"/>
          <w:lang w:val="es-CO"/>
        </w:rPr>
        <w:t>A partir de los objetos contractuales conocidos en revisión a los expedientes contractuales detallados en el apartado contractual de este documento, se evidenció que durante las vigencias 2017 y 2018, se d</w:t>
      </w:r>
      <w:r w:rsidR="00C14FE8" w:rsidRPr="00A21B5C">
        <w:rPr>
          <w:rFonts w:ascii="Arial" w:hAnsi="Arial" w:cs="Arial"/>
          <w:sz w:val="22"/>
          <w:szCs w:val="22"/>
          <w:lang w:val="es-CO"/>
        </w:rPr>
        <w:t>i</w:t>
      </w:r>
      <w:r w:rsidRPr="00A21B5C">
        <w:rPr>
          <w:rFonts w:ascii="Arial" w:hAnsi="Arial" w:cs="Arial"/>
          <w:sz w:val="22"/>
          <w:szCs w:val="22"/>
          <w:lang w:val="es-CO"/>
        </w:rPr>
        <w:t xml:space="preserve">o prelación a la ejecución del proyecto de inversión de </w:t>
      </w:r>
      <w:r w:rsidRPr="00A21B5C">
        <w:rPr>
          <w:rFonts w:ascii="Arial" w:hAnsi="Arial" w:cs="Arial"/>
          <w:i/>
          <w:sz w:val="22"/>
          <w:szCs w:val="22"/>
          <w:lang w:val="es-CO"/>
        </w:rPr>
        <w:t>“Ampliación y saneamiento del Resguardo Indígena”</w:t>
      </w:r>
      <w:r w:rsidRPr="00A21B5C">
        <w:rPr>
          <w:rFonts w:ascii="Arial" w:hAnsi="Arial" w:cs="Arial"/>
          <w:sz w:val="22"/>
          <w:szCs w:val="22"/>
          <w:lang w:val="es-CO"/>
        </w:rPr>
        <w:t xml:space="preserve"> asociado al </w:t>
      </w:r>
      <w:r w:rsidR="00E023F6" w:rsidRPr="00A21B5C">
        <w:rPr>
          <w:rFonts w:ascii="Arial" w:hAnsi="Arial" w:cs="Arial"/>
          <w:sz w:val="22"/>
          <w:szCs w:val="22"/>
          <w:lang w:val="es-CO"/>
        </w:rPr>
        <w:t>S</w:t>
      </w:r>
      <w:r w:rsidRPr="00A21B5C">
        <w:rPr>
          <w:rFonts w:ascii="Arial" w:hAnsi="Arial" w:cs="Arial"/>
          <w:sz w:val="22"/>
          <w:szCs w:val="22"/>
          <w:lang w:val="es-CO"/>
        </w:rPr>
        <w:t xml:space="preserve">ector de Desarrollo Agropecuario, aun cuando en los Contratos de Administración de </w:t>
      </w:r>
      <w:r w:rsidR="00921567" w:rsidRPr="00A21B5C">
        <w:rPr>
          <w:rFonts w:ascii="Arial" w:hAnsi="Arial" w:cs="Arial"/>
          <w:sz w:val="22"/>
          <w:szCs w:val="22"/>
          <w:lang w:val="es-CO"/>
        </w:rPr>
        <w:t>dichas</w:t>
      </w:r>
      <w:r w:rsidRPr="00A21B5C">
        <w:rPr>
          <w:rFonts w:ascii="Arial" w:hAnsi="Arial" w:cs="Arial"/>
          <w:sz w:val="22"/>
          <w:szCs w:val="22"/>
          <w:lang w:val="es-CO"/>
        </w:rPr>
        <w:t xml:space="preserve"> vigencias, fueron priorizados proyectos en otros </w:t>
      </w:r>
      <w:r w:rsidR="00E023F6" w:rsidRPr="00A21B5C">
        <w:rPr>
          <w:rFonts w:ascii="Arial" w:hAnsi="Arial" w:cs="Arial"/>
          <w:sz w:val="22"/>
          <w:szCs w:val="22"/>
          <w:lang w:val="es-CO"/>
        </w:rPr>
        <w:t>S</w:t>
      </w:r>
      <w:r w:rsidRPr="00A21B5C">
        <w:rPr>
          <w:rFonts w:ascii="Arial" w:hAnsi="Arial" w:cs="Arial"/>
          <w:sz w:val="22"/>
          <w:szCs w:val="22"/>
          <w:lang w:val="es-CO"/>
        </w:rPr>
        <w:t>ectores como Educación, Cultura, Salud e Infraestructura. Esta situación</w:t>
      </w:r>
      <w:r w:rsidR="00DA7291" w:rsidRPr="00A21B5C">
        <w:rPr>
          <w:rFonts w:ascii="Arial" w:hAnsi="Arial" w:cs="Arial"/>
          <w:sz w:val="22"/>
          <w:szCs w:val="22"/>
          <w:lang w:val="es-CO"/>
        </w:rPr>
        <w:t xml:space="preserve"> es</w:t>
      </w:r>
      <w:r w:rsidRPr="00A21B5C">
        <w:rPr>
          <w:rFonts w:ascii="Arial" w:hAnsi="Arial" w:cs="Arial"/>
          <w:sz w:val="22"/>
          <w:szCs w:val="22"/>
          <w:lang w:val="es-CO"/>
        </w:rPr>
        <w:t xml:space="preserve"> reiterativa para el primer trimestre de 2019, en donde se evidenció que </w:t>
      </w:r>
      <w:r w:rsidR="0066342D" w:rsidRPr="00A21B5C">
        <w:rPr>
          <w:rFonts w:ascii="Arial" w:hAnsi="Arial" w:cs="Arial"/>
          <w:sz w:val="22"/>
          <w:szCs w:val="22"/>
          <w:lang w:val="es-CO"/>
        </w:rPr>
        <w:t>los</w:t>
      </w:r>
      <w:r w:rsidRPr="00A21B5C">
        <w:rPr>
          <w:rFonts w:ascii="Arial" w:hAnsi="Arial" w:cs="Arial"/>
          <w:sz w:val="22"/>
          <w:szCs w:val="22"/>
          <w:lang w:val="es-CO"/>
        </w:rPr>
        <w:t xml:space="preserve"> cinco (5) Contratos de Ejecución </w:t>
      </w:r>
      <w:r w:rsidR="0066342D" w:rsidRPr="00A21B5C">
        <w:rPr>
          <w:rFonts w:ascii="Arial" w:hAnsi="Arial" w:cs="Arial"/>
          <w:sz w:val="22"/>
          <w:szCs w:val="22"/>
          <w:lang w:val="es-CO"/>
        </w:rPr>
        <w:t xml:space="preserve">suscritos a este corte </w:t>
      </w:r>
      <w:r w:rsidR="00B57110" w:rsidRPr="00A21B5C">
        <w:rPr>
          <w:rFonts w:ascii="Arial" w:hAnsi="Arial" w:cs="Arial"/>
          <w:sz w:val="22"/>
          <w:szCs w:val="22"/>
          <w:lang w:val="es-CO"/>
        </w:rPr>
        <w:t>en el marco de</w:t>
      </w:r>
      <w:r w:rsidRPr="00A21B5C">
        <w:rPr>
          <w:rFonts w:ascii="Arial" w:hAnsi="Arial" w:cs="Arial"/>
          <w:sz w:val="22"/>
          <w:szCs w:val="22"/>
          <w:lang w:val="es-CO"/>
        </w:rPr>
        <w:t xml:space="preserve"> la administración de los recursos </w:t>
      </w:r>
      <w:r w:rsidR="00B57110" w:rsidRPr="00A21B5C">
        <w:rPr>
          <w:rFonts w:ascii="Arial" w:hAnsi="Arial" w:cs="Arial"/>
          <w:sz w:val="22"/>
          <w:szCs w:val="22"/>
          <w:lang w:val="es-CO"/>
        </w:rPr>
        <w:t xml:space="preserve">de la </w:t>
      </w:r>
      <w:r w:rsidRPr="00A21B5C">
        <w:rPr>
          <w:rFonts w:ascii="Arial" w:hAnsi="Arial" w:cs="Arial"/>
          <w:sz w:val="22"/>
          <w:szCs w:val="22"/>
          <w:lang w:val="es-CO"/>
        </w:rPr>
        <w:t xml:space="preserve">AESGPRI, </w:t>
      </w:r>
      <w:r w:rsidR="00B57110" w:rsidRPr="00A21B5C">
        <w:rPr>
          <w:rFonts w:ascii="Arial" w:hAnsi="Arial" w:cs="Arial"/>
          <w:sz w:val="22"/>
          <w:szCs w:val="22"/>
          <w:lang w:val="es-CO"/>
        </w:rPr>
        <w:t>estuvieron</w:t>
      </w:r>
      <w:r w:rsidRPr="00A21B5C">
        <w:rPr>
          <w:rFonts w:ascii="Arial" w:hAnsi="Arial" w:cs="Arial"/>
          <w:sz w:val="22"/>
          <w:szCs w:val="22"/>
          <w:lang w:val="es-CO"/>
        </w:rPr>
        <w:t xml:space="preserve"> asociados a la </w:t>
      </w:r>
      <w:r w:rsidRPr="00A21B5C">
        <w:rPr>
          <w:rFonts w:ascii="Arial" w:hAnsi="Arial" w:cs="Arial"/>
          <w:i/>
          <w:sz w:val="22"/>
          <w:szCs w:val="22"/>
          <w:lang w:val="es-CO"/>
        </w:rPr>
        <w:t>“Ampliación y saneamiento del Resguardo”.</w:t>
      </w:r>
    </w:p>
    <w:p w:rsidR="00E91EEB" w:rsidRPr="00A21B5C" w:rsidRDefault="00E91EEB">
      <w:pPr>
        <w:rPr>
          <w:rFonts w:ascii="Arial" w:hAnsi="Arial" w:cs="Arial"/>
          <w:i/>
          <w:sz w:val="22"/>
          <w:szCs w:val="22"/>
          <w:lang w:val="es-CO"/>
        </w:rPr>
      </w:pPr>
      <w:r w:rsidRPr="00A21B5C">
        <w:rPr>
          <w:rFonts w:ascii="Arial" w:hAnsi="Arial" w:cs="Arial"/>
          <w:i/>
          <w:sz w:val="22"/>
          <w:szCs w:val="22"/>
          <w:lang w:val="es-CO"/>
        </w:rPr>
        <w:br w:type="page"/>
      </w:r>
    </w:p>
    <w:p w:rsidR="008C2E4A" w:rsidRPr="00A21B5C" w:rsidRDefault="00BE3308" w:rsidP="00A21B5C">
      <w:pPr>
        <w:contextualSpacing/>
        <w:jc w:val="center"/>
        <w:rPr>
          <w:rFonts w:ascii="Arial" w:hAnsi="Arial" w:cs="Arial"/>
          <w:sz w:val="22"/>
          <w:szCs w:val="22"/>
          <w:lang w:val="es-CO"/>
        </w:rPr>
      </w:pPr>
      <w:r w:rsidRPr="00A21B5C">
        <w:rPr>
          <w:rFonts w:ascii="Arial" w:eastAsia="Calibri" w:hAnsi="Arial" w:cs="Arial"/>
          <w:b/>
          <w:color w:val="000000" w:themeColor="text1"/>
          <w:sz w:val="22"/>
          <w:szCs w:val="22"/>
          <w:lang w:val="es-CO" w:eastAsia="en-US"/>
        </w:rPr>
        <w:lastRenderedPageBreak/>
        <w:t xml:space="preserve">Gráfico N° 6: </w:t>
      </w:r>
      <w:r w:rsidR="00856787" w:rsidRPr="00A21B5C">
        <w:rPr>
          <w:rFonts w:ascii="Arial" w:eastAsia="Calibri" w:hAnsi="Arial" w:cs="Arial"/>
          <w:bCs/>
          <w:color w:val="000000" w:themeColor="text1"/>
          <w:sz w:val="22"/>
          <w:szCs w:val="22"/>
          <w:lang w:val="es-CO" w:eastAsia="en-US"/>
        </w:rPr>
        <w:t>P</w:t>
      </w:r>
      <w:r w:rsidR="00257697" w:rsidRPr="00A21B5C">
        <w:rPr>
          <w:rFonts w:ascii="Arial" w:eastAsia="Calibri" w:hAnsi="Arial" w:cs="Arial"/>
          <w:color w:val="000000" w:themeColor="text1"/>
          <w:sz w:val="22"/>
          <w:szCs w:val="22"/>
          <w:lang w:val="es-CO" w:eastAsia="en-US"/>
        </w:rPr>
        <w:t>royectos</w:t>
      </w:r>
      <w:r w:rsidRPr="00A21B5C">
        <w:rPr>
          <w:rFonts w:ascii="Arial" w:eastAsia="Calibri" w:hAnsi="Arial" w:cs="Arial"/>
          <w:color w:val="000000" w:themeColor="text1"/>
          <w:sz w:val="22"/>
          <w:szCs w:val="22"/>
          <w:lang w:val="es-CO" w:eastAsia="en-US"/>
        </w:rPr>
        <w:t xml:space="preserve"> del Resguardo </w:t>
      </w:r>
      <w:r w:rsidRPr="00A21B5C">
        <w:rPr>
          <w:rFonts w:ascii="Arial" w:eastAsia="Calibri" w:hAnsi="Arial" w:cs="Arial"/>
          <w:iCs/>
          <w:color w:val="000000" w:themeColor="text1"/>
          <w:sz w:val="22"/>
          <w:szCs w:val="22"/>
          <w:lang w:val="es-CO" w:eastAsia="en-US"/>
        </w:rPr>
        <w:t xml:space="preserve">Kogui – Malayo </w:t>
      </w:r>
      <w:r w:rsidR="00040218" w:rsidRPr="00A21B5C">
        <w:rPr>
          <w:rFonts w:ascii="Arial" w:eastAsia="Calibri" w:hAnsi="Arial" w:cs="Arial"/>
          <w:iCs/>
          <w:color w:val="000000" w:themeColor="text1"/>
          <w:sz w:val="22"/>
          <w:szCs w:val="22"/>
          <w:lang w:val="es-CO" w:eastAsia="en-US"/>
        </w:rPr>
        <w:t>–</w:t>
      </w:r>
      <w:r w:rsidRPr="00A21B5C">
        <w:rPr>
          <w:rFonts w:ascii="Arial" w:eastAsia="Calibri" w:hAnsi="Arial" w:cs="Arial"/>
          <w:iCs/>
          <w:color w:val="000000" w:themeColor="text1"/>
          <w:sz w:val="22"/>
          <w:szCs w:val="22"/>
          <w:lang w:val="es-CO" w:eastAsia="en-US"/>
        </w:rPr>
        <w:t xml:space="preserve"> Arhuaco</w:t>
      </w:r>
      <w:r w:rsidR="00856787" w:rsidRPr="00A21B5C">
        <w:rPr>
          <w:rFonts w:ascii="Arial" w:eastAsia="Calibri" w:hAnsi="Arial" w:cs="Arial"/>
          <w:iCs/>
          <w:color w:val="000000" w:themeColor="text1"/>
          <w:sz w:val="22"/>
          <w:szCs w:val="22"/>
          <w:lang w:val="es-CO" w:eastAsia="en-US"/>
        </w:rPr>
        <w:t xml:space="preserve"> ejecutados.</w:t>
      </w:r>
    </w:p>
    <w:p w:rsidR="008C2E4A" w:rsidRPr="00A21B5C" w:rsidRDefault="008C2E4A" w:rsidP="00A21B5C">
      <w:pPr>
        <w:contextualSpacing/>
        <w:jc w:val="center"/>
        <w:rPr>
          <w:rFonts w:ascii="Arial" w:hAnsi="Arial" w:cs="Arial"/>
          <w:sz w:val="22"/>
          <w:szCs w:val="22"/>
          <w:lang w:val="es-CO"/>
        </w:rPr>
      </w:pPr>
      <w:r w:rsidRPr="00A21B5C">
        <w:rPr>
          <w:rFonts w:ascii="Arial" w:hAnsi="Arial" w:cs="Arial"/>
          <w:noProof/>
          <w:lang w:val="es-CO" w:eastAsia="es-CO"/>
        </w:rPr>
        <w:drawing>
          <wp:inline distT="0" distB="0" distL="0" distR="0">
            <wp:extent cx="3190875" cy="1943100"/>
            <wp:effectExtent l="0" t="0" r="0" b="0"/>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8C2E4A" w:rsidRPr="00A21B5C" w:rsidRDefault="008C2E4A" w:rsidP="00A21B5C">
      <w:pPr>
        <w:contextualSpacing/>
        <w:jc w:val="center"/>
        <w:rPr>
          <w:rFonts w:ascii="Arial" w:hAnsi="Arial" w:cs="Arial"/>
          <w:sz w:val="20"/>
          <w:szCs w:val="20"/>
          <w:lang w:val="es-CO"/>
        </w:rPr>
      </w:pPr>
      <w:r w:rsidRPr="00A21B5C">
        <w:rPr>
          <w:rFonts w:ascii="Arial" w:hAnsi="Arial" w:cs="Arial"/>
          <w:b/>
          <w:sz w:val="20"/>
          <w:szCs w:val="20"/>
          <w:lang w:val="es-CO"/>
        </w:rPr>
        <w:t>Fuente:</w:t>
      </w:r>
      <w:r w:rsidRPr="00A21B5C">
        <w:rPr>
          <w:rFonts w:ascii="Arial" w:hAnsi="Arial" w:cs="Arial"/>
          <w:sz w:val="20"/>
          <w:szCs w:val="20"/>
          <w:lang w:val="es-CO"/>
        </w:rPr>
        <w:t xml:space="preserve"> Contratos de Administración y contratos de ejecución. Vigencias 2017 y 2018.</w:t>
      </w:r>
    </w:p>
    <w:p w:rsidR="008C2E4A" w:rsidRPr="00A21B5C" w:rsidRDefault="008C2E4A" w:rsidP="00A21B5C">
      <w:pPr>
        <w:contextualSpacing/>
        <w:rPr>
          <w:rFonts w:ascii="Arial" w:hAnsi="Arial" w:cs="Arial"/>
          <w:sz w:val="28"/>
          <w:szCs w:val="28"/>
          <w:lang w:val="es-CO"/>
        </w:rPr>
      </w:pPr>
    </w:p>
    <w:p w:rsidR="00430392" w:rsidRPr="00A21B5C" w:rsidRDefault="00430392" w:rsidP="00A21B5C">
      <w:pPr>
        <w:contextualSpacing/>
        <w:jc w:val="center"/>
        <w:rPr>
          <w:rFonts w:ascii="Arial" w:hAnsi="Arial" w:cs="Arial"/>
          <w:sz w:val="22"/>
          <w:szCs w:val="22"/>
          <w:lang w:val="es-CO"/>
        </w:rPr>
      </w:pPr>
      <w:r w:rsidRPr="00A21B5C">
        <w:rPr>
          <w:rFonts w:ascii="Arial" w:eastAsia="Calibri" w:hAnsi="Arial" w:cs="Arial"/>
          <w:b/>
          <w:color w:val="000000" w:themeColor="text1"/>
          <w:sz w:val="22"/>
          <w:szCs w:val="22"/>
          <w:lang w:val="es-CO" w:eastAsia="en-US"/>
        </w:rPr>
        <w:t xml:space="preserve">Gráfico N° 7: </w:t>
      </w:r>
      <w:r w:rsidR="00856787" w:rsidRPr="00A21B5C">
        <w:rPr>
          <w:rFonts w:ascii="Arial" w:eastAsia="Calibri" w:hAnsi="Arial" w:cs="Arial"/>
          <w:color w:val="000000" w:themeColor="text1"/>
          <w:sz w:val="22"/>
          <w:szCs w:val="22"/>
          <w:lang w:val="es-CO" w:eastAsia="en-US"/>
        </w:rPr>
        <w:t>P</w:t>
      </w:r>
      <w:r w:rsidRPr="00A21B5C">
        <w:rPr>
          <w:rFonts w:ascii="Arial" w:eastAsia="Calibri" w:hAnsi="Arial" w:cs="Arial"/>
          <w:color w:val="000000" w:themeColor="text1"/>
          <w:sz w:val="22"/>
          <w:szCs w:val="22"/>
          <w:lang w:val="es-CO" w:eastAsia="en-US"/>
        </w:rPr>
        <w:t xml:space="preserve">royectos del Resguardo </w:t>
      </w:r>
      <w:r w:rsidRPr="00A21B5C">
        <w:rPr>
          <w:rFonts w:ascii="Arial" w:eastAsia="Calibri" w:hAnsi="Arial" w:cs="Arial"/>
          <w:iCs/>
          <w:color w:val="000000" w:themeColor="text1"/>
          <w:sz w:val="22"/>
          <w:szCs w:val="22"/>
          <w:lang w:val="es-CO" w:eastAsia="en-US"/>
        </w:rPr>
        <w:t>Kogui – Malayo – Arhuaco</w:t>
      </w:r>
      <w:r w:rsidR="00856787" w:rsidRPr="00A21B5C">
        <w:rPr>
          <w:rFonts w:ascii="Arial" w:eastAsia="Calibri" w:hAnsi="Arial" w:cs="Arial"/>
          <w:iCs/>
          <w:color w:val="000000" w:themeColor="text1"/>
          <w:sz w:val="22"/>
          <w:szCs w:val="22"/>
          <w:lang w:val="es-CO" w:eastAsia="en-US"/>
        </w:rPr>
        <w:t xml:space="preserve"> ejecutados por sector.</w:t>
      </w:r>
    </w:p>
    <w:p w:rsidR="008C2E4A" w:rsidRPr="00A21B5C" w:rsidRDefault="008C2E4A" w:rsidP="00A21B5C">
      <w:pPr>
        <w:contextualSpacing/>
        <w:rPr>
          <w:rFonts w:ascii="Arial" w:hAnsi="Arial" w:cs="Arial"/>
          <w:noProof/>
          <w:lang w:val="es-CO" w:eastAsia="es-CO"/>
        </w:rPr>
      </w:pPr>
      <w:r w:rsidRPr="00A21B5C">
        <w:rPr>
          <w:rFonts w:ascii="Arial" w:hAnsi="Arial" w:cs="Arial"/>
          <w:noProof/>
          <w:lang w:val="es-CO" w:eastAsia="es-CO"/>
        </w:rPr>
        <w:drawing>
          <wp:inline distT="0" distB="0" distL="0" distR="0">
            <wp:extent cx="2800350" cy="2057400"/>
            <wp:effectExtent l="0" t="0" r="0" b="0"/>
            <wp:docPr id="28" name="Gráfico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A21B5C">
        <w:rPr>
          <w:rFonts w:ascii="Arial" w:hAnsi="Arial" w:cs="Arial"/>
          <w:noProof/>
          <w:lang w:val="es-CO" w:eastAsia="es-CO"/>
        </w:rPr>
        <w:t xml:space="preserve"> </w:t>
      </w:r>
      <w:r w:rsidRPr="00A21B5C">
        <w:rPr>
          <w:rFonts w:ascii="Arial" w:hAnsi="Arial" w:cs="Arial"/>
          <w:noProof/>
          <w:lang w:val="es-CO" w:eastAsia="es-CO"/>
        </w:rPr>
        <w:drawing>
          <wp:inline distT="0" distB="0" distL="0" distR="0">
            <wp:extent cx="2733675" cy="2047875"/>
            <wp:effectExtent l="0" t="0" r="0" b="0"/>
            <wp:docPr id="29" name="Gráfico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8C2E4A" w:rsidRPr="00A21B5C" w:rsidRDefault="008C2E4A" w:rsidP="00A21B5C">
      <w:pPr>
        <w:contextualSpacing/>
        <w:jc w:val="center"/>
        <w:rPr>
          <w:rFonts w:ascii="Arial" w:hAnsi="Arial" w:cs="Arial"/>
          <w:sz w:val="20"/>
          <w:szCs w:val="20"/>
          <w:lang w:val="es-CO"/>
        </w:rPr>
      </w:pPr>
      <w:r w:rsidRPr="00A21B5C">
        <w:rPr>
          <w:rFonts w:ascii="Arial" w:hAnsi="Arial" w:cs="Arial"/>
          <w:b/>
          <w:sz w:val="20"/>
          <w:szCs w:val="20"/>
          <w:lang w:val="es-CO"/>
        </w:rPr>
        <w:t>Fuente:</w:t>
      </w:r>
      <w:r w:rsidRPr="00A21B5C">
        <w:rPr>
          <w:rFonts w:ascii="Arial" w:hAnsi="Arial" w:cs="Arial"/>
          <w:sz w:val="20"/>
          <w:szCs w:val="20"/>
          <w:lang w:val="es-CO"/>
        </w:rPr>
        <w:t xml:space="preserve"> Contratos de Administración y contratos de ejecución. Vigencias 2017 y 2018.</w:t>
      </w:r>
    </w:p>
    <w:p w:rsidR="00366F5A" w:rsidRPr="00A21B5C" w:rsidRDefault="00366F5A" w:rsidP="00A21B5C">
      <w:pPr>
        <w:contextualSpacing/>
        <w:rPr>
          <w:rFonts w:ascii="Arial" w:hAnsi="Arial" w:cs="Arial"/>
          <w:sz w:val="22"/>
          <w:szCs w:val="22"/>
          <w:lang w:val="es-CO"/>
        </w:rPr>
      </w:pPr>
    </w:p>
    <w:p w:rsidR="0044105E" w:rsidRPr="00A21B5C" w:rsidRDefault="00366F5A" w:rsidP="00A21B5C">
      <w:pPr>
        <w:pBdr>
          <w:bottom w:val="single" w:sz="4" w:space="1" w:color="auto"/>
        </w:pBdr>
        <w:tabs>
          <w:tab w:val="left" w:pos="8460"/>
        </w:tabs>
        <w:contextualSpacing/>
        <w:jc w:val="both"/>
        <w:rPr>
          <w:rFonts w:ascii="Arial" w:hAnsi="Arial" w:cs="Arial"/>
          <w:sz w:val="22"/>
          <w:lang w:val="es-CO"/>
        </w:rPr>
      </w:pPr>
      <w:r w:rsidRPr="00A21B5C">
        <w:rPr>
          <w:rFonts w:ascii="Arial" w:hAnsi="Arial" w:cs="Arial"/>
          <w:sz w:val="22"/>
          <w:lang w:val="es-CO"/>
        </w:rPr>
        <w:t xml:space="preserve">Esta situación resulta problemática dado que </w:t>
      </w:r>
      <w:r w:rsidR="0044105E" w:rsidRPr="00A21B5C">
        <w:rPr>
          <w:rFonts w:ascii="Arial" w:hAnsi="Arial" w:cs="Arial"/>
          <w:sz w:val="22"/>
          <w:lang w:val="es-CO"/>
        </w:rPr>
        <w:t xml:space="preserve">la no ejecución de los proyectos priorizados por el Resguardo contraviene el objetivo mismo de los recursos de la AESGPRI, que corresponde al mejoramiento de la calidad de vida de la población que habita dentro del Resguardo. Además, </w:t>
      </w:r>
      <w:r w:rsidRPr="00A21B5C">
        <w:rPr>
          <w:rFonts w:ascii="Arial" w:hAnsi="Arial" w:cs="Arial"/>
          <w:sz w:val="22"/>
          <w:lang w:val="es-CO"/>
        </w:rPr>
        <w:t>pareciera que la no ejecución de la totalidad de los proyectos retrasa la identificación de nuevas necesidades y alternativas de solución por parte del Resguardo y en consecuencia el desarrollo de este en sus diferentes dimensiones, ya que como se evidencia</w:t>
      </w:r>
      <w:r w:rsidR="00415A52" w:rsidRPr="00A21B5C">
        <w:rPr>
          <w:rFonts w:ascii="Arial" w:hAnsi="Arial" w:cs="Arial"/>
          <w:sz w:val="22"/>
          <w:lang w:val="es-CO"/>
        </w:rPr>
        <w:t>,</w:t>
      </w:r>
      <w:r w:rsidRPr="00A21B5C">
        <w:rPr>
          <w:rFonts w:ascii="Arial" w:hAnsi="Arial" w:cs="Arial"/>
          <w:sz w:val="22"/>
          <w:lang w:val="es-CO"/>
        </w:rPr>
        <w:t xml:space="preserve"> muchos de los proyectos no ejecutados en una vigencia pasan a</w:t>
      </w:r>
      <w:r w:rsidR="0044105E" w:rsidRPr="00A21B5C">
        <w:rPr>
          <w:rFonts w:ascii="Arial" w:hAnsi="Arial" w:cs="Arial"/>
          <w:sz w:val="22"/>
          <w:lang w:val="es-CO"/>
        </w:rPr>
        <w:t xml:space="preserve"> ser los priorizados de </w:t>
      </w:r>
      <w:r w:rsidRPr="00A21B5C">
        <w:rPr>
          <w:rFonts w:ascii="Arial" w:hAnsi="Arial" w:cs="Arial"/>
          <w:sz w:val="22"/>
          <w:lang w:val="es-CO"/>
        </w:rPr>
        <w:t>la siguiente</w:t>
      </w:r>
      <w:r w:rsidR="0044105E" w:rsidRPr="00A21B5C">
        <w:rPr>
          <w:rFonts w:ascii="Arial" w:hAnsi="Arial" w:cs="Arial"/>
          <w:sz w:val="22"/>
          <w:lang w:val="es-CO"/>
        </w:rPr>
        <w:t xml:space="preserve"> vigencia.</w:t>
      </w:r>
    </w:p>
    <w:p w:rsidR="00CE0272" w:rsidRPr="00A21B5C" w:rsidRDefault="00CE0272" w:rsidP="00A21B5C">
      <w:pPr>
        <w:pBdr>
          <w:bottom w:val="single" w:sz="4" w:space="1" w:color="auto"/>
        </w:pBdr>
        <w:tabs>
          <w:tab w:val="left" w:pos="8460"/>
        </w:tabs>
        <w:contextualSpacing/>
        <w:jc w:val="both"/>
        <w:rPr>
          <w:rFonts w:ascii="Arial" w:hAnsi="Arial" w:cs="Arial"/>
          <w:b/>
          <w:sz w:val="22"/>
          <w:lang w:val="es-CO"/>
        </w:rPr>
      </w:pPr>
    </w:p>
    <w:p w:rsidR="008C2E4A" w:rsidRPr="00A21B5C" w:rsidRDefault="008C2E4A" w:rsidP="00A21B5C">
      <w:pPr>
        <w:pBdr>
          <w:bottom w:val="single" w:sz="4" w:space="1" w:color="auto"/>
        </w:pBdr>
        <w:tabs>
          <w:tab w:val="left" w:pos="8460"/>
        </w:tabs>
        <w:contextualSpacing/>
        <w:jc w:val="both"/>
        <w:rPr>
          <w:rFonts w:ascii="Arial" w:hAnsi="Arial" w:cs="Arial"/>
          <w:b/>
          <w:sz w:val="22"/>
          <w:lang w:val="es-CO"/>
        </w:rPr>
      </w:pPr>
      <w:r w:rsidRPr="00A21B5C">
        <w:rPr>
          <w:rFonts w:ascii="Arial" w:hAnsi="Arial" w:cs="Arial"/>
          <w:b/>
          <w:sz w:val="22"/>
          <w:lang w:val="es-CO"/>
        </w:rPr>
        <w:t>CONCLUSIONES</w:t>
      </w:r>
      <w:r w:rsidR="007809D9" w:rsidRPr="00A21B5C">
        <w:rPr>
          <w:rFonts w:ascii="Arial" w:hAnsi="Arial" w:cs="Arial"/>
          <w:b/>
          <w:sz w:val="22"/>
          <w:lang w:val="es-CO"/>
        </w:rPr>
        <w:t>:</w:t>
      </w:r>
    </w:p>
    <w:p w:rsidR="008C2E4A" w:rsidRPr="00A21B5C" w:rsidRDefault="008C2E4A" w:rsidP="00A21B5C">
      <w:pPr>
        <w:contextualSpacing/>
        <w:jc w:val="both"/>
        <w:rPr>
          <w:rFonts w:ascii="Arial" w:hAnsi="Arial" w:cs="Arial"/>
          <w:szCs w:val="22"/>
          <w:lang w:val="es-CO"/>
        </w:rPr>
      </w:pPr>
    </w:p>
    <w:p w:rsidR="00C6555E" w:rsidRPr="00A21B5C" w:rsidRDefault="008C2E4A" w:rsidP="00A21B5C">
      <w:pPr>
        <w:contextualSpacing/>
        <w:jc w:val="both"/>
        <w:rPr>
          <w:rFonts w:ascii="Arial" w:hAnsi="Arial" w:cs="Arial"/>
          <w:sz w:val="22"/>
          <w:szCs w:val="22"/>
          <w:lang w:val="es-CO"/>
        </w:rPr>
      </w:pPr>
      <w:r w:rsidRPr="00A21B5C">
        <w:rPr>
          <w:rFonts w:ascii="Arial" w:hAnsi="Arial" w:cs="Arial"/>
          <w:sz w:val="22"/>
          <w:szCs w:val="22"/>
          <w:lang w:val="es-CO"/>
        </w:rPr>
        <w:t xml:space="preserve">A partir de las situaciones descritas, se evidenció que el Municipio de Dibulla – La Guajira como administrador de los recursos de la AESGPRI del Resguardo </w:t>
      </w:r>
      <w:r w:rsidRPr="00A21B5C">
        <w:rPr>
          <w:rFonts w:ascii="Arial" w:hAnsi="Arial" w:cs="Arial"/>
          <w:iCs/>
          <w:sz w:val="22"/>
          <w:szCs w:val="22"/>
          <w:lang w:val="es-CO"/>
        </w:rPr>
        <w:t>Kogui- Malayo- Arhuaco</w:t>
      </w:r>
      <w:r w:rsidRPr="00A21B5C">
        <w:rPr>
          <w:rFonts w:ascii="Arial" w:hAnsi="Arial" w:cs="Arial"/>
          <w:sz w:val="22"/>
          <w:szCs w:val="22"/>
          <w:lang w:val="es-CO"/>
        </w:rPr>
        <w:t xml:space="preserve"> </w:t>
      </w:r>
      <w:r w:rsidR="005610E2" w:rsidRPr="00A21B5C">
        <w:rPr>
          <w:rFonts w:ascii="Arial" w:hAnsi="Arial" w:cs="Arial"/>
          <w:sz w:val="22"/>
          <w:szCs w:val="22"/>
          <w:lang w:val="es-CO"/>
        </w:rPr>
        <w:t xml:space="preserve">ubicado </w:t>
      </w:r>
      <w:r w:rsidRPr="00A21B5C">
        <w:rPr>
          <w:rFonts w:ascii="Arial" w:hAnsi="Arial" w:cs="Arial"/>
          <w:sz w:val="22"/>
          <w:szCs w:val="22"/>
          <w:lang w:val="es-CO"/>
        </w:rPr>
        <w:t>en su jurisdicción, presentó algunas deficiencias en el cumplimiento normativo que regula la administración de estos recursos</w:t>
      </w:r>
      <w:r w:rsidR="00C6555E" w:rsidRPr="00A21B5C">
        <w:rPr>
          <w:rFonts w:ascii="Arial" w:hAnsi="Arial" w:cs="Arial"/>
          <w:sz w:val="22"/>
          <w:szCs w:val="22"/>
          <w:lang w:val="es-CO"/>
        </w:rPr>
        <w:t>.</w:t>
      </w:r>
      <w:r w:rsidRPr="00A21B5C">
        <w:rPr>
          <w:rFonts w:ascii="Arial" w:hAnsi="Arial" w:cs="Arial"/>
          <w:sz w:val="22"/>
          <w:szCs w:val="22"/>
          <w:lang w:val="es-CO"/>
        </w:rPr>
        <w:t xml:space="preserve"> </w:t>
      </w:r>
      <w:r w:rsidR="00E810D3" w:rsidRPr="00A21B5C">
        <w:rPr>
          <w:rFonts w:ascii="Arial" w:hAnsi="Arial" w:cs="Arial"/>
          <w:sz w:val="22"/>
          <w:szCs w:val="22"/>
          <w:lang w:val="es-CO"/>
        </w:rPr>
        <w:t xml:space="preserve">No obstante, </w:t>
      </w:r>
      <w:r w:rsidR="000E2F3D" w:rsidRPr="00A21B5C">
        <w:rPr>
          <w:rFonts w:ascii="Arial" w:hAnsi="Arial" w:cs="Arial"/>
          <w:sz w:val="22"/>
          <w:szCs w:val="22"/>
          <w:lang w:val="es-CO"/>
        </w:rPr>
        <w:t xml:space="preserve">no se adoptará ninguna de las medidas de las cuales trata el Capítulo V del Decreto 028 de 2008, </w:t>
      </w:r>
      <w:r w:rsidR="00E810D3" w:rsidRPr="00A21B5C">
        <w:rPr>
          <w:rFonts w:ascii="Arial" w:hAnsi="Arial" w:cs="Arial"/>
          <w:sz w:val="22"/>
          <w:szCs w:val="22"/>
          <w:lang w:val="es-CO"/>
        </w:rPr>
        <w:t xml:space="preserve">considerando que la priorización de atención al Municipio estuvo motivada por la recurrencia en el </w:t>
      </w:r>
      <w:r w:rsidR="007809D9" w:rsidRPr="00A21B5C">
        <w:rPr>
          <w:rFonts w:ascii="Arial" w:hAnsi="Arial" w:cs="Arial"/>
          <w:sz w:val="22"/>
          <w:szCs w:val="22"/>
          <w:lang w:val="es-CO"/>
        </w:rPr>
        <w:t>E</w:t>
      </w:r>
      <w:r w:rsidR="00E810D3" w:rsidRPr="00A21B5C">
        <w:rPr>
          <w:rFonts w:ascii="Arial" w:hAnsi="Arial" w:cs="Arial"/>
          <w:sz w:val="22"/>
          <w:szCs w:val="22"/>
          <w:lang w:val="es-CO"/>
        </w:rPr>
        <w:t xml:space="preserve">vento de </w:t>
      </w:r>
      <w:r w:rsidR="007809D9" w:rsidRPr="00A21B5C">
        <w:rPr>
          <w:rFonts w:ascii="Arial" w:hAnsi="Arial" w:cs="Arial"/>
          <w:sz w:val="22"/>
          <w:szCs w:val="22"/>
          <w:lang w:val="es-CO"/>
        </w:rPr>
        <w:lastRenderedPageBreak/>
        <w:t>R</w:t>
      </w:r>
      <w:r w:rsidR="00E810D3" w:rsidRPr="00A21B5C">
        <w:rPr>
          <w:rFonts w:ascii="Arial" w:hAnsi="Arial" w:cs="Arial"/>
          <w:sz w:val="22"/>
          <w:szCs w:val="22"/>
          <w:lang w:val="es-CO"/>
        </w:rPr>
        <w:t xml:space="preserve">iesgo </w:t>
      </w:r>
      <w:r w:rsidR="007809D9" w:rsidRPr="00A21B5C">
        <w:rPr>
          <w:rFonts w:ascii="Arial" w:hAnsi="Arial" w:cs="Arial"/>
          <w:sz w:val="22"/>
          <w:szCs w:val="22"/>
          <w:lang w:val="es-CO"/>
        </w:rPr>
        <w:t xml:space="preserve">9.1 </w:t>
      </w:r>
      <w:r w:rsidR="00E810D3" w:rsidRPr="00A21B5C">
        <w:rPr>
          <w:rFonts w:ascii="Arial" w:hAnsi="Arial" w:cs="Arial"/>
          <w:sz w:val="22"/>
          <w:szCs w:val="22"/>
          <w:lang w:val="es-CO"/>
        </w:rPr>
        <w:t>“</w:t>
      </w:r>
      <w:r w:rsidR="00E810D3" w:rsidRPr="00A21B5C">
        <w:rPr>
          <w:rFonts w:ascii="Arial" w:hAnsi="Arial" w:cs="Arial"/>
          <w:i/>
          <w:sz w:val="22"/>
          <w:szCs w:val="22"/>
          <w:lang w:val="es-CO"/>
        </w:rPr>
        <w:t>No envío de información conforme a los plazos, condiciones y formatos indicados por el Gobierno Nacional, y/o remitir o entregar información incompleta o errónea</w:t>
      </w:r>
      <w:r w:rsidR="00E810D3" w:rsidRPr="00A21B5C">
        <w:rPr>
          <w:rFonts w:ascii="Arial" w:hAnsi="Arial" w:cs="Arial"/>
          <w:sz w:val="22"/>
          <w:szCs w:val="22"/>
          <w:lang w:val="es-CO"/>
        </w:rPr>
        <w:t xml:space="preserve">” </w:t>
      </w:r>
      <w:r w:rsidR="00CB3387" w:rsidRPr="00A21B5C">
        <w:rPr>
          <w:rFonts w:ascii="Arial" w:hAnsi="Arial" w:cs="Arial"/>
          <w:sz w:val="22"/>
          <w:szCs w:val="22"/>
          <w:lang w:val="es-CO"/>
        </w:rPr>
        <w:t>referenciada</w:t>
      </w:r>
      <w:r w:rsidR="00E810D3" w:rsidRPr="00A21B5C">
        <w:rPr>
          <w:rFonts w:ascii="Arial" w:hAnsi="Arial" w:cs="Arial"/>
          <w:sz w:val="22"/>
          <w:szCs w:val="22"/>
          <w:lang w:val="es-CO"/>
        </w:rPr>
        <w:t xml:space="preserve"> en el Informe de Monitoreo General SGP de Propósito General y Asignaciones Especiales vigencia 2017 emitido por el Departamento Nacional de Planeación</w:t>
      </w:r>
      <w:r w:rsidR="00C6555E" w:rsidRPr="00A21B5C">
        <w:rPr>
          <w:rFonts w:ascii="Arial" w:hAnsi="Arial" w:cs="Arial"/>
          <w:sz w:val="22"/>
          <w:szCs w:val="22"/>
          <w:lang w:val="es-CO"/>
        </w:rPr>
        <w:t>,</w:t>
      </w:r>
      <w:r w:rsidR="00E810D3" w:rsidRPr="00A21B5C">
        <w:rPr>
          <w:rFonts w:ascii="Arial" w:hAnsi="Arial" w:cs="Arial"/>
          <w:sz w:val="22"/>
          <w:szCs w:val="22"/>
          <w:lang w:val="es-CO"/>
        </w:rPr>
        <w:t xml:space="preserve"> en </w:t>
      </w:r>
      <w:r w:rsidR="00CB3387" w:rsidRPr="00A21B5C">
        <w:rPr>
          <w:rFonts w:ascii="Arial" w:hAnsi="Arial" w:cs="Arial"/>
          <w:sz w:val="22"/>
          <w:szCs w:val="22"/>
          <w:lang w:val="es-CO"/>
        </w:rPr>
        <w:t xml:space="preserve">el </w:t>
      </w:r>
      <w:r w:rsidR="00C6555E" w:rsidRPr="00A21B5C">
        <w:rPr>
          <w:rFonts w:ascii="Arial" w:hAnsi="Arial" w:cs="Arial"/>
          <w:sz w:val="22"/>
          <w:szCs w:val="22"/>
          <w:lang w:val="es-CO"/>
        </w:rPr>
        <w:t>que</w:t>
      </w:r>
      <w:r w:rsidR="00E810D3" w:rsidRPr="00A21B5C">
        <w:rPr>
          <w:rFonts w:ascii="Arial" w:hAnsi="Arial" w:cs="Arial"/>
          <w:sz w:val="22"/>
          <w:szCs w:val="22"/>
          <w:lang w:val="es-CO"/>
        </w:rPr>
        <w:t xml:space="preserve"> </w:t>
      </w:r>
      <w:r w:rsidR="00C6555E" w:rsidRPr="00A21B5C">
        <w:rPr>
          <w:rFonts w:ascii="Arial" w:hAnsi="Arial" w:cs="Arial"/>
          <w:sz w:val="22"/>
          <w:szCs w:val="22"/>
          <w:lang w:val="es-CO"/>
        </w:rPr>
        <w:t xml:space="preserve">el Municipio de Dibulla – La Guajira </w:t>
      </w:r>
      <w:r w:rsidR="00E810D3" w:rsidRPr="00A21B5C">
        <w:rPr>
          <w:rFonts w:ascii="Arial" w:hAnsi="Arial" w:cs="Arial"/>
          <w:sz w:val="22"/>
          <w:szCs w:val="22"/>
          <w:lang w:val="es-CO"/>
        </w:rPr>
        <w:t>presentaba un nivel de riesgo</w:t>
      </w:r>
      <w:r w:rsidR="00CB3387" w:rsidRPr="00A21B5C">
        <w:rPr>
          <w:rFonts w:ascii="Arial" w:hAnsi="Arial" w:cs="Arial"/>
          <w:sz w:val="22"/>
          <w:szCs w:val="22"/>
          <w:lang w:val="es-CO"/>
        </w:rPr>
        <w:t xml:space="preserve"> Critico Alto;</w:t>
      </w:r>
      <w:r w:rsidR="00E810D3" w:rsidRPr="00A21B5C">
        <w:rPr>
          <w:rFonts w:ascii="Arial" w:hAnsi="Arial" w:cs="Arial"/>
          <w:sz w:val="22"/>
          <w:szCs w:val="22"/>
          <w:lang w:val="es-CO"/>
        </w:rPr>
        <w:t xml:space="preserve"> </w:t>
      </w:r>
      <w:r w:rsidR="00C6555E" w:rsidRPr="00A21B5C">
        <w:rPr>
          <w:rFonts w:ascii="Arial" w:hAnsi="Arial" w:cs="Arial"/>
          <w:sz w:val="22"/>
          <w:szCs w:val="22"/>
          <w:lang w:val="es-CO"/>
        </w:rPr>
        <w:t xml:space="preserve">pero que, tras el reporte por parte del Municipio en las </w:t>
      </w:r>
      <w:r w:rsidR="007809D9" w:rsidRPr="00A21B5C">
        <w:rPr>
          <w:rFonts w:ascii="Arial" w:hAnsi="Arial" w:cs="Arial"/>
          <w:sz w:val="22"/>
          <w:szCs w:val="22"/>
          <w:lang w:val="es-CO"/>
        </w:rPr>
        <w:t>C</w:t>
      </w:r>
      <w:r w:rsidR="00C6555E" w:rsidRPr="00A21B5C">
        <w:rPr>
          <w:rFonts w:ascii="Arial" w:hAnsi="Arial" w:cs="Arial"/>
          <w:sz w:val="22"/>
          <w:szCs w:val="22"/>
          <w:lang w:val="es-CO"/>
        </w:rPr>
        <w:t>ategorías FUT Resguardos 1 y</w:t>
      </w:r>
      <w:r w:rsidR="00CB3387" w:rsidRPr="00A21B5C">
        <w:rPr>
          <w:rFonts w:ascii="Arial" w:hAnsi="Arial" w:cs="Arial"/>
          <w:sz w:val="22"/>
          <w:szCs w:val="22"/>
          <w:lang w:val="es-CO"/>
        </w:rPr>
        <w:t xml:space="preserve"> Resguardos</w:t>
      </w:r>
      <w:r w:rsidR="00C6555E" w:rsidRPr="00A21B5C">
        <w:rPr>
          <w:rFonts w:ascii="Arial" w:hAnsi="Arial" w:cs="Arial"/>
          <w:sz w:val="22"/>
          <w:szCs w:val="22"/>
          <w:lang w:val="es-CO"/>
        </w:rPr>
        <w:t xml:space="preserve"> 2</w:t>
      </w:r>
      <w:r w:rsidR="00CB3387" w:rsidRPr="00A21B5C">
        <w:rPr>
          <w:rFonts w:ascii="Arial" w:hAnsi="Arial" w:cs="Arial"/>
          <w:sz w:val="22"/>
          <w:szCs w:val="22"/>
          <w:lang w:val="es-CO"/>
        </w:rPr>
        <w:t xml:space="preserve"> en las vigencias 2018 y 2019, </w:t>
      </w:r>
      <w:r w:rsidR="00C6555E" w:rsidRPr="00A21B5C">
        <w:rPr>
          <w:rFonts w:ascii="Arial" w:hAnsi="Arial" w:cs="Arial"/>
          <w:sz w:val="22"/>
          <w:szCs w:val="22"/>
          <w:lang w:val="es-CO"/>
        </w:rPr>
        <w:t xml:space="preserve"> </w:t>
      </w:r>
      <w:r w:rsidR="00E810D3" w:rsidRPr="00A21B5C">
        <w:rPr>
          <w:rFonts w:ascii="Arial" w:hAnsi="Arial" w:cs="Arial"/>
          <w:sz w:val="22"/>
          <w:szCs w:val="22"/>
          <w:lang w:val="es-CO"/>
        </w:rPr>
        <w:t>en el último Informe de Monitoreo General SGP de Propósito General y Asignaciones Especiales,</w:t>
      </w:r>
      <w:r w:rsidR="00CB3387" w:rsidRPr="00A21B5C">
        <w:rPr>
          <w:rFonts w:ascii="Arial" w:hAnsi="Arial" w:cs="Arial"/>
          <w:sz w:val="22"/>
          <w:szCs w:val="22"/>
          <w:lang w:val="es-CO"/>
        </w:rPr>
        <w:t xml:space="preserve"> </w:t>
      </w:r>
      <w:r w:rsidR="00E810D3" w:rsidRPr="00A21B5C">
        <w:rPr>
          <w:rFonts w:ascii="Arial" w:hAnsi="Arial" w:cs="Arial"/>
          <w:sz w:val="22"/>
          <w:szCs w:val="22"/>
          <w:lang w:val="es-CO"/>
        </w:rPr>
        <w:t>correspondiente a la vigencia 2019, el Municipio de Dibulla – La Guajira presenta un nivel de riesgo Critico Bajo</w:t>
      </w:r>
      <w:r w:rsidR="00C6555E" w:rsidRPr="00A21B5C">
        <w:rPr>
          <w:rFonts w:ascii="Arial" w:hAnsi="Arial" w:cs="Arial"/>
        </w:rPr>
        <w:t>.</w:t>
      </w:r>
    </w:p>
    <w:p w:rsidR="008C2E4A" w:rsidRPr="00A21B5C" w:rsidRDefault="008C2E4A" w:rsidP="00A21B5C">
      <w:pPr>
        <w:contextualSpacing/>
        <w:jc w:val="both"/>
        <w:rPr>
          <w:rFonts w:ascii="Arial" w:hAnsi="Arial" w:cs="Arial"/>
          <w:sz w:val="22"/>
          <w:szCs w:val="22"/>
          <w:lang w:val="es-CO"/>
        </w:rPr>
      </w:pPr>
    </w:p>
    <w:p w:rsidR="00DF6179" w:rsidRPr="00A21B5C" w:rsidRDefault="00C6555E" w:rsidP="00A21B5C">
      <w:pPr>
        <w:contextualSpacing/>
        <w:jc w:val="both"/>
        <w:rPr>
          <w:rFonts w:ascii="Arial" w:hAnsi="Arial" w:cs="Arial"/>
          <w:sz w:val="22"/>
          <w:szCs w:val="22"/>
          <w:lang w:val="es-CO"/>
        </w:rPr>
      </w:pPr>
      <w:r w:rsidRPr="00A21B5C">
        <w:rPr>
          <w:rFonts w:ascii="Arial" w:hAnsi="Arial" w:cs="Arial"/>
          <w:sz w:val="22"/>
          <w:szCs w:val="22"/>
          <w:lang w:val="es-CO"/>
        </w:rPr>
        <w:t xml:space="preserve">Sin embargo, a continuación se especifican las </w:t>
      </w:r>
      <w:r w:rsidR="006C0847" w:rsidRPr="00A21B5C">
        <w:rPr>
          <w:rFonts w:ascii="Arial" w:hAnsi="Arial" w:cs="Arial"/>
          <w:sz w:val="22"/>
          <w:szCs w:val="22"/>
          <w:lang w:val="es-CO"/>
        </w:rPr>
        <w:t>situaciones de riesgo</w:t>
      </w:r>
      <w:r w:rsidRPr="00A21B5C">
        <w:rPr>
          <w:rFonts w:ascii="Arial" w:hAnsi="Arial" w:cs="Arial"/>
          <w:sz w:val="22"/>
          <w:szCs w:val="22"/>
          <w:lang w:val="es-CO"/>
        </w:rPr>
        <w:t xml:space="preserve"> identificadas </w:t>
      </w:r>
      <w:r w:rsidR="00F57170" w:rsidRPr="00A21B5C">
        <w:rPr>
          <w:rFonts w:ascii="Arial" w:hAnsi="Arial" w:cs="Arial"/>
          <w:sz w:val="22"/>
          <w:szCs w:val="22"/>
          <w:lang w:val="es-CO"/>
        </w:rPr>
        <w:t xml:space="preserve">y </w:t>
      </w:r>
      <w:r w:rsidR="00E77DCF" w:rsidRPr="00A21B5C">
        <w:rPr>
          <w:rFonts w:ascii="Arial" w:hAnsi="Arial" w:cs="Arial"/>
          <w:sz w:val="22"/>
          <w:szCs w:val="22"/>
          <w:lang w:val="es-CO"/>
        </w:rPr>
        <w:t xml:space="preserve">se emiten </w:t>
      </w:r>
      <w:r w:rsidR="00F57170" w:rsidRPr="00A21B5C">
        <w:rPr>
          <w:rFonts w:ascii="Arial" w:hAnsi="Arial" w:cs="Arial"/>
          <w:sz w:val="22"/>
          <w:szCs w:val="22"/>
          <w:lang w:val="es-CO"/>
        </w:rPr>
        <w:t xml:space="preserve">las </w:t>
      </w:r>
      <w:r w:rsidR="008C2E4A" w:rsidRPr="00A21B5C">
        <w:rPr>
          <w:rFonts w:ascii="Arial" w:hAnsi="Arial" w:cs="Arial"/>
          <w:sz w:val="22"/>
          <w:szCs w:val="22"/>
          <w:lang w:val="es-CO"/>
        </w:rPr>
        <w:t>recomenda</w:t>
      </w:r>
      <w:r w:rsidR="00771CB2" w:rsidRPr="00A21B5C">
        <w:rPr>
          <w:rFonts w:ascii="Arial" w:hAnsi="Arial" w:cs="Arial"/>
          <w:sz w:val="22"/>
          <w:szCs w:val="22"/>
          <w:lang w:val="es-CO"/>
        </w:rPr>
        <w:t>ciones</w:t>
      </w:r>
      <w:r w:rsidR="006C0847" w:rsidRPr="00A21B5C">
        <w:rPr>
          <w:rFonts w:ascii="Arial" w:hAnsi="Arial" w:cs="Arial"/>
          <w:sz w:val="22"/>
          <w:szCs w:val="22"/>
          <w:lang w:val="es-CO"/>
        </w:rPr>
        <w:t xml:space="preserve"> </w:t>
      </w:r>
      <w:r w:rsidR="008E4C73" w:rsidRPr="00A21B5C">
        <w:rPr>
          <w:rFonts w:ascii="Arial" w:hAnsi="Arial" w:cs="Arial"/>
          <w:sz w:val="22"/>
          <w:szCs w:val="22"/>
          <w:lang w:val="es-CO"/>
        </w:rPr>
        <w:t xml:space="preserve">asociadas a cada una de estas, </w:t>
      </w:r>
      <w:r w:rsidR="006C0847" w:rsidRPr="00A21B5C">
        <w:rPr>
          <w:rFonts w:ascii="Arial" w:hAnsi="Arial" w:cs="Arial"/>
          <w:sz w:val="22"/>
          <w:szCs w:val="22"/>
          <w:lang w:val="es-CO"/>
        </w:rPr>
        <w:t xml:space="preserve">con el objetivo de que sean </w:t>
      </w:r>
      <w:r w:rsidR="00CB3387" w:rsidRPr="00A21B5C">
        <w:rPr>
          <w:rFonts w:ascii="Arial" w:hAnsi="Arial" w:cs="Arial"/>
          <w:sz w:val="22"/>
          <w:szCs w:val="22"/>
          <w:lang w:val="es-CO"/>
        </w:rPr>
        <w:t>seguidas</w:t>
      </w:r>
      <w:r w:rsidRPr="00A21B5C">
        <w:rPr>
          <w:rFonts w:ascii="Arial" w:hAnsi="Arial" w:cs="Arial"/>
          <w:sz w:val="22"/>
          <w:szCs w:val="22"/>
          <w:lang w:val="es-CO"/>
        </w:rPr>
        <w:t xml:space="preserve"> por la Entidad Territorial</w:t>
      </w:r>
      <w:r w:rsidR="00F57170" w:rsidRPr="00A21B5C">
        <w:rPr>
          <w:rFonts w:ascii="Arial" w:hAnsi="Arial" w:cs="Arial"/>
          <w:sz w:val="22"/>
          <w:szCs w:val="22"/>
          <w:lang w:val="es-CO"/>
        </w:rPr>
        <w:t xml:space="preserve">, de modo que </w:t>
      </w:r>
      <w:r w:rsidR="00CB3387" w:rsidRPr="00A21B5C">
        <w:rPr>
          <w:rFonts w:ascii="Arial" w:hAnsi="Arial" w:cs="Arial"/>
          <w:sz w:val="22"/>
          <w:szCs w:val="22"/>
          <w:lang w:val="es-CO"/>
        </w:rPr>
        <w:t xml:space="preserve">se optimice el uso de </w:t>
      </w:r>
      <w:r w:rsidR="00F57170" w:rsidRPr="00A21B5C">
        <w:rPr>
          <w:rFonts w:ascii="Arial" w:hAnsi="Arial" w:cs="Arial"/>
          <w:sz w:val="22"/>
          <w:szCs w:val="22"/>
          <w:lang w:val="es-CO"/>
        </w:rPr>
        <w:t>los recursos</w:t>
      </w:r>
      <w:r w:rsidR="00A26C8D" w:rsidRPr="00A21B5C">
        <w:rPr>
          <w:rFonts w:ascii="Arial" w:hAnsi="Arial" w:cs="Arial"/>
          <w:sz w:val="22"/>
          <w:szCs w:val="22"/>
          <w:lang w:val="es-CO"/>
        </w:rPr>
        <w:t xml:space="preserve"> </w:t>
      </w:r>
      <w:r w:rsidR="00CB3387" w:rsidRPr="00A21B5C">
        <w:rPr>
          <w:rFonts w:ascii="Arial" w:hAnsi="Arial" w:cs="Arial"/>
          <w:sz w:val="22"/>
          <w:szCs w:val="22"/>
          <w:lang w:val="es-CO"/>
        </w:rPr>
        <w:t>de la AESGPRI del Resguardo</w:t>
      </w:r>
      <w:r w:rsidR="00CB3387" w:rsidRPr="00A21B5C">
        <w:rPr>
          <w:rFonts w:ascii="Arial" w:hAnsi="Arial" w:cs="Arial"/>
          <w:iCs/>
          <w:sz w:val="22"/>
          <w:szCs w:val="22"/>
          <w:lang w:val="es-CO"/>
        </w:rPr>
        <w:t xml:space="preserve"> Kogui- Malayo- Arhuaco</w:t>
      </w:r>
      <w:r w:rsidR="00CB3387" w:rsidRPr="00A21B5C">
        <w:rPr>
          <w:rFonts w:ascii="Arial" w:hAnsi="Arial" w:cs="Arial"/>
          <w:sz w:val="22"/>
          <w:szCs w:val="22"/>
          <w:lang w:val="es-CO"/>
        </w:rPr>
        <w:t xml:space="preserve"> y estos </w:t>
      </w:r>
      <w:r w:rsidR="00F57170" w:rsidRPr="00A21B5C">
        <w:rPr>
          <w:rFonts w:ascii="Arial" w:hAnsi="Arial" w:cs="Arial"/>
          <w:sz w:val="22"/>
          <w:szCs w:val="22"/>
          <w:lang w:val="es-CO"/>
        </w:rPr>
        <w:t>puedan cumplir su</w:t>
      </w:r>
      <w:r w:rsidR="00DF6179" w:rsidRPr="00A21B5C">
        <w:rPr>
          <w:rFonts w:ascii="Arial" w:hAnsi="Arial" w:cs="Arial"/>
          <w:sz w:val="22"/>
          <w:szCs w:val="22"/>
          <w:lang w:val="es-CO"/>
        </w:rPr>
        <w:t xml:space="preserve"> fin</w:t>
      </w:r>
      <w:r w:rsidR="00F84F4F" w:rsidRPr="00A21B5C">
        <w:rPr>
          <w:rFonts w:ascii="Arial" w:hAnsi="Arial" w:cs="Arial"/>
          <w:sz w:val="22"/>
          <w:szCs w:val="22"/>
          <w:lang w:val="es-CO"/>
        </w:rPr>
        <w:t>, que a la luz del artículo 27 del Decreto 1953 de 2014, corresponde al</w:t>
      </w:r>
      <w:r w:rsidR="00DF6179" w:rsidRPr="00A21B5C">
        <w:rPr>
          <w:rFonts w:ascii="Arial" w:hAnsi="Arial" w:cs="Arial"/>
          <w:sz w:val="22"/>
          <w:szCs w:val="22"/>
          <w:lang w:val="es-CO"/>
        </w:rPr>
        <w:t xml:space="preserve"> mejoramiento de la calidad de vida de</w:t>
      </w:r>
      <w:r w:rsidR="00B9685C" w:rsidRPr="00A21B5C">
        <w:rPr>
          <w:rFonts w:ascii="Arial" w:hAnsi="Arial" w:cs="Arial"/>
          <w:sz w:val="22"/>
          <w:szCs w:val="22"/>
          <w:lang w:val="es-CO"/>
        </w:rPr>
        <w:t xml:space="preserve"> la</w:t>
      </w:r>
      <w:r w:rsidR="00DF6179" w:rsidRPr="00A21B5C">
        <w:rPr>
          <w:rFonts w:ascii="Arial" w:hAnsi="Arial" w:cs="Arial"/>
          <w:sz w:val="22"/>
          <w:szCs w:val="22"/>
          <w:lang w:val="es-CO"/>
        </w:rPr>
        <w:t xml:space="preserve"> poblaci</w:t>
      </w:r>
      <w:r w:rsidR="00B9685C" w:rsidRPr="00A21B5C">
        <w:rPr>
          <w:rFonts w:ascii="Arial" w:hAnsi="Arial" w:cs="Arial"/>
          <w:sz w:val="22"/>
          <w:szCs w:val="22"/>
          <w:lang w:val="es-CO"/>
        </w:rPr>
        <w:t>ón</w:t>
      </w:r>
      <w:r w:rsidR="00DF6179" w:rsidRPr="00A21B5C">
        <w:rPr>
          <w:rFonts w:ascii="Arial" w:hAnsi="Arial" w:cs="Arial"/>
          <w:sz w:val="22"/>
          <w:szCs w:val="22"/>
          <w:lang w:val="es-CO"/>
        </w:rPr>
        <w:t xml:space="preserve"> </w:t>
      </w:r>
      <w:r w:rsidR="00F84F4F" w:rsidRPr="00A21B5C">
        <w:rPr>
          <w:rFonts w:ascii="Arial" w:hAnsi="Arial" w:cs="Arial"/>
          <w:sz w:val="22"/>
          <w:szCs w:val="22"/>
          <w:lang w:val="es-CO"/>
        </w:rPr>
        <w:t>beneficiaria de estos.</w:t>
      </w:r>
    </w:p>
    <w:p w:rsidR="008C2E4A" w:rsidRPr="00A21B5C" w:rsidRDefault="008C2E4A" w:rsidP="00A21B5C">
      <w:pPr>
        <w:contextualSpacing/>
        <w:jc w:val="both"/>
        <w:rPr>
          <w:rFonts w:ascii="Arial" w:hAnsi="Arial" w:cs="Arial"/>
          <w:b/>
          <w:iCs/>
          <w:sz w:val="22"/>
          <w:szCs w:val="22"/>
          <w:lang w:val="es-CO"/>
        </w:rPr>
      </w:pPr>
    </w:p>
    <w:p w:rsidR="00857D09" w:rsidRPr="00A21B5C" w:rsidRDefault="00B613A1">
      <w:pPr>
        <w:pStyle w:val="Prrafodelista"/>
        <w:numPr>
          <w:ilvl w:val="0"/>
          <w:numId w:val="21"/>
        </w:numPr>
        <w:jc w:val="both"/>
        <w:rPr>
          <w:rFonts w:ascii="Arial" w:hAnsi="Arial" w:cs="Arial"/>
          <w:b/>
          <w:sz w:val="22"/>
          <w:szCs w:val="22"/>
          <w:lang w:val="es-CO"/>
        </w:rPr>
      </w:pPr>
      <w:r w:rsidRPr="00A21B5C">
        <w:rPr>
          <w:rFonts w:ascii="Arial" w:hAnsi="Arial" w:cs="Arial"/>
          <w:b/>
          <w:iCs/>
          <w:sz w:val="22"/>
          <w:szCs w:val="22"/>
          <w:lang w:val="es-CO"/>
        </w:rPr>
        <w:t>Inadecuado</w:t>
      </w:r>
      <w:r w:rsidR="00D33E69" w:rsidRPr="00A21B5C">
        <w:rPr>
          <w:rFonts w:ascii="Arial" w:hAnsi="Arial" w:cs="Arial"/>
          <w:b/>
          <w:iCs/>
          <w:sz w:val="22"/>
          <w:szCs w:val="22"/>
          <w:lang w:val="es-CO"/>
        </w:rPr>
        <w:t xml:space="preserve"> manejo</w:t>
      </w:r>
      <w:r w:rsidR="00D33E69" w:rsidRPr="00A21B5C">
        <w:rPr>
          <w:rFonts w:ascii="Arial" w:hAnsi="Arial" w:cs="Arial"/>
          <w:b/>
          <w:sz w:val="22"/>
          <w:szCs w:val="22"/>
          <w:lang w:val="es-CO"/>
        </w:rPr>
        <w:t xml:space="preserve"> presupuestal de los recursos</w:t>
      </w:r>
      <w:r w:rsidR="007809D9" w:rsidRPr="00A21B5C">
        <w:rPr>
          <w:rFonts w:ascii="Arial" w:hAnsi="Arial" w:cs="Arial"/>
          <w:b/>
          <w:sz w:val="22"/>
          <w:szCs w:val="22"/>
          <w:lang w:val="es-CO"/>
        </w:rPr>
        <w:t>.</w:t>
      </w:r>
    </w:p>
    <w:p w:rsidR="00A46936" w:rsidRPr="00A21B5C" w:rsidRDefault="00A46936">
      <w:pPr>
        <w:pStyle w:val="Prrafodelista"/>
        <w:jc w:val="both"/>
        <w:rPr>
          <w:rFonts w:ascii="Arial" w:hAnsi="Arial" w:cs="Arial"/>
          <w:b/>
          <w:sz w:val="22"/>
          <w:szCs w:val="22"/>
          <w:lang w:val="es-CO"/>
        </w:rPr>
      </w:pPr>
    </w:p>
    <w:p w:rsidR="009B4F1D" w:rsidRPr="00A21B5C" w:rsidRDefault="009B4F1D" w:rsidP="00A21B5C">
      <w:pPr>
        <w:pStyle w:val="Textoindependiente2"/>
        <w:contextualSpacing/>
        <w:rPr>
          <w:rFonts w:cs="Arial"/>
          <w:color w:val="000000" w:themeColor="text1"/>
          <w:sz w:val="22"/>
          <w:szCs w:val="21"/>
        </w:rPr>
      </w:pPr>
      <w:r w:rsidRPr="00A21B5C">
        <w:rPr>
          <w:rFonts w:cs="Arial"/>
          <w:color w:val="000000" w:themeColor="text1"/>
          <w:sz w:val="22"/>
          <w:szCs w:val="21"/>
        </w:rPr>
        <w:t xml:space="preserve">El documento </w:t>
      </w:r>
      <w:r w:rsidRPr="00A21B5C">
        <w:rPr>
          <w:rFonts w:cs="Arial"/>
          <w:i/>
          <w:color w:val="000000" w:themeColor="text1"/>
          <w:sz w:val="22"/>
          <w:szCs w:val="21"/>
        </w:rPr>
        <w:t>“Orientaciones para la Programación y Ejecución de los Recursos de la AESGPRI”</w:t>
      </w:r>
      <w:r w:rsidRPr="00A21B5C">
        <w:rPr>
          <w:rFonts w:cs="Arial"/>
          <w:color w:val="000000" w:themeColor="text1"/>
          <w:sz w:val="22"/>
          <w:szCs w:val="21"/>
        </w:rPr>
        <w:t xml:space="preserve"> del Departamento Nacional de Planeación, indica que el registro de los recursos de la Asignación Especial para Resguardos Indígenas administrados por las alcaldías municipales o gobernaciones, según la jurisdicción del resguardo, se realizará conforme con las normas presupuestales y contractuales aplicables a los municipios y departamentos. </w:t>
      </w:r>
    </w:p>
    <w:p w:rsidR="009B4F1D" w:rsidRPr="00A21B5C" w:rsidRDefault="009B4F1D" w:rsidP="00A21B5C">
      <w:pPr>
        <w:pStyle w:val="Textoindependiente2"/>
        <w:contextualSpacing/>
        <w:rPr>
          <w:rFonts w:cs="Arial"/>
          <w:color w:val="000000" w:themeColor="text1"/>
          <w:sz w:val="22"/>
          <w:szCs w:val="21"/>
        </w:rPr>
      </w:pPr>
    </w:p>
    <w:p w:rsidR="00A46936" w:rsidRPr="00A21B5C" w:rsidRDefault="00EF6E0C">
      <w:pPr>
        <w:pStyle w:val="Prrafodelista"/>
        <w:ind w:left="0"/>
        <w:jc w:val="both"/>
        <w:rPr>
          <w:rFonts w:ascii="Arial" w:hAnsi="Arial" w:cs="Arial"/>
          <w:bCs/>
          <w:sz w:val="22"/>
          <w:szCs w:val="22"/>
          <w:lang w:val="es-CO"/>
        </w:rPr>
      </w:pPr>
      <w:r w:rsidRPr="00A21B5C">
        <w:rPr>
          <w:rFonts w:ascii="Arial" w:hAnsi="Arial" w:cs="Arial"/>
          <w:bCs/>
          <w:sz w:val="22"/>
          <w:szCs w:val="22"/>
          <w:lang w:val="es-CO"/>
        </w:rPr>
        <w:t>Considerando lo anterior</w:t>
      </w:r>
      <w:r w:rsidR="00630E4F" w:rsidRPr="00A21B5C">
        <w:rPr>
          <w:rFonts w:ascii="Arial" w:hAnsi="Arial" w:cs="Arial"/>
          <w:bCs/>
          <w:sz w:val="22"/>
          <w:szCs w:val="22"/>
          <w:lang w:val="es-CO"/>
        </w:rPr>
        <w:t>, y c</w:t>
      </w:r>
      <w:r w:rsidR="008F430D" w:rsidRPr="00A21B5C">
        <w:rPr>
          <w:rFonts w:ascii="Arial" w:hAnsi="Arial" w:cs="Arial"/>
          <w:bCs/>
          <w:sz w:val="22"/>
          <w:szCs w:val="22"/>
          <w:lang w:val="es-CO"/>
        </w:rPr>
        <w:t xml:space="preserve">on base </w:t>
      </w:r>
      <w:r w:rsidR="00884BD6" w:rsidRPr="00A21B5C">
        <w:rPr>
          <w:rFonts w:ascii="Arial" w:hAnsi="Arial" w:cs="Arial"/>
          <w:bCs/>
          <w:sz w:val="22"/>
          <w:szCs w:val="22"/>
          <w:lang w:val="es-CO"/>
        </w:rPr>
        <w:t>en los documentos de carácter presupuestal</w:t>
      </w:r>
      <w:r w:rsidR="008F430D" w:rsidRPr="00A21B5C">
        <w:rPr>
          <w:rFonts w:ascii="Arial" w:hAnsi="Arial" w:cs="Arial"/>
          <w:bCs/>
          <w:sz w:val="22"/>
          <w:szCs w:val="22"/>
          <w:lang w:val="es-CO"/>
        </w:rPr>
        <w:t xml:space="preserve"> aportados por el Municipio de Dibulla – La Guajira</w:t>
      </w:r>
      <w:r w:rsidR="00555AA2" w:rsidRPr="00A21B5C">
        <w:rPr>
          <w:rFonts w:ascii="Arial" w:hAnsi="Arial" w:cs="Arial"/>
          <w:bCs/>
          <w:sz w:val="22"/>
          <w:szCs w:val="22"/>
          <w:lang w:val="es-CO"/>
        </w:rPr>
        <w:t xml:space="preserve"> y a </w:t>
      </w:r>
      <w:r w:rsidR="003A1869" w:rsidRPr="00A21B5C">
        <w:rPr>
          <w:rFonts w:ascii="Arial" w:hAnsi="Arial" w:cs="Arial"/>
          <w:bCs/>
          <w:sz w:val="22"/>
          <w:szCs w:val="22"/>
          <w:lang w:val="es-CO"/>
        </w:rPr>
        <w:t>las</w:t>
      </w:r>
      <w:r w:rsidR="00555AA2" w:rsidRPr="00A21B5C">
        <w:rPr>
          <w:rFonts w:ascii="Arial" w:hAnsi="Arial" w:cs="Arial"/>
          <w:bCs/>
          <w:sz w:val="22"/>
          <w:szCs w:val="22"/>
          <w:lang w:val="es-CO"/>
        </w:rPr>
        <w:t xml:space="preserve"> fuentes de contraste que</w:t>
      </w:r>
      <w:r w:rsidRPr="00A21B5C">
        <w:rPr>
          <w:rFonts w:ascii="Arial" w:hAnsi="Arial" w:cs="Arial"/>
          <w:bCs/>
          <w:sz w:val="22"/>
          <w:szCs w:val="22"/>
          <w:lang w:val="es-CO"/>
        </w:rPr>
        <w:t xml:space="preserve"> se</w:t>
      </w:r>
      <w:r w:rsidR="00555AA2" w:rsidRPr="00A21B5C">
        <w:rPr>
          <w:rFonts w:ascii="Arial" w:hAnsi="Arial" w:cs="Arial"/>
          <w:bCs/>
          <w:sz w:val="22"/>
          <w:szCs w:val="22"/>
          <w:lang w:val="es-CO"/>
        </w:rPr>
        <w:t xml:space="preserve"> detallan en </w:t>
      </w:r>
      <w:r w:rsidR="00E600FD" w:rsidRPr="00A21B5C">
        <w:rPr>
          <w:rFonts w:ascii="Arial" w:hAnsi="Arial" w:cs="Arial"/>
          <w:bCs/>
          <w:sz w:val="22"/>
          <w:szCs w:val="22"/>
          <w:lang w:val="es-CO"/>
        </w:rPr>
        <w:t>la Tabla Nº 1 de este informe</w:t>
      </w:r>
      <w:r w:rsidR="008F430D" w:rsidRPr="00A21B5C">
        <w:rPr>
          <w:rFonts w:ascii="Arial" w:hAnsi="Arial" w:cs="Arial"/>
          <w:bCs/>
          <w:sz w:val="22"/>
          <w:szCs w:val="22"/>
          <w:lang w:val="es-CO"/>
        </w:rPr>
        <w:t>, se construyó el escenario presupuestal de los recursos de la Asignación Especial para Resguardos Indígenas del Resguardo Kogui – Malayo - Arhuaco en jurisdicción del Municipio de Dibulla en La Guajira</w:t>
      </w:r>
      <w:r w:rsidR="00E50C2A" w:rsidRPr="00A21B5C">
        <w:rPr>
          <w:rFonts w:ascii="Arial" w:hAnsi="Arial" w:cs="Arial"/>
          <w:bCs/>
          <w:sz w:val="22"/>
          <w:szCs w:val="22"/>
          <w:lang w:val="es-CO"/>
        </w:rPr>
        <w:t>,</w:t>
      </w:r>
      <w:r w:rsidR="008F430D" w:rsidRPr="00A21B5C">
        <w:rPr>
          <w:rFonts w:ascii="Arial" w:hAnsi="Arial" w:cs="Arial"/>
          <w:bCs/>
          <w:sz w:val="22"/>
          <w:szCs w:val="22"/>
          <w:lang w:val="es-CO"/>
        </w:rPr>
        <w:t xml:space="preserve"> identificando las situaciones que se </w:t>
      </w:r>
      <w:r w:rsidR="00B60E88" w:rsidRPr="00A21B5C">
        <w:rPr>
          <w:rFonts w:ascii="Arial" w:hAnsi="Arial" w:cs="Arial"/>
          <w:bCs/>
          <w:sz w:val="22"/>
          <w:szCs w:val="22"/>
          <w:lang w:val="es-CO"/>
        </w:rPr>
        <w:t xml:space="preserve">enlistan </w:t>
      </w:r>
      <w:r w:rsidR="003B525E" w:rsidRPr="00A21B5C">
        <w:rPr>
          <w:rFonts w:ascii="Arial" w:hAnsi="Arial" w:cs="Arial"/>
          <w:bCs/>
          <w:sz w:val="22"/>
          <w:szCs w:val="22"/>
          <w:lang w:val="es-CO"/>
        </w:rPr>
        <w:t>a continuación</w:t>
      </w:r>
      <w:r w:rsidR="008F430D" w:rsidRPr="00A21B5C">
        <w:rPr>
          <w:rFonts w:ascii="Arial" w:hAnsi="Arial" w:cs="Arial"/>
          <w:bCs/>
          <w:sz w:val="22"/>
          <w:szCs w:val="22"/>
          <w:lang w:val="es-CO"/>
        </w:rPr>
        <w:t>:</w:t>
      </w:r>
    </w:p>
    <w:p w:rsidR="00B60E88" w:rsidRPr="00A21B5C" w:rsidRDefault="00B60E88">
      <w:pPr>
        <w:pStyle w:val="Prrafodelista"/>
        <w:jc w:val="both"/>
        <w:rPr>
          <w:rFonts w:ascii="Arial" w:hAnsi="Arial" w:cs="Arial"/>
          <w:bCs/>
          <w:sz w:val="22"/>
          <w:szCs w:val="22"/>
          <w:lang w:val="es-CO"/>
        </w:rPr>
      </w:pPr>
    </w:p>
    <w:p w:rsidR="000646C6" w:rsidRPr="00A21B5C" w:rsidRDefault="005E551C">
      <w:pPr>
        <w:pStyle w:val="Prrafodelista"/>
        <w:numPr>
          <w:ilvl w:val="0"/>
          <w:numId w:val="35"/>
        </w:numPr>
        <w:ind w:left="709"/>
        <w:jc w:val="both"/>
        <w:rPr>
          <w:rFonts w:ascii="Arial" w:hAnsi="Arial" w:cs="Arial"/>
          <w:bCs/>
          <w:sz w:val="22"/>
          <w:szCs w:val="22"/>
          <w:lang w:val="es-CO"/>
        </w:rPr>
      </w:pPr>
      <w:r w:rsidRPr="00A21B5C">
        <w:rPr>
          <w:rFonts w:ascii="Arial" w:hAnsi="Arial" w:cs="Arial"/>
          <w:bCs/>
          <w:sz w:val="22"/>
          <w:szCs w:val="22"/>
          <w:lang w:val="es-CO"/>
        </w:rPr>
        <w:t>E</w:t>
      </w:r>
      <w:r w:rsidR="000646C6" w:rsidRPr="00A21B5C">
        <w:rPr>
          <w:rFonts w:ascii="Arial" w:hAnsi="Arial" w:cs="Arial"/>
          <w:bCs/>
          <w:sz w:val="22"/>
          <w:szCs w:val="22"/>
          <w:lang w:val="es-CO"/>
        </w:rPr>
        <w:t xml:space="preserve">l rubro de obligaciones que maneja la Entidad Territorial </w:t>
      </w:r>
      <w:r w:rsidR="007D2216" w:rsidRPr="00A21B5C">
        <w:rPr>
          <w:rFonts w:ascii="Arial" w:hAnsi="Arial" w:cs="Arial"/>
          <w:bCs/>
          <w:sz w:val="22"/>
          <w:szCs w:val="22"/>
          <w:lang w:val="es-CO"/>
        </w:rPr>
        <w:t xml:space="preserve">para las vigencias 2016 y 2017 </w:t>
      </w:r>
      <w:r w:rsidR="000646C6" w:rsidRPr="00A21B5C">
        <w:rPr>
          <w:rFonts w:ascii="Arial" w:hAnsi="Arial" w:cs="Arial"/>
          <w:bCs/>
          <w:sz w:val="22"/>
          <w:szCs w:val="22"/>
          <w:lang w:val="es-CO"/>
        </w:rPr>
        <w:t>está determinado por la diferencia entre los compromisos y los pagos</w:t>
      </w:r>
      <w:r w:rsidR="000E0BD9" w:rsidRPr="00A21B5C">
        <w:rPr>
          <w:rFonts w:ascii="Arial" w:hAnsi="Arial" w:cs="Arial"/>
          <w:bCs/>
          <w:sz w:val="22"/>
          <w:szCs w:val="22"/>
          <w:lang w:val="es-CO"/>
        </w:rPr>
        <w:t>.</w:t>
      </w:r>
      <w:r w:rsidR="003B4026" w:rsidRPr="00A21B5C">
        <w:rPr>
          <w:rFonts w:ascii="Arial" w:hAnsi="Arial" w:cs="Arial"/>
          <w:bCs/>
          <w:sz w:val="22"/>
          <w:szCs w:val="22"/>
          <w:lang w:val="es-CO"/>
        </w:rPr>
        <w:t xml:space="preserve"> </w:t>
      </w:r>
      <w:r w:rsidR="00A56F3C" w:rsidRPr="00A21B5C">
        <w:rPr>
          <w:rFonts w:ascii="Arial" w:hAnsi="Arial" w:cs="Arial"/>
          <w:bCs/>
          <w:sz w:val="22"/>
          <w:szCs w:val="22"/>
          <w:lang w:val="es-CO"/>
        </w:rPr>
        <w:t>Est</w:t>
      </w:r>
      <w:r w:rsidR="005040AC" w:rsidRPr="00A21B5C">
        <w:rPr>
          <w:rFonts w:ascii="Arial" w:hAnsi="Arial" w:cs="Arial"/>
          <w:bCs/>
          <w:sz w:val="22"/>
          <w:szCs w:val="22"/>
          <w:lang w:val="es-CO"/>
        </w:rPr>
        <w:t>a manera de dete</w:t>
      </w:r>
      <w:r w:rsidR="00155AD6" w:rsidRPr="00A21B5C">
        <w:rPr>
          <w:rFonts w:ascii="Arial" w:hAnsi="Arial" w:cs="Arial"/>
          <w:bCs/>
          <w:sz w:val="22"/>
          <w:szCs w:val="22"/>
          <w:lang w:val="es-CO"/>
        </w:rPr>
        <w:t>rmina</w:t>
      </w:r>
      <w:r w:rsidR="005040AC" w:rsidRPr="00A21B5C">
        <w:rPr>
          <w:rFonts w:ascii="Arial" w:hAnsi="Arial" w:cs="Arial"/>
          <w:bCs/>
          <w:sz w:val="22"/>
          <w:szCs w:val="22"/>
          <w:lang w:val="es-CO"/>
        </w:rPr>
        <w:t>r</w:t>
      </w:r>
      <w:r w:rsidR="00155AD6" w:rsidRPr="00A21B5C">
        <w:rPr>
          <w:rFonts w:ascii="Arial" w:hAnsi="Arial" w:cs="Arial"/>
          <w:bCs/>
          <w:sz w:val="22"/>
          <w:szCs w:val="22"/>
          <w:lang w:val="es-CO"/>
        </w:rPr>
        <w:t xml:space="preserve"> las obligaciones</w:t>
      </w:r>
      <w:r w:rsidR="005040AC" w:rsidRPr="00A21B5C">
        <w:rPr>
          <w:rFonts w:ascii="Arial" w:hAnsi="Arial" w:cs="Arial"/>
          <w:bCs/>
          <w:sz w:val="22"/>
          <w:szCs w:val="22"/>
          <w:lang w:val="es-CO"/>
        </w:rPr>
        <w:t xml:space="preserve"> por parte de la </w:t>
      </w:r>
      <w:r w:rsidR="00D630E7" w:rsidRPr="00A21B5C">
        <w:rPr>
          <w:rFonts w:ascii="Arial" w:hAnsi="Arial" w:cs="Arial"/>
          <w:bCs/>
          <w:sz w:val="22"/>
          <w:szCs w:val="22"/>
          <w:lang w:val="es-CO"/>
        </w:rPr>
        <w:t>Entidad</w:t>
      </w:r>
      <w:r w:rsidR="007F6EDF" w:rsidRPr="00A21B5C">
        <w:rPr>
          <w:rFonts w:ascii="Arial" w:hAnsi="Arial" w:cs="Arial"/>
          <w:bCs/>
          <w:sz w:val="22"/>
          <w:szCs w:val="22"/>
          <w:lang w:val="es-CO"/>
        </w:rPr>
        <w:t xml:space="preserve"> </w:t>
      </w:r>
      <w:r w:rsidR="005040AC" w:rsidRPr="00A21B5C">
        <w:rPr>
          <w:rFonts w:ascii="Arial" w:hAnsi="Arial" w:cs="Arial"/>
          <w:bCs/>
          <w:sz w:val="22"/>
          <w:szCs w:val="22"/>
          <w:lang w:val="es-CO"/>
        </w:rPr>
        <w:t>imposibilita</w:t>
      </w:r>
      <w:r w:rsidR="004D3CFB" w:rsidRPr="00A21B5C">
        <w:rPr>
          <w:rFonts w:ascii="Arial" w:hAnsi="Arial" w:cs="Arial"/>
          <w:bCs/>
          <w:sz w:val="22"/>
          <w:szCs w:val="22"/>
          <w:lang w:val="es-CO"/>
        </w:rPr>
        <w:t xml:space="preserve"> que</w:t>
      </w:r>
      <w:r w:rsidR="0085651B" w:rsidRPr="00A21B5C">
        <w:rPr>
          <w:rFonts w:ascii="Arial" w:hAnsi="Arial" w:cs="Arial"/>
          <w:bCs/>
          <w:sz w:val="22"/>
          <w:szCs w:val="22"/>
          <w:lang w:val="es-CO"/>
        </w:rPr>
        <w:t xml:space="preserve"> </w:t>
      </w:r>
      <w:r w:rsidR="000E0BD9" w:rsidRPr="00A21B5C">
        <w:rPr>
          <w:rFonts w:ascii="Arial" w:hAnsi="Arial" w:cs="Arial"/>
          <w:bCs/>
          <w:sz w:val="22"/>
          <w:szCs w:val="22"/>
          <w:lang w:val="es-CO"/>
        </w:rPr>
        <w:t>a partir de la información presupuestal puedan establecerse</w:t>
      </w:r>
      <w:r w:rsidR="0085651B" w:rsidRPr="00A21B5C">
        <w:rPr>
          <w:rFonts w:ascii="Arial" w:hAnsi="Arial" w:cs="Arial"/>
          <w:bCs/>
          <w:sz w:val="22"/>
          <w:szCs w:val="22"/>
          <w:lang w:val="es-CO"/>
        </w:rPr>
        <w:t xml:space="preserve"> con certeza los montos correspondientes a las reservas presupuestales y las cuentas por pagar para esta</w:t>
      </w:r>
      <w:r w:rsidR="002C4208" w:rsidRPr="00A21B5C">
        <w:rPr>
          <w:rFonts w:ascii="Arial" w:hAnsi="Arial" w:cs="Arial"/>
          <w:bCs/>
          <w:sz w:val="22"/>
          <w:szCs w:val="22"/>
          <w:lang w:val="es-CO"/>
        </w:rPr>
        <w:t>s</w:t>
      </w:r>
      <w:r w:rsidR="0085651B" w:rsidRPr="00A21B5C">
        <w:rPr>
          <w:rFonts w:ascii="Arial" w:hAnsi="Arial" w:cs="Arial"/>
          <w:bCs/>
          <w:sz w:val="22"/>
          <w:szCs w:val="22"/>
          <w:lang w:val="es-CO"/>
        </w:rPr>
        <w:t xml:space="preserve"> vigencia</w:t>
      </w:r>
      <w:r w:rsidR="000E0BD9" w:rsidRPr="00A21B5C">
        <w:rPr>
          <w:rFonts w:ascii="Arial" w:hAnsi="Arial" w:cs="Arial"/>
          <w:bCs/>
          <w:sz w:val="22"/>
          <w:szCs w:val="22"/>
          <w:lang w:val="es-CO"/>
        </w:rPr>
        <w:t>s</w:t>
      </w:r>
      <w:r w:rsidR="004D3CFB" w:rsidRPr="00A21B5C">
        <w:rPr>
          <w:rFonts w:ascii="Arial" w:hAnsi="Arial" w:cs="Arial"/>
          <w:bCs/>
          <w:sz w:val="22"/>
          <w:szCs w:val="22"/>
          <w:lang w:val="es-CO"/>
        </w:rPr>
        <w:t>.</w:t>
      </w:r>
    </w:p>
    <w:p w:rsidR="007809D9" w:rsidRPr="00A21B5C" w:rsidRDefault="007809D9" w:rsidP="00A21B5C">
      <w:pPr>
        <w:pStyle w:val="Prrafodelista"/>
        <w:ind w:left="709"/>
        <w:jc w:val="both"/>
        <w:rPr>
          <w:rFonts w:ascii="Arial" w:hAnsi="Arial" w:cs="Arial"/>
          <w:bCs/>
          <w:sz w:val="22"/>
          <w:szCs w:val="22"/>
          <w:lang w:val="es-CO"/>
        </w:rPr>
      </w:pPr>
    </w:p>
    <w:p w:rsidR="00C854F8" w:rsidRPr="00A21B5C" w:rsidRDefault="008B6A4D">
      <w:pPr>
        <w:pStyle w:val="Prrafodelista"/>
        <w:numPr>
          <w:ilvl w:val="0"/>
          <w:numId w:val="35"/>
        </w:numPr>
        <w:ind w:left="709"/>
        <w:jc w:val="both"/>
        <w:rPr>
          <w:rFonts w:ascii="Arial" w:hAnsi="Arial" w:cs="Arial"/>
          <w:bCs/>
          <w:sz w:val="22"/>
          <w:szCs w:val="22"/>
          <w:lang w:val="es-CO"/>
        </w:rPr>
      </w:pPr>
      <w:r w:rsidRPr="00A21B5C">
        <w:rPr>
          <w:rFonts w:ascii="Arial" w:hAnsi="Arial" w:cs="Arial"/>
          <w:bCs/>
          <w:sz w:val="22"/>
          <w:szCs w:val="22"/>
          <w:lang w:val="es-CO"/>
        </w:rPr>
        <w:t>El valor de las obligaciones</w:t>
      </w:r>
      <w:r w:rsidR="00AE6FC7" w:rsidRPr="00A21B5C">
        <w:rPr>
          <w:rFonts w:ascii="Arial" w:hAnsi="Arial" w:cs="Arial"/>
          <w:bCs/>
          <w:sz w:val="22"/>
          <w:szCs w:val="22"/>
          <w:lang w:val="es-CO"/>
        </w:rPr>
        <w:t xml:space="preserve"> </w:t>
      </w:r>
      <w:r w:rsidR="00F9089F" w:rsidRPr="00A21B5C">
        <w:rPr>
          <w:rFonts w:ascii="Arial" w:hAnsi="Arial" w:cs="Arial"/>
          <w:bCs/>
          <w:sz w:val="22"/>
          <w:szCs w:val="22"/>
          <w:lang w:val="es-CO"/>
        </w:rPr>
        <w:t xml:space="preserve">que como ya se referenció corresponde a la diferencia entre los compromisos y los pagos, </w:t>
      </w:r>
      <w:r w:rsidR="00AE6FC7" w:rsidRPr="00A21B5C">
        <w:rPr>
          <w:rFonts w:ascii="Arial" w:hAnsi="Arial" w:cs="Arial"/>
          <w:bCs/>
          <w:sz w:val="22"/>
          <w:szCs w:val="22"/>
          <w:lang w:val="es-CO"/>
        </w:rPr>
        <w:t>coincide para 2016 con el valor de las reservas presupuestales</w:t>
      </w:r>
      <w:r w:rsidRPr="00A21B5C">
        <w:rPr>
          <w:rFonts w:ascii="Arial" w:hAnsi="Arial" w:cs="Arial"/>
          <w:bCs/>
          <w:sz w:val="22"/>
          <w:szCs w:val="22"/>
          <w:lang w:val="es-CO"/>
        </w:rPr>
        <w:t xml:space="preserve"> </w:t>
      </w:r>
      <w:r w:rsidR="00F9089F" w:rsidRPr="00A21B5C">
        <w:rPr>
          <w:rFonts w:ascii="Arial" w:hAnsi="Arial" w:cs="Arial"/>
          <w:bCs/>
          <w:sz w:val="22"/>
          <w:szCs w:val="22"/>
          <w:lang w:val="es-CO"/>
        </w:rPr>
        <w:t xml:space="preserve">constituidas para esta vigencia y para 2017 con </w:t>
      </w:r>
      <w:r w:rsidR="009A4F1D" w:rsidRPr="00A21B5C">
        <w:rPr>
          <w:rFonts w:ascii="Arial" w:hAnsi="Arial" w:cs="Arial"/>
          <w:bCs/>
          <w:sz w:val="22"/>
          <w:szCs w:val="22"/>
          <w:lang w:val="es-CO"/>
        </w:rPr>
        <w:t xml:space="preserve">la suma </w:t>
      </w:r>
      <w:r w:rsidR="00C854F8" w:rsidRPr="00A21B5C">
        <w:rPr>
          <w:rFonts w:ascii="Arial" w:hAnsi="Arial" w:cs="Arial"/>
          <w:bCs/>
          <w:sz w:val="22"/>
          <w:szCs w:val="22"/>
          <w:lang w:val="es-CO"/>
        </w:rPr>
        <w:t>de</w:t>
      </w:r>
      <w:r w:rsidR="00C73C5A" w:rsidRPr="00A21B5C">
        <w:rPr>
          <w:rFonts w:ascii="Arial" w:hAnsi="Arial" w:cs="Arial"/>
          <w:bCs/>
          <w:sz w:val="22"/>
          <w:szCs w:val="22"/>
          <w:lang w:val="es-CO"/>
        </w:rPr>
        <w:t xml:space="preserve"> los montos que debieron co</w:t>
      </w:r>
      <w:r w:rsidR="000116D6" w:rsidRPr="00A21B5C">
        <w:rPr>
          <w:rFonts w:ascii="Arial" w:hAnsi="Arial" w:cs="Arial"/>
          <w:bCs/>
          <w:sz w:val="22"/>
          <w:szCs w:val="22"/>
          <w:lang w:val="es-CO"/>
        </w:rPr>
        <w:t>nstituirse como</w:t>
      </w:r>
      <w:r w:rsidR="000A35FA" w:rsidRPr="00A21B5C">
        <w:rPr>
          <w:rFonts w:ascii="Arial" w:hAnsi="Arial" w:cs="Arial"/>
          <w:bCs/>
          <w:sz w:val="22"/>
          <w:szCs w:val="22"/>
          <w:lang w:val="es-CO"/>
        </w:rPr>
        <w:t xml:space="preserve"> </w:t>
      </w:r>
      <w:r w:rsidR="00C854F8" w:rsidRPr="00A21B5C">
        <w:rPr>
          <w:rFonts w:ascii="Arial" w:hAnsi="Arial" w:cs="Arial"/>
          <w:bCs/>
          <w:sz w:val="22"/>
          <w:szCs w:val="22"/>
          <w:lang w:val="es-CO"/>
        </w:rPr>
        <w:t>obligaciones pendientes de pago (cuentas por pagar) y compromisos por obligar (reservas).</w:t>
      </w:r>
      <w:r w:rsidR="00DC1B62" w:rsidRPr="00A21B5C">
        <w:rPr>
          <w:rFonts w:ascii="Arial" w:hAnsi="Arial" w:cs="Arial"/>
          <w:bCs/>
          <w:sz w:val="22"/>
          <w:szCs w:val="22"/>
          <w:lang w:val="es-CO"/>
        </w:rPr>
        <w:t xml:space="preserve"> </w:t>
      </w:r>
      <w:r w:rsidR="00E817BB" w:rsidRPr="00A21B5C">
        <w:rPr>
          <w:rFonts w:ascii="Arial" w:hAnsi="Arial" w:cs="Arial"/>
          <w:bCs/>
          <w:sz w:val="22"/>
          <w:szCs w:val="22"/>
          <w:lang w:val="es-CO"/>
        </w:rPr>
        <w:t>De modo que</w:t>
      </w:r>
      <w:r w:rsidR="0078140D" w:rsidRPr="00A21B5C">
        <w:rPr>
          <w:rFonts w:ascii="Arial" w:hAnsi="Arial" w:cs="Arial"/>
          <w:bCs/>
          <w:sz w:val="22"/>
          <w:szCs w:val="22"/>
          <w:lang w:val="es-CO"/>
        </w:rPr>
        <w:t>,</w:t>
      </w:r>
      <w:r w:rsidR="00E817BB" w:rsidRPr="00A21B5C">
        <w:rPr>
          <w:rFonts w:ascii="Arial" w:hAnsi="Arial" w:cs="Arial"/>
          <w:bCs/>
          <w:sz w:val="22"/>
          <w:szCs w:val="22"/>
          <w:lang w:val="es-CO"/>
        </w:rPr>
        <w:t xml:space="preserve"> se evidencia que el Municipio no tiene claridad conceptual sobre </w:t>
      </w:r>
      <w:r w:rsidR="00AC1EFE" w:rsidRPr="00A21B5C">
        <w:rPr>
          <w:rFonts w:ascii="Arial" w:hAnsi="Arial" w:cs="Arial"/>
          <w:bCs/>
          <w:sz w:val="22"/>
          <w:szCs w:val="22"/>
          <w:lang w:val="es-CO"/>
        </w:rPr>
        <w:t>el correcto manejo presupuestal de los recursos.</w:t>
      </w:r>
    </w:p>
    <w:p w:rsidR="007809D9" w:rsidRPr="00A21B5C" w:rsidRDefault="007809D9" w:rsidP="00A21B5C">
      <w:pPr>
        <w:pStyle w:val="Prrafodelista"/>
        <w:ind w:left="709"/>
        <w:jc w:val="both"/>
        <w:rPr>
          <w:rFonts w:ascii="Arial" w:hAnsi="Arial" w:cs="Arial"/>
          <w:bCs/>
          <w:sz w:val="22"/>
          <w:szCs w:val="22"/>
          <w:lang w:val="es-CO"/>
        </w:rPr>
      </w:pPr>
    </w:p>
    <w:p w:rsidR="00CF6F0D" w:rsidRPr="00A21B5C" w:rsidRDefault="00383C7F">
      <w:pPr>
        <w:pStyle w:val="Prrafodelista"/>
        <w:numPr>
          <w:ilvl w:val="0"/>
          <w:numId w:val="35"/>
        </w:numPr>
        <w:ind w:left="709"/>
        <w:jc w:val="both"/>
        <w:rPr>
          <w:rFonts w:ascii="Arial" w:hAnsi="Arial" w:cs="Arial"/>
          <w:bCs/>
          <w:sz w:val="22"/>
          <w:szCs w:val="22"/>
          <w:lang w:val="es-CO"/>
        </w:rPr>
      </w:pPr>
      <w:r w:rsidRPr="00A21B5C">
        <w:rPr>
          <w:rFonts w:ascii="Arial" w:hAnsi="Arial" w:cs="Arial"/>
          <w:bCs/>
          <w:sz w:val="22"/>
          <w:szCs w:val="22"/>
          <w:lang w:val="es-CO"/>
        </w:rPr>
        <w:lastRenderedPageBreak/>
        <w:t>D</w:t>
      </w:r>
      <w:r w:rsidR="00865731" w:rsidRPr="00A21B5C">
        <w:rPr>
          <w:rFonts w:ascii="Arial" w:hAnsi="Arial" w:cs="Arial"/>
          <w:bCs/>
          <w:sz w:val="22"/>
          <w:szCs w:val="22"/>
          <w:lang w:val="es-CO"/>
        </w:rPr>
        <w:t>entro de las Ejecuciones Presupuestales de Ingresos y Gastos</w:t>
      </w:r>
      <w:r w:rsidR="00B90D28" w:rsidRPr="00A21B5C">
        <w:rPr>
          <w:rFonts w:ascii="Arial" w:hAnsi="Arial" w:cs="Arial"/>
          <w:bCs/>
          <w:sz w:val="22"/>
          <w:szCs w:val="22"/>
          <w:lang w:val="es-CO"/>
        </w:rPr>
        <w:t xml:space="preserve"> de la vigencia 2017</w:t>
      </w:r>
      <w:r w:rsidR="00865731" w:rsidRPr="00A21B5C">
        <w:rPr>
          <w:rFonts w:ascii="Arial" w:hAnsi="Arial" w:cs="Arial"/>
          <w:bCs/>
          <w:sz w:val="22"/>
          <w:szCs w:val="22"/>
          <w:lang w:val="es-CO"/>
        </w:rPr>
        <w:t xml:space="preserve"> </w:t>
      </w:r>
      <w:r w:rsidRPr="00A21B5C">
        <w:rPr>
          <w:rFonts w:ascii="Arial" w:hAnsi="Arial" w:cs="Arial"/>
          <w:bCs/>
          <w:sz w:val="22"/>
          <w:szCs w:val="22"/>
          <w:lang w:val="es-CO"/>
        </w:rPr>
        <w:t>aparece</w:t>
      </w:r>
      <w:r w:rsidR="00865731" w:rsidRPr="00A21B5C">
        <w:rPr>
          <w:rFonts w:ascii="Arial" w:hAnsi="Arial" w:cs="Arial"/>
          <w:bCs/>
          <w:sz w:val="22"/>
          <w:szCs w:val="22"/>
          <w:lang w:val="es-CO"/>
        </w:rPr>
        <w:t xml:space="preserve"> un rubro para el manejo de las Reservas Presupuestales constituidas sobre la vigencia anterior</w:t>
      </w:r>
      <w:r w:rsidR="00640270" w:rsidRPr="00A21B5C">
        <w:rPr>
          <w:rFonts w:ascii="Arial" w:hAnsi="Arial" w:cs="Arial"/>
          <w:bCs/>
          <w:sz w:val="22"/>
          <w:szCs w:val="22"/>
          <w:lang w:val="es-CO"/>
        </w:rPr>
        <w:t>;</w:t>
      </w:r>
      <w:r w:rsidR="00865731" w:rsidRPr="00A21B5C">
        <w:rPr>
          <w:rFonts w:ascii="Arial" w:hAnsi="Arial" w:cs="Arial"/>
          <w:bCs/>
          <w:sz w:val="22"/>
          <w:szCs w:val="22"/>
          <w:lang w:val="es-CO"/>
        </w:rPr>
        <w:t xml:space="preserve"> lo cual, si bien no es necesariamente cuestionable desde el punto de vista de la presentación de las ejecuciones presupuestales de los recursos, sí lo es cuando no es claro el manejo presupuestal de estas, dado que las Reservas Presupuestales son recursos ya comprometidos pendientes de obligar, por lo que no harían parte de los recursos disponibles para ejecutar dentro de la vigencia en curso, y por tanto no deberían causarse como incorporaciones al presupuesto definitivo ni como apropiaciones del mismo. </w:t>
      </w:r>
      <w:r w:rsidR="00CF6F0D" w:rsidRPr="00A21B5C">
        <w:rPr>
          <w:rFonts w:ascii="Arial" w:hAnsi="Arial" w:cs="Arial"/>
          <w:bCs/>
          <w:sz w:val="22"/>
          <w:szCs w:val="22"/>
          <w:lang w:val="es-CO"/>
        </w:rPr>
        <w:t>Aunado a</w:t>
      </w:r>
      <w:r w:rsidR="00956146" w:rsidRPr="00A21B5C">
        <w:rPr>
          <w:rFonts w:ascii="Arial" w:hAnsi="Arial" w:cs="Arial"/>
          <w:bCs/>
          <w:sz w:val="22"/>
          <w:szCs w:val="22"/>
          <w:lang w:val="es-CO"/>
        </w:rPr>
        <w:t xml:space="preserve"> esto, </w:t>
      </w:r>
      <w:r w:rsidR="00CF6F0D" w:rsidRPr="00A21B5C">
        <w:rPr>
          <w:rFonts w:ascii="Arial" w:hAnsi="Arial" w:cs="Arial"/>
          <w:bCs/>
          <w:sz w:val="22"/>
          <w:szCs w:val="22"/>
          <w:lang w:val="es-CO"/>
        </w:rPr>
        <w:t xml:space="preserve">en la ejecución de ingresos de la vigencia 2017 </w:t>
      </w:r>
      <w:r w:rsidR="008230A2" w:rsidRPr="00A21B5C">
        <w:rPr>
          <w:rFonts w:ascii="Arial" w:hAnsi="Arial" w:cs="Arial"/>
          <w:bCs/>
          <w:sz w:val="22"/>
          <w:szCs w:val="22"/>
          <w:lang w:val="es-CO"/>
        </w:rPr>
        <w:t>figura también</w:t>
      </w:r>
      <w:r w:rsidR="00CF6F0D" w:rsidRPr="00A21B5C">
        <w:rPr>
          <w:rFonts w:ascii="Arial" w:hAnsi="Arial" w:cs="Arial"/>
          <w:bCs/>
          <w:sz w:val="22"/>
          <w:szCs w:val="22"/>
          <w:lang w:val="es-CO"/>
        </w:rPr>
        <w:t xml:space="preserve"> un rubro que corresponde a los compromisos de la reserva, </w:t>
      </w:r>
      <w:r w:rsidR="008230A2" w:rsidRPr="00A21B5C">
        <w:rPr>
          <w:rFonts w:ascii="Arial" w:hAnsi="Arial" w:cs="Arial"/>
          <w:bCs/>
          <w:sz w:val="22"/>
          <w:szCs w:val="22"/>
          <w:lang w:val="es-CO"/>
        </w:rPr>
        <w:t xml:space="preserve">lo que </w:t>
      </w:r>
      <w:r w:rsidR="00CF6F0D" w:rsidRPr="00A21B5C">
        <w:rPr>
          <w:rFonts w:ascii="Arial" w:hAnsi="Arial" w:cs="Arial"/>
          <w:bCs/>
          <w:sz w:val="22"/>
          <w:szCs w:val="22"/>
          <w:lang w:val="es-CO"/>
        </w:rPr>
        <w:t>resulta inconsistente presupuestalmente dado que estos son recursos ya comprometidos en su totalidad.</w:t>
      </w:r>
    </w:p>
    <w:p w:rsidR="00640270" w:rsidRPr="00A21B5C" w:rsidRDefault="00640270" w:rsidP="00A21B5C">
      <w:pPr>
        <w:pStyle w:val="Prrafodelista"/>
        <w:ind w:left="709"/>
        <w:jc w:val="both"/>
        <w:rPr>
          <w:rFonts w:ascii="Arial" w:hAnsi="Arial" w:cs="Arial"/>
          <w:bCs/>
          <w:sz w:val="22"/>
          <w:szCs w:val="22"/>
          <w:lang w:val="es-CO"/>
        </w:rPr>
      </w:pPr>
    </w:p>
    <w:p w:rsidR="00B078AD" w:rsidRPr="00A21B5C" w:rsidRDefault="009262B4">
      <w:pPr>
        <w:pStyle w:val="Prrafodelista"/>
        <w:numPr>
          <w:ilvl w:val="0"/>
          <w:numId w:val="35"/>
        </w:numPr>
        <w:ind w:left="709"/>
        <w:jc w:val="both"/>
        <w:rPr>
          <w:rFonts w:ascii="Arial" w:hAnsi="Arial" w:cs="Arial"/>
          <w:bCs/>
          <w:sz w:val="22"/>
          <w:szCs w:val="22"/>
          <w:lang w:val="es-CO"/>
        </w:rPr>
      </w:pPr>
      <w:r w:rsidRPr="00A21B5C">
        <w:rPr>
          <w:rFonts w:ascii="Arial" w:hAnsi="Arial" w:cs="Arial"/>
          <w:bCs/>
          <w:sz w:val="22"/>
          <w:szCs w:val="22"/>
          <w:lang w:val="es-CO"/>
        </w:rPr>
        <w:t xml:space="preserve">El valor que figura </w:t>
      </w:r>
      <w:r w:rsidR="009C4C7B" w:rsidRPr="00A21B5C">
        <w:rPr>
          <w:rFonts w:ascii="Arial" w:hAnsi="Arial" w:cs="Arial"/>
          <w:bCs/>
          <w:sz w:val="22"/>
          <w:szCs w:val="22"/>
          <w:lang w:val="es-CO"/>
        </w:rPr>
        <w:t>en</w:t>
      </w:r>
      <w:r w:rsidR="00B078AD" w:rsidRPr="00A21B5C">
        <w:rPr>
          <w:rFonts w:ascii="Arial" w:hAnsi="Arial" w:cs="Arial"/>
          <w:bCs/>
          <w:sz w:val="22"/>
          <w:szCs w:val="22"/>
          <w:lang w:val="es-CO"/>
        </w:rPr>
        <w:t xml:space="preserve"> el Acto Administrativo de constitución de cuentas por pagar de la vigencia 2017 expedido por el Municipio</w:t>
      </w:r>
      <w:r w:rsidR="009C4C7B" w:rsidRPr="00A21B5C">
        <w:rPr>
          <w:rFonts w:ascii="Arial" w:hAnsi="Arial" w:cs="Arial"/>
          <w:bCs/>
          <w:sz w:val="22"/>
          <w:szCs w:val="22"/>
          <w:lang w:val="es-CO"/>
        </w:rPr>
        <w:t xml:space="preserve"> </w:t>
      </w:r>
      <w:r w:rsidR="00B078AD" w:rsidRPr="00A21B5C">
        <w:rPr>
          <w:rFonts w:ascii="Arial" w:hAnsi="Arial" w:cs="Arial"/>
          <w:bCs/>
          <w:sz w:val="22"/>
          <w:szCs w:val="22"/>
          <w:lang w:val="es-CO"/>
        </w:rPr>
        <w:t>difiere de</w:t>
      </w:r>
      <w:r w:rsidR="0083104D" w:rsidRPr="00A21B5C">
        <w:rPr>
          <w:rFonts w:ascii="Arial" w:hAnsi="Arial" w:cs="Arial"/>
          <w:bCs/>
          <w:sz w:val="22"/>
          <w:szCs w:val="22"/>
          <w:lang w:val="es-CO"/>
        </w:rPr>
        <w:t>l valor de</w:t>
      </w:r>
      <w:r w:rsidR="00B078AD" w:rsidRPr="00A21B5C">
        <w:rPr>
          <w:rFonts w:ascii="Arial" w:hAnsi="Arial" w:cs="Arial"/>
          <w:bCs/>
          <w:sz w:val="22"/>
          <w:szCs w:val="22"/>
          <w:lang w:val="es-CO"/>
        </w:rPr>
        <w:t xml:space="preserve"> las cuentas por pagar determinad</w:t>
      </w:r>
      <w:r w:rsidR="00A06DBD" w:rsidRPr="00A21B5C">
        <w:rPr>
          <w:rFonts w:ascii="Arial" w:hAnsi="Arial" w:cs="Arial"/>
          <w:bCs/>
          <w:sz w:val="22"/>
          <w:szCs w:val="22"/>
          <w:lang w:val="es-CO"/>
        </w:rPr>
        <w:t>o</w:t>
      </w:r>
      <w:r w:rsidR="00B078AD" w:rsidRPr="00A21B5C">
        <w:rPr>
          <w:rFonts w:ascii="Arial" w:hAnsi="Arial" w:cs="Arial"/>
          <w:bCs/>
          <w:sz w:val="22"/>
          <w:szCs w:val="22"/>
          <w:lang w:val="es-CO"/>
        </w:rPr>
        <w:t xml:space="preserve"> a partir de la revisión de los contratos </w:t>
      </w:r>
      <w:r w:rsidR="00A06DBD" w:rsidRPr="00A21B5C">
        <w:rPr>
          <w:rFonts w:ascii="Arial" w:hAnsi="Arial" w:cs="Arial"/>
          <w:bCs/>
          <w:sz w:val="22"/>
          <w:szCs w:val="22"/>
          <w:lang w:val="es-CO"/>
        </w:rPr>
        <w:t>ejecutados para esa vigencia</w:t>
      </w:r>
      <w:r w:rsidR="00B078AD" w:rsidRPr="00A21B5C">
        <w:rPr>
          <w:rFonts w:ascii="Arial" w:hAnsi="Arial" w:cs="Arial"/>
          <w:bCs/>
          <w:sz w:val="22"/>
          <w:szCs w:val="22"/>
          <w:lang w:val="es-CO"/>
        </w:rPr>
        <w:t xml:space="preserve">. La diferencia se debió a que la Entidad Territorial no solo constituyó cuentas por pagar por las obligaciones pendientes de pago; sino también por las reservas de la vigencia 2016 obligadas y no pagadas al cierre de la vigencia 2017. Al respecto, se advierte que estos </w:t>
      </w:r>
      <w:r w:rsidR="00261EF3" w:rsidRPr="00A21B5C">
        <w:rPr>
          <w:rFonts w:ascii="Arial" w:hAnsi="Arial" w:cs="Arial"/>
          <w:bCs/>
          <w:sz w:val="22"/>
          <w:szCs w:val="22"/>
          <w:lang w:val="es-CO"/>
        </w:rPr>
        <w:t>últimos recursos</w:t>
      </w:r>
      <w:r w:rsidR="00B078AD" w:rsidRPr="00A21B5C">
        <w:rPr>
          <w:rFonts w:ascii="Arial" w:hAnsi="Arial" w:cs="Arial"/>
          <w:bCs/>
          <w:sz w:val="22"/>
          <w:szCs w:val="22"/>
          <w:lang w:val="es-CO"/>
        </w:rPr>
        <w:t xml:space="preserve"> debieron haberse constituido como Pasivos exigibles - Vigencias expiradas y no como cuentas por pagar.</w:t>
      </w:r>
    </w:p>
    <w:p w:rsidR="00640270" w:rsidRPr="00A21B5C" w:rsidRDefault="00640270" w:rsidP="00A21B5C">
      <w:pPr>
        <w:pStyle w:val="Prrafodelista"/>
        <w:ind w:left="709"/>
        <w:jc w:val="both"/>
        <w:rPr>
          <w:rFonts w:ascii="Arial" w:hAnsi="Arial" w:cs="Arial"/>
          <w:bCs/>
          <w:sz w:val="22"/>
          <w:szCs w:val="22"/>
          <w:lang w:val="es-CO"/>
        </w:rPr>
      </w:pPr>
    </w:p>
    <w:p w:rsidR="00EC3A64" w:rsidRPr="00A21B5C" w:rsidRDefault="00EC3A64">
      <w:pPr>
        <w:pStyle w:val="Prrafodelista"/>
        <w:numPr>
          <w:ilvl w:val="0"/>
          <w:numId w:val="35"/>
        </w:numPr>
        <w:ind w:left="709"/>
        <w:jc w:val="both"/>
        <w:rPr>
          <w:rFonts w:ascii="Arial" w:hAnsi="Arial" w:cs="Arial"/>
          <w:bCs/>
          <w:sz w:val="22"/>
          <w:szCs w:val="22"/>
          <w:lang w:val="es-CO"/>
        </w:rPr>
      </w:pPr>
      <w:r w:rsidRPr="00A21B5C">
        <w:rPr>
          <w:rFonts w:ascii="Arial" w:hAnsi="Arial" w:cs="Arial"/>
          <w:bCs/>
          <w:sz w:val="22"/>
          <w:szCs w:val="22"/>
          <w:lang w:val="es-CO"/>
        </w:rPr>
        <w:t xml:space="preserve">Para la vigencia 2018 </w:t>
      </w:r>
      <w:r w:rsidR="00C631E7" w:rsidRPr="00A21B5C">
        <w:rPr>
          <w:rFonts w:ascii="Arial" w:hAnsi="Arial" w:cs="Arial"/>
          <w:bCs/>
          <w:sz w:val="22"/>
          <w:szCs w:val="22"/>
          <w:lang w:val="es-CO"/>
        </w:rPr>
        <w:t>la Entidad</w:t>
      </w:r>
      <w:r w:rsidRPr="00A21B5C">
        <w:rPr>
          <w:rFonts w:ascii="Arial" w:hAnsi="Arial" w:cs="Arial"/>
          <w:bCs/>
          <w:sz w:val="22"/>
          <w:szCs w:val="22"/>
          <w:lang w:val="es-CO"/>
        </w:rPr>
        <w:t xml:space="preserve"> no incorporó en el presupuesto definitivo la totalidad de recursos asignados efectivamente por el Departamento Nacional de Planeación. </w:t>
      </w:r>
    </w:p>
    <w:p w:rsidR="00F9089F" w:rsidRPr="00A21B5C" w:rsidRDefault="00F9089F" w:rsidP="00A21B5C">
      <w:pPr>
        <w:contextualSpacing/>
        <w:jc w:val="both"/>
        <w:rPr>
          <w:rFonts w:ascii="Arial" w:hAnsi="Arial" w:cs="Arial"/>
          <w:bCs/>
          <w:sz w:val="22"/>
          <w:szCs w:val="22"/>
          <w:lang w:val="es-CO"/>
        </w:rPr>
      </w:pPr>
    </w:p>
    <w:p w:rsidR="00857D09" w:rsidRPr="00A21B5C" w:rsidRDefault="00C42718">
      <w:pPr>
        <w:pStyle w:val="Prrafodelista"/>
        <w:ind w:left="0"/>
        <w:jc w:val="both"/>
        <w:rPr>
          <w:rFonts w:ascii="Arial" w:hAnsi="Arial" w:cs="Arial"/>
          <w:bCs/>
          <w:sz w:val="22"/>
          <w:szCs w:val="22"/>
          <w:lang w:val="es-CO"/>
        </w:rPr>
      </w:pPr>
      <w:r w:rsidRPr="00A21B5C">
        <w:rPr>
          <w:rFonts w:ascii="Arial" w:hAnsi="Arial" w:cs="Arial"/>
          <w:bCs/>
          <w:sz w:val="22"/>
          <w:szCs w:val="22"/>
          <w:lang w:val="es-CO"/>
        </w:rPr>
        <w:t xml:space="preserve">Así, se evidencia que </w:t>
      </w:r>
      <w:r w:rsidR="00C631E7" w:rsidRPr="00A21B5C">
        <w:rPr>
          <w:rFonts w:ascii="Arial" w:hAnsi="Arial" w:cs="Arial"/>
          <w:bCs/>
          <w:sz w:val="22"/>
          <w:szCs w:val="22"/>
          <w:lang w:val="es-CO"/>
        </w:rPr>
        <w:t>el Municipio de Dibulla – La Guajira</w:t>
      </w:r>
      <w:r w:rsidR="003A312A" w:rsidRPr="00A21B5C">
        <w:rPr>
          <w:rFonts w:ascii="Arial" w:hAnsi="Arial" w:cs="Arial"/>
          <w:bCs/>
          <w:sz w:val="22"/>
          <w:szCs w:val="22"/>
          <w:lang w:val="es-CO"/>
        </w:rPr>
        <w:t xml:space="preserve"> no realizó </w:t>
      </w:r>
      <w:r w:rsidR="00A073BE" w:rsidRPr="00A21B5C">
        <w:rPr>
          <w:rFonts w:ascii="Arial" w:hAnsi="Arial" w:cs="Arial"/>
          <w:bCs/>
          <w:sz w:val="22"/>
          <w:szCs w:val="22"/>
          <w:lang w:val="es-CO"/>
        </w:rPr>
        <w:t>una conciliación de la información presupuestal</w:t>
      </w:r>
      <w:r w:rsidR="00D0496A" w:rsidRPr="00A21B5C">
        <w:rPr>
          <w:rFonts w:ascii="Arial" w:hAnsi="Arial" w:cs="Arial"/>
          <w:bCs/>
          <w:sz w:val="22"/>
          <w:szCs w:val="22"/>
          <w:lang w:val="es-CO"/>
        </w:rPr>
        <w:t xml:space="preserve">, ni </w:t>
      </w:r>
      <w:r w:rsidR="00F05976" w:rsidRPr="00A21B5C">
        <w:rPr>
          <w:rFonts w:ascii="Arial" w:hAnsi="Arial" w:cs="Arial"/>
          <w:bCs/>
          <w:sz w:val="22"/>
          <w:szCs w:val="22"/>
          <w:lang w:val="es-CO"/>
        </w:rPr>
        <w:t>un manejo claro y separado de los momentos presupuestales</w:t>
      </w:r>
      <w:r w:rsidR="008D6B09" w:rsidRPr="00A21B5C">
        <w:rPr>
          <w:rFonts w:ascii="Arial" w:hAnsi="Arial" w:cs="Arial"/>
          <w:bCs/>
          <w:sz w:val="22"/>
          <w:szCs w:val="22"/>
          <w:lang w:val="es-CO"/>
        </w:rPr>
        <w:t xml:space="preserve"> y la determinación y ejecución de cuentas por pagar y reservas,</w:t>
      </w:r>
      <w:r w:rsidR="00F05976" w:rsidRPr="00A21B5C">
        <w:rPr>
          <w:rFonts w:ascii="Arial" w:hAnsi="Arial" w:cs="Arial"/>
          <w:bCs/>
          <w:sz w:val="22"/>
          <w:szCs w:val="22"/>
          <w:lang w:val="es-CO"/>
        </w:rPr>
        <w:t xml:space="preserve"> </w:t>
      </w:r>
      <w:r w:rsidR="008D6B09" w:rsidRPr="00A21B5C">
        <w:rPr>
          <w:rFonts w:ascii="Arial" w:hAnsi="Arial" w:cs="Arial"/>
          <w:bCs/>
          <w:sz w:val="22"/>
          <w:szCs w:val="22"/>
          <w:lang w:val="es-CO"/>
        </w:rPr>
        <w:t>que</w:t>
      </w:r>
      <w:r w:rsidR="00F05976" w:rsidRPr="00A21B5C">
        <w:rPr>
          <w:rFonts w:ascii="Arial" w:hAnsi="Arial" w:cs="Arial"/>
          <w:bCs/>
          <w:sz w:val="22"/>
          <w:szCs w:val="22"/>
          <w:lang w:val="es-CO"/>
        </w:rPr>
        <w:t xml:space="preserve"> afectan los recursos</w:t>
      </w:r>
      <w:r w:rsidR="00C544C5" w:rsidRPr="00A21B5C">
        <w:rPr>
          <w:rFonts w:ascii="Arial" w:hAnsi="Arial" w:cs="Arial"/>
          <w:bCs/>
          <w:sz w:val="22"/>
          <w:szCs w:val="22"/>
          <w:lang w:val="es-CO"/>
        </w:rPr>
        <w:t xml:space="preserve"> de la A</w:t>
      </w:r>
      <w:r w:rsidR="00D0496A" w:rsidRPr="00A21B5C">
        <w:rPr>
          <w:rFonts w:ascii="Arial" w:hAnsi="Arial" w:cs="Arial"/>
          <w:bCs/>
          <w:sz w:val="22"/>
          <w:szCs w:val="22"/>
          <w:lang w:val="es-CO"/>
        </w:rPr>
        <w:t xml:space="preserve">signación </w:t>
      </w:r>
      <w:r w:rsidR="00C544C5" w:rsidRPr="00A21B5C">
        <w:rPr>
          <w:rFonts w:ascii="Arial" w:hAnsi="Arial" w:cs="Arial"/>
          <w:bCs/>
          <w:sz w:val="22"/>
          <w:szCs w:val="22"/>
          <w:lang w:val="es-CO"/>
        </w:rPr>
        <w:t>E</w:t>
      </w:r>
      <w:r w:rsidR="00D0496A" w:rsidRPr="00A21B5C">
        <w:rPr>
          <w:rFonts w:ascii="Arial" w:hAnsi="Arial" w:cs="Arial"/>
          <w:bCs/>
          <w:sz w:val="22"/>
          <w:szCs w:val="22"/>
          <w:lang w:val="es-CO"/>
        </w:rPr>
        <w:t xml:space="preserve">special del </w:t>
      </w:r>
      <w:r w:rsidR="00C631E7" w:rsidRPr="00A21B5C">
        <w:rPr>
          <w:rFonts w:ascii="Arial" w:hAnsi="Arial" w:cs="Arial"/>
          <w:bCs/>
          <w:sz w:val="22"/>
          <w:szCs w:val="22"/>
          <w:lang w:val="es-CO"/>
        </w:rPr>
        <w:t>Sistema</w:t>
      </w:r>
      <w:r w:rsidR="00D0496A" w:rsidRPr="00A21B5C">
        <w:rPr>
          <w:rFonts w:ascii="Arial" w:hAnsi="Arial" w:cs="Arial"/>
          <w:bCs/>
          <w:sz w:val="22"/>
          <w:szCs w:val="22"/>
          <w:lang w:val="es-CO"/>
        </w:rPr>
        <w:t xml:space="preserve"> </w:t>
      </w:r>
      <w:r w:rsidR="00C544C5" w:rsidRPr="00A21B5C">
        <w:rPr>
          <w:rFonts w:ascii="Arial" w:hAnsi="Arial" w:cs="Arial"/>
          <w:bCs/>
          <w:sz w:val="22"/>
          <w:szCs w:val="22"/>
          <w:lang w:val="es-CO"/>
        </w:rPr>
        <w:t>G</w:t>
      </w:r>
      <w:r w:rsidR="00D0496A" w:rsidRPr="00A21B5C">
        <w:rPr>
          <w:rFonts w:ascii="Arial" w:hAnsi="Arial" w:cs="Arial"/>
          <w:bCs/>
          <w:sz w:val="22"/>
          <w:szCs w:val="22"/>
          <w:lang w:val="es-CO"/>
        </w:rPr>
        <w:t xml:space="preserve">eneral de </w:t>
      </w:r>
      <w:r w:rsidR="00C544C5" w:rsidRPr="00A21B5C">
        <w:rPr>
          <w:rFonts w:ascii="Arial" w:hAnsi="Arial" w:cs="Arial"/>
          <w:bCs/>
          <w:sz w:val="22"/>
          <w:szCs w:val="22"/>
          <w:lang w:val="es-CO"/>
        </w:rPr>
        <w:t>P</w:t>
      </w:r>
      <w:r w:rsidR="00D0496A" w:rsidRPr="00A21B5C">
        <w:rPr>
          <w:rFonts w:ascii="Arial" w:hAnsi="Arial" w:cs="Arial"/>
          <w:bCs/>
          <w:sz w:val="22"/>
          <w:szCs w:val="22"/>
          <w:lang w:val="es-CO"/>
        </w:rPr>
        <w:t xml:space="preserve">articipaciones para </w:t>
      </w:r>
      <w:r w:rsidR="00C544C5" w:rsidRPr="00A21B5C">
        <w:rPr>
          <w:rFonts w:ascii="Arial" w:hAnsi="Arial" w:cs="Arial"/>
          <w:bCs/>
          <w:sz w:val="22"/>
          <w:szCs w:val="22"/>
          <w:lang w:val="es-CO"/>
        </w:rPr>
        <w:t>R</w:t>
      </w:r>
      <w:r w:rsidR="00D0496A" w:rsidRPr="00A21B5C">
        <w:rPr>
          <w:rFonts w:ascii="Arial" w:hAnsi="Arial" w:cs="Arial"/>
          <w:bCs/>
          <w:sz w:val="22"/>
          <w:szCs w:val="22"/>
          <w:lang w:val="es-CO"/>
        </w:rPr>
        <w:t xml:space="preserve">esguardos </w:t>
      </w:r>
      <w:r w:rsidR="00C631E7" w:rsidRPr="00A21B5C">
        <w:rPr>
          <w:rFonts w:ascii="Arial" w:hAnsi="Arial" w:cs="Arial"/>
          <w:bCs/>
          <w:sz w:val="22"/>
          <w:szCs w:val="22"/>
          <w:lang w:val="es-CO"/>
        </w:rPr>
        <w:t xml:space="preserve">Indígenas del Resguardo Kogui – Malayo – Arhuaco, que se encuentran </w:t>
      </w:r>
      <w:r w:rsidR="003B5148" w:rsidRPr="00A21B5C">
        <w:rPr>
          <w:rFonts w:ascii="Arial" w:hAnsi="Arial" w:cs="Arial"/>
          <w:bCs/>
          <w:sz w:val="22"/>
          <w:szCs w:val="22"/>
          <w:lang w:val="es-CO"/>
        </w:rPr>
        <w:t>bajo su administración</w:t>
      </w:r>
      <w:r w:rsidR="008D6B09" w:rsidRPr="00A21B5C">
        <w:rPr>
          <w:rFonts w:ascii="Arial" w:hAnsi="Arial" w:cs="Arial"/>
          <w:bCs/>
          <w:sz w:val="22"/>
          <w:szCs w:val="22"/>
          <w:lang w:val="es-CO"/>
        </w:rPr>
        <w:t xml:space="preserve">. Como consecuencia, el </w:t>
      </w:r>
      <w:r w:rsidR="00640270" w:rsidRPr="00A21B5C">
        <w:rPr>
          <w:rFonts w:ascii="Arial" w:hAnsi="Arial" w:cs="Arial"/>
          <w:bCs/>
          <w:sz w:val="22"/>
          <w:szCs w:val="22"/>
          <w:lang w:val="es-CO"/>
        </w:rPr>
        <w:t>M</w:t>
      </w:r>
      <w:r w:rsidR="008D6B09" w:rsidRPr="00A21B5C">
        <w:rPr>
          <w:rFonts w:ascii="Arial" w:hAnsi="Arial" w:cs="Arial"/>
          <w:bCs/>
          <w:sz w:val="22"/>
          <w:szCs w:val="22"/>
          <w:lang w:val="es-CO"/>
        </w:rPr>
        <w:t>unicipio no ofrece información financiera clara sobre los recursos disponibles para la inversión en cada vigencia</w:t>
      </w:r>
      <w:r w:rsidR="003B5148" w:rsidRPr="00A21B5C">
        <w:rPr>
          <w:rFonts w:ascii="Arial" w:hAnsi="Arial" w:cs="Arial"/>
          <w:bCs/>
          <w:sz w:val="22"/>
          <w:szCs w:val="22"/>
          <w:lang w:val="es-CO"/>
        </w:rPr>
        <w:t>.</w:t>
      </w:r>
    </w:p>
    <w:p w:rsidR="00857D09" w:rsidRPr="00A21B5C" w:rsidRDefault="00857D09" w:rsidP="00A21B5C">
      <w:pPr>
        <w:contextualSpacing/>
        <w:jc w:val="both"/>
        <w:rPr>
          <w:rFonts w:ascii="Arial" w:hAnsi="Arial" w:cs="Arial"/>
          <w:b/>
          <w:sz w:val="22"/>
          <w:szCs w:val="22"/>
          <w:lang w:val="es-CO"/>
        </w:rPr>
      </w:pPr>
    </w:p>
    <w:p w:rsidR="00BE70D2" w:rsidRPr="00A21B5C" w:rsidRDefault="00BE70D2" w:rsidP="00A21B5C">
      <w:pPr>
        <w:contextualSpacing/>
        <w:jc w:val="both"/>
        <w:rPr>
          <w:rFonts w:ascii="Arial" w:hAnsi="Arial" w:cs="Arial"/>
          <w:b/>
          <w:sz w:val="22"/>
          <w:szCs w:val="22"/>
          <w:lang w:val="es-CO"/>
        </w:rPr>
      </w:pPr>
      <w:r w:rsidRPr="00A21B5C">
        <w:rPr>
          <w:rFonts w:ascii="Arial" w:hAnsi="Arial" w:cs="Arial"/>
          <w:b/>
          <w:sz w:val="22"/>
          <w:szCs w:val="22"/>
          <w:lang w:val="es-CO"/>
        </w:rPr>
        <w:t>Recomendación:</w:t>
      </w:r>
    </w:p>
    <w:p w:rsidR="00FD25DB" w:rsidRPr="00A21B5C" w:rsidRDefault="00FD25DB" w:rsidP="00A21B5C">
      <w:pPr>
        <w:contextualSpacing/>
        <w:jc w:val="both"/>
        <w:rPr>
          <w:rFonts w:ascii="Arial" w:hAnsi="Arial" w:cs="Arial"/>
          <w:b/>
          <w:sz w:val="22"/>
          <w:szCs w:val="22"/>
          <w:lang w:val="es-CO"/>
        </w:rPr>
      </w:pPr>
    </w:p>
    <w:p w:rsidR="002A62FE" w:rsidRPr="00A21B5C" w:rsidRDefault="00FD5BA9">
      <w:pPr>
        <w:pStyle w:val="Prrafodelista"/>
        <w:ind w:left="0"/>
        <w:jc w:val="both"/>
        <w:rPr>
          <w:rFonts w:ascii="Arial" w:hAnsi="Arial" w:cs="Arial"/>
          <w:sz w:val="22"/>
          <w:szCs w:val="22"/>
          <w:lang w:val="es-CO"/>
        </w:rPr>
      </w:pPr>
      <w:r w:rsidRPr="00A21B5C">
        <w:rPr>
          <w:rFonts w:ascii="Arial" w:hAnsi="Arial" w:cs="Arial"/>
          <w:bCs/>
          <w:sz w:val="22"/>
          <w:szCs w:val="22"/>
          <w:lang w:val="es-CO"/>
        </w:rPr>
        <w:t>Con el objetivo de que</w:t>
      </w:r>
      <w:r w:rsidRPr="00A21B5C">
        <w:rPr>
          <w:rFonts w:ascii="Arial" w:hAnsi="Arial" w:cs="Arial"/>
          <w:bCs/>
        </w:rPr>
        <w:t xml:space="preserve"> </w:t>
      </w:r>
      <w:r w:rsidRPr="00A21B5C">
        <w:rPr>
          <w:rFonts w:ascii="Arial" w:hAnsi="Arial" w:cs="Arial"/>
          <w:bCs/>
          <w:sz w:val="22"/>
          <w:szCs w:val="22"/>
          <w:lang w:val="es-CO"/>
        </w:rPr>
        <w:t>la información asociada a los recursos de la AESGPRI que la Entid</w:t>
      </w:r>
      <w:r w:rsidR="00457015" w:rsidRPr="00A21B5C">
        <w:rPr>
          <w:rFonts w:ascii="Arial" w:hAnsi="Arial" w:cs="Arial"/>
          <w:bCs/>
          <w:sz w:val="22"/>
          <w:szCs w:val="22"/>
          <w:lang w:val="es-CO"/>
        </w:rPr>
        <w:t xml:space="preserve">ad Territorial </w:t>
      </w:r>
      <w:r w:rsidR="00E674CF" w:rsidRPr="00A21B5C">
        <w:rPr>
          <w:rFonts w:ascii="Arial" w:hAnsi="Arial" w:cs="Arial"/>
          <w:bCs/>
          <w:sz w:val="22"/>
          <w:szCs w:val="22"/>
          <w:lang w:val="es-CO"/>
        </w:rPr>
        <w:t xml:space="preserve">consigna y </w:t>
      </w:r>
      <w:r w:rsidR="00457015" w:rsidRPr="00A21B5C">
        <w:rPr>
          <w:rFonts w:ascii="Arial" w:hAnsi="Arial" w:cs="Arial"/>
          <w:bCs/>
          <w:sz w:val="22"/>
          <w:szCs w:val="22"/>
          <w:lang w:val="es-CO"/>
        </w:rPr>
        <w:t>presenta</w:t>
      </w:r>
      <w:r w:rsidRPr="00A21B5C">
        <w:rPr>
          <w:rFonts w:ascii="Arial" w:hAnsi="Arial" w:cs="Arial"/>
          <w:bCs/>
          <w:sz w:val="22"/>
          <w:szCs w:val="22"/>
          <w:lang w:val="es-CO"/>
        </w:rPr>
        <w:t xml:space="preserve"> en las ejecuciones presupuestales sea fiable, verídica y verificable</w:t>
      </w:r>
      <w:r w:rsidR="00457015" w:rsidRPr="00A21B5C">
        <w:rPr>
          <w:rFonts w:ascii="Arial" w:hAnsi="Arial" w:cs="Arial"/>
          <w:bCs/>
          <w:sz w:val="22"/>
          <w:szCs w:val="22"/>
          <w:lang w:val="es-CO"/>
        </w:rPr>
        <w:t xml:space="preserve">, se recomienda en primer lugar </w:t>
      </w:r>
      <w:r w:rsidR="00B04B67" w:rsidRPr="00A21B5C">
        <w:rPr>
          <w:rFonts w:ascii="Arial" w:hAnsi="Arial" w:cs="Arial"/>
          <w:bCs/>
          <w:sz w:val="22"/>
          <w:szCs w:val="22"/>
          <w:lang w:val="es-CO"/>
        </w:rPr>
        <w:t xml:space="preserve">consultar </w:t>
      </w:r>
      <w:r w:rsidR="00404097" w:rsidRPr="00A21B5C">
        <w:rPr>
          <w:rFonts w:ascii="Arial" w:hAnsi="Arial" w:cs="Arial"/>
          <w:bCs/>
          <w:sz w:val="22"/>
          <w:szCs w:val="22"/>
          <w:lang w:val="es-CO"/>
        </w:rPr>
        <w:t xml:space="preserve">el </w:t>
      </w:r>
      <w:r w:rsidR="00404097" w:rsidRPr="00A21B5C">
        <w:rPr>
          <w:rFonts w:ascii="Arial" w:hAnsi="Arial" w:cs="Arial"/>
          <w:sz w:val="22"/>
          <w:szCs w:val="22"/>
          <w:lang w:val="es-CO"/>
        </w:rPr>
        <w:t>documento “</w:t>
      </w:r>
      <w:r w:rsidR="00BE70D2" w:rsidRPr="00A21B5C">
        <w:rPr>
          <w:rFonts w:ascii="Arial" w:hAnsi="Arial" w:cs="Arial"/>
          <w:bCs/>
          <w:i/>
          <w:iCs/>
          <w:sz w:val="22"/>
          <w:szCs w:val="22"/>
          <w:lang w:val="es-CO"/>
        </w:rPr>
        <w:t>Aspectos Generales del Proceso Presupuestal Colombiano</w:t>
      </w:r>
      <w:r w:rsidR="00404097" w:rsidRPr="00A21B5C">
        <w:rPr>
          <w:rFonts w:ascii="Arial" w:hAnsi="Arial" w:cs="Arial"/>
          <w:bCs/>
          <w:sz w:val="22"/>
          <w:szCs w:val="22"/>
          <w:lang w:val="es-CO"/>
        </w:rPr>
        <w:t>”</w:t>
      </w:r>
      <w:r w:rsidR="00BE70D2" w:rsidRPr="00A21B5C">
        <w:rPr>
          <w:rFonts w:ascii="Arial" w:hAnsi="Arial" w:cs="Arial"/>
          <w:b/>
          <w:sz w:val="22"/>
          <w:szCs w:val="22"/>
          <w:lang w:val="es-CO"/>
        </w:rPr>
        <w:t xml:space="preserve"> </w:t>
      </w:r>
      <w:r w:rsidR="00664BCF" w:rsidRPr="00A21B5C">
        <w:rPr>
          <w:rFonts w:ascii="Arial" w:hAnsi="Arial" w:cs="Arial"/>
          <w:bCs/>
          <w:sz w:val="22"/>
          <w:szCs w:val="22"/>
          <w:lang w:val="es-CO"/>
        </w:rPr>
        <w:t xml:space="preserve">publicado por el </w:t>
      </w:r>
      <w:r w:rsidR="00BE70D2" w:rsidRPr="00A21B5C">
        <w:rPr>
          <w:rFonts w:ascii="Arial" w:hAnsi="Arial" w:cs="Arial"/>
          <w:bCs/>
          <w:sz w:val="22"/>
          <w:szCs w:val="22"/>
          <w:lang w:val="es-CO"/>
        </w:rPr>
        <w:t>Ministerio de Hacienda</w:t>
      </w:r>
      <w:r w:rsidR="00C73995" w:rsidRPr="00A21B5C">
        <w:rPr>
          <w:rFonts w:ascii="Arial" w:hAnsi="Arial" w:cs="Arial"/>
          <w:bCs/>
          <w:sz w:val="22"/>
          <w:szCs w:val="22"/>
          <w:lang w:val="es-CO"/>
        </w:rPr>
        <w:t>,</w:t>
      </w:r>
      <w:r w:rsidR="004135B2" w:rsidRPr="00A21B5C">
        <w:rPr>
          <w:rFonts w:ascii="Arial" w:hAnsi="Arial" w:cs="Arial"/>
          <w:bCs/>
          <w:sz w:val="22"/>
          <w:szCs w:val="22"/>
          <w:lang w:val="es-CO"/>
        </w:rPr>
        <w:t xml:space="preserve"> particularmente el apartado “</w:t>
      </w:r>
      <w:r w:rsidR="004135B2" w:rsidRPr="00A21B5C">
        <w:rPr>
          <w:rFonts w:ascii="Arial" w:hAnsi="Arial" w:cs="Arial"/>
          <w:bCs/>
          <w:i/>
          <w:iCs/>
          <w:sz w:val="22"/>
          <w:szCs w:val="22"/>
          <w:lang w:val="es-CO"/>
        </w:rPr>
        <w:t>B. De la ejecución presupuestal</w:t>
      </w:r>
      <w:r w:rsidR="004135B2" w:rsidRPr="00A21B5C">
        <w:rPr>
          <w:rFonts w:ascii="Arial" w:hAnsi="Arial" w:cs="Arial"/>
          <w:bCs/>
          <w:sz w:val="22"/>
          <w:szCs w:val="22"/>
          <w:lang w:val="es-CO"/>
        </w:rPr>
        <w:t>”,</w:t>
      </w:r>
      <w:r w:rsidR="00664BCF" w:rsidRPr="00A21B5C">
        <w:rPr>
          <w:rFonts w:ascii="Arial" w:hAnsi="Arial" w:cs="Arial"/>
          <w:bCs/>
          <w:sz w:val="22"/>
          <w:szCs w:val="22"/>
          <w:lang w:val="es-CO"/>
        </w:rPr>
        <w:t xml:space="preserve"> </w:t>
      </w:r>
      <w:r w:rsidR="00A61564" w:rsidRPr="00A21B5C">
        <w:rPr>
          <w:rFonts w:ascii="Arial" w:hAnsi="Arial" w:cs="Arial"/>
          <w:bCs/>
          <w:sz w:val="22"/>
          <w:szCs w:val="22"/>
          <w:lang w:val="es-CO"/>
        </w:rPr>
        <w:t>al</w:t>
      </w:r>
      <w:r w:rsidR="00664BCF" w:rsidRPr="00A21B5C">
        <w:rPr>
          <w:rFonts w:ascii="Arial" w:hAnsi="Arial" w:cs="Arial"/>
          <w:bCs/>
          <w:sz w:val="22"/>
          <w:szCs w:val="22"/>
          <w:lang w:val="es-CO"/>
        </w:rPr>
        <w:t xml:space="preserve"> </w:t>
      </w:r>
      <w:r w:rsidR="00A61564" w:rsidRPr="00A21B5C">
        <w:rPr>
          <w:rFonts w:ascii="Arial" w:hAnsi="Arial" w:cs="Arial"/>
          <w:bCs/>
          <w:sz w:val="22"/>
          <w:szCs w:val="22"/>
          <w:lang w:val="es-CO"/>
        </w:rPr>
        <w:t xml:space="preserve">que puede accederse </w:t>
      </w:r>
      <w:r w:rsidR="00FD29C8" w:rsidRPr="00A21B5C">
        <w:rPr>
          <w:rFonts w:ascii="Arial" w:hAnsi="Arial" w:cs="Arial"/>
          <w:bCs/>
          <w:sz w:val="22"/>
          <w:szCs w:val="22"/>
          <w:lang w:val="es-CO"/>
        </w:rPr>
        <w:t xml:space="preserve">a través del </w:t>
      </w:r>
      <w:r w:rsidR="00664BCF" w:rsidRPr="00A21B5C">
        <w:rPr>
          <w:rFonts w:ascii="Arial" w:hAnsi="Arial" w:cs="Arial"/>
          <w:bCs/>
          <w:sz w:val="22"/>
          <w:szCs w:val="22"/>
          <w:lang w:val="es-CO"/>
        </w:rPr>
        <w:t xml:space="preserve">siguiente </w:t>
      </w:r>
      <w:r w:rsidR="004135B2" w:rsidRPr="00A21B5C">
        <w:rPr>
          <w:rFonts w:ascii="Arial" w:hAnsi="Arial" w:cs="Arial"/>
          <w:bCs/>
          <w:sz w:val="22"/>
          <w:szCs w:val="22"/>
          <w:lang w:val="es-CO"/>
        </w:rPr>
        <w:t xml:space="preserve">vinculo: </w:t>
      </w:r>
      <w:hyperlink r:id="rId28" w:history="1">
        <w:r w:rsidR="0026772C" w:rsidRPr="001A6907">
          <w:rPr>
            <w:rStyle w:val="Hipervnculo"/>
            <w:rFonts w:ascii="Arial" w:hAnsi="Arial" w:cs="Arial"/>
            <w:sz w:val="22"/>
            <w:szCs w:val="22"/>
          </w:rPr>
          <w:t>https://colaboracion.dnp.gov.co/CDT/Normograma/Lineamiento%20Ministerio %20de%20Hacienda%20y%20Credito%20P%C3%BAblico.pdf</w:t>
        </w:r>
      </w:hyperlink>
      <w:r w:rsidR="00664BCF" w:rsidRPr="00A21B5C">
        <w:rPr>
          <w:rFonts w:ascii="Arial" w:hAnsi="Arial" w:cs="Arial"/>
          <w:sz w:val="22"/>
          <w:szCs w:val="22"/>
          <w:lang w:val="es-CO"/>
        </w:rPr>
        <w:t xml:space="preserve">, </w:t>
      </w:r>
      <w:r w:rsidR="00A6258E" w:rsidRPr="00A21B5C">
        <w:rPr>
          <w:rFonts w:ascii="Arial" w:hAnsi="Arial" w:cs="Arial"/>
          <w:sz w:val="22"/>
          <w:szCs w:val="22"/>
          <w:lang w:val="es-CO"/>
        </w:rPr>
        <w:t xml:space="preserve">esto con el fin de </w:t>
      </w:r>
      <w:r w:rsidR="00E26D84" w:rsidRPr="00A21B5C">
        <w:rPr>
          <w:rFonts w:ascii="Arial" w:hAnsi="Arial" w:cs="Arial"/>
          <w:sz w:val="22"/>
          <w:szCs w:val="22"/>
          <w:lang w:val="es-CO"/>
        </w:rPr>
        <w:t xml:space="preserve">aproximarse a las claridades conceptuales necesarias para llevar un adecuado </w:t>
      </w:r>
      <w:r w:rsidR="006D5C9B" w:rsidRPr="00A21B5C">
        <w:rPr>
          <w:rFonts w:ascii="Arial" w:hAnsi="Arial" w:cs="Arial"/>
          <w:sz w:val="22"/>
          <w:szCs w:val="22"/>
          <w:lang w:val="es-CO"/>
        </w:rPr>
        <w:t>manejo presupuestal de los recursos</w:t>
      </w:r>
      <w:r w:rsidR="00E26D84" w:rsidRPr="00A21B5C">
        <w:rPr>
          <w:rFonts w:ascii="Arial" w:hAnsi="Arial" w:cs="Arial"/>
          <w:sz w:val="22"/>
          <w:szCs w:val="22"/>
          <w:lang w:val="es-CO"/>
        </w:rPr>
        <w:t xml:space="preserve"> de la AESGPRI</w:t>
      </w:r>
      <w:r w:rsidR="00601D2D" w:rsidRPr="00A21B5C">
        <w:rPr>
          <w:rFonts w:ascii="Arial" w:hAnsi="Arial" w:cs="Arial"/>
          <w:sz w:val="22"/>
          <w:szCs w:val="22"/>
          <w:lang w:val="es-CO"/>
        </w:rPr>
        <w:t>.</w:t>
      </w:r>
    </w:p>
    <w:p w:rsidR="002A62FE" w:rsidRPr="00A21B5C" w:rsidRDefault="002A62FE">
      <w:pPr>
        <w:pStyle w:val="Prrafodelista"/>
        <w:ind w:left="0"/>
        <w:jc w:val="both"/>
        <w:rPr>
          <w:rFonts w:ascii="Arial" w:hAnsi="Arial" w:cs="Arial"/>
          <w:sz w:val="22"/>
          <w:szCs w:val="22"/>
          <w:lang w:val="es-CO"/>
        </w:rPr>
      </w:pPr>
    </w:p>
    <w:p w:rsidR="00664BCF" w:rsidRPr="00A21B5C" w:rsidRDefault="00601D2D">
      <w:pPr>
        <w:pStyle w:val="Prrafodelista"/>
        <w:ind w:left="0"/>
        <w:jc w:val="both"/>
        <w:rPr>
          <w:rFonts w:ascii="Arial" w:hAnsi="Arial" w:cs="Arial"/>
          <w:bCs/>
          <w:sz w:val="22"/>
          <w:szCs w:val="22"/>
          <w:lang w:val="es-CO"/>
        </w:rPr>
      </w:pPr>
      <w:r w:rsidRPr="00A21B5C">
        <w:rPr>
          <w:rFonts w:ascii="Arial" w:hAnsi="Arial" w:cs="Arial"/>
          <w:sz w:val="22"/>
          <w:szCs w:val="22"/>
          <w:lang w:val="es-CO"/>
        </w:rPr>
        <w:t xml:space="preserve">En segundo lugar, se recomienda </w:t>
      </w:r>
      <w:r w:rsidR="00B23428" w:rsidRPr="00A21B5C">
        <w:rPr>
          <w:rFonts w:ascii="Arial" w:hAnsi="Arial" w:cs="Arial"/>
          <w:sz w:val="22"/>
          <w:szCs w:val="22"/>
          <w:lang w:val="es-CO"/>
        </w:rPr>
        <w:t>dise</w:t>
      </w:r>
      <w:r w:rsidR="00BB09F4" w:rsidRPr="00A21B5C">
        <w:rPr>
          <w:rFonts w:ascii="Arial" w:hAnsi="Arial" w:cs="Arial"/>
          <w:sz w:val="22"/>
          <w:szCs w:val="22"/>
          <w:lang w:val="es-CO"/>
        </w:rPr>
        <w:t>ñar e implementar un pr</w:t>
      </w:r>
      <w:r w:rsidRPr="00A21B5C">
        <w:rPr>
          <w:rFonts w:ascii="Arial" w:hAnsi="Arial" w:cs="Arial"/>
          <w:sz w:val="22"/>
          <w:szCs w:val="22"/>
          <w:lang w:val="es-CO"/>
        </w:rPr>
        <w:t>oceso de validación y conciliación</w:t>
      </w:r>
      <w:r w:rsidRPr="00A21B5C">
        <w:rPr>
          <w:rFonts w:ascii="Arial" w:hAnsi="Arial" w:cs="Arial"/>
          <w:bCs/>
          <w:sz w:val="22"/>
          <w:szCs w:val="22"/>
          <w:lang w:val="es-CO"/>
        </w:rPr>
        <w:t xml:space="preserve"> de la información </w:t>
      </w:r>
      <w:r w:rsidR="00131F2B" w:rsidRPr="00A21B5C">
        <w:rPr>
          <w:rFonts w:ascii="Arial" w:hAnsi="Arial" w:cs="Arial"/>
          <w:bCs/>
          <w:sz w:val="22"/>
          <w:szCs w:val="22"/>
          <w:lang w:val="es-CO"/>
        </w:rPr>
        <w:t>consignada</w:t>
      </w:r>
      <w:r w:rsidRPr="00A21B5C">
        <w:rPr>
          <w:rFonts w:ascii="Arial" w:hAnsi="Arial" w:cs="Arial"/>
          <w:bCs/>
          <w:sz w:val="22"/>
          <w:szCs w:val="22"/>
          <w:lang w:val="es-CO"/>
        </w:rPr>
        <w:t xml:space="preserve"> en las ejecuciones presupuestales</w:t>
      </w:r>
      <w:r w:rsidR="00F965F5" w:rsidRPr="00A21B5C">
        <w:rPr>
          <w:rFonts w:ascii="Arial" w:hAnsi="Arial" w:cs="Arial"/>
          <w:bCs/>
          <w:sz w:val="22"/>
          <w:szCs w:val="22"/>
          <w:lang w:val="es-CO"/>
        </w:rPr>
        <w:t>,</w:t>
      </w:r>
      <w:r w:rsidRPr="00A21B5C">
        <w:rPr>
          <w:rFonts w:ascii="Arial" w:hAnsi="Arial" w:cs="Arial"/>
          <w:bCs/>
          <w:sz w:val="22"/>
          <w:szCs w:val="22"/>
          <w:lang w:val="es-CO"/>
        </w:rPr>
        <w:t xml:space="preserve"> de </w:t>
      </w:r>
      <w:r w:rsidR="00375BB9" w:rsidRPr="00A21B5C">
        <w:rPr>
          <w:rFonts w:ascii="Arial" w:hAnsi="Arial" w:cs="Arial"/>
          <w:bCs/>
          <w:sz w:val="22"/>
          <w:szCs w:val="22"/>
          <w:lang w:val="es-CO"/>
        </w:rPr>
        <w:t>modo</w:t>
      </w:r>
      <w:r w:rsidRPr="00A21B5C">
        <w:rPr>
          <w:rFonts w:ascii="Arial" w:hAnsi="Arial" w:cs="Arial"/>
          <w:bCs/>
          <w:sz w:val="22"/>
          <w:szCs w:val="22"/>
          <w:lang w:val="es-CO"/>
        </w:rPr>
        <w:t xml:space="preserve"> que </w:t>
      </w:r>
      <w:r w:rsidR="00BD0007" w:rsidRPr="00A21B5C">
        <w:rPr>
          <w:rFonts w:ascii="Arial" w:hAnsi="Arial" w:cs="Arial"/>
          <w:bCs/>
          <w:sz w:val="22"/>
          <w:szCs w:val="22"/>
          <w:lang w:val="es-CO"/>
        </w:rPr>
        <w:lastRenderedPageBreak/>
        <w:t xml:space="preserve">esta responda a los lineamientos normativos </w:t>
      </w:r>
      <w:r w:rsidR="00131F2B" w:rsidRPr="00A21B5C">
        <w:rPr>
          <w:rFonts w:ascii="Arial" w:hAnsi="Arial" w:cs="Arial"/>
          <w:bCs/>
          <w:sz w:val="22"/>
          <w:szCs w:val="22"/>
          <w:lang w:val="es-CO"/>
        </w:rPr>
        <w:t>vigentes y coincida con la información contractual asociada</w:t>
      </w:r>
      <w:r w:rsidR="006D50C4" w:rsidRPr="00A21B5C">
        <w:rPr>
          <w:rFonts w:ascii="Arial" w:hAnsi="Arial" w:cs="Arial"/>
          <w:bCs/>
          <w:sz w:val="22"/>
          <w:szCs w:val="22"/>
          <w:lang w:val="es-CO"/>
        </w:rPr>
        <w:t>. P</w:t>
      </w:r>
      <w:r w:rsidR="002952B8" w:rsidRPr="00A21B5C">
        <w:rPr>
          <w:rFonts w:ascii="Arial" w:hAnsi="Arial" w:cs="Arial"/>
          <w:bCs/>
          <w:sz w:val="22"/>
          <w:szCs w:val="22"/>
          <w:lang w:val="es-CO"/>
        </w:rPr>
        <w:t xml:space="preserve">ara </w:t>
      </w:r>
      <w:r w:rsidR="006D50C4" w:rsidRPr="00A21B5C">
        <w:rPr>
          <w:rFonts w:ascii="Arial" w:hAnsi="Arial" w:cs="Arial"/>
          <w:bCs/>
          <w:sz w:val="22"/>
          <w:szCs w:val="22"/>
          <w:lang w:val="es-CO"/>
        </w:rPr>
        <w:t xml:space="preserve">ello, </w:t>
      </w:r>
      <w:r w:rsidR="002952B8" w:rsidRPr="00A21B5C">
        <w:rPr>
          <w:rFonts w:ascii="Arial" w:hAnsi="Arial" w:cs="Arial"/>
          <w:bCs/>
          <w:sz w:val="22"/>
          <w:szCs w:val="22"/>
          <w:lang w:val="es-CO"/>
        </w:rPr>
        <w:t xml:space="preserve">se comparte </w:t>
      </w:r>
      <w:r w:rsidR="006D50C4" w:rsidRPr="00A21B5C">
        <w:rPr>
          <w:rFonts w:ascii="Arial" w:hAnsi="Arial" w:cs="Arial"/>
          <w:bCs/>
          <w:sz w:val="22"/>
          <w:szCs w:val="22"/>
          <w:lang w:val="es-CO"/>
        </w:rPr>
        <w:t>un</w:t>
      </w:r>
      <w:r w:rsidR="002952B8" w:rsidRPr="00A21B5C">
        <w:rPr>
          <w:rFonts w:ascii="Arial" w:hAnsi="Arial" w:cs="Arial"/>
          <w:bCs/>
          <w:sz w:val="22"/>
          <w:szCs w:val="22"/>
          <w:lang w:val="es-CO"/>
        </w:rPr>
        <w:t xml:space="preserve"> </w:t>
      </w:r>
      <w:r w:rsidR="000B4EE2" w:rsidRPr="00A21B5C">
        <w:rPr>
          <w:rFonts w:ascii="Arial" w:hAnsi="Arial" w:cs="Arial"/>
          <w:bCs/>
          <w:sz w:val="22"/>
          <w:szCs w:val="22"/>
          <w:lang w:val="es-CO"/>
        </w:rPr>
        <w:t xml:space="preserve">modelo de protocolo </w:t>
      </w:r>
      <w:r w:rsidR="002952B8" w:rsidRPr="00A21B5C">
        <w:rPr>
          <w:rFonts w:ascii="Arial" w:hAnsi="Arial" w:cs="Arial"/>
          <w:bCs/>
          <w:sz w:val="22"/>
          <w:szCs w:val="22"/>
          <w:lang w:val="es-CO"/>
        </w:rPr>
        <w:t>de validación de la información presupuestal</w:t>
      </w:r>
      <w:r w:rsidR="009A5C55" w:rsidRPr="00A21B5C">
        <w:rPr>
          <w:rFonts w:ascii="Arial" w:hAnsi="Arial" w:cs="Arial"/>
          <w:bCs/>
          <w:sz w:val="22"/>
          <w:szCs w:val="22"/>
          <w:lang w:val="es-CO"/>
        </w:rPr>
        <w:t xml:space="preserve">, sin perjuicio de que este pueda ser </w:t>
      </w:r>
      <w:r w:rsidR="00114CF3" w:rsidRPr="00A21B5C">
        <w:rPr>
          <w:rFonts w:ascii="Arial" w:hAnsi="Arial" w:cs="Arial"/>
          <w:bCs/>
          <w:sz w:val="22"/>
          <w:szCs w:val="22"/>
          <w:lang w:val="es-CO"/>
        </w:rPr>
        <w:t>ajustado a las necesidades y particularidades de la Entidad Territorial</w:t>
      </w:r>
      <w:r w:rsidR="002952B8" w:rsidRPr="00A21B5C">
        <w:rPr>
          <w:rFonts w:ascii="Arial" w:hAnsi="Arial" w:cs="Arial"/>
          <w:bCs/>
          <w:sz w:val="22"/>
          <w:szCs w:val="22"/>
          <w:lang w:val="es-CO"/>
        </w:rPr>
        <w:t>:</w:t>
      </w:r>
    </w:p>
    <w:p w:rsidR="00B2641A" w:rsidRPr="00A21B5C" w:rsidRDefault="00B2641A">
      <w:pPr>
        <w:pStyle w:val="Prrafodelista"/>
        <w:ind w:left="0"/>
        <w:jc w:val="both"/>
        <w:rPr>
          <w:rFonts w:ascii="Arial" w:hAnsi="Arial" w:cs="Arial"/>
          <w:bCs/>
          <w:sz w:val="22"/>
          <w:szCs w:val="22"/>
          <w:lang w:val="es-CO"/>
        </w:rPr>
      </w:pPr>
    </w:p>
    <w:tbl>
      <w:tblPr>
        <w:tblStyle w:val="Tablaconcuadrcula"/>
        <w:tblW w:w="0" w:type="auto"/>
        <w:tblLook w:val="04A0" w:firstRow="1" w:lastRow="0" w:firstColumn="1" w:lastColumn="0" w:noHBand="0" w:noVBand="1"/>
      </w:tblPr>
      <w:tblGrid>
        <w:gridCol w:w="8828"/>
      </w:tblGrid>
      <w:tr w:rsidR="00B2641A" w:rsidRPr="00A21B5C" w:rsidTr="00B2641A">
        <w:tc>
          <w:tcPr>
            <w:tcW w:w="8828" w:type="dxa"/>
          </w:tcPr>
          <w:p w:rsidR="00B2641A" w:rsidRPr="00A21B5C" w:rsidRDefault="00B2641A" w:rsidP="00A21B5C">
            <w:pPr>
              <w:spacing w:before="120"/>
              <w:contextualSpacing/>
              <w:jc w:val="center"/>
              <w:rPr>
                <w:rFonts w:ascii="Arial" w:hAnsi="Arial" w:cs="Arial"/>
                <w:b/>
                <w:bCs/>
                <w:sz w:val="18"/>
                <w:szCs w:val="20"/>
              </w:rPr>
            </w:pPr>
            <w:r w:rsidRPr="00A21B5C">
              <w:rPr>
                <w:rFonts w:ascii="Arial" w:hAnsi="Arial" w:cs="Arial"/>
                <w:b/>
                <w:bCs/>
                <w:sz w:val="18"/>
                <w:szCs w:val="20"/>
              </w:rPr>
              <w:t>“</w:t>
            </w:r>
            <w:r w:rsidR="008765C2" w:rsidRPr="00A21B5C">
              <w:rPr>
                <w:rFonts w:ascii="Arial" w:hAnsi="Arial" w:cs="Arial"/>
                <w:b/>
                <w:bCs/>
                <w:sz w:val="18"/>
                <w:szCs w:val="20"/>
              </w:rPr>
              <w:t>Protocolo de c</w:t>
            </w:r>
            <w:r w:rsidRPr="00A21B5C">
              <w:rPr>
                <w:rFonts w:ascii="Arial" w:hAnsi="Arial" w:cs="Arial"/>
                <w:b/>
                <w:bCs/>
                <w:sz w:val="18"/>
                <w:szCs w:val="20"/>
              </w:rPr>
              <w:t>onciliación de la información presupuestal AESGPRI”</w:t>
            </w:r>
          </w:p>
          <w:p w:rsidR="008765C2" w:rsidRPr="00A21B5C" w:rsidRDefault="008765C2" w:rsidP="00A21B5C">
            <w:pPr>
              <w:contextualSpacing/>
              <w:jc w:val="center"/>
              <w:rPr>
                <w:rFonts w:ascii="Arial" w:hAnsi="Arial" w:cs="Arial"/>
                <w:b/>
                <w:bCs/>
                <w:sz w:val="18"/>
                <w:szCs w:val="20"/>
              </w:rPr>
            </w:pPr>
          </w:p>
          <w:p w:rsidR="00B2641A" w:rsidRPr="00A21B5C" w:rsidRDefault="00B2641A" w:rsidP="00A21B5C">
            <w:pPr>
              <w:contextualSpacing/>
              <w:rPr>
                <w:rFonts w:ascii="Arial" w:hAnsi="Arial" w:cs="Arial"/>
                <w:sz w:val="18"/>
                <w:szCs w:val="20"/>
              </w:rPr>
            </w:pPr>
            <w:r w:rsidRPr="00A21B5C">
              <w:rPr>
                <w:rFonts w:ascii="Arial" w:hAnsi="Arial" w:cs="Arial"/>
                <w:b/>
                <w:sz w:val="18"/>
                <w:szCs w:val="20"/>
              </w:rPr>
              <w:t>Objetivo:</w:t>
            </w:r>
            <w:r w:rsidRPr="00A21B5C">
              <w:rPr>
                <w:rFonts w:ascii="Arial" w:hAnsi="Arial" w:cs="Arial"/>
                <w:sz w:val="18"/>
                <w:szCs w:val="20"/>
              </w:rPr>
              <w:t xml:space="preserve"> “…”</w:t>
            </w:r>
          </w:p>
          <w:p w:rsidR="00B2641A" w:rsidRPr="00A21B5C" w:rsidRDefault="00B2641A" w:rsidP="00A21B5C">
            <w:pPr>
              <w:contextualSpacing/>
              <w:jc w:val="both"/>
              <w:rPr>
                <w:rFonts w:ascii="Arial" w:hAnsi="Arial" w:cs="Arial"/>
                <w:sz w:val="18"/>
                <w:szCs w:val="20"/>
              </w:rPr>
            </w:pPr>
            <w:r w:rsidRPr="00A21B5C">
              <w:rPr>
                <w:rFonts w:ascii="Arial" w:hAnsi="Arial" w:cs="Arial"/>
                <w:b/>
                <w:sz w:val="18"/>
                <w:szCs w:val="20"/>
              </w:rPr>
              <w:t>Periodicidad:</w:t>
            </w:r>
            <w:r w:rsidRPr="00A21B5C">
              <w:rPr>
                <w:rFonts w:ascii="Arial" w:hAnsi="Arial" w:cs="Arial"/>
                <w:sz w:val="18"/>
                <w:szCs w:val="20"/>
              </w:rPr>
              <w:t xml:space="preserve"> Cada cuanto se realizará este control (diario, semanal, mensual…). Lo recomendable es tener un control oportuno (de corto plazo) sobre la información presupuestal.</w:t>
            </w:r>
          </w:p>
          <w:p w:rsidR="00B2641A" w:rsidRPr="00A21B5C" w:rsidRDefault="00B2641A" w:rsidP="00A21B5C">
            <w:pPr>
              <w:contextualSpacing/>
              <w:jc w:val="both"/>
              <w:rPr>
                <w:rFonts w:ascii="Arial" w:hAnsi="Arial" w:cs="Arial"/>
                <w:sz w:val="18"/>
                <w:szCs w:val="20"/>
              </w:rPr>
            </w:pPr>
            <w:r w:rsidRPr="00A21B5C">
              <w:rPr>
                <w:rFonts w:ascii="Arial" w:hAnsi="Arial" w:cs="Arial"/>
                <w:b/>
                <w:sz w:val="18"/>
                <w:szCs w:val="20"/>
              </w:rPr>
              <w:t>Responsable:</w:t>
            </w:r>
            <w:r w:rsidRPr="00A21B5C">
              <w:rPr>
                <w:rFonts w:ascii="Arial" w:hAnsi="Arial" w:cs="Arial"/>
                <w:sz w:val="18"/>
                <w:szCs w:val="20"/>
              </w:rPr>
              <w:t xml:space="preserve"> El funcionario responsable de realizar el control. Es necesario que sea diferente de quien prepara la información presupuestal.</w:t>
            </w:r>
          </w:p>
          <w:p w:rsidR="00B2641A" w:rsidRPr="00A21B5C" w:rsidRDefault="00B2641A" w:rsidP="00A21B5C">
            <w:pPr>
              <w:contextualSpacing/>
              <w:jc w:val="both"/>
              <w:rPr>
                <w:rFonts w:ascii="Arial" w:hAnsi="Arial" w:cs="Arial"/>
                <w:sz w:val="18"/>
                <w:szCs w:val="20"/>
              </w:rPr>
            </w:pPr>
          </w:p>
          <w:p w:rsidR="00B2641A" w:rsidRPr="00A21B5C" w:rsidRDefault="00B2641A" w:rsidP="00A21B5C">
            <w:pPr>
              <w:contextualSpacing/>
              <w:jc w:val="both"/>
              <w:rPr>
                <w:rFonts w:ascii="Arial" w:hAnsi="Arial" w:cs="Arial"/>
                <w:sz w:val="18"/>
                <w:szCs w:val="20"/>
              </w:rPr>
            </w:pPr>
            <w:r w:rsidRPr="00A21B5C">
              <w:rPr>
                <w:rFonts w:ascii="Arial" w:hAnsi="Arial" w:cs="Arial"/>
                <w:b/>
                <w:sz w:val="18"/>
                <w:szCs w:val="20"/>
              </w:rPr>
              <w:t xml:space="preserve">Fuentes de validación: </w:t>
            </w:r>
            <w:r w:rsidRPr="00A21B5C">
              <w:rPr>
                <w:rFonts w:ascii="Arial" w:hAnsi="Arial" w:cs="Arial"/>
                <w:i/>
                <w:iCs/>
                <w:sz w:val="18"/>
                <w:szCs w:val="20"/>
              </w:rPr>
              <w:t>Como ejemplo:</w:t>
            </w:r>
          </w:p>
          <w:p w:rsidR="00B2641A" w:rsidRPr="00A21B5C" w:rsidRDefault="00B2641A">
            <w:pPr>
              <w:pStyle w:val="Prrafodelista"/>
              <w:numPr>
                <w:ilvl w:val="0"/>
                <w:numId w:val="37"/>
              </w:numPr>
              <w:jc w:val="both"/>
              <w:rPr>
                <w:rFonts w:ascii="Arial" w:hAnsi="Arial" w:cs="Arial"/>
                <w:i/>
                <w:iCs/>
                <w:sz w:val="18"/>
                <w:szCs w:val="20"/>
              </w:rPr>
            </w:pPr>
            <w:r w:rsidRPr="00A21B5C">
              <w:rPr>
                <w:rFonts w:ascii="Arial" w:hAnsi="Arial" w:cs="Arial"/>
                <w:i/>
                <w:iCs/>
                <w:sz w:val="18"/>
                <w:szCs w:val="20"/>
              </w:rPr>
              <w:t>Documentos de distribución DNP.</w:t>
            </w:r>
          </w:p>
          <w:p w:rsidR="00B2641A" w:rsidRPr="00A21B5C" w:rsidRDefault="00B2641A">
            <w:pPr>
              <w:pStyle w:val="Prrafodelista"/>
              <w:numPr>
                <w:ilvl w:val="0"/>
                <w:numId w:val="37"/>
              </w:numPr>
              <w:jc w:val="both"/>
              <w:rPr>
                <w:rFonts w:ascii="Arial" w:hAnsi="Arial" w:cs="Arial"/>
                <w:i/>
                <w:iCs/>
                <w:sz w:val="18"/>
                <w:szCs w:val="20"/>
              </w:rPr>
            </w:pPr>
            <w:r w:rsidRPr="00A21B5C">
              <w:rPr>
                <w:rFonts w:ascii="Arial" w:hAnsi="Arial" w:cs="Arial"/>
                <w:i/>
                <w:iCs/>
                <w:sz w:val="18"/>
                <w:szCs w:val="20"/>
              </w:rPr>
              <w:t>Contrato de Administración.</w:t>
            </w:r>
          </w:p>
          <w:p w:rsidR="00B2641A" w:rsidRPr="00A21B5C" w:rsidRDefault="00B2641A">
            <w:pPr>
              <w:pStyle w:val="Prrafodelista"/>
              <w:numPr>
                <w:ilvl w:val="0"/>
                <w:numId w:val="37"/>
              </w:numPr>
              <w:jc w:val="both"/>
              <w:rPr>
                <w:rFonts w:ascii="Arial" w:hAnsi="Arial" w:cs="Arial"/>
                <w:i/>
                <w:iCs/>
                <w:sz w:val="18"/>
                <w:szCs w:val="20"/>
              </w:rPr>
            </w:pPr>
            <w:r w:rsidRPr="00A21B5C">
              <w:rPr>
                <w:rFonts w:ascii="Arial" w:hAnsi="Arial" w:cs="Arial"/>
                <w:i/>
                <w:iCs/>
                <w:sz w:val="18"/>
                <w:szCs w:val="20"/>
              </w:rPr>
              <w:t>Cierre fiscal anterior.</w:t>
            </w:r>
          </w:p>
          <w:p w:rsidR="00B2641A" w:rsidRPr="00A21B5C" w:rsidRDefault="00B2641A">
            <w:pPr>
              <w:pStyle w:val="Prrafodelista"/>
              <w:numPr>
                <w:ilvl w:val="0"/>
                <w:numId w:val="37"/>
              </w:numPr>
              <w:jc w:val="both"/>
              <w:rPr>
                <w:rFonts w:ascii="Arial" w:hAnsi="Arial" w:cs="Arial"/>
                <w:i/>
                <w:iCs/>
                <w:sz w:val="18"/>
                <w:szCs w:val="20"/>
              </w:rPr>
            </w:pPr>
            <w:r w:rsidRPr="00A21B5C">
              <w:rPr>
                <w:rFonts w:ascii="Arial" w:hAnsi="Arial" w:cs="Arial"/>
                <w:i/>
                <w:iCs/>
                <w:sz w:val="18"/>
                <w:szCs w:val="20"/>
              </w:rPr>
              <w:t>Minutas Contractuales.</w:t>
            </w:r>
          </w:p>
          <w:p w:rsidR="00B2641A" w:rsidRPr="00A21B5C" w:rsidRDefault="00B2641A">
            <w:pPr>
              <w:pStyle w:val="Prrafodelista"/>
              <w:numPr>
                <w:ilvl w:val="0"/>
                <w:numId w:val="37"/>
              </w:numPr>
              <w:jc w:val="both"/>
              <w:rPr>
                <w:rFonts w:ascii="Arial" w:hAnsi="Arial" w:cs="Arial"/>
                <w:i/>
                <w:iCs/>
                <w:sz w:val="18"/>
                <w:szCs w:val="20"/>
              </w:rPr>
            </w:pPr>
            <w:r w:rsidRPr="00A21B5C">
              <w:rPr>
                <w:rFonts w:ascii="Arial" w:hAnsi="Arial" w:cs="Arial"/>
                <w:i/>
                <w:iCs/>
                <w:sz w:val="18"/>
                <w:szCs w:val="20"/>
              </w:rPr>
              <w:t>Certificados de disponibilidad presupuestal</w:t>
            </w:r>
          </w:p>
          <w:p w:rsidR="00B2641A" w:rsidRPr="00A21B5C" w:rsidRDefault="00B2641A">
            <w:pPr>
              <w:pStyle w:val="Prrafodelista"/>
              <w:numPr>
                <w:ilvl w:val="0"/>
                <w:numId w:val="37"/>
              </w:numPr>
              <w:jc w:val="both"/>
              <w:rPr>
                <w:rFonts w:ascii="Arial" w:hAnsi="Arial" w:cs="Arial"/>
                <w:i/>
                <w:iCs/>
                <w:sz w:val="18"/>
                <w:szCs w:val="20"/>
              </w:rPr>
            </w:pPr>
            <w:r w:rsidRPr="00A21B5C">
              <w:rPr>
                <w:rFonts w:ascii="Arial" w:hAnsi="Arial" w:cs="Arial"/>
                <w:i/>
                <w:iCs/>
                <w:sz w:val="18"/>
                <w:szCs w:val="20"/>
              </w:rPr>
              <w:t>Registros Presupuestales</w:t>
            </w:r>
          </w:p>
          <w:p w:rsidR="00B2641A" w:rsidRPr="00A21B5C" w:rsidRDefault="00B2641A">
            <w:pPr>
              <w:pStyle w:val="Prrafodelista"/>
              <w:numPr>
                <w:ilvl w:val="0"/>
                <w:numId w:val="37"/>
              </w:numPr>
              <w:jc w:val="both"/>
              <w:rPr>
                <w:rFonts w:ascii="Arial" w:hAnsi="Arial" w:cs="Arial"/>
                <w:i/>
                <w:iCs/>
                <w:sz w:val="18"/>
                <w:szCs w:val="20"/>
              </w:rPr>
            </w:pPr>
            <w:r w:rsidRPr="00A21B5C">
              <w:rPr>
                <w:rFonts w:ascii="Arial" w:hAnsi="Arial" w:cs="Arial"/>
                <w:i/>
                <w:iCs/>
                <w:sz w:val="18"/>
                <w:szCs w:val="20"/>
              </w:rPr>
              <w:t>Actas de entrega o de cumplimiento de la ejecución, informes de supervisión.</w:t>
            </w:r>
          </w:p>
          <w:p w:rsidR="00B2641A" w:rsidRPr="00A21B5C" w:rsidRDefault="00B2641A">
            <w:pPr>
              <w:pStyle w:val="Prrafodelista"/>
              <w:numPr>
                <w:ilvl w:val="0"/>
                <w:numId w:val="37"/>
              </w:numPr>
              <w:jc w:val="both"/>
              <w:rPr>
                <w:rFonts w:ascii="Arial" w:hAnsi="Arial" w:cs="Arial"/>
                <w:i/>
                <w:iCs/>
                <w:sz w:val="18"/>
                <w:szCs w:val="20"/>
              </w:rPr>
            </w:pPr>
            <w:r w:rsidRPr="00A21B5C">
              <w:rPr>
                <w:rFonts w:ascii="Arial" w:hAnsi="Arial" w:cs="Arial"/>
                <w:i/>
                <w:iCs/>
                <w:sz w:val="18"/>
                <w:szCs w:val="20"/>
              </w:rPr>
              <w:t>Órdenes de pago</w:t>
            </w:r>
          </w:p>
          <w:p w:rsidR="00B2641A" w:rsidRPr="00A21B5C" w:rsidRDefault="00B2641A">
            <w:pPr>
              <w:pStyle w:val="Prrafodelista"/>
              <w:numPr>
                <w:ilvl w:val="0"/>
                <w:numId w:val="37"/>
              </w:numPr>
              <w:jc w:val="both"/>
              <w:rPr>
                <w:rFonts w:ascii="Arial" w:hAnsi="Arial" w:cs="Arial"/>
                <w:i/>
                <w:iCs/>
                <w:sz w:val="18"/>
                <w:szCs w:val="20"/>
              </w:rPr>
            </w:pPr>
            <w:r w:rsidRPr="00A21B5C">
              <w:rPr>
                <w:rFonts w:ascii="Arial" w:hAnsi="Arial" w:cs="Arial"/>
                <w:i/>
                <w:iCs/>
                <w:sz w:val="18"/>
                <w:szCs w:val="20"/>
              </w:rPr>
              <w:t>Extractos y conciliaciones.</w:t>
            </w:r>
          </w:p>
          <w:p w:rsidR="00B2641A" w:rsidRPr="00A21B5C" w:rsidRDefault="00B2641A">
            <w:pPr>
              <w:pStyle w:val="Prrafodelista"/>
              <w:numPr>
                <w:ilvl w:val="0"/>
                <w:numId w:val="37"/>
              </w:numPr>
              <w:jc w:val="both"/>
              <w:rPr>
                <w:rFonts w:ascii="Arial" w:hAnsi="Arial" w:cs="Arial"/>
                <w:sz w:val="18"/>
                <w:szCs w:val="20"/>
              </w:rPr>
            </w:pPr>
            <w:r w:rsidRPr="00A21B5C">
              <w:rPr>
                <w:rFonts w:ascii="Arial" w:hAnsi="Arial" w:cs="Arial"/>
                <w:sz w:val="18"/>
                <w:szCs w:val="20"/>
              </w:rPr>
              <w:t>…</w:t>
            </w:r>
          </w:p>
          <w:p w:rsidR="00B2641A" w:rsidRPr="00A21B5C" w:rsidRDefault="00B2641A" w:rsidP="00A21B5C">
            <w:pPr>
              <w:contextualSpacing/>
              <w:jc w:val="both"/>
              <w:rPr>
                <w:rFonts w:ascii="Arial" w:hAnsi="Arial" w:cs="Arial"/>
                <w:sz w:val="18"/>
                <w:szCs w:val="20"/>
              </w:rPr>
            </w:pPr>
          </w:p>
          <w:p w:rsidR="00B2641A" w:rsidRPr="00A21B5C" w:rsidRDefault="00B2641A" w:rsidP="00A21B5C">
            <w:pPr>
              <w:contextualSpacing/>
              <w:jc w:val="both"/>
              <w:rPr>
                <w:rFonts w:ascii="Arial" w:hAnsi="Arial" w:cs="Arial"/>
                <w:i/>
                <w:iCs/>
                <w:sz w:val="18"/>
                <w:szCs w:val="20"/>
              </w:rPr>
            </w:pPr>
            <w:r w:rsidRPr="00A21B5C">
              <w:rPr>
                <w:rFonts w:ascii="Arial" w:hAnsi="Arial" w:cs="Arial"/>
                <w:b/>
                <w:sz w:val="18"/>
                <w:szCs w:val="20"/>
              </w:rPr>
              <w:t xml:space="preserve">Descripción: </w:t>
            </w:r>
            <w:r w:rsidRPr="00A21B5C">
              <w:rPr>
                <w:rFonts w:ascii="Arial" w:hAnsi="Arial" w:cs="Arial"/>
                <w:i/>
                <w:iCs/>
                <w:sz w:val="18"/>
                <w:szCs w:val="20"/>
              </w:rPr>
              <w:t>Como ejemplo:</w:t>
            </w:r>
          </w:p>
          <w:p w:rsidR="00B2641A" w:rsidRPr="00A21B5C" w:rsidRDefault="00B2641A" w:rsidP="00A21B5C">
            <w:pPr>
              <w:contextualSpacing/>
              <w:jc w:val="both"/>
              <w:rPr>
                <w:rFonts w:ascii="Arial" w:hAnsi="Arial" w:cs="Arial"/>
                <w:i/>
                <w:iCs/>
                <w:sz w:val="18"/>
                <w:szCs w:val="20"/>
              </w:rPr>
            </w:pPr>
          </w:p>
          <w:p w:rsidR="00B2641A" w:rsidRPr="00A21B5C" w:rsidRDefault="00B2641A" w:rsidP="00A21B5C">
            <w:pPr>
              <w:contextualSpacing/>
              <w:jc w:val="both"/>
              <w:rPr>
                <w:rFonts w:ascii="Arial" w:hAnsi="Arial" w:cs="Arial"/>
                <w:i/>
                <w:iCs/>
                <w:sz w:val="18"/>
                <w:szCs w:val="20"/>
                <w:u w:val="single"/>
              </w:rPr>
            </w:pPr>
            <w:r w:rsidRPr="00A21B5C">
              <w:rPr>
                <w:rFonts w:ascii="Arial" w:hAnsi="Arial" w:cs="Arial"/>
                <w:i/>
                <w:iCs/>
                <w:sz w:val="18"/>
                <w:szCs w:val="20"/>
                <w:u w:val="single"/>
              </w:rPr>
              <w:t>Ingresos:</w:t>
            </w:r>
          </w:p>
          <w:p w:rsidR="00B2641A" w:rsidRPr="00A21B5C" w:rsidRDefault="00B2641A" w:rsidP="00A21B5C">
            <w:pPr>
              <w:ind w:left="708"/>
              <w:contextualSpacing/>
              <w:jc w:val="both"/>
              <w:rPr>
                <w:rFonts w:ascii="Arial" w:hAnsi="Arial" w:cs="Arial"/>
                <w:i/>
                <w:iCs/>
                <w:sz w:val="18"/>
                <w:szCs w:val="20"/>
              </w:rPr>
            </w:pPr>
            <w:r w:rsidRPr="00A21B5C">
              <w:rPr>
                <w:rFonts w:ascii="Arial" w:hAnsi="Arial" w:cs="Arial"/>
                <w:i/>
                <w:iCs/>
                <w:sz w:val="18"/>
                <w:szCs w:val="20"/>
              </w:rPr>
              <w:t>Paso 1: Para la validación de la incorporación de las transferencias se toma de la información de la ejecución presupuestal de ingresos y se compara con “…”</w:t>
            </w:r>
          </w:p>
          <w:p w:rsidR="00B2641A" w:rsidRPr="00A21B5C" w:rsidRDefault="00B2641A" w:rsidP="00A21B5C">
            <w:pPr>
              <w:ind w:left="708"/>
              <w:contextualSpacing/>
              <w:jc w:val="both"/>
              <w:rPr>
                <w:rFonts w:ascii="Arial" w:hAnsi="Arial" w:cs="Arial"/>
                <w:i/>
                <w:iCs/>
                <w:sz w:val="18"/>
                <w:szCs w:val="20"/>
              </w:rPr>
            </w:pPr>
            <w:r w:rsidRPr="00A21B5C">
              <w:rPr>
                <w:rFonts w:ascii="Arial" w:hAnsi="Arial" w:cs="Arial"/>
                <w:i/>
                <w:iCs/>
                <w:sz w:val="18"/>
                <w:szCs w:val="20"/>
              </w:rPr>
              <w:t>Paso 2: Para la validación de superávit incorporado…</w:t>
            </w:r>
          </w:p>
          <w:p w:rsidR="00B2641A" w:rsidRPr="00A21B5C" w:rsidRDefault="00B2641A" w:rsidP="00A21B5C">
            <w:pPr>
              <w:ind w:left="708"/>
              <w:contextualSpacing/>
              <w:jc w:val="both"/>
              <w:rPr>
                <w:rFonts w:ascii="Arial" w:hAnsi="Arial" w:cs="Arial"/>
                <w:i/>
                <w:iCs/>
                <w:sz w:val="18"/>
                <w:szCs w:val="20"/>
              </w:rPr>
            </w:pPr>
            <w:r w:rsidRPr="00A21B5C">
              <w:rPr>
                <w:rFonts w:ascii="Arial" w:hAnsi="Arial" w:cs="Arial"/>
                <w:i/>
                <w:iCs/>
                <w:sz w:val="18"/>
                <w:szCs w:val="20"/>
              </w:rPr>
              <w:t>Paso 3: Para la validación de los rendimientos incorporados…</w:t>
            </w:r>
          </w:p>
          <w:p w:rsidR="00B2641A" w:rsidRPr="00A21B5C" w:rsidRDefault="00B2641A" w:rsidP="00A21B5C">
            <w:pPr>
              <w:contextualSpacing/>
              <w:jc w:val="both"/>
              <w:rPr>
                <w:rFonts w:ascii="Arial" w:hAnsi="Arial" w:cs="Arial"/>
                <w:i/>
                <w:iCs/>
                <w:sz w:val="18"/>
                <w:szCs w:val="20"/>
                <w:u w:val="single"/>
              </w:rPr>
            </w:pPr>
          </w:p>
          <w:p w:rsidR="00B2641A" w:rsidRPr="00A21B5C" w:rsidRDefault="00B2641A" w:rsidP="00A21B5C">
            <w:pPr>
              <w:contextualSpacing/>
              <w:jc w:val="both"/>
              <w:rPr>
                <w:rFonts w:ascii="Arial" w:hAnsi="Arial" w:cs="Arial"/>
                <w:i/>
                <w:iCs/>
                <w:sz w:val="18"/>
                <w:szCs w:val="20"/>
                <w:u w:val="single"/>
              </w:rPr>
            </w:pPr>
            <w:r w:rsidRPr="00A21B5C">
              <w:rPr>
                <w:rFonts w:ascii="Arial" w:hAnsi="Arial" w:cs="Arial"/>
                <w:i/>
                <w:iCs/>
                <w:sz w:val="18"/>
                <w:szCs w:val="20"/>
                <w:u w:val="single"/>
              </w:rPr>
              <w:t>Gastos de inversión:</w:t>
            </w:r>
          </w:p>
          <w:p w:rsidR="00B2641A" w:rsidRPr="00A21B5C" w:rsidRDefault="00B2641A" w:rsidP="00A21B5C">
            <w:pPr>
              <w:ind w:left="708"/>
              <w:contextualSpacing/>
              <w:jc w:val="both"/>
              <w:rPr>
                <w:rFonts w:ascii="Arial" w:hAnsi="Arial" w:cs="Arial"/>
                <w:i/>
                <w:iCs/>
                <w:sz w:val="18"/>
                <w:szCs w:val="20"/>
              </w:rPr>
            </w:pPr>
            <w:r w:rsidRPr="00A21B5C">
              <w:rPr>
                <w:rFonts w:ascii="Arial" w:hAnsi="Arial" w:cs="Arial"/>
                <w:i/>
                <w:iCs/>
                <w:sz w:val="18"/>
                <w:szCs w:val="20"/>
              </w:rPr>
              <w:t>Paso 1. Para la validación del saldo de compromisos en la ejecución presupuestal se toma la información “…” y se compara con “…”</w:t>
            </w:r>
          </w:p>
          <w:p w:rsidR="00B2641A" w:rsidRPr="00A21B5C" w:rsidRDefault="00B2641A" w:rsidP="00A21B5C">
            <w:pPr>
              <w:ind w:left="708"/>
              <w:contextualSpacing/>
              <w:jc w:val="both"/>
              <w:rPr>
                <w:rFonts w:ascii="Arial" w:hAnsi="Arial" w:cs="Arial"/>
                <w:i/>
                <w:iCs/>
                <w:sz w:val="18"/>
                <w:szCs w:val="20"/>
              </w:rPr>
            </w:pPr>
            <w:r w:rsidRPr="00A21B5C">
              <w:rPr>
                <w:rFonts w:ascii="Arial" w:hAnsi="Arial" w:cs="Arial"/>
                <w:i/>
                <w:iCs/>
                <w:sz w:val="18"/>
                <w:szCs w:val="20"/>
              </w:rPr>
              <w:t>Paso 2. Para la validación del saldo de obligaciones…</w:t>
            </w:r>
          </w:p>
          <w:p w:rsidR="00B2641A" w:rsidRPr="00A21B5C" w:rsidRDefault="00B2641A" w:rsidP="00A21B5C">
            <w:pPr>
              <w:ind w:left="708"/>
              <w:contextualSpacing/>
              <w:jc w:val="both"/>
              <w:rPr>
                <w:rFonts w:ascii="Arial" w:hAnsi="Arial" w:cs="Arial"/>
                <w:i/>
                <w:iCs/>
                <w:sz w:val="18"/>
                <w:szCs w:val="20"/>
              </w:rPr>
            </w:pPr>
            <w:r w:rsidRPr="00A21B5C">
              <w:rPr>
                <w:rFonts w:ascii="Arial" w:hAnsi="Arial" w:cs="Arial"/>
                <w:i/>
                <w:iCs/>
                <w:sz w:val="18"/>
                <w:szCs w:val="20"/>
              </w:rPr>
              <w:t>Paso 3. Para la validación del saldo de pagos realizados…</w:t>
            </w:r>
          </w:p>
          <w:p w:rsidR="00B2641A" w:rsidRPr="00A21B5C" w:rsidRDefault="00B2641A" w:rsidP="00A21B5C">
            <w:pPr>
              <w:ind w:left="708"/>
              <w:contextualSpacing/>
              <w:jc w:val="both"/>
              <w:rPr>
                <w:rFonts w:ascii="Arial" w:hAnsi="Arial" w:cs="Arial"/>
                <w:i/>
                <w:iCs/>
                <w:sz w:val="18"/>
                <w:szCs w:val="20"/>
              </w:rPr>
            </w:pPr>
            <w:r w:rsidRPr="00A21B5C">
              <w:rPr>
                <w:rFonts w:ascii="Arial" w:hAnsi="Arial" w:cs="Arial"/>
                <w:i/>
                <w:iCs/>
                <w:sz w:val="18"/>
                <w:szCs w:val="20"/>
              </w:rPr>
              <w:t>Paso 4. Para el cierre…</w:t>
            </w:r>
          </w:p>
          <w:p w:rsidR="00B2641A" w:rsidRPr="00A21B5C" w:rsidRDefault="00B2641A" w:rsidP="00A21B5C">
            <w:pPr>
              <w:ind w:left="708"/>
              <w:contextualSpacing/>
              <w:jc w:val="both"/>
              <w:rPr>
                <w:rFonts w:ascii="Arial" w:hAnsi="Arial" w:cs="Arial"/>
                <w:i/>
                <w:iCs/>
                <w:sz w:val="18"/>
                <w:szCs w:val="20"/>
              </w:rPr>
            </w:pPr>
            <w:r w:rsidRPr="00A21B5C">
              <w:rPr>
                <w:rFonts w:ascii="Arial" w:hAnsi="Arial" w:cs="Arial"/>
                <w:i/>
                <w:iCs/>
                <w:sz w:val="18"/>
                <w:szCs w:val="20"/>
              </w:rPr>
              <w:t>…</w:t>
            </w:r>
          </w:p>
          <w:p w:rsidR="00B2641A" w:rsidRPr="00A21B5C" w:rsidRDefault="00B2641A" w:rsidP="00A21B5C">
            <w:pPr>
              <w:ind w:left="708"/>
              <w:contextualSpacing/>
              <w:jc w:val="both"/>
              <w:rPr>
                <w:rFonts w:ascii="Arial" w:hAnsi="Arial" w:cs="Arial"/>
                <w:i/>
                <w:iCs/>
                <w:sz w:val="18"/>
                <w:szCs w:val="20"/>
              </w:rPr>
            </w:pPr>
            <w:r w:rsidRPr="00A21B5C">
              <w:rPr>
                <w:rFonts w:ascii="Arial" w:hAnsi="Arial" w:cs="Arial"/>
                <w:i/>
                <w:iCs/>
                <w:sz w:val="18"/>
                <w:szCs w:val="20"/>
              </w:rPr>
              <w:t>Paso final. Se deja constancia de que la información presupuestal se encuentra conciliada y es fiable. (Por ejemplo: firma de aprobación, sello, check…)</w:t>
            </w:r>
          </w:p>
          <w:p w:rsidR="00B2641A" w:rsidRPr="00A21B5C" w:rsidRDefault="00B2641A" w:rsidP="00A21B5C">
            <w:pPr>
              <w:contextualSpacing/>
              <w:jc w:val="both"/>
              <w:rPr>
                <w:rFonts w:ascii="Arial" w:hAnsi="Arial" w:cs="Arial"/>
                <w:sz w:val="18"/>
                <w:szCs w:val="20"/>
              </w:rPr>
            </w:pPr>
          </w:p>
          <w:p w:rsidR="00B2641A" w:rsidRPr="00A21B5C" w:rsidRDefault="00B2641A" w:rsidP="00A21B5C">
            <w:pPr>
              <w:spacing w:after="120"/>
              <w:contextualSpacing/>
              <w:jc w:val="both"/>
              <w:rPr>
                <w:rFonts w:ascii="Arial" w:hAnsi="Arial" w:cs="Arial"/>
                <w:bCs/>
                <w:sz w:val="22"/>
                <w:szCs w:val="22"/>
                <w:lang w:val="es-CO"/>
              </w:rPr>
            </w:pPr>
            <w:r w:rsidRPr="00A21B5C">
              <w:rPr>
                <w:rFonts w:ascii="Arial" w:hAnsi="Arial" w:cs="Arial"/>
                <w:b/>
                <w:sz w:val="18"/>
                <w:szCs w:val="20"/>
              </w:rPr>
              <w:t xml:space="preserve">Evidencias: </w:t>
            </w:r>
            <w:r w:rsidRPr="00A21B5C">
              <w:rPr>
                <w:rFonts w:ascii="Arial" w:hAnsi="Arial" w:cs="Arial"/>
                <w:sz w:val="18"/>
                <w:szCs w:val="20"/>
              </w:rPr>
              <w:t>La evidencia de la realización del control (</w:t>
            </w:r>
            <w:r w:rsidRPr="00A21B5C">
              <w:rPr>
                <w:rFonts w:ascii="Arial" w:hAnsi="Arial" w:cs="Arial"/>
                <w:i/>
                <w:iCs/>
                <w:sz w:val="18"/>
                <w:szCs w:val="20"/>
              </w:rPr>
              <w:t>Por ejemplo, acta, firma de aprobación, certificación, listado de chequeo, u otros…</w:t>
            </w:r>
            <w:r w:rsidRPr="00A21B5C">
              <w:rPr>
                <w:rFonts w:ascii="Arial" w:hAnsi="Arial" w:cs="Arial"/>
                <w:sz w:val="18"/>
                <w:szCs w:val="20"/>
              </w:rPr>
              <w:t>)</w:t>
            </w:r>
          </w:p>
        </w:tc>
      </w:tr>
    </w:tbl>
    <w:p w:rsidR="00B2641A" w:rsidRPr="00A21B5C" w:rsidRDefault="00B2641A">
      <w:pPr>
        <w:pStyle w:val="Prrafodelista"/>
        <w:ind w:left="0"/>
        <w:jc w:val="both"/>
        <w:rPr>
          <w:rFonts w:ascii="Arial" w:hAnsi="Arial" w:cs="Arial"/>
          <w:bCs/>
          <w:sz w:val="22"/>
          <w:szCs w:val="22"/>
          <w:lang w:val="es-CO"/>
        </w:rPr>
      </w:pPr>
    </w:p>
    <w:p w:rsidR="0018649F" w:rsidRPr="00A21B5C" w:rsidRDefault="00857D09">
      <w:pPr>
        <w:pStyle w:val="Prrafodelista"/>
        <w:numPr>
          <w:ilvl w:val="0"/>
          <w:numId w:val="21"/>
        </w:numPr>
        <w:jc w:val="both"/>
        <w:rPr>
          <w:rFonts w:ascii="Arial" w:hAnsi="Arial" w:cs="Arial"/>
          <w:b/>
          <w:sz w:val="22"/>
          <w:szCs w:val="22"/>
          <w:lang w:val="es-CO"/>
        </w:rPr>
      </w:pPr>
      <w:r w:rsidRPr="00A21B5C">
        <w:rPr>
          <w:rFonts w:ascii="Arial" w:hAnsi="Arial" w:cs="Arial"/>
          <w:b/>
          <w:sz w:val="22"/>
          <w:szCs w:val="22"/>
          <w:lang w:val="es-CO"/>
        </w:rPr>
        <w:t>I</w:t>
      </w:r>
      <w:r w:rsidR="0018649F" w:rsidRPr="00A21B5C">
        <w:rPr>
          <w:rFonts w:ascii="Arial" w:hAnsi="Arial" w:cs="Arial"/>
          <w:b/>
          <w:sz w:val="22"/>
          <w:szCs w:val="22"/>
          <w:lang w:val="es-CO"/>
        </w:rPr>
        <w:t>ndebido manejo de los documentos presupuestales.</w:t>
      </w:r>
    </w:p>
    <w:p w:rsidR="0018649F" w:rsidRPr="00A21B5C" w:rsidRDefault="0018649F" w:rsidP="00A21B5C">
      <w:pPr>
        <w:pStyle w:val="Textoindependiente2"/>
        <w:contextualSpacing/>
        <w:rPr>
          <w:rFonts w:cs="Arial"/>
          <w:color w:val="000000" w:themeColor="text1"/>
          <w:sz w:val="22"/>
          <w:szCs w:val="22"/>
          <w:lang w:val="es-CO"/>
        </w:rPr>
      </w:pPr>
    </w:p>
    <w:p w:rsidR="0018649F" w:rsidRPr="00A21B5C" w:rsidRDefault="00FD25DB" w:rsidP="00A21B5C">
      <w:pPr>
        <w:pStyle w:val="Textoindependiente2"/>
        <w:contextualSpacing/>
        <w:rPr>
          <w:rFonts w:cs="Arial"/>
          <w:color w:val="000000" w:themeColor="text1"/>
          <w:sz w:val="22"/>
          <w:szCs w:val="21"/>
        </w:rPr>
      </w:pPr>
      <w:r w:rsidRPr="00A21B5C">
        <w:rPr>
          <w:rFonts w:cs="Arial"/>
          <w:color w:val="000000" w:themeColor="text1"/>
          <w:sz w:val="22"/>
          <w:szCs w:val="21"/>
        </w:rPr>
        <w:t>E</w:t>
      </w:r>
      <w:r w:rsidR="0018649F" w:rsidRPr="00A21B5C">
        <w:rPr>
          <w:rFonts w:cs="Arial"/>
          <w:color w:val="000000" w:themeColor="text1"/>
          <w:sz w:val="22"/>
          <w:szCs w:val="21"/>
        </w:rPr>
        <w:t>l artículo 71 del Decreto 111 de 1996 establece que:</w:t>
      </w:r>
    </w:p>
    <w:p w:rsidR="0018649F" w:rsidRPr="00A21B5C" w:rsidRDefault="0018649F" w:rsidP="00A21B5C">
      <w:pPr>
        <w:pStyle w:val="Textoindependiente2"/>
        <w:contextualSpacing/>
        <w:rPr>
          <w:rFonts w:cs="Arial"/>
          <w:i/>
          <w:color w:val="000000" w:themeColor="text1"/>
          <w:sz w:val="22"/>
          <w:szCs w:val="21"/>
        </w:rPr>
      </w:pPr>
    </w:p>
    <w:p w:rsidR="0018649F" w:rsidRPr="00A21B5C" w:rsidRDefault="0018649F" w:rsidP="00100DED">
      <w:pPr>
        <w:pStyle w:val="Textoindependiente2"/>
        <w:ind w:left="1416"/>
        <w:contextualSpacing/>
        <w:rPr>
          <w:rFonts w:cs="Arial"/>
          <w:i/>
          <w:color w:val="000000" w:themeColor="text1"/>
          <w:sz w:val="18"/>
          <w:szCs w:val="16"/>
        </w:rPr>
      </w:pPr>
      <w:r w:rsidRPr="00A21B5C">
        <w:rPr>
          <w:rFonts w:cs="Arial"/>
          <w:i/>
          <w:color w:val="000000" w:themeColor="text1"/>
          <w:sz w:val="18"/>
          <w:szCs w:val="16"/>
        </w:rPr>
        <w:t>“Todos los actos administrativos que afecten las apropiaciones presupuestales deberán contar con certificados de disponibilidad previos que garanticen la existencia de apropiación suficiente para atender estos gastos.</w:t>
      </w:r>
    </w:p>
    <w:p w:rsidR="00E91EEB" w:rsidRPr="00A21B5C" w:rsidRDefault="00E91EEB" w:rsidP="00A21B5C">
      <w:pPr>
        <w:pStyle w:val="Textoindependiente2"/>
        <w:ind w:left="1416"/>
        <w:contextualSpacing/>
        <w:rPr>
          <w:rFonts w:cs="Arial"/>
          <w:i/>
          <w:color w:val="000000" w:themeColor="text1"/>
          <w:sz w:val="18"/>
          <w:szCs w:val="16"/>
        </w:rPr>
      </w:pPr>
    </w:p>
    <w:p w:rsidR="0018649F" w:rsidRPr="00A21B5C" w:rsidRDefault="0018649F" w:rsidP="00A21B5C">
      <w:pPr>
        <w:pStyle w:val="Textoindependiente2"/>
        <w:spacing w:before="120"/>
        <w:ind w:left="1416"/>
        <w:contextualSpacing/>
        <w:rPr>
          <w:rFonts w:cs="Arial"/>
          <w:i/>
          <w:color w:val="000000" w:themeColor="text1"/>
          <w:sz w:val="18"/>
          <w:szCs w:val="16"/>
        </w:rPr>
      </w:pPr>
      <w:r w:rsidRPr="00A21B5C">
        <w:rPr>
          <w:rFonts w:cs="Arial"/>
          <w:i/>
          <w:color w:val="000000" w:themeColor="text1"/>
          <w:sz w:val="18"/>
          <w:szCs w:val="16"/>
        </w:rPr>
        <w:t xml:space="preserve">Igualmente, estos compromisos deberán contar con registro presupuestal para que los recursos con él financiados no sean desviados a ningún otro fin. En este registro se deberá </w:t>
      </w:r>
      <w:r w:rsidRPr="00A21B5C">
        <w:rPr>
          <w:rFonts w:cs="Arial"/>
          <w:i/>
          <w:color w:val="000000" w:themeColor="text1"/>
          <w:sz w:val="18"/>
          <w:szCs w:val="16"/>
        </w:rPr>
        <w:lastRenderedPageBreak/>
        <w:t>indicar claramente el valor y el plazo de las prestaciones a las que haya lugar. Esta operación es un requisito de perfeccionamiento de estos actos administrativos”</w:t>
      </w:r>
      <w:r w:rsidR="005F4ACF" w:rsidRPr="00A21B5C">
        <w:rPr>
          <w:rFonts w:cs="Arial"/>
          <w:i/>
          <w:color w:val="000000" w:themeColor="text1"/>
          <w:sz w:val="18"/>
          <w:szCs w:val="16"/>
        </w:rPr>
        <w:t>.</w:t>
      </w:r>
    </w:p>
    <w:p w:rsidR="006B7888" w:rsidRPr="00A21B5C" w:rsidRDefault="006B7888" w:rsidP="00A21B5C">
      <w:pPr>
        <w:pStyle w:val="Textoindependiente2"/>
        <w:contextualSpacing/>
        <w:rPr>
          <w:rFonts w:cs="Arial"/>
          <w:i/>
          <w:color w:val="000000" w:themeColor="text1"/>
          <w:sz w:val="22"/>
          <w:szCs w:val="21"/>
        </w:rPr>
      </w:pPr>
    </w:p>
    <w:p w:rsidR="0018649F" w:rsidRPr="00A21B5C" w:rsidRDefault="0018649F" w:rsidP="00A21B5C">
      <w:pPr>
        <w:contextualSpacing/>
        <w:jc w:val="both"/>
        <w:rPr>
          <w:rFonts w:ascii="Arial" w:hAnsi="Arial" w:cs="Arial"/>
          <w:sz w:val="22"/>
          <w:szCs w:val="20"/>
          <w:lang w:val="es-CO"/>
        </w:rPr>
      </w:pPr>
      <w:r w:rsidRPr="00A21B5C">
        <w:rPr>
          <w:rFonts w:ascii="Arial" w:hAnsi="Arial" w:cs="Arial"/>
          <w:sz w:val="22"/>
          <w:szCs w:val="20"/>
          <w:lang w:val="es-CO"/>
        </w:rPr>
        <w:t>De manera complementaria, el Decreto 1068 de 2015 indica que:</w:t>
      </w:r>
    </w:p>
    <w:p w:rsidR="005102A1" w:rsidRPr="00A21B5C" w:rsidRDefault="005102A1" w:rsidP="00A21B5C">
      <w:pPr>
        <w:pStyle w:val="NormalWeb"/>
        <w:shd w:val="clear" w:color="auto" w:fill="FFFFFF"/>
        <w:spacing w:before="0" w:beforeAutospacing="0" w:after="0"/>
        <w:ind w:left="708"/>
        <w:contextualSpacing/>
        <w:jc w:val="both"/>
        <w:rPr>
          <w:rFonts w:ascii="Arial" w:eastAsia="Times New Roman" w:hAnsi="Arial" w:cs="Arial"/>
          <w:b/>
          <w:bCs/>
          <w:i/>
          <w:color w:val="000000" w:themeColor="text1"/>
          <w:sz w:val="22"/>
          <w:szCs w:val="22"/>
          <w:lang w:val="es-ES_tradnl"/>
        </w:rPr>
      </w:pPr>
    </w:p>
    <w:p w:rsidR="0018649F" w:rsidRPr="00A21B5C" w:rsidRDefault="0018649F" w:rsidP="00100DED">
      <w:pPr>
        <w:pStyle w:val="NormalWeb"/>
        <w:shd w:val="clear" w:color="auto" w:fill="FFFFFF"/>
        <w:spacing w:before="0" w:beforeAutospacing="0" w:after="0"/>
        <w:ind w:left="1416"/>
        <w:contextualSpacing/>
        <w:jc w:val="both"/>
        <w:rPr>
          <w:rFonts w:ascii="Arial" w:eastAsia="Times New Roman" w:hAnsi="Arial" w:cs="Arial"/>
          <w:i/>
          <w:color w:val="000000" w:themeColor="text1"/>
          <w:sz w:val="18"/>
          <w:szCs w:val="18"/>
          <w:lang w:val="es-ES_tradnl"/>
        </w:rPr>
      </w:pPr>
      <w:r w:rsidRPr="00A21B5C">
        <w:rPr>
          <w:rFonts w:ascii="Arial" w:eastAsia="Times New Roman" w:hAnsi="Arial" w:cs="Arial"/>
          <w:b/>
          <w:bCs/>
          <w:i/>
          <w:color w:val="000000" w:themeColor="text1"/>
          <w:sz w:val="18"/>
          <w:szCs w:val="18"/>
          <w:lang w:val="es-ES_tradnl"/>
        </w:rPr>
        <w:t>“ARTÍCULO</w:t>
      </w:r>
      <w:r w:rsidR="00640270" w:rsidRPr="00A21B5C">
        <w:rPr>
          <w:rFonts w:ascii="Arial" w:eastAsia="Times New Roman" w:hAnsi="Arial" w:cs="Arial"/>
          <w:b/>
          <w:bCs/>
          <w:i/>
          <w:color w:val="000000" w:themeColor="text1"/>
          <w:sz w:val="18"/>
          <w:szCs w:val="18"/>
          <w:lang w:val="es-ES_tradnl"/>
        </w:rPr>
        <w:t xml:space="preserve"> </w:t>
      </w:r>
      <w:r w:rsidRPr="00A21B5C">
        <w:rPr>
          <w:rFonts w:ascii="Arial" w:eastAsia="Times New Roman" w:hAnsi="Arial" w:cs="Arial"/>
          <w:b/>
          <w:bCs/>
          <w:i/>
          <w:color w:val="000000" w:themeColor="text1"/>
          <w:sz w:val="18"/>
          <w:szCs w:val="18"/>
          <w:lang w:val="es-ES_tradnl"/>
        </w:rPr>
        <w:t>2.8.1.7.2.</w:t>
      </w:r>
      <w:r w:rsidR="00640270" w:rsidRPr="00A21B5C">
        <w:rPr>
          <w:rFonts w:ascii="Arial" w:eastAsia="Times New Roman" w:hAnsi="Arial" w:cs="Arial"/>
          <w:b/>
          <w:bCs/>
          <w:i/>
          <w:color w:val="000000" w:themeColor="text1"/>
          <w:sz w:val="18"/>
          <w:szCs w:val="18"/>
          <w:lang w:val="es-ES_tradnl"/>
        </w:rPr>
        <w:t xml:space="preserve"> </w:t>
      </w:r>
      <w:r w:rsidRPr="00A21B5C">
        <w:rPr>
          <w:rFonts w:ascii="Arial" w:eastAsia="Times New Roman" w:hAnsi="Arial" w:cs="Arial"/>
          <w:b/>
          <w:bCs/>
          <w:i/>
          <w:color w:val="000000" w:themeColor="text1"/>
          <w:sz w:val="18"/>
          <w:szCs w:val="18"/>
          <w:lang w:val="es-ES_tradnl"/>
        </w:rPr>
        <w:t>Certificado de Disponibilidad Presupuestal.</w:t>
      </w:r>
      <w:r w:rsidR="00640270" w:rsidRPr="00A21B5C">
        <w:rPr>
          <w:rFonts w:ascii="Arial" w:eastAsia="Times New Roman" w:hAnsi="Arial" w:cs="Arial"/>
          <w:i/>
          <w:color w:val="000000" w:themeColor="text1"/>
          <w:sz w:val="18"/>
          <w:szCs w:val="18"/>
          <w:lang w:val="es-ES_tradnl"/>
        </w:rPr>
        <w:t xml:space="preserve"> </w:t>
      </w:r>
      <w:r w:rsidRPr="00A21B5C">
        <w:rPr>
          <w:rFonts w:ascii="Arial" w:eastAsia="Times New Roman" w:hAnsi="Arial" w:cs="Arial"/>
          <w:i/>
          <w:color w:val="000000" w:themeColor="text1"/>
          <w:sz w:val="18"/>
          <w:szCs w:val="18"/>
          <w:lang w:val="es-ES_tradnl"/>
        </w:rPr>
        <w:t>El certificado de disponibilidad es el documento expedido por el jefe de presupuesto o quien haga sus veces con el cual se garantiza la existencia de apropiación presupuestal disponible y libre de afectación para la asunción de compromisos.</w:t>
      </w:r>
    </w:p>
    <w:p w:rsidR="00E91EEB" w:rsidRPr="00A21B5C" w:rsidRDefault="00E91EEB" w:rsidP="00A21B5C">
      <w:pPr>
        <w:pStyle w:val="NormalWeb"/>
        <w:shd w:val="clear" w:color="auto" w:fill="FFFFFF"/>
        <w:spacing w:before="0" w:beforeAutospacing="0" w:after="0"/>
        <w:ind w:left="1416"/>
        <w:contextualSpacing/>
        <w:jc w:val="both"/>
        <w:rPr>
          <w:rFonts w:ascii="Arial" w:eastAsia="Times New Roman" w:hAnsi="Arial" w:cs="Arial"/>
          <w:i/>
          <w:color w:val="000000" w:themeColor="text1"/>
          <w:sz w:val="18"/>
          <w:szCs w:val="18"/>
          <w:lang w:val="es-ES_tradnl"/>
        </w:rPr>
      </w:pPr>
    </w:p>
    <w:p w:rsidR="0018649F" w:rsidRPr="00A21B5C" w:rsidRDefault="0018649F" w:rsidP="00100DED">
      <w:pPr>
        <w:pStyle w:val="NormalWeb"/>
        <w:shd w:val="clear" w:color="auto" w:fill="FFFFFF"/>
        <w:spacing w:before="120" w:beforeAutospacing="0" w:after="0"/>
        <w:ind w:left="1416"/>
        <w:contextualSpacing/>
        <w:jc w:val="both"/>
        <w:rPr>
          <w:rFonts w:ascii="Arial" w:eastAsia="Times New Roman" w:hAnsi="Arial" w:cs="Arial"/>
          <w:i/>
          <w:color w:val="000000" w:themeColor="text1"/>
          <w:sz w:val="18"/>
          <w:szCs w:val="18"/>
          <w:lang w:val="es-ES_tradnl"/>
        </w:rPr>
      </w:pPr>
      <w:r w:rsidRPr="00A21B5C">
        <w:rPr>
          <w:rFonts w:ascii="Arial" w:eastAsia="Times New Roman" w:hAnsi="Arial" w:cs="Arial"/>
          <w:i/>
          <w:color w:val="000000" w:themeColor="text1"/>
          <w:sz w:val="18"/>
          <w:szCs w:val="18"/>
          <w:lang w:val="es-ES_tradnl"/>
        </w:rPr>
        <w:t>Este documento afecta preliminarmente el presupuesto mientras se perfecciona el compromiso y se efectúa el correspondiente</w:t>
      </w:r>
      <w:r w:rsidR="00640270" w:rsidRPr="00A21B5C">
        <w:rPr>
          <w:rFonts w:ascii="Arial" w:eastAsia="Times New Roman" w:hAnsi="Arial" w:cs="Arial"/>
          <w:i/>
          <w:color w:val="000000" w:themeColor="text1"/>
          <w:sz w:val="18"/>
          <w:szCs w:val="18"/>
          <w:lang w:val="es-ES_tradnl"/>
        </w:rPr>
        <w:t xml:space="preserve"> </w:t>
      </w:r>
      <w:r w:rsidRPr="00A21B5C">
        <w:rPr>
          <w:rFonts w:ascii="Arial" w:eastAsia="Times New Roman" w:hAnsi="Arial" w:cs="Arial"/>
          <w:i/>
          <w:color w:val="000000" w:themeColor="text1"/>
          <w:sz w:val="18"/>
          <w:szCs w:val="18"/>
          <w:lang w:val="es-ES_tradnl"/>
        </w:rPr>
        <w:t>registró</w:t>
      </w:r>
      <w:r w:rsidR="00640270" w:rsidRPr="00A21B5C">
        <w:rPr>
          <w:rFonts w:ascii="Arial" w:eastAsia="Times New Roman" w:hAnsi="Arial" w:cs="Arial"/>
          <w:i/>
          <w:color w:val="000000" w:themeColor="text1"/>
          <w:sz w:val="18"/>
          <w:szCs w:val="18"/>
          <w:lang w:val="es-ES_tradnl"/>
        </w:rPr>
        <w:t xml:space="preserve"> </w:t>
      </w:r>
      <w:r w:rsidRPr="00A21B5C">
        <w:rPr>
          <w:rFonts w:ascii="Arial" w:eastAsia="Times New Roman" w:hAnsi="Arial" w:cs="Arial"/>
          <w:i/>
          <w:color w:val="000000" w:themeColor="text1"/>
          <w:sz w:val="18"/>
          <w:szCs w:val="18"/>
          <w:lang w:val="es-ES_tradnl"/>
        </w:rPr>
        <w:t>presupuestal. En consecuencia, los órganos deberán llevar un registro de éstos que permita determinar los saldos de apropiación disponible para expedir nuevas disponibilidades.</w:t>
      </w:r>
    </w:p>
    <w:p w:rsidR="00E91EEB" w:rsidRPr="00A21B5C" w:rsidRDefault="00E91EEB" w:rsidP="00A21B5C">
      <w:pPr>
        <w:pStyle w:val="NormalWeb"/>
        <w:shd w:val="clear" w:color="auto" w:fill="FFFFFF"/>
        <w:spacing w:before="120" w:beforeAutospacing="0" w:after="0"/>
        <w:ind w:left="1416"/>
        <w:contextualSpacing/>
        <w:jc w:val="both"/>
        <w:rPr>
          <w:rFonts w:ascii="Arial" w:eastAsia="Times New Roman" w:hAnsi="Arial" w:cs="Arial"/>
          <w:i/>
          <w:color w:val="000000" w:themeColor="text1"/>
          <w:sz w:val="18"/>
          <w:szCs w:val="18"/>
          <w:lang w:val="es-ES_tradnl"/>
        </w:rPr>
      </w:pPr>
    </w:p>
    <w:p w:rsidR="0018649F" w:rsidRPr="00A21B5C" w:rsidRDefault="0018649F" w:rsidP="00A21B5C">
      <w:pPr>
        <w:pStyle w:val="NormalWeb"/>
        <w:shd w:val="clear" w:color="auto" w:fill="FFFFFF"/>
        <w:spacing w:before="120" w:beforeAutospacing="0" w:after="0"/>
        <w:ind w:left="1416"/>
        <w:contextualSpacing/>
        <w:jc w:val="both"/>
        <w:rPr>
          <w:rFonts w:ascii="Arial" w:eastAsia="Times New Roman" w:hAnsi="Arial" w:cs="Arial"/>
          <w:i/>
          <w:color w:val="000000" w:themeColor="text1"/>
          <w:sz w:val="22"/>
          <w:szCs w:val="22"/>
          <w:lang w:val="es-ES_tradnl"/>
        </w:rPr>
      </w:pPr>
      <w:r w:rsidRPr="00A21B5C">
        <w:rPr>
          <w:rFonts w:ascii="Arial" w:eastAsia="Times New Roman" w:hAnsi="Arial" w:cs="Arial"/>
          <w:b/>
          <w:bCs/>
          <w:i/>
          <w:color w:val="000000" w:themeColor="text1"/>
          <w:sz w:val="18"/>
          <w:szCs w:val="18"/>
          <w:lang w:val="es-ES_tradnl"/>
        </w:rPr>
        <w:t>ARTÍCULO</w:t>
      </w:r>
      <w:r w:rsidR="00640270" w:rsidRPr="00A21B5C">
        <w:rPr>
          <w:rFonts w:ascii="Arial" w:eastAsia="Times New Roman" w:hAnsi="Arial" w:cs="Arial"/>
          <w:b/>
          <w:bCs/>
          <w:i/>
          <w:color w:val="000000" w:themeColor="text1"/>
          <w:sz w:val="18"/>
          <w:szCs w:val="18"/>
          <w:lang w:val="es-ES_tradnl"/>
        </w:rPr>
        <w:t xml:space="preserve"> </w:t>
      </w:r>
      <w:r w:rsidRPr="00A21B5C">
        <w:rPr>
          <w:rFonts w:ascii="Arial" w:eastAsia="Times New Roman" w:hAnsi="Arial" w:cs="Arial"/>
          <w:b/>
          <w:bCs/>
          <w:i/>
          <w:color w:val="000000" w:themeColor="text1"/>
          <w:sz w:val="18"/>
          <w:szCs w:val="18"/>
          <w:lang w:val="es-ES_tradnl"/>
        </w:rPr>
        <w:t>2.8.1.7.3.</w:t>
      </w:r>
      <w:r w:rsidR="00640270" w:rsidRPr="00A21B5C">
        <w:rPr>
          <w:rFonts w:ascii="Arial" w:eastAsia="Times New Roman" w:hAnsi="Arial" w:cs="Arial"/>
          <w:b/>
          <w:bCs/>
          <w:i/>
          <w:color w:val="000000" w:themeColor="text1"/>
          <w:sz w:val="18"/>
          <w:szCs w:val="18"/>
          <w:lang w:val="es-ES_tradnl"/>
        </w:rPr>
        <w:t xml:space="preserve"> </w:t>
      </w:r>
      <w:r w:rsidRPr="00A21B5C">
        <w:rPr>
          <w:rFonts w:ascii="Arial" w:eastAsia="Times New Roman" w:hAnsi="Arial" w:cs="Arial"/>
          <w:b/>
          <w:bCs/>
          <w:i/>
          <w:color w:val="000000" w:themeColor="text1"/>
          <w:sz w:val="18"/>
          <w:szCs w:val="18"/>
          <w:lang w:val="es-ES_tradnl"/>
        </w:rPr>
        <w:t>Registro Presupuestal.</w:t>
      </w:r>
      <w:r w:rsidR="00640270" w:rsidRPr="00A21B5C">
        <w:rPr>
          <w:rFonts w:ascii="Arial" w:eastAsia="Times New Roman" w:hAnsi="Arial" w:cs="Arial"/>
          <w:i/>
          <w:color w:val="000000" w:themeColor="text1"/>
          <w:sz w:val="18"/>
          <w:szCs w:val="18"/>
          <w:lang w:val="es-ES_tradnl"/>
        </w:rPr>
        <w:t xml:space="preserve"> </w:t>
      </w:r>
      <w:r w:rsidRPr="00A21B5C">
        <w:rPr>
          <w:rFonts w:ascii="Arial" w:eastAsia="Times New Roman" w:hAnsi="Arial" w:cs="Arial"/>
          <w:i/>
          <w:color w:val="000000" w:themeColor="text1"/>
          <w:sz w:val="18"/>
          <w:szCs w:val="18"/>
          <w:lang w:val="es-ES_tradnl"/>
        </w:rPr>
        <w:t>El registro presupuestal es la operación mediante la cual se perfecciona el compromiso y se afecta en forma definitiva la apropiación, garantizando que ésta no será desviada a ningún otro fin. En esta operación se debe indicar claramente el valor y el plazo de las prestaciones a las que haya lugar”</w:t>
      </w:r>
      <w:r w:rsidR="005F4ACF" w:rsidRPr="00A21B5C">
        <w:rPr>
          <w:rFonts w:ascii="Arial" w:eastAsia="Times New Roman" w:hAnsi="Arial" w:cs="Arial"/>
          <w:i/>
          <w:color w:val="000000" w:themeColor="text1"/>
          <w:sz w:val="18"/>
          <w:szCs w:val="18"/>
          <w:lang w:val="es-ES_tradnl"/>
        </w:rPr>
        <w:t>.</w:t>
      </w:r>
    </w:p>
    <w:p w:rsidR="00CD7EC5" w:rsidRPr="00A21B5C" w:rsidRDefault="00CD7EC5" w:rsidP="00A21B5C">
      <w:pPr>
        <w:pStyle w:val="NormalWeb"/>
        <w:shd w:val="clear" w:color="auto" w:fill="FFFFFF"/>
        <w:spacing w:before="0" w:beforeAutospacing="0" w:after="0"/>
        <w:contextualSpacing/>
        <w:jc w:val="both"/>
        <w:rPr>
          <w:rFonts w:ascii="Arial" w:hAnsi="Arial" w:cs="Arial"/>
          <w:sz w:val="22"/>
          <w:szCs w:val="22"/>
          <w:lang w:val="es-CO"/>
        </w:rPr>
      </w:pPr>
    </w:p>
    <w:p w:rsidR="0018649F" w:rsidRPr="00A21B5C" w:rsidRDefault="0018649F" w:rsidP="00A21B5C">
      <w:pPr>
        <w:contextualSpacing/>
        <w:jc w:val="both"/>
        <w:rPr>
          <w:rFonts w:ascii="Arial" w:hAnsi="Arial" w:cs="Arial"/>
          <w:sz w:val="22"/>
          <w:szCs w:val="20"/>
          <w:lang w:val="es-CO"/>
        </w:rPr>
      </w:pPr>
      <w:r w:rsidRPr="00A21B5C">
        <w:rPr>
          <w:rFonts w:ascii="Arial" w:hAnsi="Arial" w:cs="Arial"/>
          <w:sz w:val="22"/>
          <w:szCs w:val="22"/>
          <w:lang w:val="es-CO"/>
        </w:rPr>
        <w:t xml:space="preserve">Así, a partir de la revisión realizada por esta Dirección sobre los Certificados de Disponibilidad </w:t>
      </w:r>
      <w:r w:rsidR="005F4ACF" w:rsidRPr="00A21B5C">
        <w:rPr>
          <w:rFonts w:ascii="Arial" w:hAnsi="Arial" w:cs="Arial"/>
          <w:sz w:val="22"/>
          <w:szCs w:val="22"/>
          <w:lang w:val="es-CO"/>
        </w:rPr>
        <w:t xml:space="preserve">Presupuestal </w:t>
      </w:r>
      <w:r w:rsidRPr="00A21B5C">
        <w:rPr>
          <w:rFonts w:ascii="Arial" w:hAnsi="Arial" w:cs="Arial"/>
          <w:sz w:val="22"/>
          <w:szCs w:val="22"/>
          <w:lang w:val="es-CO"/>
        </w:rPr>
        <w:t>y Registros Presupuestales expedidos por la Entidad Territorial durante las vigencias 2017 y 2018, se evidenció</w:t>
      </w:r>
      <w:r w:rsidR="005F5516" w:rsidRPr="00A21B5C">
        <w:rPr>
          <w:rFonts w:ascii="Arial" w:hAnsi="Arial" w:cs="Arial"/>
          <w:sz w:val="22"/>
          <w:szCs w:val="20"/>
          <w:lang w:val="es-CO"/>
        </w:rPr>
        <w:t xml:space="preserve"> que la Entidad Territorial desconoci</w:t>
      </w:r>
      <w:r w:rsidR="00076487" w:rsidRPr="00A21B5C">
        <w:rPr>
          <w:rFonts w:ascii="Arial" w:hAnsi="Arial" w:cs="Arial"/>
          <w:sz w:val="22"/>
          <w:szCs w:val="20"/>
          <w:lang w:val="es-CO"/>
        </w:rPr>
        <w:t>ó</w:t>
      </w:r>
      <w:r w:rsidR="005F5516" w:rsidRPr="00A21B5C">
        <w:rPr>
          <w:rFonts w:ascii="Arial" w:hAnsi="Arial" w:cs="Arial"/>
          <w:sz w:val="22"/>
          <w:szCs w:val="20"/>
          <w:lang w:val="es-CO"/>
        </w:rPr>
        <w:t xml:space="preserve"> el tratamiento de los documentos presupuestales, en el marco de las referencias normativas para la ejecución presupuestal de los recursos establecidos en el artículo 71 del Decreto 111 de 1996 y lo dispuesto los artículos 2.8.1.7.2 y 2.8.1.7.3 del Decreto 1068 de 2015</w:t>
      </w:r>
      <w:r w:rsidR="00076487" w:rsidRPr="00A21B5C">
        <w:rPr>
          <w:rFonts w:ascii="Arial" w:hAnsi="Arial" w:cs="Arial"/>
          <w:sz w:val="22"/>
          <w:szCs w:val="20"/>
          <w:lang w:val="es-CO"/>
        </w:rPr>
        <w:t xml:space="preserve">, toda vez que </w:t>
      </w:r>
      <w:r w:rsidR="002511D5" w:rsidRPr="00A21B5C">
        <w:rPr>
          <w:rFonts w:ascii="Arial" w:hAnsi="Arial" w:cs="Arial"/>
          <w:sz w:val="22"/>
          <w:szCs w:val="22"/>
          <w:lang w:val="es-CO"/>
        </w:rPr>
        <w:t xml:space="preserve">para algunos casos </w:t>
      </w:r>
      <w:r w:rsidR="00076487" w:rsidRPr="00A21B5C">
        <w:rPr>
          <w:rFonts w:ascii="Arial" w:hAnsi="Arial" w:cs="Arial"/>
          <w:sz w:val="22"/>
          <w:szCs w:val="20"/>
          <w:lang w:val="es-CO"/>
        </w:rPr>
        <w:t xml:space="preserve">estos </w:t>
      </w:r>
      <w:r w:rsidRPr="00A21B5C">
        <w:rPr>
          <w:rFonts w:ascii="Arial" w:hAnsi="Arial" w:cs="Arial"/>
          <w:sz w:val="22"/>
          <w:szCs w:val="22"/>
          <w:lang w:val="es-CO"/>
        </w:rPr>
        <w:t xml:space="preserve">no </w:t>
      </w:r>
      <w:r w:rsidR="002511D5" w:rsidRPr="00A21B5C">
        <w:rPr>
          <w:rFonts w:ascii="Arial" w:hAnsi="Arial" w:cs="Arial"/>
          <w:sz w:val="22"/>
          <w:szCs w:val="22"/>
          <w:lang w:val="es-CO"/>
        </w:rPr>
        <w:t xml:space="preserve">solo </w:t>
      </w:r>
      <w:r w:rsidRPr="00A21B5C">
        <w:rPr>
          <w:rFonts w:ascii="Arial" w:hAnsi="Arial" w:cs="Arial"/>
          <w:sz w:val="22"/>
          <w:szCs w:val="22"/>
          <w:lang w:val="es-CO"/>
        </w:rPr>
        <w:t xml:space="preserve">fueron expedidos previamente a la firma de los </w:t>
      </w:r>
      <w:r w:rsidR="00640270" w:rsidRPr="00A21B5C">
        <w:rPr>
          <w:rFonts w:ascii="Arial" w:hAnsi="Arial" w:cs="Arial"/>
          <w:sz w:val="22"/>
          <w:szCs w:val="22"/>
          <w:lang w:val="es-CO"/>
        </w:rPr>
        <w:t>c</w:t>
      </w:r>
      <w:r w:rsidRPr="00A21B5C">
        <w:rPr>
          <w:rFonts w:ascii="Arial" w:hAnsi="Arial" w:cs="Arial"/>
          <w:sz w:val="22"/>
          <w:szCs w:val="22"/>
          <w:lang w:val="es-CO"/>
        </w:rPr>
        <w:t xml:space="preserve">ontratos de </w:t>
      </w:r>
      <w:r w:rsidR="00640270" w:rsidRPr="00A21B5C">
        <w:rPr>
          <w:rFonts w:ascii="Arial" w:hAnsi="Arial" w:cs="Arial"/>
          <w:sz w:val="22"/>
          <w:szCs w:val="22"/>
          <w:lang w:val="es-CO"/>
        </w:rPr>
        <w:t>e</w:t>
      </w:r>
      <w:r w:rsidRPr="00A21B5C">
        <w:rPr>
          <w:rFonts w:ascii="Arial" w:hAnsi="Arial" w:cs="Arial"/>
          <w:sz w:val="22"/>
          <w:szCs w:val="22"/>
          <w:lang w:val="es-CO"/>
        </w:rPr>
        <w:t xml:space="preserve">jecución, en el caso de los CDP, y con la firma de los </w:t>
      </w:r>
      <w:r w:rsidR="00640270" w:rsidRPr="00A21B5C">
        <w:rPr>
          <w:rFonts w:ascii="Arial" w:hAnsi="Arial" w:cs="Arial"/>
          <w:sz w:val="22"/>
          <w:szCs w:val="22"/>
          <w:lang w:val="es-CO"/>
        </w:rPr>
        <w:t>c</w:t>
      </w:r>
      <w:r w:rsidRPr="00A21B5C">
        <w:rPr>
          <w:rFonts w:ascii="Arial" w:hAnsi="Arial" w:cs="Arial"/>
          <w:sz w:val="22"/>
          <w:szCs w:val="22"/>
          <w:lang w:val="es-CO"/>
        </w:rPr>
        <w:t xml:space="preserve">ontratos de </w:t>
      </w:r>
      <w:r w:rsidR="00640270" w:rsidRPr="00A21B5C">
        <w:rPr>
          <w:rFonts w:ascii="Arial" w:hAnsi="Arial" w:cs="Arial"/>
          <w:sz w:val="22"/>
          <w:szCs w:val="22"/>
          <w:lang w:val="es-CO"/>
        </w:rPr>
        <w:t>e</w:t>
      </w:r>
      <w:r w:rsidRPr="00A21B5C">
        <w:rPr>
          <w:rFonts w:ascii="Arial" w:hAnsi="Arial" w:cs="Arial"/>
          <w:sz w:val="22"/>
          <w:szCs w:val="22"/>
          <w:lang w:val="es-CO"/>
        </w:rPr>
        <w:t>jecución, en el caso de los RP; sino que</w:t>
      </w:r>
      <w:r w:rsidR="002511D5" w:rsidRPr="00A21B5C">
        <w:rPr>
          <w:rFonts w:ascii="Arial" w:hAnsi="Arial" w:cs="Arial"/>
          <w:sz w:val="22"/>
          <w:szCs w:val="22"/>
          <w:lang w:val="es-CO"/>
        </w:rPr>
        <w:t xml:space="preserve"> también </w:t>
      </w:r>
      <w:r w:rsidRPr="00A21B5C">
        <w:rPr>
          <w:rFonts w:ascii="Arial" w:hAnsi="Arial" w:cs="Arial"/>
          <w:sz w:val="22"/>
          <w:szCs w:val="22"/>
          <w:lang w:val="es-CO"/>
        </w:rPr>
        <w:t xml:space="preserve">fueron expedidos para realizar los pagos parciales o totales en la ejecución de los </w:t>
      </w:r>
      <w:r w:rsidR="00640270" w:rsidRPr="00A21B5C">
        <w:rPr>
          <w:rFonts w:ascii="Arial" w:hAnsi="Arial" w:cs="Arial"/>
          <w:sz w:val="22"/>
          <w:szCs w:val="22"/>
          <w:lang w:val="es-CO"/>
        </w:rPr>
        <w:t>c</w:t>
      </w:r>
      <w:r w:rsidRPr="00A21B5C">
        <w:rPr>
          <w:rFonts w:ascii="Arial" w:hAnsi="Arial" w:cs="Arial"/>
          <w:sz w:val="22"/>
          <w:szCs w:val="22"/>
          <w:lang w:val="es-CO"/>
        </w:rPr>
        <w:t>ontratos; de tal forma que, la Entidad Territorial expidió tantos CDPs y RPs como pagos a realizar</w:t>
      </w:r>
      <w:r w:rsidR="009E6926" w:rsidRPr="00A21B5C">
        <w:rPr>
          <w:rFonts w:ascii="Arial" w:hAnsi="Arial" w:cs="Arial"/>
          <w:sz w:val="22"/>
          <w:szCs w:val="22"/>
          <w:lang w:val="es-CO"/>
        </w:rPr>
        <w:t>, como se detall</w:t>
      </w:r>
      <w:r w:rsidR="00724B0C" w:rsidRPr="00A21B5C">
        <w:rPr>
          <w:rFonts w:ascii="Arial" w:hAnsi="Arial" w:cs="Arial"/>
          <w:sz w:val="22"/>
          <w:szCs w:val="22"/>
          <w:lang w:val="es-CO"/>
        </w:rPr>
        <w:t>ó</w:t>
      </w:r>
      <w:r w:rsidR="009E6926" w:rsidRPr="00A21B5C">
        <w:rPr>
          <w:rFonts w:ascii="Arial" w:hAnsi="Arial" w:cs="Arial"/>
          <w:sz w:val="22"/>
          <w:szCs w:val="22"/>
          <w:lang w:val="es-CO"/>
        </w:rPr>
        <w:t xml:space="preserve"> en la </w:t>
      </w:r>
      <w:r w:rsidR="00640270" w:rsidRPr="00A21B5C">
        <w:rPr>
          <w:rFonts w:ascii="Arial" w:hAnsi="Arial" w:cs="Arial"/>
          <w:sz w:val="22"/>
          <w:szCs w:val="22"/>
          <w:lang w:val="es-CO"/>
        </w:rPr>
        <w:t>T</w:t>
      </w:r>
      <w:r w:rsidR="009E6926" w:rsidRPr="00A21B5C">
        <w:rPr>
          <w:rFonts w:ascii="Arial" w:hAnsi="Arial" w:cs="Arial"/>
          <w:sz w:val="22"/>
          <w:szCs w:val="22"/>
          <w:lang w:val="es-CO"/>
        </w:rPr>
        <w:t>abla Nº 2 de este informe.</w:t>
      </w:r>
    </w:p>
    <w:p w:rsidR="002B5902" w:rsidRPr="00A21B5C" w:rsidRDefault="002B5902" w:rsidP="00A21B5C">
      <w:pPr>
        <w:contextualSpacing/>
        <w:jc w:val="both"/>
        <w:rPr>
          <w:rFonts w:ascii="Arial" w:hAnsi="Arial" w:cs="Arial"/>
          <w:sz w:val="22"/>
          <w:szCs w:val="20"/>
          <w:lang w:val="es-CO"/>
        </w:rPr>
      </w:pPr>
    </w:p>
    <w:p w:rsidR="00A379D2" w:rsidRPr="00A21B5C" w:rsidRDefault="00A379D2" w:rsidP="00A21B5C">
      <w:pPr>
        <w:contextualSpacing/>
        <w:jc w:val="both"/>
        <w:rPr>
          <w:rFonts w:ascii="Arial" w:hAnsi="Arial" w:cs="Arial"/>
          <w:b/>
          <w:sz w:val="22"/>
          <w:szCs w:val="22"/>
          <w:lang w:val="es-CO"/>
        </w:rPr>
      </w:pPr>
      <w:r w:rsidRPr="00A21B5C">
        <w:rPr>
          <w:rFonts w:ascii="Arial" w:hAnsi="Arial" w:cs="Arial"/>
          <w:b/>
          <w:sz w:val="22"/>
          <w:szCs w:val="22"/>
          <w:lang w:val="es-CO"/>
        </w:rPr>
        <w:t>Recomendación:</w:t>
      </w:r>
    </w:p>
    <w:p w:rsidR="002B5902" w:rsidRPr="00A21B5C" w:rsidRDefault="002B5902" w:rsidP="00A21B5C">
      <w:pPr>
        <w:contextualSpacing/>
        <w:jc w:val="both"/>
        <w:rPr>
          <w:rFonts w:ascii="Arial" w:hAnsi="Arial" w:cs="Arial"/>
          <w:b/>
          <w:sz w:val="22"/>
          <w:szCs w:val="22"/>
          <w:lang w:val="es-CO"/>
        </w:rPr>
      </w:pPr>
    </w:p>
    <w:p w:rsidR="002B5902" w:rsidRPr="00A21B5C" w:rsidRDefault="00D409D4" w:rsidP="00100DED">
      <w:pPr>
        <w:pStyle w:val="NormalWeb"/>
        <w:shd w:val="clear" w:color="auto" w:fill="FFFFFF"/>
        <w:spacing w:before="0" w:beforeAutospacing="0" w:after="0"/>
        <w:contextualSpacing/>
        <w:jc w:val="both"/>
        <w:rPr>
          <w:rFonts w:ascii="Arial" w:hAnsi="Arial" w:cs="Arial"/>
          <w:sz w:val="22"/>
          <w:szCs w:val="22"/>
          <w:lang w:val="es-CO"/>
        </w:rPr>
      </w:pPr>
      <w:r w:rsidRPr="00A21B5C">
        <w:rPr>
          <w:rFonts w:ascii="Arial" w:hAnsi="Arial" w:cs="Arial"/>
          <w:sz w:val="22"/>
          <w:szCs w:val="22"/>
          <w:lang w:val="es-CO"/>
        </w:rPr>
        <w:t xml:space="preserve">En cuanto a esta situación de riesgo identificada, se recomienda al Municipio ajustar </w:t>
      </w:r>
      <w:r w:rsidR="00CA052C" w:rsidRPr="00A21B5C">
        <w:rPr>
          <w:rFonts w:ascii="Arial" w:hAnsi="Arial" w:cs="Arial"/>
          <w:sz w:val="22"/>
          <w:szCs w:val="22"/>
          <w:lang w:val="es-CO"/>
        </w:rPr>
        <w:t xml:space="preserve">y de ser necesario documentar </w:t>
      </w:r>
      <w:r w:rsidRPr="00A21B5C">
        <w:rPr>
          <w:rFonts w:ascii="Arial" w:hAnsi="Arial" w:cs="Arial"/>
          <w:sz w:val="22"/>
          <w:szCs w:val="22"/>
          <w:lang w:val="es-CO"/>
        </w:rPr>
        <w:t>su procedimiento de expedición de Certificados de Disponibilidad y Registros Presupuestales</w:t>
      </w:r>
      <w:r w:rsidR="006975A6" w:rsidRPr="00A21B5C">
        <w:rPr>
          <w:rFonts w:ascii="Arial" w:hAnsi="Arial" w:cs="Arial"/>
          <w:sz w:val="22"/>
          <w:szCs w:val="22"/>
          <w:lang w:val="es-CO"/>
        </w:rPr>
        <w:t>,</w:t>
      </w:r>
      <w:r w:rsidR="001277CC" w:rsidRPr="00A21B5C">
        <w:rPr>
          <w:rFonts w:ascii="Arial" w:hAnsi="Arial" w:cs="Arial"/>
          <w:sz w:val="22"/>
          <w:szCs w:val="22"/>
          <w:lang w:val="es-CO"/>
        </w:rPr>
        <w:t xml:space="preserve"> de modo que este se </w:t>
      </w:r>
      <w:r w:rsidR="00F81F29" w:rsidRPr="00A21B5C">
        <w:rPr>
          <w:rFonts w:ascii="Arial" w:hAnsi="Arial" w:cs="Arial"/>
          <w:sz w:val="22"/>
          <w:szCs w:val="22"/>
          <w:lang w:val="es-CO"/>
        </w:rPr>
        <w:t>ciña</w:t>
      </w:r>
      <w:r w:rsidRPr="00A21B5C">
        <w:rPr>
          <w:rFonts w:ascii="Arial" w:hAnsi="Arial" w:cs="Arial"/>
          <w:sz w:val="22"/>
          <w:szCs w:val="22"/>
          <w:lang w:val="es-CO"/>
        </w:rPr>
        <w:t xml:space="preserve"> </w:t>
      </w:r>
      <w:r w:rsidR="00E46FEB" w:rsidRPr="00A21B5C">
        <w:rPr>
          <w:rFonts w:ascii="Arial" w:hAnsi="Arial" w:cs="Arial"/>
          <w:sz w:val="22"/>
          <w:szCs w:val="22"/>
          <w:lang w:val="es-CO"/>
        </w:rPr>
        <w:t>a la normativa vigente, de acuerdo con la cual</w:t>
      </w:r>
      <w:r w:rsidR="002B5902" w:rsidRPr="00A21B5C">
        <w:rPr>
          <w:rFonts w:ascii="Arial" w:hAnsi="Arial" w:cs="Arial"/>
          <w:sz w:val="22"/>
          <w:szCs w:val="22"/>
          <w:lang w:val="es-CO"/>
        </w:rPr>
        <w:t xml:space="preserve"> el Certificado de Disponibilidad Presupuestal se expide una única vez</w:t>
      </w:r>
      <w:r w:rsidR="002B5902" w:rsidRPr="00A21B5C">
        <w:rPr>
          <w:rFonts w:ascii="Arial" w:hAnsi="Arial" w:cs="Arial"/>
          <w:i/>
          <w:sz w:val="22"/>
          <w:szCs w:val="22"/>
          <w:lang w:val="es-CO"/>
        </w:rPr>
        <w:t xml:space="preserve">, </w:t>
      </w:r>
      <w:r w:rsidR="002B5902" w:rsidRPr="00A21B5C">
        <w:rPr>
          <w:rFonts w:ascii="Arial" w:hAnsi="Arial" w:cs="Arial"/>
          <w:sz w:val="22"/>
          <w:szCs w:val="22"/>
          <w:lang w:val="es-CO"/>
        </w:rPr>
        <w:t>previo a la asunción del compromiso presupuestal con la única finalidad de garantizar la disponibilidad de recursos antes de que se den l</w:t>
      </w:r>
      <w:r w:rsidR="006975A6" w:rsidRPr="00A21B5C">
        <w:rPr>
          <w:rFonts w:ascii="Arial" w:hAnsi="Arial" w:cs="Arial"/>
          <w:sz w:val="22"/>
          <w:szCs w:val="22"/>
          <w:lang w:val="es-CO"/>
        </w:rPr>
        <w:t xml:space="preserve">as actividades contractuales </w:t>
      </w:r>
      <w:r w:rsidR="002B5902" w:rsidRPr="00A21B5C">
        <w:rPr>
          <w:rFonts w:ascii="Arial" w:hAnsi="Arial" w:cs="Arial"/>
          <w:sz w:val="22"/>
          <w:szCs w:val="22"/>
          <w:lang w:val="es-CO"/>
        </w:rPr>
        <w:t>para la ejecución del recurso.</w:t>
      </w:r>
      <w:r w:rsidR="00702921" w:rsidRPr="00A21B5C">
        <w:rPr>
          <w:rFonts w:ascii="Arial" w:hAnsi="Arial" w:cs="Arial"/>
          <w:sz w:val="22"/>
          <w:szCs w:val="22"/>
          <w:lang w:val="es-CO"/>
        </w:rPr>
        <w:t xml:space="preserve"> </w:t>
      </w:r>
      <w:r w:rsidR="002B5902" w:rsidRPr="00A21B5C">
        <w:rPr>
          <w:rFonts w:ascii="Arial" w:hAnsi="Arial" w:cs="Arial"/>
          <w:sz w:val="22"/>
          <w:szCs w:val="22"/>
          <w:lang w:val="es-CO"/>
        </w:rPr>
        <w:t xml:space="preserve">Por su parte, y en </w:t>
      </w:r>
      <w:r w:rsidR="00BA06D6" w:rsidRPr="00A21B5C">
        <w:rPr>
          <w:rFonts w:ascii="Arial" w:hAnsi="Arial" w:cs="Arial"/>
          <w:sz w:val="22"/>
          <w:szCs w:val="22"/>
          <w:lang w:val="es-CO"/>
        </w:rPr>
        <w:t xml:space="preserve">la </w:t>
      </w:r>
      <w:r w:rsidR="002B5902" w:rsidRPr="00A21B5C">
        <w:rPr>
          <w:rFonts w:ascii="Arial" w:hAnsi="Arial" w:cs="Arial"/>
          <w:sz w:val="22"/>
          <w:szCs w:val="22"/>
          <w:lang w:val="es-CO"/>
        </w:rPr>
        <w:t>misma línea normativa, dado que con el registro presupuestal se realiza la afectación definitiva del presupuesto para la asunción del compromiso, este debe realizarse de igual forma una única vez, con el único fin de garantizar que los recursos no sean desviados a ningún otro fin.</w:t>
      </w:r>
    </w:p>
    <w:p w:rsidR="00E91EEB" w:rsidRPr="00A21B5C" w:rsidRDefault="00E91EEB" w:rsidP="00A21B5C">
      <w:pPr>
        <w:pStyle w:val="NormalWeb"/>
        <w:shd w:val="clear" w:color="auto" w:fill="FFFFFF"/>
        <w:spacing w:before="0" w:beforeAutospacing="0" w:after="0"/>
        <w:contextualSpacing/>
        <w:jc w:val="both"/>
        <w:rPr>
          <w:rFonts w:ascii="Arial" w:hAnsi="Arial" w:cs="Arial"/>
          <w:sz w:val="22"/>
          <w:szCs w:val="22"/>
          <w:lang w:val="es-CO"/>
        </w:rPr>
      </w:pPr>
    </w:p>
    <w:p w:rsidR="0018649F" w:rsidRPr="00A21B5C" w:rsidRDefault="00E26181" w:rsidP="00A21B5C">
      <w:pPr>
        <w:pStyle w:val="NormalWeb"/>
        <w:shd w:val="clear" w:color="auto" w:fill="FFFFFF"/>
        <w:spacing w:before="150" w:beforeAutospacing="0" w:after="0"/>
        <w:contextualSpacing/>
        <w:jc w:val="both"/>
        <w:rPr>
          <w:rFonts w:ascii="Arial" w:hAnsi="Arial" w:cs="Arial"/>
          <w:lang w:val="es-CO"/>
        </w:rPr>
      </w:pPr>
      <w:r w:rsidRPr="00A21B5C">
        <w:rPr>
          <w:rFonts w:ascii="Arial" w:hAnsi="Arial" w:cs="Arial"/>
          <w:sz w:val="22"/>
          <w:szCs w:val="22"/>
          <w:lang w:val="es-CO"/>
        </w:rPr>
        <w:t>Debe considerarse además que,</w:t>
      </w:r>
      <w:r w:rsidR="002B5902" w:rsidRPr="00A21B5C">
        <w:rPr>
          <w:rFonts w:ascii="Arial" w:hAnsi="Arial" w:cs="Arial"/>
          <w:sz w:val="22"/>
          <w:szCs w:val="22"/>
          <w:lang w:val="es-CO"/>
        </w:rPr>
        <w:t xml:space="preserve"> tanto el Certificado de Disponibilidad Presupuestal como el Registro Presupuestal del Compromiso</w:t>
      </w:r>
      <w:r w:rsidR="006975A6" w:rsidRPr="00A21B5C">
        <w:rPr>
          <w:rFonts w:ascii="Arial" w:hAnsi="Arial" w:cs="Arial"/>
          <w:sz w:val="22"/>
          <w:szCs w:val="22"/>
          <w:lang w:val="es-CO"/>
        </w:rPr>
        <w:t>,</w:t>
      </w:r>
      <w:r w:rsidR="002B5902" w:rsidRPr="00A21B5C">
        <w:rPr>
          <w:rFonts w:ascii="Arial" w:hAnsi="Arial" w:cs="Arial"/>
          <w:sz w:val="22"/>
          <w:szCs w:val="22"/>
          <w:lang w:val="es-CO"/>
        </w:rPr>
        <w:t xml:space="preserve"> son documentos que se expiden en el marco del ciclo de afectación presupuestal de los recursos, siendo estos de carácter netamente presupuestal</w:t>
      </w:r>
      <w:r w:rsidR="00471146" w:rsidRPr="00A21B5C">
        <w:rPr>
          <w:rFonts w:ascii="Arial" w:hAnsi="Arial" w:cs="Arial"/>
          <w:sz w:val="22"/>
          <w:szCs w:val="22"/>
          <w:lang w:val="es-CO"/>
        </w:rPr>
        <w:t xml:space="preserve">, sin tener relación alguna con </w:t>
      </w:r>
      <w:r w:rsidR="00657359" w:rsidRPr="00A21B5C">
        <w:rPr>
          <w:rFonts w:ascii="Arial" w:hAnsi="Arial" w:cs="Arial"/>
          <w:sz w:val="22"/>
          <w:szCs w:val="22"/>
          <w:lang w:val="es-CO"/>
        </w:rPr>
        <w:t>el manejo tesoral de los recursos</w:t>
      </w:r>
      <w:r w:rsidR="002B5902" w:rsidRPr="00A21B5C">
        <w:rPr>
          <w:rFonts w:ascii="Arial" w:hAnsi="Arial" w:cs="Arial"/>
          <w:sz w:val="22"/>
          <w:szCs w:val="22"/>
          <w:lang w:val="es-CO"/>
        </w:rPr>
        <w:t>.</w:t>
      </w:r>
    </w:p>
    <w:p w:rsidR="00724B0C" w:rsidRPr="00A21B5C" w:rsidRDefault="00724B0C" w:rsidP="00A21B5C">
      <w:pPr>
        <w:pStyle w:val="Textoindependiente2"/>
        <w:contextualSpacing/>
        <w:rPr>
          <w:rFonts w:cs="Arial"/>
          <w:b/>
          <w:iCs/>
          <w:color w:val="000000" w:themeColor="text1"/>
          <w:sz w:val="22"/>
          <w:szCs w:val="22"/>
          <w:lang w:val="es-CO"/>
        </w:rPr>
      </w:pPr>
    </w:p>
    <w:p w:rsidR="00693AE4" w:rsidRPr="00A21B5C" w:rsidRDefault="00F1584F" w:rsidP="00A21B5C">
      <w:pPr>
        <w:numPr>
          <w:ilvl w:val="0"/>
          <w:numId w:val="21"/>
        </w:numPr>
        <w:contextualSpacing/>
        <w:jc w:val="both"/>
        <w:rPr>
          <w:rFonts w:ascii="Arial" w:hAnsi="Arial" w:cs="Arial"/>
          <w:b/>
          <w:iCs/>
          <w:sz w:val="22"/>
          <w:szCs w:val="22"/>
          <w:lang w:val="es-CO"/>
        </w:rPr>
      </w:pPr>
      <w:r w:rsidRPr="00A21B5C">
        <w:rPr>
          <w:rFonts w:ascii="Arial" w:eastAsia="Times New Roman" w:hAnsi="Arial" w:cs="Arial"/>
          <w:b/>
          <w:iCs/>
          <w:sz w:val="22"/>
          <w:szCs w:val="22"/>
          <w:lang w:val="es-CO"/>
        </w:rPr>
        <w:lastRenderedPageBreak/>
        <w:t xml:space="preserve">Falencias </w:t>
      </w:r>
      <w:r w:rsidR="00693AE4" w:rsidRPr="00A21B5C">
        <w:rPr>
          <w:rFonts w:ascii="Arial" w:hAnsi="Arial" w:cs="Arial"/>
          <w:b/>
          <w:iCs/>
          <w:sz w:val="22"/>
          <w:szCs w:val="22"/>
          <w:lang w:val="es-CO"/>
        </w:rPr>
        <w:t xml:space="preserve">asociadas al </w:t>
      </w:r>
      <w:r w:rsidR="00693AE4" w:rsidRPr="00A21B5C">
        <w:rPr>
          <w:rFonts w:ascii="Arial" w:hAnsi="Arial" w:cs="Arial"/>
          <w:b/>
          <w:sz w:val="22"/>
          <w:szCs w:val="22"/>
          <w:lang w:val="es-CO"/>
        </w:rPr>
        <w:t>reporte en el Formulario Único Territorial</w:t>
      </w:r>
      <w:r w:rsidR="00640270" w:rsidRPr="00A21B5C">
        <w:rPr>
          <w:rFonts w:ascii="Arial" w:hAnsi="Arial" w:cs="Arial"/>
          <w:b/>
          <w:sz w:val="22"/>
          <w:szCs w:val="22"/>
          <w:lang w:val="es-CO"/>
        </w:rPr>
        <w:t xml:space="preserve"> – FUT.</w:t>
      </w:r>
    </w:p>
    <w:p w:rsidR="00693AE4" w:rsidRPr="00A21B5C" w:rsidRDefault="00693AE4" w:rsidP="00A21B5C">
      <w:pPr>
        <w:pStyle w:val="Textoindependiente2"/>
        <w:ind w:left="720"/>
        <w:contextualSpacing/>
        <w:rPr>
          <w:rFonts w:cs="Arial"/>
          <w:b/>
          <w:sz w:val="22"/>
          <w:szCs w:val="22"/>
          <w:lang w:val="es-CO"/>
        </w:rPr>
      </w:pPr>
    </w:p>
    <w:p w:rsidR="008C2E4A" w:rsidRPr="00A21B5C" w:rsidRDefault="008C2E4A" w:rsidP="00A21B5C">
      <w:pPr>
        <w:pStyle w:val="Textoindependiente2"/>
        <w:contextualSpacing/>
        <w:rPr>
          <w:rFonts w:cs="Arial"/>
          <w:b/>
          <w:sz w:val="22"/>
          <w:szCs w:val="22"/>
          <w:lang w:val="es-CO"/>
        </w:rPr>
      </w:pPr>
      <w:r w:rsidRPr="00A21B5C">
        <w:rPr>
          <w:rFonts w:cs="Arial"/>
          <w:b/>
          <w:sz w:val="22"/>
          <w:szCs w:val="22"/>
          <w:lang w:val="es-CO"/>
        </w:rPr>
        <w:t>No reporte periódico de la información presupuestal de los recursos de la Asignación Especial para Resguardos Indígenas - AESGPRI en el Formulario Único Territorial.</w:t>
      </w:r>
    </w:p>
    <w:p w:rsidR="008C2E4A" w:rsidRPr="00A21B5C" w:rsidRDefault="008C2E4A" w:rsidP="00A21B5C">
      <w:pPr>
        <w:pStyle w:val="Textoindependiente2"/>
        <w:tabs>
          <w:tab w:val="num" w:pos="426"/>
        </w:tabs>
        <w:ind w:left="426" w:hanging="426"/>
        <w:contextualSpacing/>
        <w:rPr>
          <w:rFonts w:cs="Arial"/>
          <w:sz w:val="22"/>
          <w:szCs w:val="22"/>
          <w:lang w:val="es-CO"/>
        </w:rPr>
      </w:pPr>
    </w:p>
    <w:p w:rsidR="008C2E4A" w:rsidRPr="00A21B5C" w:rsidRDefault="008C2E4A" w:rsidP="00A21B5C">
      <w:pPr>
        <w:pStyle w:val="Textoindependiente2"/>
        <w:tabs>
          <w:tab w:val="num" w:pos="426"/>
        </w:tabs>
        <w:contextualSpacing/>
        <w:rPr>
          <w:rFonts w:cs="Arial"/>
          <w:sz w:val="22"/>
          <w:szCs w:val="22"/>
          <w:lang w:val="es-CO"/>
        </w:rPr>
      </w:pPr>
      <w:r w:rsidRPr="00A21B5C">
        <w:rPr>
          <w:rFonts w:cs="Arial"/>
          <w:sz w:val="22"/>
          <w:szCs w:val="22"/>
          <w:lang w:val="es-CO"/>
        </w:rPr>
        <w:t>Con fines de monitoreo, seguimiento, evaluación y control el Decreto 1068 de 2015 establece la adopción del Formulario Único Territorial – FUT del Sistema Consolidado de Hacienda e Información</w:t>
      </w:r>
      <w:r w:rsidR="00BF292B" w:rsidRPr="00A21B5C">
        <w:rPr>
          <w:rFonts w:cs="Arial"/>
          <w:sz w:val="22"/>
          <w:szCs w:val="22"/>
          <w:lang w:val="es-CO"/>
        </w:rPr>
        <w:t xml:space="preserve"> </w:t>
      </w:r>
      <w:r w:rsidRPr="00A21B5C">
        <w:rPr>
          <w:rFonts w:cs="Arial"/>
          <w:sz w:val="22"/>
          <w:szCs w:val="22"/>
          <w:lang w:val="es-CO"/>
        </w:rPr>
        <w:t>Pública</w:t>
      </w:r>
      <w:r w:rsidR="00640270" w:rsidRPr="00A21B5C">
        <w:rPr>
          <w:rFonts w:cs="Arial"/>
          <w:sz w:val="22"/>
          <w:szCs w:val="22"/>
          <w:lang w:val="es-CO"/>
        </w:rPr>
        <w:t xml:space="preserve"> </w:t>
      </w:r>
      <w:r w:rsidRPr="00A21B5C">
        <w:rPr>
          <w:rFonts w:cs="Arial"/>
          <w:sz w:val="22"/>
          <w:szCs w:val="22"/>
          <w:lang w:val="es-CO"/>
        </w:rPr>
        <w:t>–</w:t>
      </w:r>
      <w:r w:rsidR="00640270" w:rsidRPr="00A21B5C">
        <w:rPr>
          <w:rFonts w:cs="Arial"/>
          <w:sz w:val="22"/>
          <w:szCs w:val="22"/>
          <w:lang w:val="es-CO"/>
        </w:rPr>
        <w:t xml:space="preserve"> </w:t>
      </w:r>
      <w:r w:rsidRPr="00A21B5C">
        <w:rPr>
          <w:rFonts w:cs="Arial"/>
          <w:sz w:val="22"/>
          <w:szCs w:val="22"/>
          <w:lang w:val="es-CO"/>
        </w:rPr>
        <w:t>CHIP, como mecanismo de reporte de información. De esta manera, en línea con lograr la captura de información presupuestal de los recursos administrados por las entidades territoriales, entre ellos los recursos AESGPRI, en su artículo 2.6.4.2, establece la obligatoriedad en el diligenciamiento y reporte de información en el FUT, por parte de los alcaldes sobre quienes reposa esta responsabilidad según el artículo 2.6.4.4.</w:t>
      </w:r>
      <w:r w:rsidR="006B3F4E" w:rsidRPr="00A21B5C">
        <w:rPr>
          <w:rFonts w:cs="Arial"/>
          <w:sz w:val="22"/>
          <w:szCs w:val="22"/>
          <w:lang w:val="es-CO"/>
        </w:rPr>
        <w:t xml:space="preserve"> </w:t>
      </w:r>
      <w:r w:rsidRPr="00A21B5C">
        <w:rPr>
          <w:rFonts w:cs="Arial"/>
          <w:sz w:val="22"/>
          <w:szCs w:val="22"/>
          <w:lang w:val="es-CO"/>
        </w:rPr>
        <w:t xml:space="preserve">Específicamente para resguardos indígenas, el Comité Técnico del FUT consolidó el instructivo </w:t>
      </w:r>
      <w:r w:rsidRPr="00A21B5C">
        <w:rPr>
          <w:rFonts w:cs="Arial"/>
          <w:i/>
          <w:sz w:val="22"/>
          <w:szCs w:val="22"/>
          <w:lang w:val="es-CO"/>
        </w:rPr>
        <w:t>“Categoría Resguardos Indígenas”</w:t>
      </w:r>
      <w:r w:rsidRPr="00A21B5C">
        <w:rPr>
          <w:rFonts w:cs="Arial"/>
          <w:sz w:val="22"/>
          <w:szCs w:val="22"/>
          <w:lang w:val="es-CO"/>
        </w:rPr>
        <w:t xml:space="preserve"> para el reporte de los recursos asignados a los resguardos indígenas, estableciendo que, este se realiza a través de tres categorías que contienen cuatro formularios, de los cuales dos corresponden a las Categorías “Resguardos_1” y “Resguardos_2” </w:t>
      </w:r>
      <w:r w:rsidR="0012665C" w:rsidRPr="00A21B5C">
        <w:rPr>
          <w:rFonts w:cs="Arial"/>
          <w:sz w:val="22"/>
          <w:szCs w:val="22"/>
          <w:lang w:val="es-CO"/>
        </w:rPr>
        <w:t>donde</w:t>
      </w:r>
      <w:r w:rsidRPr="00A21B5C">
        <w:rPr>
          <w:rFonts w:cs="Arial"/>
          <w:sz w:val="22"/>
          <w:szCs w:val="22"/>
          <w:lang w:val="es-CO"/>
        </w:rPr>
        <w:t xml:space="preserve"> se reporta la información de los ingresos y los gastos de inversión con cargo a los recursos de la AESGPRI, debiendo ser reportadas con una periodicidad semestral y de forma acumulada.</w:t>
      </w:r>
    </w:p>
    <w:p w:rsidR="008C2E4A" w:rsidRPr="00A21B5C" w:rsidRDefault="008C2E4A" w:rsidP="00A21B5C">
      <w:pPr>
        <w:contextualSpacing/>
        <w:jc w:val="both"/>
        <w:rPr>
          <w:rFonts w:ascii="Arial" w:eastAsia="Times New Roman" w:hAnsi="Arial" w:cs="Arial"/>
          <w:sz w:val="22"/>
          <w:szCs w:val="22"/>
          <w:lang w:val="es-CO"/>
        </w:rPr>
      </w:pPr>
    </w:p>
    <w:p w:rsidR="008C2E4A" w:rsidRPr="00A21B5C" w:rsidRDefault="00A8363F" w:rsidP="00A21B5C">
      <w:pPr>
        <w:contextualSpacing/>
        <w:jc w:val="both"/>
        <w:rPr>
          <w:rFonts w:ascii="Arial" w:eastAsia="Times New Roman" w:hAnsi="Arial" w:cs="Arial"/>
          <w:iCs/>
          <w:color w:val="000000"/>
          <w:sz w:val="22"/>
          <w:szCs w:val="22"/>
          <w:lang w:val="es-CO" w:eastAsia="es-CO"/>
        </w:rPr>
      </w:pPr>
      <w:r w:rsidRPr="00A21B5C">
        <w:rPr>
          <w:rFonts w:ascii="Arial" w:eastAsia="Times New Roman" w:hAnsi="Arial" w:cs="Arial"/>
          <w:iCs/>
          <w:color w:val="000000"/>
          <w:sz w:val="22"/>
          <w:szCs w:val="22"/>
          <w:lang w:val="es-CO" w:eastAsia="es-CO"/>
        </w:rPr>
        <w:t>E</w:t>
      </w:r>
      <w:r w:rsidR="008C2E4A" w:rsidRPr="00A21B5C">
        <w:rPr>
          <w:rFonts w:ascii="Arial" w:eastAsia="Times New Roman" w:hAnsi="Arial" w:cs="Arial"/>
          <w:iCs/>
          <w:color w:val="000000"/>
          <w:sz w:val="22"/>
          <w:szCs w:val="22"/>
          <w:lang w:val="es-CO" w:eastAsia="es-CO"/>
        </w:rPr>
        <w:t xml:space="preserve">n consideración de lo anterior, </w:t>
      </w:r>
      <w:r w:rsidR="00640270" w:rsidRPr="00A21B5C">
        <w:rPr>
          <w:rFonts w:ascii="Arial" w:eastAsia="Times New Roman" w:hAnsi="Arial" w:cs="Arial"/>
          <w:iCs/>
          <w:color w:val="000000"/>
          <w:sz w:val="22"/>
          <w:szCs w:val="22"/>
          <w:lang w:val="es-CO" w:eastAsia="es-CO"/>
        </w:rPr>
        <w:t xml:space="preserve">esta </w:t>
      </w:r>
      <w:r w:rsidR="008C2E4A" w:rsidRPr="00A21B5C">
        <w:rPr>
          <w:rFonts w:ascii="Arial" w:eastAsia="Times New Roman" w:hAnsi="Arial" w:cs="Arial"/>
          <w:iCs/>
          <w:color w:val="000000"/>
          <w:sz w:val="22"/>
          <w:szCs w:val="22"/>
          <w:lang w:val="es-CO" w:eastAsia="es-CO"/>
        </w:rPr>
        <w:t>Dirección realizó</w:t>
      </w:r>
      <w:r w:rsidR="00640270" w:rsidRPr="00A21B5C">
        <w:rPr>
          <w:rFonts w:ascii="Arial" w:eastAsia="Times New Roman" w:hAnsi="Arial" w:cs="Arial"/>
          <w:iCs/>
          <w:color w:val="000000"/>
          <w:sz w:val="22"/>
          <w:szCs w:val="22"/>
          <w:lang w:val="es-CO" w:eastAsia="es-CO"/>
        </w:rPr>
        <w:t xml:space="preserve"> la</w:t>
      </w:r>
      <w:r w:rsidR="008C2E4A" w:rsidRPr="00A21B5C">
        <w:rPr>
          <w:rFonts w:ascii="Arial" w:eastAsia="Times New Roman" w:hAnsi="Arial" w:cs="Arial"/>
          <w:iCs/>
          <w:color w:val="000000"/>
          <w:sz w:val="22"/>
          <w:szCs w:val="22"/>
          <w:lang w:val="es-CO" w:eastAsia="es-CO"/>
        </w:rPr>
        <w:t xml:space="preserve"> consulta de la información reportada por el Municipio de Dibulla – La Guajira en el FUT en lo relacionado con los recursos AESGPRI del Resguardo </w:t>
      </w:r>
      <w:r w:rsidR="008C2E4A" w:rsidRPr="00A21B5C">
        <w:rPr>
          <w:rFonts w:ascii="Arial" w:eastAsia="Times New Roman" w:hAnsi="Arial" w:cs="Arial"/>
          <w:color w:val="000000"/>
          <w:sz w:val="22"/>
          <w:szCs w:val="22"/>
          <w:lang w:val="es-CO" w:eastAsia="es-CO"/>
        </w:rPr>
        <w:t>Kogui – Malayo – Arhuaco</w:t>
      </w:r>
      <w:r w:rsidR="008C2E4A" w:rsidRPr="00A21B5C">
        <w:rPr>
          <w:rFonts w:ascii="Arial" w:eastAsia="Times New Roman" w:hAnsi="Arial" w:cs="Arial"/>
          <w:iCs/>
          <w:color w:val="000000"/>
          <w:sz w:val="22"/>
          <w:szCs w:val="22"/>
          <w:lang w:val="es-CO" w:eastAsia="es-CO"/>
        </w:rPr>
        <w:t xml:space="preserve"> en su jurisdicción, mediante el acceso a la plataforma del Sistema de Consolidación - CHIP, evidenciando que la Entidad Territorial faltó al reporte periódico de la información presupuestal de los recursos AESGPRI durante las vigencias 2016, 2017</w:t>
      </w:r>
      <w:r w:rsidR="006E69D5" w:rsidRPr="00A21B5C">
        <w:rPr>
          <w:rFonts w:ascii="Arial" w:eastAsia="Times New Roman" w:hAnsi="Arial" w:cs="Arial"/>
          <w:iCs/>
          <w:color w:val="000000"/>
          <w:sz w:val="22"/>
          <w:szCs w:val="22"/>
          <w:lang w:val="es-CO" w:eastAsia="es-CO"/>
        </w:rPr>
        <w:t>,</w:t>
      </w:r>
      <w:r w:rsidR="008C2E4A" w:rsidRPr="00A21B5C">
        <w:rPr>
          <w:rFonts w:ascii="Arial" w:eastAsia="Times New Roman" w:hAnsi="Arial" w:cs="Arial"/>
          <w:iCs/>
          <w:color w:val="000000"/>
          <w:sz w:val="22"/>
          <w:szCs w:val="22"/>
          <w:lang w:val="es-CO" w:eastAsia="es-CO"/>
        </w:rPr>
        <w:t xml:space="preserve"> 2018</w:t>
      </w:r>
      <w:r w:rsidR="006E69D5" w:rsidRPr="00A21B5C">
        <w:rPr>
          <w:rFonts w:ascii="Arial" w:eastAsia="Times New Roman" w:hAnsi="Arial" w:cs="Arial"/>
          <w:iCs/>
          <w:color w:val="000000"/>
          <w:sz w:val="22"/>
          <w:szCs w:val="22"/>
          <w:lang w:val="es-CO" w:eastAsia="es-CO"/>
        </w:rPr>
        <w:t xml:space="preserve"> y 2020</w:t>
      </w:r>
      <w:r w:rsidR="008C2E4A" w:rsidRPr="00A21B5C">
        <w:rPr>
          <w:rFonts w:ascii="Arial" w:eastAsia="Times New Roman" w:hAnsi="Arial" w:cs="Arial"/>
          <w:iCs/>
          <w:color w:val="000000"/>
          <w:sz w:val="22"/>
          <w:szCs w:val="22"/>
          <w:lang w:val="es-CO" w:eastAsia="es-CO"/>
        </w:rPr>
        <w:t xml:space="preserve"> al encontrar particularmente que:</w:t>
      </w:r>
    </w:p>
    <w:p w:rsidR="008C2E4A" w:rsidRPr="00A21B5C" w:rsidRDefault="008C2E4A" w:rsidP="00A21B5C">
      <w:pPr>
        <w:contextualSpacing/>
        <w:jc w:val="both"/>
        <w:rPr>
          <w:rFonts w:ascii="Arial" w:eastAsia="Times New Roman" w:hAnsi="Arial" w:cs="Arial"/>
          <w:iCs/>
          <w:color w:val="000000"/>
          <w:sz w:val="22"/>
          <w:szCs w:val="22"/>
          <w:lang w:val="es-CO" w:eastAsia="es-CO"/>
        </w:rPr>
      </w:pPr>
    </w:p>
    <w:p w:rsidR="008C2E4A" w:rsidRPr="00A21B5C" w:rsidRDefault="008C2E4A" w:rsidP="00100DED">
      <w:pPr>
        <w:pStyle w:val="Prrafodelista"/>
        <w:numPr>
          <w:ilvl w:val="0"/>
          <w:numId w:val="22"/>
        </w:numPr>
        <w:jc w:val="both"/>
        <w:rPr>
          <w:rFonts w:ascii="Arial" w:eastAsia="Times New Roman" w:hAnsi="Arial" w:cs="Arial"/>
          <w:iCs/>
          <w:color w:val="000000"/>
          <w:sz w:val="22"/>
          <w:szCs w:val="22"/>
          <w:lang w:val="es-CO" w:eastAsia="es-CO"/>
        </w:rPr>
      </w:pPr>
      <w:r w:rsidRPr="00A21B5C">
        <w:rPr>
          <w:rFonts w:ascii="Arial" w:eastAsia="Times New Roman" w:hAnsi="Arial" w:cs="Arial"/>
          <w:iCs/>
          <w:color w:val="000000"/>
          <w:sz w:val="22"/>
          <w:szCs w:val="22"/>
          <w:lang w:val="es-CO" w:eastAsia="es-CO"/>
        </w:rPr>
        <w:t xml:space="preserve">Durante la vigencia 2016, el Municipio no reportó información de Ingresos y Gastos por concepto de la AESGPRI, en </w:t>
      </w:r>
      <w:r w:rsidR="00640270" w:rsidRPr="00A21B5C">
        <w:rPr>
          <w:rFonts w:ascii="Arial" w:eastAsia="Times New Roman" w:hAnsi="Arial" w:cs="Arial"/>
          <w:iCs/>
          <w:color w:val="000000"/>
          <w:sz w:val="22"/>
          <w:szCs w:val="22"/>
          <w:lang w:val="es-CO" w:eastAsia="es-CO"/>
        </w:rPr>
        <w:t xml:space="preserve">las Categorías </w:t>
      </w:r>
      <w:r w:rsidRPr="00A21B5C">
        <w:rPr>
          <w:rFonts w:ascii="Arial" w:eastAsia="Times New Roman" w:hAnsi="Arial" w:cs="Arial"/>
          <w:iCs/>
          <w:color w:val="000000"/>
          <w:sz w:val="22"/>
          <w:szCs w:val="22"/>
          <w:lang w:val="es-CO" w:eastAsia="es-CO"/>
        </w:rPr>
        <w:t>Resguardos 1 y Resguardos 2, para el segundo semestre de 2016.</w:t>
      </w:r>
    </w:p>
    <w:p w:rsidR="00E91EEB" w:rsidRPr="00A21B5C" w:rsidRDefault="00E91EEB" w:rsidP="00A21B5C">
      <w:pPr>
        <w:pStyle w:val="Prrafodelista"/>
        <w:jc w:val="both"/>
        <w:rPr>
          <w:rFonts w:ascii="Arial" w:eastAsia="Times New Roman" w:hAnsi="Arial" w:cs="Arial"/>
          <w:iCs/>
          <w:color w:val="000000"/>
          <w:sz w:val="22"/>
          <w:szCs w:val="22"/>
          <w:lang w:val="es-CO" w:eastAsia="es-CO"/>
        </w:rPr>
      </w:pPr>
    </w:p>
    <w:p w:rsidR="008C2E4A" w:rsidRPr="00A21B5C" w:rsidRDefault="008C2E4A" w:rsidP="00100DED">
      <w:pPr>
        <w:pStyle w:val="Prrafodelista"/>
        <w:numPr>
          <w:ilvl w:val="0"/>
          <w:numId w:val="22"/>
        </w:numPr>
        <w:jc w:val="both"/>
        <w:rPr>
          <w:rFonts w:ascii="Arial" w:eastAsia="Times New Roman" w:hAnsi="Arial" w:cs="Arial"/>
          <w:iCs/>
          <w:color w:val="000000"/>
          <w:sz w:val="22"/>
          <w:szCs w:val="22"/>
          <w:lang w:val="es-CO" w:eastAsia="es-CO"/>
        </w:rPr>
      </w:pPr>
      <w:r w:rsidRPr="00A21B5C">
        <w:rPr>
          <w:rFonts w:ascii="Arial" w:eastAsia="Times New Roman" w:hAnsi="Arial" w:cs="Arial"/>
          <w:iCs/>
          <w:color w:val="000000"/>
          <w:sz w:val="22"/>
          <w:szCs w:val="22"/>
          <w:lang w:val="es-CO" w:eastAsia="es-CO"/>
        </w:rPr>
        <w:t>Durante la vigencia 2017, el Municipio no reportó información de Gastos de Inversión de los recursos administrados por concepto de la AESGPRI durante el segundo semestre del año.</w:t>
      </w:r>
    </w:p>
    <w:p w:rsidR="00E91EEB" w:rsidRPr="00A21B5C" w:rsidRDefault="00E91EEB" w:rsidP="00A21B5C">
      <w:pPr>
        <w:pStyle w:val="Prrafodelista"/>
        <w:jc w:val="both"/>
        <w:rPr>
          <w:rFonts w:ascii="Arial" w:eastAsia="Times New Roman" w:hAnsi="Arial" w:cs="Arial"/>
          <w:iCs/>
          <w:color w:val="000000"/>
          <w:sz w:val="22"/>
          <w:szCs w:val="22"/>
          <w:lang w:val="es-CO" w:eastAsia="es-CO"/>
        </w:rPr>
      </w:pPr>
    </w:p>
    <w:p w:rsidR="008C2E4A" w:rsidRPr="00A21B5C" w:rsidRDefault="008C2E4A" w:rsidP="00100DED">
      <w:pPr>
        <w:pStyle w:val="Prrafodelista"/>
        <w:numPr>
          <w:ilvl w:val="0"/>
          <w:numId w:val="22"/>
        </w:numPr>
        <w:jc w:val="both"/>
        <w:rPr>
          <w:rFonts w:ascii="Arial" w:eastAsia="Times New Roman" w:hAnsi="Arial" w:cs="Arial"/>
          <w:iCs/>
          <w:color w:val="000000"/>
          <w:sz w:val="22"/>
          <w:szCs w:val="22"/>
          <w:lang w:val="es-CO" w:eastAsia="es-CO"/>
        </w:rPr>
      </w:pPr>
      <w:r w:rsidRPr="00A21B5C">
        <w:rPr>
          <w:rFonts w:ascii="Arial" w:eastAsia="Times New Roman" w:hAnsi="Arial" w:cs="Arial"/>
          <w:iCs/>
          <w:color w:val="000000"/>
          <w:sz w:val="22"/>
          <w:szCs w:val="22"/>
          <w:lang w:val="es-CO" w:eastAsia="es-CO"/>
        </w:rPr>
        <w:t xml:space="preserve">Durante la vigencia 2018, la Entidad Territorial no reportó la información de Ingresos en </w:t>
      </w:r>
      <w:r w:rsidR="00640270" w:rsidRPr="00A21B5C">
        <w:rPr>
          <w:rFonts w:ascii="Arial" w:eastAsia="Times New Roman" w:hAnsi="Arial" w:cs="Arial"/>
          <w:iCs/>
          <w:color w:val="000000"/>
          <w:sz w:val="22"/>
          <w:szCs w:val="22"/>
          <w:lang w:val="es-CO" w:eastAsia="es-CO"/>
        </w:rPr>
        <w:t xml:space="preserve">la Categoría </w:t>
      </w:r>
      <w:r w:rsidRPr="00A21B5C">
        <w:rPr>
          <w:rFonts w:ascii="Arial" w:eastAsia="Times New Roman" w:hAnsi="Arial" w:cs="Arial"/>
          <w:iCs/>
          <w:color w:val="000000"/>
          <w:sz w:val="22"/>
          <w:szCs w:val="22"/>
          <w:lang w:val="es-CO" w:eastAsia="es-CO"/>
        </w:rPr>
        <w:t>Resguardos 1 para el segundo semestre de 2018.</w:t>
      </w:r>
    </w:p>
    <w:p w:rsidR="00E91EEB" w:rsidRPr="00A21B5C" w:rsidRDefault="00E91EEB" w:rsidP="00A21B5C">
      <w:pPr>
        <w:pStyle w:val="Prrafodelista"/>
        <w:jc w:val="both"/>
        <w:rPr>
          <w:rFonts w:ascii="Arial" w:eastAsia="Times New Roman" w:hAnsi="Arial" w:cs="Arial"/>
          <w:iCs/>
          <w:color w:val="000000"/>
          <w:sz w:val="22"/>
          <w:szCs w:val="22"/>
          <w:lang w:val="es-CO" w:eastAsia="es-CO"/>
        </w:rPr>
      </w:pPr>
    </w:p>
    <w:p w:rsidR="004A0763" w:rsidRPr="00A21B5C" w:rsidRDefault="004A0763">
      <w:pPr>
        <w:pStyle w:val="Prrafodelista"/>
        <w:numPr>
          <w:ilvl w:val="0"/>
          <w:numId w:val="22"/>
        </w:numPr>
        <w:jc w:val="both"/>
        <w:rPr>
          <w:rFonts w:ascii="Arial" w:eastAsia="Times New Roman" w:hAnsi="Arial" w:cs="Arial"/>
          <w:iCs/>
          <w:color w:val="000000"/>
          <w:sz w:val="22"/>
          <w:szCs w:val="22"/>
          <w:lang w:val="es-CO" w:eastAsia="es-CO"/>
        </w:rPr>
      </w:pPr>
      <w:r w:rsidRPr="00A21B5C">
        <w:rPr>
          <w:rFonts w:ascii="Arial" w:eastAsia="Times New Roman" w:hAnsi="Arial" w:cs="Arial"/>
          <w:iCs/>
          <w:color w:val="000000"/>
          <w:sz w:val="22"/>
          <w:szCs w:val="22"/>
          <w:lang w:val="es-CO" w:eastAsia="es-CO"/>
        </w:rPr>
        <w:t xml:space="preserve">Durante el primer </w:t>
      </w:r>
      <w:r w:rsidR="0012665C" w:rsidRPr="00A21B5C">
        <w:rPr>
          <w:rFonts w:ascii="Arial" w:eastAsia="Times New Roman" w:hAnsi="Arial" w:cs="Arial"/>
          <w:iCs/>
          <w:color w:val="000000"/>
          <w:sz w:val="22"/>
          <w:szCs w:val="22"/>
          <w:lang w:val="es-CO" w:eastAsia="es-CO"/>
        </w:rPr>
        <w:t xml:space="preserve">semestre </w:t>
      </w:r>
      <w:r w:rsidRPr="00A21B5C">
        <w:rPr>
          <w:rFonts w:ascii="Arial" w:eastAsia="Times New Roman" w:hAnsi="Arial" w:cs="Arial"/>
          <w:iCs/>
          <w:color w:val="000000"/>
          <w:sz w:val="22"/>
          <w:szCs w:val="22"/>
          <w:lang w:val="es-CO" w:eastAsia="es-CO"/>
        </w:rPr>
        <w:t xml:space="preserve">de la vigencia 2020, la Entidad Territorial no reportó la información de Ingresos ni en </w:t>
      </w:r>
      <w:r w:rsidR="00640270" w:rsidRPr="00A21B5C">
        <w:rPr>
          <w:rFonts w:ascii="Arial" w:eastAsia="Times New Roman" w:hAnsi="Arial" w:cs="Arial"/>
          <w:iCs/>
          <w:color w:val="000000"/>
          <w:sz w:val="22"/>
          <w:szCs w:val="22"/>
          <w:lang w:val="es-CO" w:eastAsia="es-CO"/>
        </w:rPr>
        <w:t xml:space="preserve">la Categoría </w:t>
      </w:r>
      <w:r w:rsidRPr="00A21B5C">
        <w:rPr>
          <w:rFonts w:ascii="Arial" w:eastAsia="Times New Roman" w:hAnsi="Arial" w:cs="Arial"/>
          <w:iCs/>
          <w:color w:val="000000"/>
          <w:sz w:val="22"/>
          <w:szCs w:val="22"/>
          <w:lang w:val="es-CO" w:eastAsia="es-CO"/>
        </w:rPr>
        <w:t xml:space="preserve">Resguardos 1 ni en </w:t>
      </w:r>
      <w:r w:rsidR="00640270" w:rsidRPr="00A21B5C">
        <w:rPr>
          <w:rFonts w:ascii="Arial" w:eastAsia="Times New Roman" w:hAnsi="Arial" w:cs="Arial"/>
          <w:iCs/>
          <w:color w:val="000000"/>
          <w:sz w:val="22"/>
          <w:szCs w:val="22"/>
          <w:lang w:val="es-CO" w:eastAsia="es-CO"/>
        </w:rPr>
        <w:t xml:space="preserve">la Categoría </w:t>
      </w:r>
      <w:r w:rsidR="006E69D5" w:rsidRPr="00A21B5C">
        <w:rPr>
          <w:rFonts w:ascii="Arial" w:eastAsia="Times New Roman" w:hAnsi="Arial" w:cs="Arial"/>
          <w:iCs/>
          <w:color w:val="000000"/>
          <w:sz w:val="22"/>
          <w:szCs w:val="22"/>
          <w:lang w:val="es-CO" w:eastAsia="es-CO"/>
        </w:rPr>
        <w:t>Resguardos 2</w:t>
      </w:r>
      <w:r w:rsidR="0012665C" w:rsidRPr="00A21B5C">
        <w:rPr>
          <w:rFonts w:ascii="Arial" w:eastAsia="Times New Roman" w:hAnsi="Arial" w:cs="Arial"/>
          <w:iCs/>
          <w:color w:val="000000"/>
          <w:sz w:val="22"/>
          <w:szCs w:val="22"/>
          <w:lang w:val="es-CO" w:eastAsia="es-CO"/>
        </w:rPr>
        <w:t>, aunque realizó el reporte consolidado para el cierre de la vigencia</w:t>
      </w:r>
      <w:r w:rsidRPr="00A21B5C">
        <w:rPr>
          <w:rFonts w:ascii="Arial" w:eastAsia="Times New Roman" w:hAnsi="Arial" w:cs="Arial"/>
          <w:iCs/>
          <w:color w:val="000000"/>
          <w:sz w:val="22"/>
          <w:szCs w:val="22"/>
          <w:lang w:val="es-CO" w:eastAsia="es-CO"/>
        </w:rPr>
        <w:t>.</w:t>
      </w:r>
    </w:p>
    <w:p w:rsidR="008C2E4A" w:rsidRPr="00A21B5C" w:rsidRDefault="008C2E4A">
      <w:pPr>
        <w:pStyle w:val="Prrafodelista"/>
        <w:jc w:val="both"/>
        <w:rPr>
          <w:rFonts w:ascii="Arial" w:eastAsia="Times New Roman" w:hAnsi="Arial" w:cs="Arial"/>
          <w:iCs/>
          <w:color w:val="000000"/>
          <w:sz w:val="22"/>
          <w:szCs w:val="22"/>
          <w:lang w:val="es-CO" w:eastAsia="es-CO"/>
        </w:rPr>
      </w:pPr>
    </w:p>
    <w:p w:rsidR="0073593D" w:rsidRPr="00A21B5C" w:rsidRDefault="008C2E4A" w:rsidP="00A21B5C">
      <w:pPr>
        <w:pStyle w:val="Textoindependiente2"/>
        <w:contextualSpacing/>
        <w:rPr>
          <w:rFonts w:cs="Arial"/>
          <w:color w:val="000000" w:themeColor="text1"/>
          <w:sz w:val="22"/>
          <w:szCs w:val="22"/>
          <w:lang w:val="es-CO" w:eastAsia="es-CO"/>
        </w:rPr>
      </w:pPr>
      <w:r w:rsidRPr="00A21B5C">
        <w:rPr>
          <w:rFonts w:cs="Arial"/>
          <w:color w:val="000000" w:themeColor="text1"/>
          <w:sz w:val="22"/>
          <w:szCs w:val="22"/>
          <w:lang w:val="es-CO" w:eastAsia="es-CO"/>
        </w:rPr>
        <w:t xml:space="preserve">Así, </w:t>
      </w:r>
      <w:r w:rsidR="00640270" w:rsidRPr="00A21B5C">
        <w:rPr>
          <w:rFonts w:cs="Arial"/>
          <w:color w:val="000000" w:themeColor="text1"/>
          <w:sz w:val="22"/>
          <w:szCs w:val="22"/>
          <w:lang w:val="es-CO" w:eastAsia="es-CO"/>
        </w:rPr>
        <w:t>se</w:t>
      </w:r>
      <w:r w:rsidRPr="00A21B5C">
        <w:rPr>
          <w:rFonts w:cs="Arial"/>
          <w:color w:val="000000" w:themeColor="text1"/>
          <w:sz w:val="22"/>
          <w:szCs w:val="22"/>
          <w:lang w:val="es-CO" w:eastAsia="es-CO"/>
        </w:rPr>
        <w:t xml:space="preserve"> concluye que partir de las situaciones antes descritas se pone de manifiesto la vulneración del artículo 2.6.4.2. del Decreto 1068 de 2015 y la omisión de lo establecido en el instructivo </w:t>
      </w:r>
      <w:r w:rsidRPr="00A21B5C">
        <w:rPr>
          <w:rFonts w:cs="Arial"/>
          <w:i/>
          <w:sz w:val="22"/>
          <w:szCs w:val="22"/>
          <w:lang w:val="es-CO"/>
        </w:rPr>
        <w:t xml:space="preserve">“Categoría Resguardos Indígenas” </w:t>
      </w:r>
      <w:r w:rsidRPr="00A21B5C">
        <w:rPr>
          <w:rFonts w:cs="Arial"/>
          <w:color w:val="000000" w:themeColor="text1"/>
          <w:sz w:val="22"/>
          <w:szCs w:val="22"/>
          <w:lang w:val="es-CO" w:eastAsia="es-CO"/>
        </w:rPr>
        <w:t>en relación con la obligatoriedad y la periodicidad del reporte en</w:t>
      </w:r>
      <w:r w:rsidR="00180F87" w:rsidRPr="00A21B5C">
        <w:rPr>
          <w:rFonts w:cs="Arial"/>
          <w:color w:val="000000" w:themeColor="text1"/>
          <w:sz w:val="22"/>
          <w:szCs w:val="22"/>
          <w:lang w:val="es-CO" w:eastAsia="es-CO"/>
        </w:rPr>
        <w:t xml:space="preserve"> el</w:t>
      </w:r>
      <w:r w:rsidRPr="00A21B5C">
        <w:rPr>
          <w:rFonts w:cs="Arial"/>
          <w:color w:val="000000" w:themeColor="text1"/>
          <w:sz w:val="22"/>
          <w:szCs w:val="22"/>
          <w:lang w:val="es-CO" w:eastAsia="es-CO"/>
        </w:rPr>
        <w:t xml:space="preserve"> FUT, por parte del Municipio de Dibulla – La Guajira en la administración de los recursos AESGPRI durante las vigencias 2016, 2017</w:t>
      </w:r>
      <w:r w:rsidR="00903124" w:rsidRPr="00A21B5C">
        <w:rPr>
          <w:rFonts w:cs="Arial"/>
          <w:color w:val="000000" w:themeColor="text1"/>
          <w:sz w:val="22"/>
          <w:szCs w:val="22"/>
          <w:lang w:val="es-CO" w:eastAsia="es-CO"/>
        </w:rPr>
        <w:t xml:space="preserve">, </w:t>
      </w:r>
      <w:r w:rsidRPr="00A21B5C">
        <w:rPr>
          <w:rFonts w:cs="Arial"/>
          <w:color w:val="000000" w:themeColor="text1"/>
          <w:sz w:val="22"/>
          <w:szCs w:val="22"/>
          <w:lang w:val="es-CO" w:eastAsia="es-CO"/>
        </w:rPr>
        <w:t>2018</w:t>
      </w:r>
      <w:r w:rsidR="00903124" w:rsidRPr="00A21B5C">
        <w:rPr>
          <w:rFonts w:cs="Arial"/>
          <w:color w:val="000000" w:themeColor="text1"/>
          <w:sz w:val="22"/>
          <w:szCs w:val="22"/>
          <w:lang w:val="es-CO" w:eastAsia="es-CO"/>
        </w:rPr>
        <w:t xml:space="preserve"> y 2020.</w:t>
      </w:r>
    </w:p>
    <w:p w:rsidR="0073593D" w:rsidRPr="00A21B5C" w:rsidRDefault="0073593D" w:rsidP="00A21B5C">
      <w:pPr>
        <w:pStyle w:val="Textoindependiente2"/>
        <w:contextualSpacing/>
        <w:rPr>
          <w:rFonts w:cs="Arial"/>
          <w:color w:val="000000" w:themeColor="text1"/>
          <w:sz w:val="22"/>
          <w:szCs w:val="22"/>
          <w:lang w:val="es-CO" w:eastAsia="es-CO"/>
        </w:rPr>
      </w:pPr>
    </w:p>
    <w:p w:rsidR="008C2E4A" w:rsidRPr="00A21B5C" w:rsidRDefault="0073593D" w:rsidP="00A21B5C">
      <w:pPr>
        <w:pStyle w:val="Textoindependiente2"/>
        <w:contextualSpacing/>
        <w:rPr>
          <w:rFonts w:cs="Arial"/>
          <w:color w:val="000000" w:themeColor="text1"/>
          <w:sz w:val="22"/>
          <w:szCs w:val="22"/>
          <w:lang w:val="es-CO" w:eastAsia="es-CO"/>
        </w:rPr>
      </w:pPr>
      <w:r w:rsidRPr="00A21B5C">
        <w:rPr>
          <w:rFonts w:cs="Arial"/>
          <w:color w:val="000000" w:themeColor="text1"/>
          <w:sz w:val="22"/>
          <w:szCs w:val="22"/>
          <w:lang w:val="es-CO" w:eastAsia="es-CO"/>
        </w:rPr>
        <w:lastRenderedPageBreak/>
        <w:t>Es importante señalar además</w:t>
      </w:r>
      <w:r w:rsidR="00B259E6" w:rsidRPr="00A21B5C">
        <w:rPr>
          <w:rFonts w:cs="Arial"/>
          <w:color w:val="000000" w:themeColor="text1"/>
          <w:sz w:val="22"/>
          <w:szCs w:val="22"/>
          <w:lang w:val="es-CO" w:eastAsia="es-CO"/>
        </w:rPr>
        <w:t>,</w:t>
      </w:r>
      <w:r w:rsidRPr="00A21B5C">
        <w:rPr>
          <w:rFonts w:cs="Arial"/>
          <w:color w:val="000000" w:themeColor="text1"/>
          <w:sz w:val="22"/>
          <w:szCs w:val="22"/>
          <w:lang w:val="es-CO" w:eastAsia="es-CO"/>
        </w:rPr>
        <w:t xml:space="preserve"> las consecuencias que la omisión del reporte en el FUT trae para la Entidad Territorial en relación al nivel de riesgo que el Departamento Nacional de Planeación</w:t>
      </w:r>
      <w:r w:rsidR="00B259E6" w:rsidRPr="00A21B5C">
        <w:rPr>
          <w:rFonts w:cs="Arial"/>
          <w:color w:val="000000" w:themeColor="text1"/>
          <w:sz w:val="22"/>
          <w:szCs w:val="22"/>
          <w:lang w:val="es-CO" w:eastAsia="es-CO"/>
        </w:rPr>
        <w:t xml:space="preserve"> </w:t>
      </w:r>
      <w:r w:rsidRPr="00A21B5C">
        <w:rPr>
          <w:rFonts w:cs="Arial"/>
          <w:color w:val="000000" w:themeColor="text1"/>
          <w:sz w:val="22"/>
          <w:szCs w:val="22"/>
          <w:lang w:val="es-CO" w:eastAsia="es-CO"/>
        </w:rPr>
        <w:t xml:space="preserve">otorga al Municipio en el marco de las actividades de monitoreo al uso de los recursos de la AESGPRI que están a su cargo, toda vez que como ya se mencionó, la priorización de atención al Municipio estuvo motivada por la recurrencia en el </w:t>
      </w:r>
      <w:r w:rsidR="00640270" w:rsidRPr="00A21B5C">
        <w:rPr>
          <w:rFonts w:cs="Arial"/>
          <w:color w:val="000000" w:themeColor="text1"/>
          <w:sz w:val="22"/>
          <w:szCs w:val="22"/>
          <w:lang w:val="es-CO" w:eastAsia="es-CO"/>
        </w:rPr>
        <w:t>E</w:t>
      </w:r>
      <w:r w:rsidRPr="00A21B5C">
        <w:rPr>
          <w:rFonts w:cs="Arial"/>
          <w:color w:val="000000" w:themeColor="text1"/>
          <w:sz w:val="22"/>
          <w:szCs w:val="22"/>
          <w:lang w:val="es-CO" w:eastAsia="es-CO"/>
        </w:rPr>
        <w:t xml:space="preserve">vento de </w:t>
      </w:r>
      <w:r w:rsidR="00640270" w:rsidRPr="00A21B5C">
        <w:rPr>
          <w:rFonts w:cs="Arial"/>
          <w:color w:val="000000" w:themeColor="text1"/>
          <w:sz w:val="22"/>
          <w:szCs w:val="22"/>
          <w:lang w:val="es-CO" w:eastAsia="es-CO"/>
        </w:rPr>
        <w:t>R</w:t>
      </w:r>
      <w:r w:rsidRPr="00A21B5C">
        <w:rPr>
          <w:rFonts w:cs="Arial"/>
          <w:color w:val="000000" w:themeColor="text1"/>
          <w:sz w:val="22"/>
          <w:szCs w:val="22"/>
          <w:lang w:val="es-CO" w:eastAsia="es-CO"/>
        </w:rPr>
        <w:t xml:space="preserve">iesgo </w:t>
      </w:r>
      <w:r w:rsidR="00640270" w:rsidRPr="00A21B5C">
        <w:rPr>
          <w:rFonts w:cs="Arial"/>
          <w:color w:val="000000" w:themeColor="text1"/>
          <w:sz w:val="22"/>
          <w:szCs w:val="22"/>
          <w:lang w:val="es-CO" w:eastAsia="es-CO"/>
        </w:rPr>
        <w:t xml:space="preserve">9.1 </w:t>
      </w:r>
      <w:r w:rsidRPr="00A21B5C">
        <w:rPr>
          <w:rFonts w:cs="Arial"/>
          <w:color w:val="000000" w:themeColor="text1"/>
          <w:sz w:val="22"/>
          <w:szCs w:val="22"/>
          <w:lang w:val="es-CO" w:eastAsia="es-CO"/>
        </w:rPr>
        <w:t>“</w:t>
      </w:r>
      <w:r w:rsidRPr="00A21B5C">
        <w:rPr>
          <w:rFonts w:cs="Arial"/>
          <w:i/>
          <w:color w:val="000000" w:themeColor="text1"/>
          <w:sz w:val="22"/>
          <w:szCs w:val="22"/>
          <w:lang w:val="es-CO" w:eastAsia="es-CO"/>
        </w:rPr>
        <w:t>No envío de información conforme a los plazos, condiciones y formatos indicados por el Gobierno Nacional, y/o remitir o entregar información incompleta o errónea</w:t>
      </w:r>
      <w:r w:rsidRPr="00A21B5C">
        <w:rPr>
          <w:rFonts w:cs="Arial"/>
          <w:color w:val="000000" w:themeColor="text1"/>
          <w:sz w:val="22"/>
          <w:szCs w:val="22"/>
          <w:lang w:val="es-CO" w:eastAsia="es-CO"/>
        </w:rPr>
        <w:t>” referenciada en el Informe de Monitoreo General SGP de Propósito General y Asignaciones Especiales vigencia 2017, en el que el Municipio de Dibulla – La Guajira presentaba un nivel de riesgo Critico Alto</w:t>
      </w:r>
      <w:r w:rsidR="00B259E6" w:rsidRPr="00A21B5C">
        <w:rPr>
          <w:rFonts w:cs="Arial"/>
          <w:color w:val="000000" w:themeColor="text1"/>
          <w:sz w:val="22"/>
          <w:szCs w:val="22"/>
          <w:lang w:val="es-CO" w:eastAsia="es-CO"/>
        </w:rPr>
        <w:t>.</w:t>
      </w:r>
    </w:p>
    <w:p w:rsidR="008C2E4A" w:rsidRPr="00A21B5C" w:rsidRDefault="008C2E4A" w:rsidP="00A21B5C">
      <w:pPr>
        <w:autoSpaceDE w:val="0"/>
        <w:autoSpaceDN w:val="0"/>
        <w:adjustRightInd w:val="0"/>
        <w:contextualSpacing/>
        <w:rPr>
          <w:rFonts w:ascii="Arial" w:hAnsi="Arial" w:cs="Arial"/>
          <w:b/>
          <w:iCs/>
          <w:sz w:val="22"/>
          <w:szCs w:val="22"/>
          <w:lang w:val="es-CO"/>
        </w:rPr>
      </w:pPr>
    </w:p>
    <w:p w:rsidR="008C2E4A" w:rsidRPr="00A21B5C" w:rsidRDefault="008C2E4A" w:rsidP="00A21B5C">
      <w:pPr>
        <w:pStyle w:val="Textoindependiente2"/>
        <w:tabs>
          <w:tab w:val="left" w:pos="284"/>
        </w:tabs>
        <w:contextualSpacing/>
        <w:rPr>
          <w:rFonts w:cs="Arial"/>
          <w:b/>
          <w:sz w:val="22"/>
          <w:szCs w:val="22"/>
          <w:lang w:val="es-CO"/>
        </w:rPr>
      </w:pPr>
      <w:r w:rsidRPr="00A21B5C">
        <w:rPr>
          <w:rFonts w:cs="Arial"/>
          <w:b/>
          <w:sz w:val="22"/>
          <w:szCs w:val="22"/>
          <w:lang w:val="es-CO"/>
        </w:rPr>
        <w:t>Inconsistencia en la información presupuestal reportada en el Formulario Único Territorial.</w:t>
      </w:r>
    </w:p>
    <w:p w:rsidR="008C2E4A" w:rsidRPr="00A21B5C" w:rsidRDefault="008C2E4A" w:rsidP="00A21B5C">
      <w:pPr>
        <w:pStyle w:val="Textoindependiente2"/>
        <w:contextualSpacing/>
        <w:rPr>
          <w:rFonts w:cs="Arial"/>
          <w:sz w:val="22"/>
          <w:szCs w:val="22"/>
          <w:lang w:val="es-CO"/>
        </w:rPr>
      </w:pPr>
    </w:p>
    <w:p w:rsidR="008C2E4A" w:rsidRPr="00A21B5C" w:rsidRDefault="009808EB" w:rsidP="00A21B5C">
      <w:pPr>
        <w:pStyle w:val="Textoindependiente2"/>
        <w:contextualSpacing/>
        <w:rPr>
          <w:rFonts w:cs="Arial"/>
          <w:sz w:val="22"/>
          <w:szCs w:val="22"/>
          <w:lang w:val="es-CO"/>
        </w:rPr>
      </w:pPr>
      <w:r w:rsidRPr="00A21B5C">
        <w:rPr>
          <w:rFonts w:cs="Arial"/>
          <w:sz w:val="22"/>
          <w:szCs w:val="22"/>
          <w:lang w:val="es-CO"/>
        </w:rPr>
        <w:t>Sin perjuicio de</w:t>
      </w:r>
      <w:r w:rsidR="008C2E4A" w:rsidRPr="00A21B5C">
        <w:rPr>
          <w:rFonts w:cs="Arial"/>
          <w:sz w:val="22"/>
          <w:szCs w:val="22"/>
          <w:lang w:val="es-CO"/>
        </w:rPr>
        <w:t xml:space="preserve"> la situación de riesgo descrita en el ítem anterior, </w:t>
      </w:r>
      <w:r w:rsidR="007C4058" w:rsidRPr="00A21B5C">
        <w:rPr>
          <w:rFonts w:cs="Arial"/>
          <w:sz w:val="22"/>
          <w:szCs w:val="22"/>
          <w:lang w:val="es-CO"/>
        </w:rPr>
        <w:t xml:space="preserve">esta </w:t>
      </w:r>
      <w:r w:rsidR="008C2E4A" w:rsidRPr="00A21B5C">
        <w:rPr>
          <w:rFonts w:cs="Arial"/>
          <w:sz w:val="22"/>
          <w:szCs w:val="22"/>
          <w:lang w:val="es-CO"/>
        </w:rPr>
        <w:t>Dirección inspeccionó los reportes de información del Municipio de Dibulla – La Guajira respecto a la Asignación Especial para Resguardos Indígenas hallados en el Formulario Único Territorial para la vigencia 2016 a 2018, con el fin de verificar la fiabilidad de las cifras de ingresos y gastos informadas en las Categorías Resguardos_1 y Resguardos_2; en los períodos en los cuales se reportó información en la plataforma, contrastando dicho reporte con la información presupuestal aportada por la Entidad Territorial.</w:t>
      </w:r>
    </w:p>
    <w:p w:rsidR="008C2E4A" w:rsidRPr="00A21B5C" w:rsidRDefault="008C2E4A" w:rsidP="00A21B5C">
      <w:pPr>
        <w:pStyle w:val="Textoindependiente2"/>
        <w:contextualSpacing/>
        <w:rPr>
          <w:rFonts w:cs="Arial"/>
          <w:sz w:val="22"/>
          <w:szCs w:val="22"/>
          <w:lang w:val="es-CO"/>
        </w:rPr>
      </w:pPr>
    </w:p>
    <w:p w:rsidR="008C2E4A" w:rsidRPr="00A21B5C" w:rsidRDefault="008C2E4A" w:rsidP="00A21B5C">
      <w:pPr>
        <w:pStyle w:val="Textoindependiente2"/>
        <w:contextualSpacing/>
        <w:rPr>
          <w:rFonts w:cs="Arial"/>
          <w:sz w:val="22"/>
          <w:szCs w:val="22"/>
          <w:lang w:val="es-CO"/>
        </w:rPr>
      </w:pPr>
      <w:r w:rsidRPr="00A21B5C">
        <w:rPr>
          <w:rFonts w:cs="Arial"/>
          <w:sz w:val="22"/>
          <w:szCs w:val="22"/>
          <w:lang w:val="es-CO"/>
        </w:rPr>
        <w:t xml:space="preserve">Así, de la validación realizada se evidenció que para el primer semestre de las vigencias 2016 y 2018 en </w:t>
      </w:r>
      <w:r w:rsidR="007C4058" w:rsidRPr="00A21B5C">
        <w:rPr>
          <w:rFonts w:cs="Arial"/>
          <w:sz w:val="22"/>
          <w:szCs w:val="22"/>
          <w:lang w:val="es-CO"/>
        </w:rPr>
        <w:t xml:space="preserve">la Categoría </w:t>
      </w:r>
      <w:r w:rsidRPr="00A21B5C">
        <w:rPr>
          <w:rFonts w:cs="Arial"/>
          <w:sz w:val="22"/>
          <w:szCs w:val="22"/>
          <w:lang w:val="es-CO"/>
        </w:rPr>
        <w:t xml:space="preserve">Resguardos 2 de Gastos de Inversión con recursos AESGPRI, si bien se evidenció reporte, el archivo de </w:t>
      </w:r>
      <w:r w:rsidRPr="00A21B5C">
        <w:rPr>
          <w:rFonts w:cs="Arial"/>
          <w:i/>
          <w:iCs/>
          <w:sz w:val="22"/>
          <w:szCs w:val="22"/>
          <w:lang w:val="es-CO"/>
        </w:rPr>
        <w:t>Excel</w:t>
      </w:r>
      <w:r w:rsidRPr="00A21B5C">
        <w:rPr>
          <w:rFonts w:cs="Arial"/>
          <w:sz w:val="22"/>
          <w:szCs w:val="22"/>
          <w:lang w:val="es-CO"/>
        </w:rPr>
        <w:t xml:space="preserve"> cargado como reporte se encontraba sin información (en ceros). Por su parte</w:t>
      </w:r>
      <w:r w:rsidR="00243503" w:rsidRPr="00A21B5C">
        <w:rPr>
          <w:rFonts w:cs="Arial"/>
          <w:sz w:val="22"/>
          <w:szCs w:val="22"/>
          <w:lang w:val="es-CO"/>
        </w:rPr>
        <w:t>,</w:t>
      </w:r>
      <w:r w:rsidRPr="00A21B5C">
        <w:rPr>
          <w:rFonts w:cs="Arial"/>
          <w:sz w:val="22"/>
          <w:szCs w:val="22"/>
          <w:lang w:val="es-CO"/>
        </w:rPr>
        <w:t xml:space="preserve"> para el cierre de la vigencia 2018, se evidenciaron diferencias en el monto de los compromisos, las obligaciones, y los pagos reportados.</w:t>
      </w:r>
    </w:p>
    <w:p w:rsidR="008C2E4A" w:rsidRPr="00A21B5C" w:rsidRDefault="008C2E4A" w:rsidP="00A21B5C">
      <w:pPr>
        <w:pStyle w:val="Textoindependiente2"/>
        <w:contextualSpacing/>
        <w:rPr>
          <w:rFonts w:cs="Arial"/>
          <w:sz w:val="22"/>
          <w:szCs w:val="22"/>
          <w:lang w:val="es-CO"/>
        </w:rPr>
      </w:pPr>
    </w:p>
    <w:p w:rsidR="008C2E4A" w:rsidRPr="00A21B5C" w:rsidRDefault="00BD7315" w:rsidP="00A21B5C">
      <w:pPr>
        <w:pStyle w:val="Textoindependiente2"/>
        <w:contextualSpacing/>
        <w:rPr>
          <w:rFonts w:cs="Arial"/>
          <w:sz w:val="22"/>
          <w:szCs w:val="22"/>
          <w:lang w:val="es-CO"/>
        </w:rPr>
      </w:pPr>
      <w:r w:rsidRPr="00A21B5C">
        <w:rPr>
          <w:rFonts w:cs="Arial"/>
          <w:sz w:val="22"/>
          <w:szCs w:val="22"/>
          <w:lang w:val="es-CO"/>
        </w:rPr>
        <w:t>De esta manera,</w:t>
      </w:r>
      <w:r w:rsidR="008C2E4A" w:rsidRPr="00A21B5C">
        <w:rPr>
          <w:rFonts w:cs="Arial"/>
          <w:sz w:val="22"/>
          <w:szCs w:val="22"/>
          <w:lang w:val="es-CO"/>
        </w:rPr>
        <w:t xml:space="preserve"> en consideración de lo descrito anteriormente, </w:t>
      </w:r>
      <w:r w:rsidR="007C4058" w:rsidRPr="00A21B5C">
        <w:rPr>
          <w:rFonts w:cs="Arial"/>
          <w:sz w:val="22"/>
          <w:szCs w:val="22"/>
          <w:lang w:val="es-CO"/>
        </w:rPr>
        <w:t>se</w:t>
      </w:r>
      <w:r w:rsidR="008C2E4A" w:rsidRPr="00A21B5C">
        <w:rPr>
          <w:rFonts w:cs="Arial"/>
          <w:sz w:val="22"/>
          <w:szCs w:val="22"/>
          <w:lang w:val="es-CO"/>
        </w:rPr>
        <w:t xml:space="preserve"> encuentra que la información reportada en el FUT por el Municipio de Dibulla – La Guajira en lo relacionado a la ejecución de los recursos AESGPRI, es inconsistente frente a la información de las ejecuciones presupuestales adelantadas por la Entidad; afectando la calidad respecto de los datos consignados en el FUT y que sirven como fuente de información</w:t>
      </w:r>
      <w:r w:rsidR="00085D6F" w:rsidRPr="00A21B5C">
        <w:rPr>
          <w:rFonts w:cs="Arial"/>
          <w:sz w:val="22"/>
          <w:szCs w:val="22"/>
        </w:rPr>
        <w:t xml:space="preserve"> para las </w:t>
      </w:r>
      <w:r w:rsidR="00085D6F" w:rsidRPr="00A21B5C">
        <w:rPr>
          <w:rFonts w:cs="Arial"/>
          <w:sz w:val="22"/>
          <w:szCs w:val="22"/>
          <w:lang w:val="es-CO"/>
        </w:rPr>
        <w:t>entidades del Gobierno Nacional</w:t>
      </w:r>
      <w:r w:rsidR="008C2E4A" w:rsidRPr="00A21B5C">
        <w:rPr>
          <w:rFonts w:cs="Arial"/>
          <w:sz w:val="22"/>
          <w:szCs w:val="22"/>
          <w:lang w:val="es-CO"/>
        </w:rPr>
        <w:t xml:space="preserve">, como </w:t>
      </w:r>
      <w:r w:rsidR="00E07809" w:rsidRPr="00A21B5C">
        <w:rPr>
          <w:rFonts w:cs="Arial"/>
          <w:sz w:val="22"/>
          <w:szCs w:val="22"/>
          <w:lang w:val="es-CO"/>
        </w:rPr>
        <w:t xml:space="preserve">lo estipula </w:t>
      </w:r>
      <w:r w:rsidR="008C2E4A" w:rsidRPr="00A21B5C">
        <w:rPr>
          <w:rFonts w:cs="Arial"/>
          <w:sz w:val="22"/>
          <w:szCs w:val="22"/>
          <w:lang w:val="es-CO"/>
        </w:rPr>
        <w:t>el artículo 2.6.4.1 del Decreto 1068 de 2015.</w:t>
      </w:r>
    </w:p>
    <w:p w:rsidR="00561235" w:rsidRPr="00A21B5C" w:rsidRDefault="00561235" w:rsidP="00A21B5C">
      <w:pPr>
        <w:pStyle w:val="Textoindependiente2"/>
        <w:contextualSpacing/>
        <w:rPr>
          <w:rFonts w:cs="Arial"/>
          <w:sz w:val="22"/>
          <w:szCs w:val="22"/>
          <w:lang w:val="es-CO"/>
        </w:rPr>
      </w:pPr>
    </w:p>
    <w:p w:rsidR="00693AE4" w:rsidRPr="00A21B5C" w:rsidRDefault="00693AE4" w:rsidP="00A21B5C">
      <w:pPr>
        <w:contextualSpacing/>
        <w:jc w:val="both"/>
        <w:rPr>
          <w:rFonts w:ascii="Arial" w:hAnsi="Arial" w:cs="Arial"/>
          <w:b/>
          <w:sz w:val="22"/>
          <w:szCs w:val="22"/>
          <w:lang w:val="es-CO"/>
        </w:rPr>
      </w:pPr>
      <w:r w:rsidRPr="00A21B5C">
        <w:rPr>
          <w:rFonts w:ascii="Arial" w:hAnsi="Arial" w:cs="Arial"/>
          <w:b/>
          <w:sz w:val="22"/>
          <w:szCs w:val="22"/>
          <w:lang w:val="es-CO"/>
        </w:rPr>
        <w:t xml:space="preserve">Recomendación: </w:t>
      </w:r>
    </w:p>
    <w:p w:rsidR="00693AE4" w:rsidRPr="00A21B5C" w:rsidRDefault="00693AE4">
      <w:pPr>
        <w:pStyle w:val="Prrafodelista"/>
        <w:jc w:val="both"/>
        <w:rPr>
          <w:rFonts w:ascii="Arial" w:hAnsi="Arial" w:cs="Arial"/>
          <w:b/>
          <w:sz w:val="22"/>
          <w:szCs w:val="22"/>
          <w:lang w:val="es-CO"/>
        </w:rPr>
      </w:pPr>
    </w:p>
    <w:p w:rsidR="00693AE4" w:rsidRPr="00A21B5C" w:rsidRDefault="00D065EF" w:rsidP="00A21B5C">
      <w:pPr>
        <w:contextualSpacing/>
        <w:jc w:val="both"/>
        <w:rPr>
          <w:rFonts w:ascii="Arial" w:hAnsi="Arial" w:cs="Arial"/>
          <w:bCs/>
          <w:sz w:val="22"/>
          <w:szCs w:val="22"/>
          <w:lang w:val="es-CO"/>
        </w:rPr>
      </w:pPr>
      <w:r w:rsidRPr="00A21B5C">
        <w:rPr>
          <w:rFonts w:ascii="Arial" w:hAnsi="Arial" w:cs="Arial"/>
          <w:bCs/>
          <w:sz w:val="22"/>
          <w:szCs w:val="22"/>
          <w:lang w:val="es-CO"/>
        </w:rPr>
        <w:t xml:space="preserve">Con el </w:t>
      </w:r>
      <w:r w:rsidR="002C1A2C" w:rsidRPr="00A21B5C">
        <w:rPr>
          <w:rFonts w:ascii="Arial" w:hAnsi="Arial" w:cs="Arial"/>
          <w:bCs/>
          <w:sz w:val="22"/>
          <w:szCs w:val="22"/>
          <w:lang w:val="es-CO"/>
        </w:rPr>
        <w:t xml:space="preserve">fin de </w:t>
      </w:r>
      <w:r w:rsidR="00CD63CC" w:rsidRPr="00A21B5C">
        <w:rPr>
          <w:rFonts w:ascii="Arial" w:hAnsi="Arial" w:cs="Arial"/>
          <w:bCs/>
          <w:sz w:val="22"/>
          <w:szCs w:val="22"/>
          <w:lang w:val="es-CO"/>
        </w:rPr>
        <w:t>superar</w:t>
      </w:r>
      <w:r w:rsidR="002C1A2C" w:rsidRPr="00A21B5C">
        <w:rPr>
          <w:rFonts w:ascii="Arial" w:hAnsi="Arial" w:cs="Arial"/>
          <w:bCs/>
          <w:sz w:val="22"/>
          <w:szCs w:val="22"/>
          <w:lang w:val="es-CO"/>
        </w:rPr>
        <w:t xml:space="preserve"> esta situación de riesgo identificada y en pro</w:t>
      </w:r>
      <w:r w:rsidR="00B2272F" w:rsidRPr="00A21B5C">
        <w:rPr>
          <w:rFonts w:ascii="Arial" w:hAnsi="Arial" w:cs="Arial"/>
          <w:sz w:val="22"/>
          <w:szCs w:val="22"/>
        </w:rPr>
        <w:t xml:space="preserve"> de </w:t>
      </w:r>
      <w:r w:rsidR="00B2272F" w:rsidRPr="00A21B5C">
        <w:rPr>
          <w:rFonts w:ascii="Arial" w:hAnsi="Arial" w:cs="Arial"/>
          <w:bCs/>
          <w:sz w:val="22"/>
          <w:szCs w:val="22"/>
          <w:lang w:val="es-CO"/>
        </w:rPr>
        <w:t>generar buenas prácticas de control sobre el proceso de cargue de la información presupuestal al FUT</w:t>
      </w:r>
      <w:r w:rsidR="005343FA" w:rsidRPr="00A21B5C">
        <w:rPr>
          <w:rFonts w:ascii="Arial" w:hAnsi="Arial" w:cs="Arial"/>
          <w:bCs/>
          <w:sz w:val="22"/>
          <w:szCs w:val="22"/>
          <w:lang w:val="es-CO"/>
        </w:rPr>
        <w:t>,</w:t>
      </w:r>
      <w:r w:rsidR="002C1A2C" w:rsidRPr="00A21B5C">
        <w:rPr>
          <w:rFonts w:ascii="Arial" w:hAnsi="Arial" w:cs="Arial"/>
          <w:bCs/>
          <w:sz w:val="22"/>
          <w:szCs w:val="22"/>
          <w:lang w:val="es-CO"/>
        </w:rPr>
        <w:t xml:space="preserve"> </w:t>
      </w:r>
      <w:r w:rsidRPr="00A21B5C">
        <w:rPr>
          <w:rFonts w:ascii="Arial" w:hAnsi="Arial" w:cs="Arial"/>
          <w:bCs/>
          <w:sz w:val="22"/>
          <w:szCs w:val="22"/>
          <w:lang w:val="es-CO"/>
        </w:rPr>
        <w:t>de</w:t>
      </w:r>
      <w:r w:rsidR="005343FA" w:rsidRPr="00A21B5C">
        <w:rPr>
          <w:rFonts w:ascii="Arial" w:hAnsi="Arial" w:cs="Arial"/>
          <w:bCs/>
          <w:sz w:val="22"/>
          <w:szCs w:val="22"/>
          <w:lang w:val="es-CO"/>
        </w:rPr>
        <w:t xml:space="preserve"> modo</w:t>
      </w:r>
      <w:r w:rsidRPr="00A21B5C">
        <w:rPr>
          <w:rFonts w:ascii="Arial" w:hAnsi="Arial" w:cs="Arial"/>
          <w:bCs/>
          <w:sz w:val="22"/>
          <w:szCs w:val="22"/>
          <w:lang w:val="es-CO"/>
        </w:rPr>
        <w:t xml:space="preserve"> que la Entidad Territorial </w:t>
      </w:r>
      <w:r w:rsidR="00E0496B" w:rsidRPr="00A21B5C">
        <w:rPr>
          <w:rFonts w:ascii="Arial" w:hAnsi="Arial" w:cs="Arial"/>
          <w:bCs/>
          <w:sz w:val="22"/>
          <w:szCs w:val="22"/>
          <w:lang w:val="es-CO"/>
        </w:rPr>
        <w:t>reporte</w:t>
      </w:r>
      <w:r w:rsidRPr="00A21B5C">
        <w:rPr>
          <w:rFonts w:ascii="Arial" w:hAnsi="Arial" w:cs="Arial"/>
          <w:bCs/>
          <w:sz w:val="22"/>
          <w:szCs w:val="22"/>
          <w:lang w:val="es-CO"/>
        </w:rPr>
        <w:t xml:space="preserve"> información presupuestal oportuna y de calidad</w:t>
      </w:r>
      <w:r w:rsidR="002C1A2C" w:rsidRPr="00A21B5C">
        <w:rPr>
          <w:rFonts w:ascii="Arial" w:hAnsi="Arial" w:cs="Arial"/>
          <w:bCs/>
          <w:sz w:val="22"/>
          <w:szCs w:val="22"/>
          <w:lang w:val="es-CO"/>
        </w:rPr>
        <w:t>, se recomienda al Municipio d</w:t>
      </w:r>
      <w:r w:rsidR="00693AE4" w:rsidRPr="00A21B5C">
        <w:rPr>
          <w:rFonts w:ascii="Arial" w:hAnsi="Arial" w:cs="Arial"/>
          <w:bCs/>
          <w:sz w:val="22"/>
          <w:szCs w:val="22"/>
          <w:lang w:val="es-CO"/>
        </w:rPr>
        <w:t xml:space="preserve">iseñar </w:t>
      </w:r>
      <w:r w:rsidR="002C1A2C" w:rsidRPr="00A21B5C">
        <w:rPr>
          <w:rFonts w:ascii="Arial" w:hAnsi="Arial" w:cs="Arial"/>
          <w:bCs/>
          <w:sz w:val="22"/>
          <w:szCs w:val="22"/>
          <w:lang w:val="es-CO"/>
        </w:rPr>
        <w:t xml:space="preserve">e implementar un protocolo de </w:t>
      </w:r>
      <w:r w:rsidR="00693AE4" w:rsidRPr="00A21B5C">
        <w:rPr>
          <w:rFonts w:ascii="Arial" w:hAnsi="Arial" w:cs="Arial"/>
          <w:bCs/>
          <w:sz w:val="22"/>
          <w:szCs w:val="22"/>
          <w:lang w:val="es-CO"/>
        </w:rPr>
        <w:t>reporte de la información presupuestal en el Formulario Único Territorial – FUT, caracterizando el proceso, la periodicidad y el responsable</w:t>
      </w:r>
      <w:r w:rsidR="004514CD" w:rsidRPr="00A21B5C">
        <w:rPr>
          <w:rFonts w:ascii="Arial" w:hAnsi="Arial" w:cs="Arial"/>
          <w:bCs/>
          <w:sz w:val="22"/>
          <w:szCs w:val="22"/>
          <w:lang w:val="es-CO"/>
        </w:rPr>
        <w:t xml:space="preserve"> del mismo</w:t>
      </w:r>
      <w:r w:rsidR="00C24D55" w:rsidRPr="00A21B5C">
        <w:rPr>
          <w:rFonts w:ascii="Arial" w:hAnsi="Arial" w:cs="Arial"/>
          <w:bCs/>
          <w:sz w:val="22"/>
          <w:szCs w:val="22"/>
          <w:lang w:val="es-CO"/>
        </w:rPr>
        <w:t>, y efectuando los procedimientos de</w:t>
      </w:r>
      <w:r w:rsidR="00693AE4" w:rsidRPr="00A21B5C">
        <w:rPr>
          <w:rFonts w:ascii="Arial" w:hAnsi="Arial" w:cs="Arial"/>
          <w:bCs/>
          <w:iCs/>
          <w:sz w:val="22"/>
          <w:szCs w:val="22"/>
          <w:lang w:val="es-CO"/>
        </w:rPr>
        <w:t xml:space="preserve"> divulgación, socialización y capacitación</w:t>
      </w:r>
      <w:r w:rsidR="0072749D" w:rsidRPr="00A21B5C">
        <w:rPr>
          <w:rFonts w:ascii="Arial" w:hAnsi="Arial" w:cs="Arial"/>
          <w:bCs/>
          <w:iCs/>
          <w:sz w:val="22"/>
          <w:szCs w:val="22"/>
          <w:lang w:val="es-CO"/>
        </w:rPr>
        <w:t xml:space="preserve"> a los que haya lugar con los miembros de la Administración Municipal</w:t>
      </w:r>
      <w:r w:rsidR="00C24D55" w:rsidRPr="00A21B5C">
        <w:rPr>
          <w:rFonts w:ascii="Arial" w:hAnsi="Arial" w:cs="Arial"/>
          <w:bCs/>
          <w:iCs/>
          <w:sz w:val="22"/>
          <w:szCs w:val="22"/>
          <w:lang w:val="es-CO"/>
        </w:rPr>
        <w:t>. Para ello</w:t>
      </w:r>
      <w:r w:rsidR="00C74344" w:rsidRPr="00A21B5C">
        <w:rPr>
          <w:rFonts w:ascii="Arial" w:hAnsi="Arial" w:cs="Arial"/>
          <w:bCs/>
          <w:iCs/>
          <w:sz w:val="22"/>
          <w:szCs w:val="22"/>
          <w:lang w:val="es-CO"/>
        </w:rPr>
        <w:t>, s</w:t>
      </w:r>
      <w:r w:rsidR="00C74344" w:rsidRPr="00A21B5C">
        <w:rPr>
          <w:rFonts w:ascii="Arial" w:hAnsi="Arial" w:cs="Arial"/>
          <w:bCs/>
          <w:sz w:val="22"/>
          <w:szCs w:val="22"/>
          <w:lang w:val="es-CO"/>
        </w:rPr>
        <w:t xml:space="preserve">e comparte </w:t>
      </w:r>
      <w:r w:rsidR="000D0F9F" w:rsidRPr="00A21B5C">
        <w:rPr>
          <w:rFonts w:ascii="Arial" w:hAnsi="Arial" w:cs="Arial"/>
          <w:bCs/>
          <w:sz w:val="22"/>
          <w:szCs w:val="22"/>
          <w:lang w:val="es-CO"/>
        </w:rPr>
        <w:t>el siguiente</w:t>
      </w:r>
      <w:r w:rsidR="00C74344" w:rsidRPr="00A21B5C">
        <w:rPr>
          <w:rFonts w:ascii="Arial" w:hAnsi="Arial" w:cs="Arial"/>
          <w:bCs/>
          <w:sz w:val="22"/>
          <w:szCs w:val="22"/>
          <w:lang w:val="es-CO"/>
        </w:rPr>
        <w:t xml:space="preserve"> formato a manera de ejemplo:</w:t>
      </w:r>
    </w:p>
    <w:p w:rsidR="00C24D55" w:rsidRPr="00A21B5C" w:rsidRDefault="00C24D55" w:rsidP="00A21B5C">
      <w:pPr>
        <w:contextualSpacing/>
        <w:jc w:val="both"/>
        <w:rPr>
          <w:rFonts w:ascii="Arial" w:hAnsi="Arial" w:cs="Arial"/>
          <w:bCs/>
          <w:iCs/>
          <w:sz w:val="22"/>
          <w:szCs w:val="22"/>
          <w:lang w:val="es-CO"/>
        </w:rPr>
      </w:pPr>
    </w:p>
    <w:tbl>
      <w:tblPr>
        <w:tblStyle w:val="Tablaconcuadrcula"/>
        <w:tblW w:w="0" w:type="auto"/>
        <w:tblLook w:val="04A0" w:firstRow="1" w:lastRow="0" w:firstColumn="1" w:lastColumn="0" w:noHBand="0" w:noVBand="1"/>
      </w:tblPr>
      <w:tblGrid>
        <w:gridCol w:w="8828"/>
      </w:tblGrid>
      <w:tr w:rsidR="00C74344" w:rsidRPr="00A21B5C" w:rsidTr="00C74344">
        <w:tc>
          <w:tcPr>
            <w:tcW w:w="8828" w:type="dxa"/>
          </w:tcPr>
          <w:p w:rsidR="004A2763" w:rsidRPr="00A21B5C" w:rsidRDefault="004A2763" w:rsidP="00A21B5C">
            <w:pPr>
              <w:spacing w:before="120"/>
              <w:contextualSpacing/>
              <w:jc w:val="center"/>
              <w:rPr>
                <w:rFonts w:ascii="Arial" w:hAnsi="Arial" w:cs="Arial"/>
                <w:b/>
                <w:bCs/>
                <w:sz w:val="18"/>
                <w:szCs w:val="20"/>
              </w:rPr>
            </w:pPr>
            <w:r w:rsidRPr="00A21B5C">
              <w:rPr>
                <w:rFonts w:ascii="Arial" w:hAnsi="Arial" w:cs="Arial"/>
                <w:b/>
                <w:bCs/>
                <w:sz w:val="18"/>
                <w:szCs w:val="20"/>
              </w:rPr>
              <w:t>“</w:t>
            </w:r>
            <w:r w:rsidR="000D0F9F" w:rsidRPr="00A21B5C">
              <w:rPr>
                <w:rFonts w:ascii="Arial" w:hAnsi="Arial" w:cs="Arial"/>
                <w:b/>
                <w:bCs/>
                <w:sz w:val="18"/>
                <w:szCs w:val="20"/>
              </w:rPr>
              <w:t>Protocolo de r</w:t>
            </w:r>
            <w:r w:rsidRPr="00A21B5C">
              <w:rPr>
                <w:rFonts w:ascii="Arial" w:hAnsi="Arial" w:cs="Arial"/>
                <w:b/>
                <w:bCs/>
                <w:sz w:val="18"/>
                <w:szCs w:val="20"/>
              </w:rPr>
              <w:t>eporte de información en el FUT y validación del cargue”</w:t>
            </w:r>
          </w:p>
          <w:p w:rsidR="000D0F9F" w:rsidRPr="00A21B5C" w:rsidRDefault="000D0F9F" w:rsidP="00A21B5C">
            <w:pPr>
              <w:contextualSpacing/>
              <w:rPr>
                <w:rFonts w:ascii="Arial" w:hAnsi="Arial" w:cs="Arial"/>
                <w:b/>
                <w:sz w:val="18"/>
                <w:szCs w:val="20"/>
              </w:rPr>
            </w:pPr>
          </w:p>
          <w:p w:rsidR="004A2763" w:rsidRPr="00A21B5C" w:rsidRDefault="004A2763" w:rsidP="00A21B5C">
            <w:pPr>
              <w:contextualSpacing/>
              <w:rPr>
                <w:rFonts w:ascii="Arial" w:hAnsi="Arial" w:cs="Arial"/>
                <w:sz w:val="18"/>
                <w:szCs w:val="20"/>
              </w:rPr>
            </w:pPr>
            <w:r w:rsidRPr="00A21B5C">
              <w:rPr>
                <w:rFonts w:ascii="Arial" w:hAnsi="Arial" w:cs="Arial"/>
                <w:b/>
                <w:sz w:val="18"/>
                <w:szCs w:val="20"/>
              </w:rPr>
              <w:t>Objetivo:</w:t>
            </w:r>
            <w:r w:rsidRPr="00A21B5C">
              <w:rPr>
                <w:rFonts w:ascii="Arial" w:hAnsi="Arial" w:cs="Arial"/>
                <w:sz w:val="18"/>
                <w:szCs w:val="20"/>
              </w:rPr>
              <w:t xml:space="preserve"> “…”</w:t>
            </w:r>
          </w:p>
          <w:p w:rsidR="004A2763" w:rsidRPr="00A21B5C" w:rsidRDefault="004A2763" w:rsidP="00A21B5C">
            <w:pPr>
              <w:contextualSpacing/>
              <w:jc w:val="both"/>
              <w:rPr>
                <w:rFonts w:ascii="Arial" w:hAnsi="Arial" w:cs="Arial"/>
                <w:sz w:val="18"/>
                <w:szCs w:val="20"/>
              </w:rPr>
            </w:pPr>
            <w:r w:rsidRPr="00A21B5C">
              <w:rPr>
                <w:rFonts w:ascii="Arial" w:hAnsi="Arial" w:cs="Arial"/>
                <w:b/>
                <w:sz w:val="18"/>
                <w:szCs w:val="20"/>
              </w:rPr>
              <w:t>Periodicidad:</w:t>
            </w:r>
            <w:r w:rsidRPr="00A21B5C">
              <w:rPr>
                <w:rFonts w:ascii="Arial" w:hAnsi="Arial" w:cs="Arial"/>
                <w:sz w:val="18"/>
                <w:szCs w:val="20"/>
              </w:rPr>
              <w:t xml:space="preserve"> Cada cuanto se realizará este proceso (diario, semanal, mensual…). </w:t>
            </w:r>
          </w:p>
          <w:p w:rsidR="004A2763" w:rsidRPr="00A21B5C" w:rsidRDefault="004A2763" w:rsidP="00A21B5C">
            <w:pPr>
              <w:contextualSpacing/>
              <w:jc w:val="both"/>
              <w:rPr>
                <w:rFonts w:ascii="Arial" w:hAnsi="Arial" w:cs="Arial"/>
                <w:sz w:val="18"/>
                <w:szCs w:val="20"/>
              </w:rPr>
            </w:pPr>
            <w:r w:rsidRPr="00A21B5C">
              <w:rPr>
                <w:rFonts w:ascii="Arial" w:hAnsi="Arial" w:cs="Arial"/>
                <w:b/>
                <w:sz w:val="18"/>
                <w:szCs w:val="20"/>
              </w:rPr>
              <w:t>Responsable:</w:t>
            </w:r>
            <w:r w:rsidRPr="00A21B5C">
              <w:rPr>
                <w:rFonts w:ascii="Arial" w:hAnsi="Arial" w:cs="Arial"/>
                <w:sz w:val="18"/>
                <w:szCs w:val="20"/>
              </w:rPr>
              <w:t xml:space="preserve"> El funcionario responsable de realizar el proceso. Es necesario que sea diferente de quien prepara la información presupuestal.</w:t>
            </w:r>
          </w:p>
          <w:p w:rsidR="004A2763" w:rsidRPr="00A21B5C" w:rsidRDefault="004A2763" w:rsidP="00A21B5C">
            <w:pPr>
              <w:contextualSpacing/>
              <w:jc w:val="both"/>
              <w:rPr>
                <w:rFonts w:ascii="Arial" w:hAnsi="Arial" w:cs="Arial"/>
                <w:sz w:val="18"/>
                <w:szCs w:val="20"/>
              </w:rPr>
            </w:pPr>
          </w:p>
          <w:p w:rsidR="004A2763" w:rsidRPr="00A21B5C" w:rsidRDefault="004A2763" w:rsidP="00A21B5C">
            <w:pPr>
              <w:contextualSpacing/>
              <w:jc w:val="both"/>
              <w:rPr>
                <w:rFonts w:ascii="Arial" w:hAnsi="Arial" w:cs="Arial"/>
                <w:sz w:val="18"/>
                <w:szCs w:val="20"/>
              </w:rPr>
            </w:pPr>
            <w:r w:rsidRPr="00A21B5C">
              <w:rPr>
                <w:rFonts w:ascii="Arial" w:hAnsi="Arial" w:cs="Arial"/>
                <w:b/>
                <w:sz w:val="18"/>
                <w:szCs w:val="20"/>
              </w:rPr>
              <w:t xml:space="preserve">Fuentes: </w:t>
            </w:r>
            <w:r w:rsidRPr="00A21B5C">
              <w:rPr>
                <w:rFonts w:ascii="Arial" w:hAnsi="Arial" w:cs="Arial"/>
                <w:i/>
                <w:iCs/>
                <w:sz w:val="18"/>
                <w:szCs w:val="20"/>
              </w:rPr>
              <w:t>Como ejemplo:</w:t>
            </w:r>
          </w:p>
          <w:p w:rsidR="004A2763" w:rsidRPr="00A21B5C" w:rsidRDefault="004A2763">
            <w:pPr>
              <w:pStyle w:val="Prrafodelista"/>
              <w:numPr>
                <w:ilvl w:val="0"/>
                <w:numId w:val="38"/>
              </w:numPr>
              <w:jc w:val="both"/>
              <w:rPr>
                <w:rFonts w:ascii="Arial" w:hAnsi="Arial" w:cs="Arial"/>
                <w:sz w:val="18"/>
                <w:szCs w:val="20"/>
              </w:rPr>
            </w:pPr>
            <w:r w:rsidRPr="00A21B5C">
              <w:rPr>
                <w:rFonts w:ascii="Arial" w:hAnsi="Arial" w:cs="Arial"/>
                <w:sz w:val="18"/>
                <w:szCs w:val="20"/>
              </w:rPr>
              <w:t>Ejecuciones presupuestales.</w:t>
            </w:r>
          </w:p>
          <w:p w:rsidR="004A2763" w:rsidRPr="00A21B5C" w:rsidRDefault="004A2763">
            <w:pPr>
              <w:pStyle w:val="Prrafodelista"/>
              <w:numPr>
                <w:ilvl w:val="0"/>
                <w:numId w:val="38"/>
              </w:numPr>
              <w:jc w:val="both"/>
              <w:rPr>
                <w:rFonts w:ascii="Arial" w:hAnsi="Arial" w:cs="Arial"/>
                <w:sz w:val="18"/>
                <w:szCs w:val="20"/>
              </w:rPr>
            </w:pPr>
            <w:r w:rsidRPr="00A21B5C">
              <w:rPr>
                <w:rFonts w:ascii="Arial" w:hAnsi="Arial" w:cs="Arial"/>
                <w:sz w:val="18"/>
                <w:szCs w:val="20"/>
              </w:rPr>
              <w:t>Conciliaciones de la información presupuestal.</w:t>
            </w:r>
          </w:p>
          <w:p w:rsidR="004A2763" w:rsidRPr="00A21B5C" w:rsidRDefault="004A2763">
            <w:pPr>
              <w:pStyle w:val="Prrafodelista"/>
              <w:numPr>
                <w:ilvl w:val="0"/>
                <w:numId w:val="38"/>
              </w:numPr>
              <w:jc w:val="both"/>
              <w:rPr>
                <w:rFonts w:ascii="Arial" w:hAnsi="Arial" w:cs="Arial"/>
                <w:sz w:val="18"/>
                <w:szCs w:val="20"/>
              </w:rPr>
            </w:pPr>
            <w:r w:rsidRPr="00A21B5C">
              <w:rPr>
                <w:rFonts w:ascii="Arial" w:hAnsi="Arial" w:cs="Arial"/>
                <w:sz w:val="18"/>
                <w:szCs w:val="20"/>
              </w:rPr>
              <w:t>Documentos de distribución.</w:t>
            </w:r>
          </w:p>
          <w:p w:rsidR="004A2763" w:rsidRPr="00A21B5C" w:rsidRDefault="004A2763">
            <w:pPr>
              <w:pStyle w:val="Prrafodelista"/>
              <w:numPr>
                <w:ilvl w:val="0"/>
                <w:numId w:val="38"/>
              </w:numPr>
              <w:jc w:val="both"/>
              <w:rPr>
                <w:rFonts w:ascii="Arial" w:hAnsi="Arial" w:cs="Arial"/>
                <w:sz w:val="18"/>
                <w:szCs w:val="20"/>
              </w:rPr>
            </w:pPr>
            <w:r w:rsidRPr="00A21B5C">
              <w:rPr>
                <w:rFonts w:ascii="Arial" w:hAnsi="Arial" w:cs="Arial"/>
                <w:sz w:val="18"/>
                <w:szCs w:val="20"/>
              </w:rPr>
              <w:t>…</w:t>
            </w:r>
          </w:p>
          <w:p w:rsidR="004A2763" w:rsidRPr="00A21B5C" w:rsidRDefault="004A2763">
            <w:pPr>
              <w:pStyle w:val="Prrafodelista"/>
              <w:jc w:val="both"/>
              <w:rPr>
                <w:rFonts w:ascii="Arial" w:hAnsi="Arial" w:cs="Arial"/>
                <w:sz w:val="18"/>
                <w:szCs w:val="20"/>
              </w:rPr>
            </w:pPr>
          </w:p>
          <w:p w:rsidR="004A2763" w:rsidRPr="00A21B5C" w:rsidRDefault="004A2763" w:rsidP="00A21B5C">
            <w:pPr>
              <w:contextualSpacing/>
              <w:jc w:val="both"/>
              <w:rPr>
                <w:rFonts w:ascii="Arial" w:hAnsi="Arial" w:cs="Arial"/>
                <w:i/>
                <w:iCs/>
                <w:sz w:val="18"/>
                <w:szCs w:val="20"/>
              </w:rPr>
            </w:pPr>
            <w:r w:rsidRPr="00A21B5C">
              <w:rPr>
                <w:rFonts w:ascii="Arial" w:hAnsi="Arial" w:cs="Arial"/>
                <w:b/>
                <w:sz w:val="18"/>
                <w:szCs w:val="20"/>
              </w:rPr>
              <w:t xml:space="preserve">Descripción: </w:t>
            </w:r>
            <w:r w:rsidRPr="00A21B5C">
              <w:rPr>
                <w:rFonts w:ascii="Arial" w:hAnsi="Arial" w:cs="Arial"/>
                <w:i/>
                <w:iCs/>
                <w:sz w:val="18"/>
                <w:szCs w:val="20"/>
              </w:rPr>
              <w:t>Como ejemplo:</w:t>
            </w:r>
          </w:p>
          <w:p w:rsidR="004A2763" w:rsidRPr="00A21B5C" w:rsidRDefault="004A2763" w:rsidP="00A21B5C">
            <w:pPr>
              <w:contextualSpacing/>
              <w:jc w:val="both"/>
              <w:rPr>
                <w:rFonts w:ascii="Arial" w:hAnsi="Arial" w:cs="Arial"/>
                <w:i/>
                <w:iCs/>
                <w:sz w:val="18"/>
                <w:szCs w:val="20"/>
              </w:rPr>
            </w:pPr>
          </w:p>
          <w:p w:rsidR="004A2763" w:rsidRPr="00A21B5C" w:rsidRDefault="004A2763" w:rsidP="00A21B5C">
            <w:pPr>
              <w:contextualSpacing/>
              <w:jc w:val="both"/>
              <w:rPr>
                <w:rFonts w:ascii="Arial" w:hAnsi="Arial" w:cs="Arial"/>
                <w:i/>
                <w:iCs/>
                <w:sz w:val="18"/>
                <w:szCs w:val="20"/>
                <w:u w:val="single"/>
              </w:rPr>
            </w:pPr>
            <w:r w:rsidRPr="00A21B5C">
              <w:rPr>
                <w:rFonts w:ascii="Arial" w:hAnsi="Arial" w:cs="Arial"/>
                <w:i/>
                <w:iCs/>
                <w:sz w:val="18"/>
                <w:szCs w:val="20"/>
                <w:u w:val="single"/>
              </w:rPr>
              <w:t>Cargue:</w:t>
            </w:r>
          </w:p>
          <w:p w:rsidR="004A2763" w:rsidRPr="00A21B5C" w:rsidRDefault="004A2763" w:rsidP="00A21B5C">
            <w:pPr>
              <w:ind w:left="708"/>
              <w:contextualSpacing/>
              <w:jc w:val="both"/>
              <w:rPr>
                <w:rFonts w:ascii="Arial" w:hAnsi="Arial" w:cs="Arial"/>
                <w:i/>
                <w:iCs/>
                <w:sz w:val="18"/>
                <w:szCs w:val="20"/>
              </w:rPr>
            </w:pPr>
            <w:r w:rsidRPr="00A21B5C">
              <w:rPr>
                <w:rFonts w:ascii="Arial" w:hAnsi="Arial" w:cs="Arial"/>
                <w:i/>
                <w:iCs/>
                <w:sz w:val="18"/>
                <w:szCs w:val="20"/>
              </w:rPr>
              <w:t>Paso 1: Se toman las ejecuciones presupuestales y se verifica la última conciliación de la información…</w:t>
            </w:r>
          </w:p>
          <w:p w:rsidR="004A2763" w:rsidRPr="00A21B5C" w:rsidRDefault="004A2763" w:rsidP="00A21B5C">
            <w:pPr>
              <w:ind w:left="708"/>
              <w:contextualSpacing/>
              <w:jc w:val="both"/>
              <w:rPr>
                <w:rFonts w:ascii="Arial" w:hAnsi="Arial" w:cs="Arial"/>
                <w:i/>
                <w:iCs/>
                <w:sz w:val="18"/>
                <w:szCs w:val="20"/>
              </w:rPr>
            </w:pPr>
            <w:r w:rsidRPr="00A21B5C">
              <w:rPr>
                <w:rFonts w:ascii="Arial" w:hAnsi="Arial" w:cs="Arial"/>
                <w:i/>
                <w:iCs/>
                <w:sz w:val="18"/>
                <w:szCs w:val="20"/>
              </w:rPr>
              <w:t>Paso 2: Se ingresa a la plataforma…</w:t>
            </w:r>
          </w:p>
          <w:p w:rsidR="004A2763" w:rsidRPr="00A21B5C" w:rsidRDefault="004A2763" w:rsidP="00A21B5C">
            <w:pPr>
              <w:ind w:left="708"/>
              <w:contextualSpacing/>
              <w:jc w:val="both"/>
              <w:rPr>
                <w:rFonts w:ascii="Arial" w:hAnsi="Arial" w:cs="Arial"/>
                <w:i/>
                <w:iCs/>
                <w:sz w:val="18"/>
                <w:szCs w:val="20"/>
              </w:rPr>
            </w:pPr>
            <w:r w:rsidRPr="00A21B5C">
              <w:rPr>
                <w:rFonts w:ascii="Arial" w:hAnsi="Arial" w:cs="Arial"/>
                <w:i/>
                <w:iCs/>
                <w:sz w:val="18"/>
                <w:szCs w:val="20"/>
              </w:rPr>
              <w:t>Paso 3: …</w:t>
            </w:r>
          </w:p>
          <w:p w:rsidR="004A2763" w:rsidRPr="00A21B5C" w:rsidRDefault="004A2763" w:rsidP="00A21B5C">
            <w:pPr>
              <w:contextualSpacing/>
              <w:jc w:val="both"/>
              <w:rPr>
                <w:rFonts w:ascii="Arial" w:hAnsi="Arial" w:cs="Arial"/>
                <w:i/>
                <w:iCs/>
                <w:sz w:val="18"/>
                <w:szCs w:val="20"/>
                <w:u w:val="single"/>
              </w:rPr>
            </w:pPr>
          </w:p>
          <w:p w:rsidR="004A2763" w:rsidRPr="00A21B5C" w:rsidRDefault="004A2763" w:rsidP="00A21B5C">
            <w:pPr>
              <w:contextualSpacing/>
              <w:jc w:val="both"/>
              <w:rPr>
                <w:rFonts w:ascii="Arial" w:hAnsi="Arial" w:cs="Arial"/>
                <w:i/>
                <w:iCs/>
                <w:sz w:val="18"/>
                <w:szCs w:val="20"/>
                <w:u w:val="single"/>
              </w:rPr>
            </w:pPr>
            <w:r w:rsidRPr="00A21B5C">
              <w:rPr>
                <w:rFonts w:ascii="Arial" w:hAnsi="Arial" w:cs="Arial"/>
                <w:i/>
                <w:iCs/>
                <w:sz w:val="18"/>
                <w:szCs w:val="20"/>
                <w:u w:val="single"/>
              </w:rPr>
              <w:t>Validación del cargue: (Preferible que sea realizado por una persona distinta a quien realizó el cargue)</w:t>
            </w:r>
          </w:p>
          <w:p w:rsidR="004A2763" w:rsidRPr="00A21B5C" w:rsidRDefault="004A2763" w:rsidP="00A21B5C">
            <w:pPr>
              <w:ind w:left="708"/>
              <w:contextualSpacing/>
              <w:jc w:val="both"/>
              <w:rPr>
                <w:rFonts w:ascii="Arial" w:hAnsi="Arial" w:cs="Arial"/>
                <w:i/>
                <w:iCs/>
                <w:sz w:val="18"/>
                <w:szCs w:val="20"/>
              </w:rPr>
            </w:pPr>
            <w:r w:rsidRPr="00A21B5C">
              <w:rPr>
                <w:rFonts w:ascii="Arial" w:hAnsi="Arial" w:cs="Arial"/>
                <w:i/>
                <w:iCs/>
                <w:sz w:val="18"/>
                <w:szCs w:val="20"/>
              </w:rPr>
              <w:t>Paso 1. Ingresa a las consultas de la plataforma CHIP, y se descargan los archivos cargados en las categorías Resguardos 1 y Resguardos 2 por el Departamento del Guainía.</w:t>
            </w:r>
          </w:p>
          <w:p w:rsidR="004A2763" w:rsidRPr="00A21B5C" w:rsidRDefault="004A2763" w:rsidP="00A21B5C">
            <w:pPr>
              <w:ind w:left="708"/>
              <w:contextualSpacing/>
              <w:jc w:val="both"/>
              <w:rPr>
                <w:rFonts w:ascii="Arial" w:hAnsi="Arial" w:cs="Arial"/>
                <w:i/>
                <w:iCs/>
                <w:sz w:val="18"/>
                <w:szCs w:val="20"/>
              </w:rPr>
            </w:pPr>
            <w:r w:rsidRPr="00A21B5C">
              <w:rPr>
                <w:rFonts w:ascii="Arial" w:hAnsi="Arial" w:cs="Arial"/>
                <w:i/>
                <w:iCs/>
                <w:sz w:val="18"/>
                <w:szCs w:val="20"/>
              </w:rPr>
              <w:t>Paso 2. Se contrasta la información de los archivos con las ejecuciones presupuestales conciliadas.…</w:t>
            </w:r>
          </w:p>
          <w:p w:rsidR="004A2763" w:rsidRPr="00A21B5C" w:rsidRDefault="004A2763" w:rsidP="00A21B5C">
            <w:pPr>
              <w:ind w:left="708"/>
              <w:contextualSpacing/>
              <w:jc w:val="both"/>
              <w:rPr>
                <w:rFonts w:ascii="Arial" w:hAnsi="Arial" w:cs="Arial"/>
                <w:i/>
                <w:iCs/>
                <w:sz w:val="18"/>
                <w:szCs w:val="20"/>
              </w:rPr>
            </w:pPr>
            <w:r w:rsidRPr="00A21B5C">
              <w:rPr>
                <w:rFonts w:ascii="Arial" w:hAnsi="Arial" w:cs="Arial"/>
                <w:i/>
                <w:iCs/>
                <w:sz w:val="18"/>
                <w:szCs w:val="20"/>
              </w:rPr>
              <w:t>Paso 3. …</w:t>
            </w:r>
          </w:p>
          <w:p w:rsidR="004A2763" w:rsidRPr="00A21B5C" w:rsidRDefault="004A2763" w:rsidP="00A21B5C">
            <w:pPr>
              <w:ind w:left="708"/>
              <w:contextualSpacing/>
              <w:jc w:val="both"/>
              <w:rPr>
                <w:rFonts w:ascii="Arial" w:hAnsi="Arial" w:cs="Arial"/>
                <w:i/>
                <w:iCs/>
                <w:sz w:val="18"/>
                <w:szCs w:val="20"/>
              </w:rPr>
            </w:pPr>
            <w:r w:rsidRPr="00A21B5C">
              <w:rPr>
                <w:rFonts w:ascii="Arial" w:hAnsi="Arial" w:cs="Arial"/>
                <w:i/>
                <w:iCs/>
                <w:sz w:val="18"/>
                <w:szCs w:val="20"/>
              </w:rPr>
              <w:t>…</w:t>
            </w:r>
          </w:p>
          <w:p w:rsidR="004A2763" w:rsidRPr="00A21B5C" w:rsidRDefault="004A2763" w:rsidP="00A21B5C">
            <w:pPr>
              <w:ind w:left="708"/>
              <w:contextualSpacing/>
              <w:jc w:val="both"/>
              <w:rPr>
                <w:rFonts w:ascii="Arial" w:hAnsi="Arial" w:cs="Arial"/>
                <w:i/>
                <w:iCs/>
                <w:sz w:val="18"/>
                <w:szCs w:val="20"/>
              </w:rPr>
            </w:pPr>
            <w:r w:rsidRPr="00A21B5C">
              <w:rPr>
                <w:rFonts w:ascii="Arial" w:hAnsi="Arial" w:cs="Arial"/>
                <w:i/>
                <w:iCs/>
                <w:sz w:val="18"/>
                <w:szCs w:val="20"/>
              </w:rPr>
              <w:t>…</w:t>
            </w:r>
          </w:p>
          <w:p w:rsidR="004A2763" w:rsidRPr="00A21B5C" w:rsidRDefault="004A2763" w:rsidP="00A21B5C">
            <w:pPr>
              <w:ind w:left="708"/>
              <w:contextualSpacing/>
              <w:jc w:val="both"/>
              <w:rPr>
                <w:rFonts w:ascii="Arial" w:hAnsi="Arial" w:cs="Arial"/>
                <w:i/>
                <w:iCs/>
                <w:sz w:val="18"/>
                <w:szCs w:val="20"/>
              </w:rPr>
            </w:pPr>
            <w:r w:rsidRPr="00A21B5C">
              <w:rPr>
                <w:rFonts w:ascii="Arial" w:hAnsi="Arial" w:cs="Arial"/>
                <w:i/>
                <w:iCs/>
                <w:sz w:val="18"/>
                <w:szCs w:val="20"/>
              </w:rPr>
              <w:t>Paso final. Se deja constancia de que la información presupuestal se encuentra correctamente cargada con… (Por ejemplo: firma de aprobación, sello, check…)</w:t>
            </w:r>
          </w:p>
          <w:p w:rsidR="004A2763" w:rsidRPr="00A21B5C" w:rsidRDefault="004A2763" w:rsidP="00A21B5C">
            <w:pPr>
              <w:contextualSpacing/>
              <w:jc w:val="both"/>
              <w:rPr>
                <w:rFonts w:ascii="Arial" w:hAnsi="Arial" w:cs="Arial"/>
                <w:sz w:val="18"/>
                <w:szCs w:val="20"/>
              </w:rPr>
            </w:pPr>
          </w:p>
          <w:p w:rsidR="00C74344" w:rsidRPr="00A21B5C" w:rsidRDefault="004A2763" w:rsidP="00A21B5C">
            <w:pPr>
              <w:contextualSpacing/>
              <w:jc w:val="both"/>
              <w:rPr>
                <w:rFonts w:ascii="Arial" w:hAnsi="Arial" w:cs="Arial"/>
                <w:sz w:val="18"/>
                <w:szCs w:val="20"/>
              </w:rPr>
            </w:pPr>
            <w:r w:rsidRPr="00A21B5C">
              <w:rPr>
                <w:rFonts w:ascii="Arial" w:hAnsi="Arial" w:cs="Arial"/>
                <w:b/>
                <w:sz w:val="18"/>
                <w:szCs w:val="20"/>
              </w:rPr>
              <w:t xml:space="preserve">Evidencias: </w:t>
            </w:r>
            <w:r w:rsidRPr="00A21B5C">
              <w:rPr>
                <w:rFonts w:ascii="Arial" w:hAnsi="Arial" w:cs="Arial"/>
                <w:sz w:val="18"/>
                <w:szCs w:val="20"/>
              </w:rPr>
              <w:t>La evidencia de la realización del control (</w:t>
            </w:r>
            <w:r w:rsidRPr="00A21B5C">
              <w:rPr>
                <w:rFonts w:ascii="Arial" w:hAnsi="Arial" w:cs="Arial"/>
                <w:i/>
                <w:iCs/>
                <w:sz w:val="18"/>
                <w:szCs w:val="20"/>
              </w:rPr>
              <w:t>Por ejemplo, acta, firma de aprobación, certificación, listado de chequeo, u otros…</w:t>
            </w:r>
            <w:r w:rsidRPr="00A21B5C">
              <w:rPr>
                <w:rFonts w:ascii="Arial" w:hAnsi="Arial" w:cs="Arial"/>
                <w:sz w:val="18"/>
                <w:szCs w:val="20"/>
              </w:rPr>
              <w:t>)</w:t>
            </w:r>
          </w:p>
          <w:p w:rsidR="004A2763" w:rsidRPr="00A21B5C" w:rsidRDefault="004A2763" w:rsidP="00A21B5C">
            <w:pPr>
              <w:contextualSpacing/>
              <w:jc w:val="both"/>
              <w:rPr>
                <w:rFonts w:ascii="Arial" w:hAnsi="Arial" w:cs="Arial"/>
                <w:b/>
                <w:sz w:val="18"/>
                <w:szCs w:val="20"/>
              </w:rPr>
            </w:pPr>
          </w:p>
        </w:tc>
      </w:tr>
    </w:tbl>
    <w:p w:rsidR="00C24D55" w:rsidRPr="00A21B5C" w:rsidRDefault="00C24D55" w:rsidP="00A21B5C">
      <w:pPr>
        <w:contextualSpacing/>
        <w:jc w:val="both"/>
        <w:rPr>
          <w:rFonts w:ascii="Arial" w:hAnsi="Arial" w:cs="Arial"/>
          <w:bCs/>
          <w:iCs/>
          <w:sz w:val="22"/>
          <w:szCs w:val="22"/>
          <w:lang w:val="es-CO"/>
        </w:rPr>
      </w:pPr>
    </w:p>
    <w:p w:rsidR="008C2E4A" w:rsidRPr="00A21B5C" w:rsidRDefault="008C2E4A" w:rsidP="00A21B5C">
      <w:pPr>
        <w:pStyle w:val="Textoindependiente2"/>
        <w:numPr>
          <w:ilvl w:val="0"/>
          <w:numId w:val="21"/>
        </w:numPr>
        <w:contextualSpacing/>
        <w:rPr>
          <w:rFonts w:cs="Arial"/>
          <w:b/>
          <w:sz w:val="22"/>
          <w:szCs w:val="22"/>
          <w:lang w:val="es-CO"/>
        </w:rPr>
      </w:pPr>
      <w:r w:rsidRPr="00A21B5C">
        <w:rPr>
          <w:rFonts w:cs="Arial"/>
          <w:b/>
          <w:sz w:val="22"/>
          <w:szCs w:val="22"/>
          <w:lang w:val="es-CO"/>
        </w:rPr>
        <w:t>Registro contable de los recursos que no sigue las disposiciones legales vigentes.</w:t>
      </w:r>
    </w:p>
    <w:p w:rsidR="008C2E4A" w:rsidRPr="00A21B5C" w:rsidRDefault="008C2E4A" w:rsidP="00A21B5C">
      <w:pPr>
        <w:contextualSpacing/>
        <w:jc w:val="both"/>
        <w:rPr>
          <w:rFonts w:ascii="Arial" w:hAnsi="Arial" w:cs="Arial"/>
          <w:sz w:val="22"/>
          <w:szCs w:val="22"/>
          <w:lang w:val="es-CO"/>
        </w:rPr>
      </w:pPr>
    </w:p>
    <w:p w:rsidR="008C2E4A" w:rsidRPr="00A21B5C" w:rsidRDefault="008C2E4A" w:rsidP="00A21B5C">
      <w:pPr>
        <w:contextualSpacing/>
        <w:jc w:val="both"/>
        <w:rPr>
          <w:rFonts w:ascii="Arial" w:hAnsi="Arial" w:cs="Arial"/>
          <w:sz w:val="22"/>
          <w:szCs w:val="22"/>
          <w:lang w:val="es-CO"/>
        </w:rPr>
      </w:pPr>
      <w:r w:rsidRPr="00A21B5C">
        <w:rPr>
          <w:rFonts w:ascii="Arial" w:hAnsi="Arial" w:cs="Arial"/>
          <w:sz w:val="22"/>
          <w:szCs w:val="22"/>
          <w:lang w:val="es-CO"/>
        </w:rPr>
        <w:t xml:space="preserve">Teniendo en cuenta los lineamientos dados por el Departamento Nacional Planeación quien expresa que </w:t>
      </w:r>
      <w:r w:rsidRPr="00A21B5C">
        <w:rPr>
          <w:rFonts w:ascii="Arial" w:hAnsi="Arial" w:cs="Arial"/>
          <w:i/>
          <w:sz w:val="22"/>
          <w:szCs w:val="22"/>
          <w:lang w:val="es-CO"/>
        </w:rPr>
        <w:t xml:space="preserve">“Para la administración de los recursos, el municipio o departamento, según sea el caso, debe tener una cuenta a nombre de cada resguardo indígena, la cual debe ser independiente a las cuentas del municipio y para su ejecución se deberán cumplir las normas y procedimientos y llevar los libros presupuestales y contables aplicados por la entidad territorial”, </w:t>
      </w:r>
      <w:r w:rsidRPr="00A21B5C">
        <w:rPr>
          <w:rFonts w:ascii="Arial" w:hAnsi="Arial" w:cs="Arial"/>
          <w:sz w:val="22"/>
          <w:szCs w:val="22"/>
          <w:lang w:val="es-CO"/>
        </w:rPr>
        <w:t>fueron inspeccionados los asientos contables proporcionados por la Entidad Territorial para el reconocimiento contable de los recursos de la AESGPRI en observancia a las normas contables vigen</w:t>
      </w:r>
      <w:r w:rsidR="00243503" w:rsidRPr="00A21B5C">
        <w:rPr>
          <w:rFonts w:ascii="Arial" w:hAnsi="Arial" w:cs="Arial"/>
          <w:sz w:val="22"/>
          <w:szCs w:val="22"/>
          <w:lang w:val="es-CO"/>
        </w:rPr>
        <w:t>tes</w:t>
      </w:r>
      <w:r w:rsidRPr="00A21B5C">
        <w:rPr>
          <w:rFonts w:ascii="Arial" w:hAnsi="Arial" w:cs="Arial"/>
          <w:sz w:val="22"/>
          <w:szCs w:val="22"/>
          <w:lang w:val="es-CO"/>
        </w:rPr>
        <w:t xml:space="preserve"> para las Entidades Territoriales, particularmente a la Resolución 533 de 2015 de la Contaduría General de la Nación - CGN, </w:t>
      </w:r>
      <w:r w:rsidRPr="00A21B5C">
        <w:rPr>
          <w:rFonts w:ascii="Arial" w:hAnsi="Arial" w:cs="Arial"/>
          <w:i/>
          <w:sz w:val="22"/>
          <w:szCs w:val="22"/>
          <w:lang w:val="es-CO"/>
        </w:rPr>
        <w:t>“Por medio de la cual se incorpora, en el Régimen de Contabilidad Pública, el marco normativo aplicable a entidades de gobierno y se dictan otras disposiciones”</w:t>
      </w:r>
      <w:r w:rsidR="009C27F0" w:rsidRPr="00A21B5C">
        <w:rPr>
          <w:rFonts w:ascii="Arial" w:hAnsi="Arial" w:cs="Arial"/>
          <w:sz w:val="22"/>
          <w:szCs w:val="22"/>
          <w:lang w:val="es-CO"/>
        </w:rPr>
        <w:t>.</w:t>
      </w:r>
      <w:r w:rsidR="00B259E6" w:rsidRPr="00A21B5C">
        <w:rPr>
          <w:rFonts w:ascii="Arial" w:hAnsi="Arial" w:cs="Arial"/>
          <w:sz w:val="22"/>
          <w:szCs w:val="22"/>
          <w:lang w:val="es-CO"/>
        </w:rPr>
        <w:t xml:space="preserve"> Producto de la revisión se evidenciaron </w:t>
      </w:r>
      <w:r w:rsidRPr="00A21B5C">
        <w:rPr>
          <w:rFonts w:ascii="Arial" w:hAnsi="Arial" w:cs="Arial"/>
          <w:sz w:val="22"/>
          <w:szCs w:val="22"/>
          <w:lang w:val="es-CO"/>
        </w:rPr>
        <w:t xml:space="preserve">las siguientes </w:t>
      </w:r>
      <w:r w:rsidR="00F729CC" w:rsidRPr="00A21B5C">
        <w:rPr>
          <w:rFonts w:ascii="Arial" w:hAnsi="Arial" w:cs="Arial"/>
          <w:sz w:val="22"/>
          <w:szCs w:val="22"/>
          <w:lang w:val="es-CO"/>
        </w:rPr>
        <w:t>fal</w:t>
      </w:r>
      <w:r w:rsidRPr="00A21B5C">
        <w:rPr>
          <w:rFonts w:ascii="Arial" w:hAnsi="Arial" w:cs="Arial"/>
          <w:sz w:val="22"/>
          <w:szCs w:val="22"/>
          <w:lang w:val="es-CO"/>
        </w:rPr>
        <w:t>encias:</w:t>
      </w:r>
    </w:p>
    <w:p w:rsidR="008C2E4A" w:rsidRPr="00A21B5C" w:rsidRDefault="008C2E4A" w:rsidP="00A21B5C">
      <w:pPr>
        <w:contextualSpacing/>
        <w:jc w:val="both"/>
        <w:rPr>
          <w:rFonts w:ascii="Arial" w:hAnsi="Arial" w:cs="Arial"/>
          <w:sz w:val="22"/>
          <w:szCs w:val="22"/>
          <w:lang w:val="es-CO"/>
        </w:rPr>
      </w:pPr>
    </w:p>
    <w:p w:rsidR="008C2E4A" w:rsidRPr="00A21B5C" w:rsidRDefault="00B259E6">
      <w:pPr>
        <w:pStyle w:val="Prrafodelista"/>
        <w:numPr>
          <w:ilvl w:val="0"/>
          <w:numId w:val="4"/>
        </w:numPr>
        <w:ind w:left="708"/>
        <w:jc w:val="both"/>
        <w:rPr>
          <w:rFonts w:ascii="Arial" w:hAnsi="Arial" w:cs="Arial"/>
          <w:sz w:val="22"/>
          <w:szCs w:val="22"/>
          <w:lang w:val="es-CO"/>
        </w:rPr>
      </w:pPr>
      <w:r w:rsidRPr="00A21B5C">
        <w:rPr>
          <w:rFonts w:ascii="Arial" w:hAnsi="Arial" w:cs="Arial"/>
          <w:sz w:val="22"/>
          <w:szCs w:val="22"/>
          <w:lang w:val="es-CO"/>
        </w:rPr>
        <w:lastRenderedPageBreak/>
        <w:t>O</w:t>
      </w:r>
      <w:r w:rsidR="008C2E4A" w:rsidRPr="00A21B5C">
        <w:rPr>
          <w:rFonts w:ascii="Arial" w:hAnsi="Arial" w:cs="Arial"/>
          <w:sz w:val="22"/>
          <w:szCs w:val="22"/>
          <w:lang w:val="es-CO"/>
        </w:rPr>
        <w:t>mi</w:t>
      </w:r>
      <w:r w:rsidRPr="00A21B5C">
        <w:rPr>
          <w:rFonts w:ascii="Arial" w:hAnsi="Arial" w:cs="Arial"/>
          <w:sz w:val="22"/>
          <w:szCs w:val="22"/>
          <w:lang w:val="es-CO"/>
        </w:rPr>
        <w:t>sión d</w:t>
      </w:r>
      <w:r w:rsidR="008C2E4A" w:rsidRPr="00A21B5C">
        <w:rPr>
          <w:rFonts w:ascii="Arial" w:hAnsi="Arial" w:cs="Arial"/>
          <w:sz w:val="22"/>
          <w:szCs w:val="22"/>
          <w:lang w:val="es-CO"/>
        </w:rPr>
        <w:t xml:space="preserve">el </w:t>
      </w:r>
      <w:r w:rsidR="007C4058" w:rsidRPr="00A21B5C">
        <w:rPr>
          <w:rFonts w:ascii="Arial" w:hAnsi="Arial" w:cs="Arial"/>
          <w:iCs/>
          <w:sz w:val="22"/>
          <w:szCs w:val="22"/>
          <w:lang w:val="es-CO"/>
        </w:rPr>
        <w:t>P</w:t>
      </w:r>
      <w:r w:rsidR="008C2E4A" w:rsidRPr="00A21B5C">
        <w:rPr>
          <w:rFonts w:ascii="Arial" w:hAnsi="Arial" w:cs="Arial"/>
          <w:iCs/>
          <w:sz w:val="22"/>
          <w:szCs w:val="22"/>
          <w:lang w:val="es-CO"/>
        </w:rPr>
        <w:t xml:space="preserve">rincipio de </w:t>
      </w:r>
      <w:r w:rsidR="007C4058" w:rsidRPr="00A21B5C">
        <w:rPr>
          <w:rFonts w:ascii="Arial" w:hAnsi="Arial" w:cs="Arial"/>
          <w:iCs/>
          <w:sz w:val="22"/>
          <w:szCs w:val="22"/>
          <w:lang w:val="es-CO"/>
        </w:rPr>
        <w:t>D</w:t>
      </w:r>
      <w:r w:rsidR="008C2E4A" w:rsidRPr="00A21B5C">
        <w:rPr>
          <w:rFonts w:ascii="Arial" w:hAnsi="Arial" w:cs="Arial"/>
          <w:iCs/>
          <w:sz w:val="22"/>
          <w:szCs w:val="22"/>
          <w:lang w:val="es-CO"/>
        </w:rPr>
        <w:t>evengo</w:t>
      </w:r>
      <w:r w:rsidR="008C2E4A" w:rsidRPr="00A21B5C">
        <w:rPr>
          <w:rFonts w:ascii="Arial" w:hAnsi="Arial" w:cs="Arial"/>
          <w:i/>
          <w:sz w:val="22"/>
          <w:szCs w:val="22"/>
          <w:lang w:val="es-CO"/>
        </w:rPr>
        <w:t xml:space="preserve"> </w:t>
      </w:r>
      <w:r w:rsidR="008C2E4A" w:rsidRPr="00A21B5C">
        <w:rPr>
          <w:rFonts w:ascii="Arial" w:hAnsi="Arial" w:cs="Arial"/>
          <w:sz w:val="22"/>
          <w:szCs w:val="22"/>
          <w:lang w:val="es-CO"/>
        </w:rPr>
        <w:t xml:space="preserve">establecido en el Marco Conceptual para la preparación de información financiera </w:t>
      </w:r>
      <w:r w:rsidR="008C2E4A" w:rsidRPr="00A21B5C">
        <w:rPr>
          <w:rStyle w:val="Refdenotaalpie"/>
          <w:rFonts w:ascii="Arial" w:hAnsi="Arial" w:cs="Arial"/>
          <w:sz w:val="22"/>
          <w:szCs w:val="22"/>
          <w:lang w:val="es-CO"/>
        </w:rPr>
        <w:footnoteReference w:id="56"/>
      </w:r>
      <w:r w:rsidR="009B22BD" w:rsidRPr="00A21B5C">
        <w:rPr>
          <w:rFonts w:ascii="Arial" w:hAnsi="Arial" w:cs="Arial"/>
          <w:sz w:val="22"/>
          <w:szCs w:val="22"/>
          <w:lang w:val="es-CO"/>
        </w:rPr>
        <w:t xml:space="preserve">, </w:t>
      </w:r>
      <w:r w:rsidR="00F729CC" w:rsidRPr="00A21B5C">
        <w:rPr>
          <w:rFonts w:ascii="Arial" w:hAnsi="Arial" w:cs="Arial"/>
          <w:sz w:val="22"/>
          <w:szCs w:val="22"/>
          <w:lang w:val="es-CO"/>
        </w:rPr>
        <w:t>en cuanto</w:t>
      </w:r>
      <w:r w:rsidR="009B22BD" w:rsidRPr="00A21B5C">
        <w:rPr>
          <w:rFonts w:ascii="Arial" w:hAnsi="Arial" w:cs="Arial"/>
          <w:sz w:val="22"/>
          <w:szCs w:val="22"/>
          <w:lang w:val="es-CO"/>
        </w:rPr>
        <w:t xml:space="preserve"> </w:t>
      </w:r>
      <w:r w:rsidR="00F729CC" w:rsidRPr="00A21B5C">
        <w:rPr>
          <w:rFonts w:ascii="Arial" w:hAnsi="Arial" w:cs="Arial"/>
          <w:sz w:val="22"/>
          <w:szCs w:val="22"/>
          <w:lang w:val="es-CO"/>
        </w:rPr>
        <w:t xml:space="preserve">al </w:t>
      </w:r>
      <w:r w:rsidR="009B22BD" w:rsidRPr="00A21B5C">
        <w:rPr>
          <w:rFonts w:ascii="Arial" w:hAnsi="Arial" w:cs="Arial"/>
          <w:sz w:val="22"/>
          <w:szCs w:val="22"/>
          <w:lang w:val="es-CO"/>
        </w:rPr>
        <w:t>reconocimiento de las 11 doceavas de la vigencia 2018.</w:t>
      </w:r>
    </w:p>
    <w:p w:rsidR="007C4058" w:rsidRPr="00A21B5C" w:rsidRDefault="007C4058" w:rsidP="00A21B5C">
      <w:pPr>
        <w:pStyle w:val="Prrafodelista"/>
        <w:ind w:left="708"/>
        <w:jc w:val="both"/>
        <w:rPr>
          <w:rFonts w:ascii="Arial" w:hAnsi="Arial" w:cs="Arial"/>
          <w:sz w:val="22"/>
          <w:szCs w:val="22"/>
          <w:lang w:val="es-CO"/>
        </w:rPr>
      </w:pPr>
    </w:p>
    <w:p w:rsidR="008C2E4A" w:rsidRPr="00A21B5C" w:rsidRDefault="000658B5">
      <w:pPr>
        <w:pStyle w:val="Prrafodelista"/>
        <w:numPr>
          <w:ilvl w:val="0"/>
          <w:numId w:val="4"/>
        </w:numPr>
        <w:ind w:left="708"/>
        <w:jc w:val="both"/>
        <w:rPr>
          <w:rFonts w:ascii="Arial" w:hAnsi="Arial" w:cs="Arial"/>
          <w:i/>
          <w:sz w:val="22"/>
          <w:szCs w:val="22"/>
          <w:lang w:val="es-CO"/>
        </w:rPr>
      </w:pPr>
      <w:r w:rsidRPr="00A21B5C">
        <w:rPr>
          <w:rFonts w:ascii="Arial" w:hAnsi="Arial" w:cs="Arial"/>
          <w:sz w:val="22"/>
          <w:szCs w:val="22"/>
          <w:lang w:val="es-CO"/>
        </w:rPr>
        <w:t xml:space="preserve">Registro de los recursos de la AESGPRI </w:t>
      </w:r>
      <w:r w:rsidR="008C2E4A" w:rsidRPr="00A21B5C">
        <w:rPr>
          <w:rFonts w:ascii="Arial" w:hAnsi="Arial" w:cs="Arial"/>
          <w:sz w:val="22"/>
          <w:szCs w:val="22"/>
          <w:lang w:val="es-CO"/>
        </w:rPr>
        <w:t xml:space="preserve">como un </w:t>
      </w:r>
      <w:r w:rsidR="007C4058" w:rsidRPr="00A21B5C">
        <w:rPr>
          <w:rFonts w:ascii="Arial" w:hAnsi="Arial" w:cs="Arial"/>
          <w:iCs/>
          <w:sz w:val="22"/>
          <w:szCs w:val="22"/>
          <w:lang w:val="es-CO"/>
        </w:rPr>
        <w:t>i</w:t>
      </w:r>
      <w:r w:rsidR="008C2E4A" w:rsidRPr="00A21B5C">
        <w:rPr>
          <w:rFonts w:ascii="Arial" w:hAnsi="Arial" w:cs="Arial"/>
          <w:iCs/>
          <w:sz w:val="22"/>
          <w:szCs w:val="22"/>
          <w:lang w:val="es-CO"/>
        </w:rPr>
        <w:t>ngreso</w:t>
      </w:r>
      <w:r w:rsidR="008C2E4A" w:rsidRPr="00A21B5C">
        <w:rPr>
          <w:rFonts w:ascii="Arial" w:hAnsi="Arial" w:cs="Arial"/>
          <w:i/>
          <w:sz w:val="22"/>
          <w:szCs w:val="22"/>
          <w:lang w:val="es-CO"/>
        </w:rPr>
        <w:t xml:space="preserve"> </w:t>
      </w:r>
      <w:r w:rsidR="008C2E4A" w:rsidRPr="00A21B5C">
        <w:rPr>
          <w:rFonts w:ascii="Arial" w:hAnsi="Arial" w:cs="Arial"/>
          <w:sz w:val="22"/>
          <w:szCs w:val="22"/>
          <w:lang w:val="es-CO"/>
        </w:rPr>
        <w:t>para la Entidad Territorial</w:t>
      </w:r>
      <w:r w:rsidRPr="00A21B5C">
        <w:rPr>
          <w:rFonts w:ascii="Arial" w:hAnsi="Arial" w:cs="Arial"/>
          <w:sz w:val="22"/>
          <w:szCs w:val="22"/>
          <w:lang w:val="es-CO"/>
        </w:rPr>
        <w:t xml:space="preserve"> y no como un </w:t>
      </w:r>
      <w:r w:rsidR="007C4058" w:rsidRPr="00A21B5C">
        <w:rPr>
          <w:rFonts w:ascii="Arial" w:hAnsi="Arial" w:cs="Arial"/>
          <w:iCs/>
          <w:sz w:val="22"/>
          <w:szCs w:val="22"/>
          <w:lang w:val="es-CO"/>
        </w:rPr>
        <w:t>p</w:t>
      </w:r>
      <w:r w:rsidRPr="00A21B5C">
        <w:rPr>
          <w:rFonts w:ascii="Arial" w:hAnsi="Arial" w:cs="Arial"/>
          <w:iCs/>
          <w:sz w:val="22"/>
          <w:szCs w:val="22"/>
          <w:lang w:val="es-CO"/>
        </w:rPr>
        <w:t xml:space="preserve">asivo </w:t>
      </w:r>
      <w:r w:rsidR="008C2E4A" w:rsidRPr="00A21B5C">
        <w:rPr>
          <w:rFonts w:ascii="Arial" w:hAnsi="Arial" w:cs="Arial"/>
          <w:iCs/>
          <w:sz w:val="22"/>
          <w:szCs w:val="22"/>
          <w:lang w:val="es-CO"/>
        </w:rPr>
        <w:t>a favor de terceros</w:t>
      </w:r>
      <w:r w:rsidRPr="00A21B5C">
        <w:rPr>
          <w:rFonts w:ascii="Arial" w:hAnsi="Arial" w:cs="Arial"/>
          <w:i/>
          <w:sz w:val="22"/>
          <w:szCs w:val="22"/>
          <w:lang w:val="es-CO"/>
        </w:rPr>
        <w:t xml:space="preserve">, </w:t>
      </w:r>
      <w:r w:rsidR="00F729CC" w:rsidRPr="00A21B5C">
        <w:rPr>
          <w:rFonts w:ascii="Arial" w:hAnsi="Arial" w:cs="Arial"/>
          <w:sz w:val="22"/>
          <w:szCs w:val="22"/>
          <w:lang w:val="es-CO"/>
        </w:rPr>
        <w:t xml:space="preserve">desatendiendo el hecho de </w:t>
      </w:r>
      <w:r w:rsidRPr="00A21B5C">
        <w:rPr>
          <w:rFonts w:ascii="Arial" w:hAnsi="Arial" w:cs="Arial"/>
          <w:sz w:val="22"/>
          <w:szCs w:val="22"/>
          <w:lang w:val="es-CO"/>
        </w:rPr>
        <w:t>que estos recursos son del Resguardo Indígena legalmente constituido y no de la Entidad Territorial.</w:t>
      </w:r>
    </w:p>
    <w:p w:rsidR="007C4058" w:rsidRPr="00A21B5C" w:rsidRDefault="007C4058" w:rsidP="00A21B5C">
      <w:pPr>
        <w:pStyle w:val="Prrafodelista"/>
        <w:ind w:left="708"/>
        <w:jc w:val="both"/>
        <w:rPr>
          <w:rFonts w:ascii="Arial" w:hAnsi="Arial" w:cs="Arial"/>
          <w:i/>
          <w:sz w:val="22"/>
          <w:szCs w:val="22"/>
          <w:lang w:val="es-CO"/>
        </w:rPr>
      </w:pPr>
    </w:p>
    <w:p w:rsidR="009B22BD" w:rsidRPr="00A21B5C" w:rsidRDefault="009B22BD">
      <w:pPr>
        <w:pStyle w:val="Prrafodelista"/>
        <w:numPr>
          <w:ilvl w:val="0"/>
          <w:numId w:val="5"/>
        </w:numPr>
        <w:ind w:left="709"/>
        <w:jc w:val="both"/>
        <w:rPr>
          <w:rFonts w:ascii="Arial" w:hAnsi="Arial" w:cs="Arial"/>
          <w:sz w:val="22"/>
          <w:szCs w:val="22"/>
          <w:lang w:val="es-CO"/>
        </w:rPr>
      </w:pPr>
      <w:r w:rsidRPr="00A21B5C">
        <w:rPr>
          <w:rFonts w:ascii="Arial" w:hAnsi="Arial" w:cs="Arial"/>
          <w:sz w:val="22"/>
          <w:szCs w:val="22"/>
          <w:lang w:val="es-CO"/>
        </w:rPr>
        <w:t xml:space="preserve">Contrapartida del reconocimiento inicial de las transferencias AESGPRI en la </w:t>
      </w:r>
      <w:r w:rsidR="007C4058" w:rsidRPr="00A21B5C">
        <w:rPr>
          <w:rFonts w:ascii="Arial" w:hAnsi="Arial" w:cs="Arial"/>
          <w:sz w:val="22"/>
          <w:szCs w:val="22"/>
          <w:lang w:val="es-CO"/>
        </w:rPr>
        <w:t>C</w:t>
      </w:r>
      <w:r w:rsidRPr="00A21B5C">
        <w:rPr>
          <w:rFonts w:ascii="Arial" w:hAnsi="Arial" w:cs="Arial"/>
          <w:sz w:val="22"/>
          <w:szCs w:val="22"/>
          <w:lang w:val="es-CO"/>
        </w:rPr>
        <w:t>uenta 1413, que no está establecida en el Catálogo General de Cuentas para Entidades de Gobierno.</w:t>
      </w:r>
    </w:p>
    <w:p w:rsidR="007C4058" w:rsidRPr="00A21B5C" w:rsidRDefault="007C4058" w:rsidP="00A21B5C">
      <w:pPr>
        <w:pStyle w:val="Prrafodelista"/>
        <w:ind w:left="709"/>
        <w:jc w:val="both"/>
        <w:rPr>
          <w:rFonts w:ascii="Arial" w:hAnsi="Arial" w:cs="Arial"/>
          <w:sz w:val="22"/>
          <w:szCs w:val="22"/>
          <w:lang w:val="es-CO"/>
        </w:rPr>
      </w:pPr>
    </w:p>
    <w:p w:rsidR="009B22BD" w:rsidRPr="00A21B5C" w:rsidRDefault="003000CD">
      <w:pPr>
        <w:pStyle w:val="Prrafodelista"/>
        <w:numPr>
          <w:ilvl w:val="0"/>
          <w:numId w:val="5"/>
        </w:numPr>
        <w:ind w:left="709"/>
        <w:jc w:val="both"/>
        <w:rPr>
          <w:rFonts w:ascii="Arial" w:hAnsi="Arial" w:cs="Arial"/>
          <w:sz w:val="22"/>
          <w:szCs w:val="22"/>
          <w:lang w:val="es-CO"/>
        </w:rPr>
      </w:pPr>
      <w:r w:rsidRPr="00A21B5C">
        <w:rPr>
          <w:rFonts w:ascii="Arial" w:hAnsi="Arial" w:cs="Arial"/>
          <w:sz w:val="22"/>
          <w:szCs w:val="22"/>
          <w:lang w:val="es-CO"/>
        </w:rPr>
        <w:t xml:space="preserve">Contrapartida del reconocimiento de </w:t>
      </w:r>
      <w:r w:rsidR="009B22BD" w:rsidRPr="00A21B5C">
        <w:rPr>
          <w:rFonts w:ascii="Arial" w:hAnsi="Arial" w:cs="Arial"/>
          <w:sz w:val="22"/>
          <w:szCs w:val="22"/>
          <w:lang w:val="es-CO"/>
        </w:rPr>
        <w:t xml:space="preserve">los pagos </w:t>
      </w:r>
      <w:r w:rsidRPr="00A21B5C">
        <w:rPr>
          <w:rFonts w:ascii="Arial" w:hAnsi="Arial" w:cs="Arial"/>
          <w:sz w:val="22"/>
          <w:szCs w:val="22"/>
          <w:lang w:val="es-CO"/>
        </w:rPr>
        <w:t>con cargo a</w:t>
      </w:r>
      <w:r w:rsidR="009B22BD" w:rsidRPr="00A21B5C">
        <w:rPr>
          <w:rFonts w:ascii="Arial" w:hAnsi="Arial" w:cs="Arial"/>
          <w:sz w:val="22"/>
          <w:szCs w:val="22"/>
          <w:lang w:val="es-CO"/>
        </w:rPr>
        <w:t xml:space="preserve"> los recursos de la AESGPRI </w:t>
      </w:r>
      <w:r w:rsidRPr="00A21B5C">
        <w:rPr>
          <w:rFonts w:ascii="Arial" w:hAnsi="Arial" w:cs="Arial"/>
          <w:sz w:val="22"/>
          <w:szCs w:val="22"/>
          <w:lang w:val="es-CO"/>
        </w:rPr>
        <w:t xml:space="preserve">en la </w:t>
      </w:r>
      <w:r w:rsidR="007C4058" w:rsidRPr="00A21B5C">
        <w:rPr>
          <w:rFonts w:ascii="Arial" w:hAnsi="Arial" w:cs="Arial"/>
          <w:sz w:val="22"/>
          <w:szCs w:val="22"/>
          <w:lang w:val="es-CO"/>
        </w:rPr>
        <w:t>C</w:t>
      </w:r>
      <w:r w:rsidRPr="00A21B5C">
        <w:rPr>
          <w:rFonts w:ascii="Arial" w:hAnsi="Arial" w:cs="Arial"/>
          <w:sz w:val="22"/>
          <w:szCs w:val="22"/>
          <w:lang w:val="es-CO"/>
        </w:rPr>
        <w:t xml:space="preserve">uenta 2905 - Recaudos a </w:t>
      </w:r>
      <w:r w:rsidR="007C4058" w:rsidRPr="00A21B5C">
        <w:rPr>
          <w:rFonts w:ascii="Arial" w:hAnsi="Arial" w:cs="Arial"/>
          <w:sz w:val="22"/>
          <w:szCs w:val="22"/>
          <w:lang w:val="es-CO"/>
        </w:rPr>
        <w:t>F</w:t>
      </w:r>
      <w:r w:rsidRPr="00A21B5C">
        <w:rPr>
          <w:rFonts w:ascii="Arial" w:hAnsi="Arial" w:cs="Arial"/>
          <w:sz w:val="22"/>
          <w:szCs w:val="22"/>
          <w:lang w:val="es-CO"/>
        </w:rPr>
        <w:t xml:space="preserve">avor de </w:t>
      </w:r>
      <w:r w:rsidR="007C4058" w:rsidRPr="00A21B5C">
        <w:rPr>
          <w:rFonts w:ascii="Arial" w:hAnsi="Arial" w:cs="Arial"/>
          <w:sz w:val="22"/>
          <w:szCs w:val="22"/>
          <w:lang w:val="es-CO"/>
        </w:rPr>
        <w:t>T</w:t>
      </w:r>
      <w:r w:rsidRPr="00A21B5C">
        <w:rPr>
          <w:rFonts w:ascii="Arial" w:hAnsi="Arial" w:cs="Arial"/>
          <w:sz w:val="22"/>
          <w:szCs w:val="22"/>
          <w:lang w:val="es-CO"/>
        </w:rPr>
        <w:t xml:space="preserve">erceros, y no en la Cuenta por </w:t>
      </w:r>
      <w:r w:rsidR="007C4058" w:rsidRPr="00A21B5C">
        <w:rPr>
          <w:rFonts w:ascii="Arial" w:hAnsi="Arial" w:cs="Arial"/>
          <w:sz w:val="22"/>
          <w:szCs w:val="22"/>
          <w:lang w:val="es-CO"/>
        </w:rPr>
        <w:t>P</w:t>
      </w:r>
      <w:r w:rsidRPr="00A21B5C">
        <w:rPr>
          <w:rFonts w:ascii="Arial" w:hAnsi="Arial" w:cs="Arial"/>
          <w:sz w:val="22"/>
          <w:szCs w:val="22"/>
          <w:lang w:val="es-CO"/>
        </w:rPr>
        <w:t>agar de la obligación que debió darse con ocasión a la ejecución del recurso.</w:t>
      </w:r>
    </w:p>
    <w:p w:rsidR="008C2E4A" w:rsidRPr="00A21B5C" w:rsidRDefault="008C2E4A">
      <w:pPr>
        <w:pStyle w:val="Prrafodelista"/>
        <w:ind w:left="709"/>
        <w:jc w:val="both"/>
        <w:rPr>
          <w:rFonts w:ascii="Arial" w:hAnsi="Arial" w:cs="Arial"/>
          <w:sz w:val="22"/>
          <w:szCs w:val="22"/>
          <w:lang w:val="es-CO"/>
        </w:rPr>
      </w:pPr>
    </w:p>
    <w:p w:rsidR="008C2E4A" w:rsidRPr="00A21B5C" w:rsidRDefault="008C2E4A" w:rsidP="00A21B5C">
      <w:pPr>
        <w:contextualSpacing/>
        <w:jc w:val="both"/>
        <w:rPr>
          <w:rFonts w:ascii="Arial" w:hAnsi="Arial" w:cs="Arial"/>
          <w:i/>
          <w:sz w:val="22"/>
          <w:szCs w:val="22"/>
          <w:lang w:val="es-CO"/>
        </w:rPr>
      </w:pPr>
      <w:r w:rsidRPr="00A21B5C">
        <w:rPr>
          <w:rFonts w:ascii="Arial" w:hAnsi="Arial" w:cs="Arial"/>
          <w:sz w:val="22"/>
          <w:szCs w:val="22"/>
          <w:lang w:val="es-CO"/>
        </w:rPr>
        <w:t>A</w:t>
      </w:r>
      <w:r w:rsidR="000658B5" w:rsidRPr="00A21B5C">
        <w:rPr>
          <w:rFonts w:ascii="Arial" w:hAnsi="Arial" w:cs="Arial"/>
          <w:sz w:val="22"/>
          <w:szCs w:val="22"/>
          <w:lang w:val="es-CO"/>
        </w:rPr>
        <w:t>sí</w:t>
      </w:r>
      <w:r w:rsidRPr="00A21B5C">
        <w:rPr>
          <w:rFonts w:ascii="Arial" w:hAnsi="Arial" w:cs="Arial"/>
          <w:sz w:val="22"/>
          <w:szCs w:val="22"/>
          <w:lang w:val="es-CO"/>
        </w:rPr>
        <w:t>, se concluye que este reconocimiento contable equ</w:t>
      </w:r>
      <w:r w:rsidR="0005275E" w:rsidRPr="00A21B5C">
        <w:rPr>
          <w:rFonts w:ascii="Arial" w:hAnsi="Arial" w:cs="Arial"/>
          <w:sz w:val="22"/>
          <w:szCs w:val="22"/>
          <w:lang w:val="es-CO"/>
        </w:rPr>
        <w:t>ivocado</w:t>
      </w:r>
      <w:r w:rsidRPr="00A21B5C">
        <w:rPr>
          <w:rFonts w:ascii="Arial" w:hAnsi="Arial" w:cs="Arial"/>
          <w:sz w:val="22"/>
          <w:szCs w:val="22"/>
          <w:lang w:val="es-CO"/>
        </w:rPr>
        <w:t xml:space="preserve"> de la</w:t>
      </w:r>
      <w:r w:rsidR="00F729CC" w:rsidRPr="00A21B5C">
        <w:rPr>
          <w:rFonts w:ascii="Arial" w:hAnsi="Arial" w:cs="Arial"/>
          <w:sz w:val="22"/>
          <w:szCs w:val="22"/>
          <w:lang w:val="es-CO"/>
        </w:rPr>
        <w:t xml:space="preserve"> administración de los recursos de la </w:t>
      </w:r>
      <w:r w:rsidRPr="00A21B5C">
        <w:rPr>
          <w:rFonts w:ascii="Arial" w:hAnsi="Arial" w:cs="Arial"/>
          <w:sz w:val="22"/>
          <w:szCs w:val="22"/>
          <w:lang w:val="es-CO"/>
        </w:rPr>
        <w:t xml:space="preserve">AESGPRI </w:t>
      </w:r>
      <w:r w:rsidR="00F729CC" w:rsidRPr="00A21B5C">
        <w:rPr>
          <w:rFonts w:ascii="Arial" w:hAnsi="Arial" w:cs="Arial"/>
          <w:sz w:val="22"/>
          <w:szCs w:val="22"/>
          <w:lang w:val="es-CO"/>
        </w:rPr>
        <w:t>por parte del</w:t>
      </w:r>
      <w:r w:rsidRPr="00A21B5C">
        <w:rPr>
          <w:rFonts w:ascii="Arial" w:hAnsi="Arial" w:cs="Arial"/>
          <w:sz w:val="22"/>
          <w:szCs w:val="22"/>
          <w:lang w:val="es-CO"/>
        </w:rPr>
        <w:t xml:space="preserve"> Municipio de Dibulla – La Guajira, </w:t>
      </w:r>
      <w:r w:rsidR="00F729CC" w:rsidRPr="00A21B5C">
        <w:rPr>
          <w:rFonts w:ascii="Arial" w:hAnsi="Arial" w:cs="Arial"/>
          <w:sz w:val="22"/>
          <w:szCs w:val="22"/>
          <w:lang w:val="es-CO"/>
        </w:rPr>
        <w:t xml:space="preserve">omite principios contables, </w:t>
      </w:r>
      <w:r w:rsidRPr="00A21B5C">
        <w:rPr>
          <w:rFonts w:ascii="Arial" w:hAnsi="Arial" w:cs="Arial"/>
          <w:sz w:val="22"/>
          <w:szCs w:val="22"/>
          <w:lang w:val="es-CO"/>
        </w:rPr>
        <w:t xml:space="preserve">atenta contra la </w:t>
      </w:r>
      <w:r w:rsidRPr="00A21B5C">
        <w:rPr>
          <w:rFonts w:ascii="Arial" w:hAnsi="Arial" w:cs="Arial"/>
          <w:i/>
          <w:sz w:val="22"/>
          <w:szCs w:val="22"/>
          <w:lang w:val="es-CO"/>
        </w:rPr>
        <w:t>representación fiel</w:t>
      </w:r>
      <w:r w:rsidRPr="00A21B5C">
        <w:rPr>
          <w:rStyle w:val="Refdenotaalpie"/>
          <w:rFonts w:ascii="Arial" w:hAnsi="Arial" w:cs="Arial"/>
          <w:sz w:val="22"/>
          <w:szCs w:val="22"/>
          <w:lang w:val="es-CO"/>
        </w:rPr>
        <w:footnoteReference w:id="57"/>
      </w:r>
      <w:r w:rsidRPr="00A21B5C">
        <w:rPr>
          <w:rFonts w:ascii="Arial" w:hAnsi="Arial" w:cs="Arial"/>
          <w:i/>
          <w:sz w:val="22"/>
          <w:szCs w:val="22"/>
          <w:lang w:val="es-CO"/>
        </w:rPr>
        <w:t xml:space="preserve"> </w:t>
      </w:r>
      <w:r w:rsidRPr="00A21B5C">
        <w:rPr>
          <w:rFonts w:ascii="Arial" w:hAnsi="Arial" w:cs="Arial"/>
          <w:sz w:val="22"/>
          <w:szCs w:val="22"/>
          <w:lang w:val="es-CO"/>
        </w:rPr>
        <w:t xml:space="preserve">de la Información Financiera, </w:t>
      </w:r>
      <w:r w:rsidR="00F729CC" w:rsidRPr="00A21B5C">
        <w:rPr>
          <w:rFonts w:ascii="Arial" w:hAnsi="Arial" w:cs="Arial"/>
          <w:sz w:val="22"/>
          <w:szCs w:val="22"/>
          <w:lang w:val="es-CO"/>
        </w:rPr>
        <w:t>y</w:t>
      </w:r>
      <w:r w:rsidRPr="00A21B5C">
        <w:rPr>
          <w:rFonts w:ascii="Arial" w:hAnsi="Arial" w:cs="Arial"/>
          <w:sz w:val="22"/>
          <w:szCs w:val="22"/>
          <w:lang w:val="es-CO"/>
        </w:rPr>
        <w:t xml:space="preserve"> contraviene el espíritu de llevar un control presupuestal y contable de los recursos de la AESGPRI separado de los recursos propios de la Entidad Territorial</w:t>
      </w:r>
      <w:r w:rsidR="00F729CC" w:rsidRPr="00A21B5C">
        <w:rPr>
          <w:rFonts w:ascii="Arial" w:hAnsi="Arial" w:cs="Arial"/>
          <w:sz w:val="22"/>
          <w:szCs w:val="22"/>
          <w:lang w:val="es-CO"/>
        </w:rPr>
        <w:t>.</w:t>
      </w:r>
    </w:p>
    <w:p w:rsidR="00F76D18" w:rsidRPr="00A21B5C" w:rsidRDefault="00F76D18" w:rsidP="00A21B5C">
      <w:pPr>
        <w:pStyle w:val="Textonotapie"/>
        <w:contextualSpacing/>
        <w:jc w:val="both"/>
        <w:rPr>
          <w:rFonts w:ascii="Arial" w:hAnsi="Arial" w:cs="Arial"/>
          <w:i/>
          <w:sz w:val="22"/>
          <w:szCs w:val="22"/>
          <w:lang w:val="es-CO"/>
        </w:rPr>
      </w:pPr>
    </w:p>
    <w:p w:rsidR="00F76D18" w:rsidRPr="00A21B5C" w:rsidRDefault="00F76D18" w:rsidP="00A21B5C">
      <w:pPr>
        <w:pStyle w:val="Textonotapie"/>
        <w:contextualSpacing/>
        <w:jc w:val="both"/>
        <w:rPr>
          <w:rFonts w:ascii="Arial" w:hAnsi="Arial" w:cs="Arial"/>
          <w:b/>
          <w:bCs/>
          <w:iCs/>
          <w:sz w:val="22"/>
          <w:szCs w:val="22"/>
          <w:lang w:val="es-CO"/>
        </w:rPr>
      </w:pPr>
      <w:r w:rsidRPr="00A21B5C">
        <w:rPr>
          <w:rFonts w:ascii="Arial" w:hAnsi="Arial" w:cs="Arial"/>
          <w:b/>
          <w:bCs/>
          <w:iCs/>
          <w:sz w:val="22"/>
          <w:szCs w:val="22"/>
          <w:lang w:val="es-CO"/>
        </w:rPr>
        <w:t>Recomendación:</w:t>
      </w:r>
    </w:p>
    <w:p w:rsidR="00F76D18" w:rsidRPr="00A21B5C" w:rsidRDefault="00F76D18" w:rsidP="00A21B5C">
      <w:pPr>
        <w:pStyle w:val="Textonotapie"/>
        <w:contextualSpacing/>
        <w:jc w:val="both"/>
        <w:rPr>
          <w:rFonts w:ascii="Arial" w:hAnsi="Arial" w:cs="Arial"/>
          <w:b/>
          <w:bCs/>
          <w:iCs/>
          <w:sz w:val="22"/>
          <w:szCs w:val="22"/>
          <w:lang w:val="es-CO"/>
        </w:rPr>
      </w:pPr>
    </w:p>
    <w:p w:rsidR="00F636D1" w:rsidRPr="00A21B5C" w:rsidRDefault="00753E49" w:rsidP="00A21B5C">
      <w:pPr>
        <w:contextualSpacing/>
        <w:jc w:val="both"/>
        <w:rPr>
          <w:rFonts w:ascii="Arial" w:hAnsi="Arial" w:cs="Arial"/>
          <w:sz w:val="22"/>
          <w:szCs w:val="22"/>
          <w:lang w:val="es-CO"/>
        </w:rPr>
      </w:pPr>
      <w:r w:rsidRPr="00A21B5C">
        <w:rPr>
          <w:rFonts w:ascii="Arial" w:hAnsi="Arial" w:cs="Arial"/>
          <w:sz w:val="22"/>
          <w:szCs w:val="22"/>
          <w:lang w:val="es-CO"/>
        </w:rPr>
        <w:t xml:space="preserve">De cara a esta situación de riesgo identificada se recomienda </w:t>
      </w:r>
      <w:r w:rsidR="00DD2D38" w:rsidRPr="00A21B5C">
        <w:rPr>
          <w:rFonts w:ascii="Arial" w:hAnsi="Arial" w:cs="Arial"/>
          <w:sz w:val="22"/>
          <w:szCs w:val="22"/>
          <w:lang w:val="es-CO"/>
        </w:rPr>
        <w:t>a la Entidad</w:t>
      </w:r>
      <w:r w:rsidR="001F6454" w:rsidRPr="00A21B5C">
        <w:rPr>
          <w:rFonts w:ascii="Arial" w:hAnsi="Arial" w:cs="Arial"/>
          <w:sz w:val="22"/>
          <w:szCs w:val="22"/>
          <w:lang w:val="es-CO"/>
        </w:rPr>
        <w:t xml:space="preserve"> que, en primer lugar</w:t>
      </w:r>
      <w:r w:rsidR="00DD2D38" w:rsidRPr="00A21B5C">
        <w:rPr>
          <w:rFonts w:ascii="Arial" w:hAnsi="Arial" w:cs="Arial"/>
          <w:sz w:val="22"/>
          <w:szCs w:val="22"/>
          <w:lang w:val="es-CO"/>
        </w:rPr>
        <w:t xml:space="preserve"> consult</w:t>
      </w:r>
      <w:r w:rsidR="001F6454" w:rsidRPr="00A21B5C">
        <w:rPr>
          <w:rFonts w:ascii="Arial" w:hAnsi="Arial" w:cs="Arial"/>
          <w:sz w:val="22"/>
          <w:szCs w:val="22"/>
          <w:lang w:val="es-CO"/>
        </w:rPr>
        <w:t>e</w:t>
      </w:r>
      <w:r w:rsidR="00DD2D38" w:rsidRPr="00A21B5C">
        <w:rPr>
          <w:rFonts w:ascii="Arial" w:hAnsi="Arial" w:cs="Arial"/>
          <w:sz w:val="22"/>
          <w:szCs w:val="22"/>
          <w:lang w:val="es-CO"/>
        </w:rPr>
        <w:t xml:space="preserve"> las normas contables vigentes para las Entidades Territoriales, particularmente la Resolución 533 de 2015 de la Contaduría General de la Nación - CGN, “</w:t>
      </w:r>
      <w:r w:rsidR="00DD2D38" w:rsidRPr="00A21B5C">
        <w:rPr>
          <w:rFonts w:ascii="Arial" w:hAnsi="Arial" w:cs="Arial"/>
          <w:i/>
          <w:iCs/>
          <w:sz w:val="22"/>
          <w:szCs w:val="22"/>
          <w:lang w:val="es-CO"/>
        </w:rPr>
        <w:t>Por medio de la cual se incorpora, en el Régimen de Contabilidad Pública , el marco normativo aplicable a entidades de gobierno y se dictan otras disposiciones</w:t>
      </w:r>
      <w:r w:rsidR="00DD2D38" w:rsidRPr="00A21B5C">
        <w:rPr>
          <w:rFonts w:ascii="Arial" w:hAnsi="Arial" w:cs="Arial"/>
          <w:sz w:val="22"/>
          <w:szCs w:val="22"/>
          <w:lang w:val="es-CO"/>
        </w:rPr>
        <w:t>”, el cual está conformado por el Marco Conceptual para la Preparación y Presentación de Información Financiera; las Normas para el Reconocimiento, Medición, Revelación y Presentación de los Hechos Económicos; los Procedimientos Contables; las Guías de Aplicación; el Catálogo General de Cuentas; y la Doctrina Contable Pública</w:t>
      </w:r>
      <w:r w:rsidR="00761249" w:rsidRPr="00A21B5C">
        <w:rPr>
          <w:rFonts w:ascii="Arial" w:hAnsi="Arial" w:cs="Arial"/>
          <w:sz w:val="22"/>
          <w:szCs w:val="22"/>
          <w:lang w:val="es-CO"/>
        </w:rPr>
        <w:t xml:space="preserve">, con el fin de </w:t>
      </w:r>
      <w:r w:rsidR="0011628D" w:rsidRPr="00A21B5C">
        <w:rPr>
          <w:rFonts w:ascii="Arial" w:hAnsi="Arial" w:cs="Arial"/>
          <w:sz w:val="22"/>
          <w:szCs w:val="22"/>
          <w:lang w:val="es-CO"/>
        </w:rPr>
        <w:t>obtener claridades sobre el adecuado</w:t>
      </w:r>
      <w:r w:rsidRPr="00A21B5C">
        <w:rPr>
          <w:rFonts w:ascii="Arial" w:hAnsi="Arial" w:cs="Arial"/>
          <w:sz w:val="22"/>
          <w:szCs w:val="22"/>
          <w:lang w:val="es-CO"/>
        </w:rPr>
        <w:t xml:space="preserve"> manejo contable de los recursos de la AESGPRI</w:t>
      </w:r>
      <w:r w:rsidR="00CF3475" w:rsidRPr="00A21B5C">
        <w:rPr>
          <w:rFonts w:ascii="Arial" w:hAnsi="Arial" w:cs="Arial"/>
          <w:sz w:val="22"/>
          <w:szCs w:val="22"/>
          <w:lang w:val="es-CO"/>
        </w:rPr>
        <w:t>.</w:t>
      </w:r>
      <w:r w:rsidR="00D45458" w:rsidRPr="00A21B5C">
        <w:rPr>
          <w:rFonts w:ascii="Arial" w:hAnsi="Arial" w:cs="Arial"/>
          <w:sz w:val="22"/>
          <w:szCs w:val="22"/>
          <w:lang w:val="es-CO"/>
        </w:rPr>
        <w:t xml:space="preserve"> </w:t>
      </w:r>
      <w:r w:rsidR="008D6E46" w:rsidRPr="00A21B5C">
        <w:rPr>
          <w:rFonts w:ascii="Arial" w:hAnsi="Arial" w:cs="Arial"/>
          <w:sz w:val="22"/>
          <w:szCs w:val="22"/>
          <w:lang w:val="es-CO"/>
        </w:rPr>
        <w:t>E</w:t>
      </w:r>
      <w:r w:rsidR="00D45458" w:rsidRPr="00A21B5C">
        <w:rPr>
          <w:rFonts w:ascii="Arial" w:hAnsi="Arial" w:cs="Arial"/>
          <w:sz w:val="22"/>
          <w:szCs w:val="22"/>
          <w:lang w:val="es-CO"/>
        </w:rPr>
        <w:t>n segundo lugar, y</w:t>
      </w:r>
      <w:r w:rsidR="0011628D" w:rsidRPr="00A21B5C">
        <w:rPr>
          <w:rFonts w:ascii="Arial" w:hAnsi="Arial" w:cs="Arial"/>
          <w:sz w:val="22"/>
          <w:szCs w:val="22"/>
          <w:lang w:val="es-CO"/>
        </w:rPr>
        <w:t xml:space="preserve"> </w:t>
      </w:r>
      <w:r w:rsidR="008D6E46" w:rsidRPr="00A21B5C">
        <w:rPr>
          <w:rFonts w:ascii="Arial" w:hAnsi="Arial" w:cs="Arial"/>
          <w:sz w:val="22"/>
          <w:szCs w:val="22"/>
          <w:lang w:val="es-CO"/>
        </w:rPr>
        <w:t xml:space="preserve">con el objetivo de que los ajustes </w:t>
      </w:r>
      <w:r w:rsidR="0011628D" w:rsidRPr="00A21B5C">
        <w:rPr>
          <w:rFonts w:ascii="Arial" w:hAnsi="Arial" w:cs="Arial"/>
          <w:sz w:val="22"/>
          <w:szCs w:val="22"/>
          <w:lang w:val="es-CO"/>
        </w:rPr>
        <w:t>a la normativa contable vigente</w:t>
      </w:r>
      <w:r w:rsidR="008D6E46" w:rsidRPr="00A21B5C">
        <w:rPr>
          <w:rFonts w:ascii="Arial" w:hAnsi="Arial" w:cs="Arial"/>
          <w:sz w:val="22"/>
          <w:szCs w:val="22"/>
          <w:lang w:val="es-CO"/>
        </w:rPr>
        <w:t xml:space="preserve"> se materialicen a corto y largo plazo, se recomienda </w:t>
      </w:r>
      <w:r w:rsidR="00E56F3A" w:rsidRPr="00A21B5C">
        <w:rPr>
          <w:rFonts w:ascii="Arial" w:hAnsi="Arial" w:cs="Arial"/>
          <w:sz w:val="22"/>
          <w:szCs w:val="22"/>
          <w:lang w:val="es-CO"/>
        </w:rPr>
        <w:t>a</w:t>
      </w:r>
      <w:r w:rsidR="008D6E46" w:rsidRPr="00A21B5C">
        <w:rPr>
          <w:rFonts w:ascii="Arial" w:hAnsi="Arial" w:cs="Arial"/>
          <w:sz w:val="22"/>
          <w:szCs w:val="22"/>
          <w:lang w:val="es-CO"/>
        </w:rPr>
        <w:t>l Municipio documentar y socializar con los funcionarios involucrados</w:t>
      </w:r>
      <w:r w:rsidR="00E56F3A" w:rsidRPr="00A21B5C">
        <w:rPr>
          <w:rFonts w:ascii="Arial" w:hAnsi="Arial" w:cs="Arial"/>
          <w:sz w:val="22"/>
          <w:szCs w:val="22"/>
          <w:lang w:val="es-CO"/>
        </w:rPr>
        <w:t xml:space="preserve"> </w:t>
      </w:r>
      <w:r w:rsidR="00F73062" w:rsidRPr="00A21B5C">
        <w:rPr>
          <w:rFonts w:ascii="Arial" w:hAnsi="Arial" w:cs="Arial"/>
          <w:sz w:val="22"/>
          <w:szCs w:val="22"/>
          <w:lang w:val="es-CO"/>
        </w:rPr>
        <w:t>el procedimiento</w:t>
      </w:r>
      <w:r w:rsidR="008342F0" w:rsidRPr="00A21B5C">
        <w:rPr>
          <w:rFonts w:ascii="Arial" w:hAnsi="Arial" w:cs="Arial"/>
          <w:sz w:val="22"/>
          <w:szCs w:val="22"/>
          <w:lang w:val="es-CO"/>
        </w:rPr>
        <w:t xml:space="preserve"> que debe seguirse para el adecuado </w:t>
      </w:r>
      <w:r w:rsidR="00D9492B" w:rsidRPr="00A21B5C">
        <w:rPr>
          <w:rFonts w:ascii="Arial" w:hAnsi="Arial" w:cs="Arial"/>
          <w:sz w:val="22"/>
          <w:szCs w:val="22"/>
          <w:lang w:val="es-CO"/>
        </w:rPr>
        <w:t>registro contable</w:t>
      </w:r>
      <w:r w:rsidRPr="00A21B5C">
        <w:rPr>
          <w:rFonts w:ascii="Arial" w:hAnsi="Arial" w:cs="Arial"/>
          <w:sz w:val="22"/>
          <w:szCs w:val="22"/>
          <w:lang w:val="es-CO"/>
        </w:rPr>
        <w:t xml:space="preserve"> de los recursos </w:t>
      </w:r>
      <w:r w:rsidR="00F636D1" w:rsidRPr="00A21B5C">
        <w:rPr>
          <w:rFonts w:ascii="Arial" w:hAnsi="Arial" w:cs="Arial"/>
          <w:sz w:val="22"/>
          <w:szCs w:val="22"/>
          <w:lang w:val="es-CO"/>
        </w:rPr>
        <w:t xml:space="preserve">de la AESGPRI, </w:t>
      </w:r>
      <w:r w:rsidR="00E56F3A" w:rsidRPr="00A21B5C">
        <w:rPr>
          <w:rFonts w:ascii="Arial" w:hAnsi="Arial" w:cs="Arial"/>
          <w:sz w:val="22"/>
          <w:szCs w:val="22"/>
          <w:lang w:val="es-CO"/>
        </w:rPr>
        <w:t>procedimiento que</w:t>
      </w:r>
      <w:r w:rsidR="00F636D1" w:rsidRPr="00A21B5C">
        <w:rPr>
          <w:rFonts w:ascii="Arial" w:hAnsi="Arial" w:cs="Arial"/>
          <w:sz w:val="22"/>
          <w:szCs w:val="22"/>
          <w:lang w:val="es-CO"/>
        </w:rPr>
        <w:t xml:space="preserve"> debe recoger: </w:t>
      </w:r>
    </w:p>
    <w:p w:rsidR="00F636D1" w:rsidRPr="00A21B5C" w:rsidRDefault="00F636D1" w:rsidP="00A21B5C">
      <w:pPr>
        <w:contextualSpacing/>
        <w:jc w:val="both"/>
        <w:rPr>
          <w:rFonts w:ascii="Arial" w:hAnsi="Arial" w:cs="Arial"/>
          <w:sz w:val="22"/>
          <w:szCs w:val="22"/>
          <w:lang w:val="es-CO"/>
        </w:rPr>
      </w:pPr>
    </w:p>
    <w:p w:rsidR="00753E49" w:rsidRPr="00A21B5C" w:rsidRDefault="009C72A9">
      <w:pPr>
        <w:pStyle w:val="Prrafodelista"/>
        <w:numPr>
          <w:ilvl w:val="0"/>
          <w:numId w:val="5"/>
        </w:numPr>
        <w:ind w:left="426" w:hanging="284"/>
        <w:jc w:val="both"/>
        <w:rPr>
          <w:rFonts w:ascii="Arial" w:hAnsi="Arial" w:cs="Arial"/>
          <w:sz w:val="22"/>
          <w:szCs w:val="22"/>
          <w:lang w:val="es-CO"/>
        </w:rPr>
      </w:pPr>
      <w:r w:rsidRPr="00A21B5C">
        <w:rPr>
          <w:rFonts w:ascii="Arial" w:hAnsi="Arial" w:cs="Arial"/>
          <w:sz w:val="22"/>
          <w:szCs w:val="22"/>
          <w:lang w:val="es-CO"/>
        </w:rPr>
        <w:t>El r</w:t>
      </w:r>
      <w:r w:rsidR="00CA6616" w:rsidRPr="00A21B5C">
        <w:rPr>
          <w:rFonts w:ascii="Arial" w:hAnsi="Arial" w:cs="Arial"/>
          <w:sz w:val="22"/>
          <w:szCs w:val="22"/>
          <w:lang w:val="es-CO"/>
        </w:rPr>
        <w:t>econocimiento inicial de la distribución de las transferencias administradas por la Entidad Territorial</w:t>
      </w:r>
      <w:r w:rsidR="00D9492B" w:rsidRPr="00A21B5C">
        <w:rPr>
          <w:rFonts w:ascii="Arial" w:hAnsi="Arial" w:cs="Arial"/>
          <w:sz w:val="22"/>
          <w:szCs w:val="22"/>
          <w:lang w:val="es-CO"/>
        </w:rPr>
        <w:t>.</w:t>
      </w:r>
    </w:p>
    <w:p w:rsidR="007C4058" w:rsidRPr="00A21B5C" w:rsidRDefault="007C4058" w:rsidP="00A21B5C">
      <w:pPr>
        <w:pStyle w:val="Prrafodelista"/>
        <w:ind w:left="426"/>
        <w:jc w:val="both"/>
        <w:rPr>
          <w:rFonts w:ascii="Arial" w:hAnsi="Arial" w:cs="Arial"/>
          <w:sz w:val="22"/>
          <w:szCs w:val="22"/>
          <w:lang w:val="es-CO"/>
        </w:rPr>
      </w:pPr>
    </w:p>
    <w:p w:rsidR="00CA6616" w:rsidRPr="00A21B5C" w:rsidRDefault="00D9492B">
      <w:pPr>
        <w:pStyle w:val="Prrafodelista"/>
        <w:numPr>
          <w:ilvl w:val="0"/>
          <w:numId w:val="5"/>
        </w:numPr>
        <w:ind w:left="426" w:hanging="284"/>
        <w:jc w:val="both"/>
        <w:rPr>
          <w:rFonts w:ascii="Arial" w:hAnsi="Arial" w:cs="Arial"/>
          <w:sz w:val="22"/>
          <w:szCs w:val="22"/>
          <w:lang w:val="es-CO"/>
        </w:rPr>
      </w:pPr>
      <w:r w:rsidRPr="00A21B5C">
        <w:rPr>
          <w:rFonts w:ascii="Arial" w:hAnsi="Arial" w:cs="Arial"/>
          <w:sz w:val="22"/>
          <w:szCs w:val="22"/>
          <w:lang w:val="es-CO"/>
        </w:rPr>
        <w:t>El r</w:t>
      </w:r>
      <w:r w:rsidR="00CA6616" w:rsidRPr="00A21B5C">
        <w:rPr>
          <w:rFonts w:ascii="Arial" w:hAnsi="Arial" w:cs="Arial"/>
          <w:sz w:val="22"/>
          <w:szCs w:val="22"/>
          <w:lang w:val="es-CO"/>
        </w:rPr>
        <w:t xml:space="preserve">econocimiento </w:t>
      </w:r>
      <w:r w:rsidR="0005275E" w:rsidRPr="00A21B5C">
        <w:rPr>
          <w:rFonts w:ascii="Arial" w:hAnsi="Arial" w:cs="Arial"/>
          <w:sz w:val="22"/>
          <w:szCs w:val="22"/>
          <w:lang w:val="es-CO"/>
        </w:rPr>
        <w:t xml:space="preserve">oportuno </w:t>
      </w:r>
      <w:r w:rsidR="00CA6616" w:rsidRPr="00A21B5C">
        <w:rPr>
          <w:rFonts w:ascii="Arial" w:hAnsi="Arial" w:cs="Arial"/>
          <w:sz w:val="22"/>
          <w:szCs w:val="22"/>
          <w:lang w:val="es-CO"/>
        </w:rPr>
        <w:t>del recaudo de las doceavas en las transferencias administradas por Entidad Territorial</w:t>
      </w:r>
      <w:r w:rsidR="00E56F3A" w:rsidRPr="00A21B5C">
        <w:rPr>
          <w:rFonts w:ascii="Arial" w:hAnsi="Arial" w:cs="Arial"/>
          <w:sz w:val="22"/>
          <w:szCs w:val="22"/>
          <w:lang w:val="es-CO"/>
        </w:rPr>
        <w:t>.</w:t>
      </w:r>
    </w:p>
    <w:p w:rsidR="007C4058" w:rsidRPr="00A21B5C" w:rsidRDefault="007C4058" w:rsidP="00A21B5C">
      <w:pPr>
        <w:pStyle w:val="Prrafodelista"/>
        <w:ind w:left="426"/>
        <w:jc w:val="both"/>
        <w:rPr>
          <w:rFonts w:ascii="Arial" w:hAnsi="Arial" w:cs="Arial"/>
          <w:sz w:val="22"/>
          <w:szCs w:val="22"/>
          <w:lang w:val="es-CO"/>
        </w:rPr>
      </w:pPr>
    </w:p>
    <w:p w:rsidR="009C72A9" w:rsidRPr="00A21B5C" w:rsidRDefault="00D9492B">
      <w:pPr>
        <w:pStyle w:val="Prrafodelista"/>
        <w:numPr>
          <w:ilvl w:val="0"/>
          <w:numId w:val="5"/>
        </w:numPr>
        <w:ind w:left="426" w:hanging="284"/>
        <w:jc w:val="both"/>
        <w:rPr>
          <w:rFonts w:ascii="Arial" w:hAnsi="Arial" w:cs="Arial"/>
          <w:sz w:val="22"/>
          <w:szCs w:val="22"/>
          <w:lang w:val="es-CO"/>
        </w:rPr>
      </w:pPr>
      <w:r w:rsidRPr="00A21B5C">
        <w:rPr>
          <w:rFonts w:ascii="Arial" w:hAnsi="Arial" w:cs="Arial"/>
          <w:sz w:val="22"/>
          <w:szCs w:val="22"/>
          <w:lang w:val="es-CO"/>
        </w:rPr>
        <w:t>El r</w:t>
      </w:r>
      <w:r w:rsidR="009C72A9" w:rsidRPr="00A21B5C">
        <w:rPr>
          <w:rFonts w:ascii="Arial" w:hAnsi="Arial" w:cs="Arial"/>
          <w:sz w:val="22"/>
          <w:szCs w:val="22"/>
          <w:lang w:val="es-CO"/>
        </w:rPr>
        <w:t>econocimiento en la ejecución de los recursos</w:t>
      </w:r>
      <w:r w:rsidR="00E56F3A" w:rsidRPr="00A21B5C">
        <w:rPr>
          <w:rFonts w:ascii="Arial" w:hAnsi="Arial" w:cs="Arial"/>
          <w:sz w:val="22"/>
          <w:szCs w:val="22"/>
          <w:lang w:val="es-CO"/>
        </w:rPr>
        <w:t>.</w:t>
      </w:r>
    </w:p>
    <w:p w:rsidR="007C4058" w:rsidRPr="00A21B5C" w:rsidRDefault="007C4058" w:rsidP="00A21B5C">
      <w:pPr>
        <w:pStyle w:val="Prrafodelista"/>
        <w:ind w:left="426"/>
        <w:jc w:val="both"/>
        <w:rPr>
          <w:rFonts w:ascii="Arial" w:hAnsi="Arial" w:cs="Arial"/>
          <w:sz w:val="22"/>
          <w:szCs w:val="22"/>
          <w:lang w:val="es-CO"/>
        </w:rPr>
      </w:pPr>
    </w:p>
    <w:p w:rsidR="00CA6616" w:rsidRPr="00A21B5C" w:rsidRDefault="00D9492B">
      <w:pPr>
        <w:pStyle w:val="Prrafodelista"/>
        <w:numPr>
          <w:ilvl w:val="0"/>
          <w:numId w:val="5"/>
        </w:numPr>
        <w:ind w:left="426" w:hanging="284"/>
        <w:jc w:val="both"/>
        <w:rPr>
          <w:rFonts w:ascii="Arial" w:hAnsi="Arial" w:cs="Arial"/>
          <w:sz w:val="22"/>
          <w:szCs w:val="22"/>
          <w:lang w:val="es-CO"/>
        </w:rPr>
      </w:pPr>
      <w:r w:rsidRPr="00A21B5C">
        <w:rPr>
          <w:rFonts w:ascii="Arial" w:hAnsi="Arial" w:cs="Arial"/>
          <w:sz w:val="22"/>
          <w:szCs w:val="22"/>
          <w:lang w:val="es-CO"/>
        </w:rPr>
        <w:t>El r</w:t>
      </w:r>
      <w:r w:rsidR="00CA6616" w:rsidRPr="00A21B5C">
        <w:rPr>
          <w:rFonts w:ascii="Arial" w:hAnsi="Arial" w:cs="Arial"/>
          <w:sz w:val="22"/>
          <w:szCs w:val="22"/>
          <w:lang w:val="es-CO"/>
        </w:rPr>
        <w:t>econocimiento en el pago por ejecución de los recursos</w:t>
      </w:r>
      <w:r w:rsidR="00E56F3A" w:rsidRPr="00A21B5C">
        <w:rPr>
          <w:rFonts w:ascii="Arial" w:hAnsi="Arial" w:cs="Arial"/>
          <w:sz w:val="22"/>
          <w:szCs w:val="22"/>
          <w:lang w:val="es-CO"/>
        </w:rPr>
        <w:t>.</w:t>
      </w:r>
    </w:p>
    <w:p w:rsidR="00D571DF" w:rsidRPr="00A21B5C" w:rsidRDefault="00D571DF" w:rsidP="00A21B5C">
      <w:pPr>
        <w:contextualSpacing/>
        <w:jc w:val="both"/>
        <w:rPr>
          <w:rFonts w:ascii="Arial" w:hAnsi="Arial" w:cs="Arial"/>
          <w:sz w:val="22"/>
          <w:szCs w:val="22"/>
          <w:lang w:val="es-CO"/>
        </w:rPr>
      </w:pPr>
    </w:p>
    <w:p w:rsidR="008C2E4A" w:rsidRPr="00A21B5C" w:rsidRDefault="008C2E4A" w:rsidP="00A21B5C">
      <w:pPr>
        <w:pStyle w:val="Textoindependiente2"/>
        <w:numPr>
          <w:ilvl w:val="0"/>
          <w:numId w:val="21"/>
        </w:numPr>
        <w:contextualSpacing/>
        <w:rPr>
          <w:rFonts w:cs="Arial"/>
          <w:b/>
          <w:bCs/>
          <w:sz w:val="22"/>
          <w:szCs w:val="22"/>
          <w:lang w:val="es-CO"/>
        </w:rPr>
      </w:pPr>
      <w:r w:rsidRPr="00A21B5C">
        <w:rPr>
          <w:rFonts w:cs="Arial"/>
          <w:b/>
          <w:bCs/>
          <w:sz w:val="22"/>
          <w:szCs w:val="22"/>
          <w:lang w:val="es-CO"/>
        </w:rPr>
        <w:t>No publicación de los expedientes contractuales adelantados en administración de los recursos AESGPRI.</w:t>
      </w:r>
    </w:p>
    <w:p w:rsidR="008C2E4A" w:rsidRPr="00A21B5C" w:rsidRDefault="008C2E4A" w:rsidP="00A21B5C">
      <w:pPr>
        <w:contextualSpacing/>
        <w:rPr>
          <w:rFonts w:ascii="Arial" w:eastAsia="Times New Roman" w:hAnsi="Arial" w:cs="Arial"/>
          <w:b/>
          <w:i/>
          <w:sz w:val="22"/>
          <w:szCs w:val="22"/>
          <w:lang w:val="es-CO"/>
        </w:rPr>
      </w:pPr>
    </w:p>
    <w:p w:rsidR="008C2E4A" w:rsidRPr="00A21B5C" w:rsidRDefault="008C2E4A" w:rsidP="00A21B5C">
      <w:pPr>
        <w:contextualSpacing/>
        <w:jc w:val="both"/>
        <w:rPr>
          <w:rFonts w:ascii="Arial" w:eastAsia="Calibri" w:hAnsi="Arial" w:cs="Arial"/>
          <w:i/>
          <w:sz w:val="22"/>
          <w:szCs w:val="22"/>
          <w:lang w:val="es-CO" w:eastAsia="en-US"/>
        </w:rPr>
      </w:pPr>
      <w:r w:rsidRPr="00A21B5C">
        <w:rPr>
          <w:rFonts w:ascii="Arial" w:eastAsia="Calibri" w:hAnsi="Arial" w:cs="Arial"/>
          <w:sz w:val="22"/>
          <w:szCs w:val="22"/>
          <w:lang w:val="es-CO" w:eastAsia="en-US"/>
        </w:rPr>
        <w:t>El artículo 2.1.1.2.1.7</w:t>
      </w:r>
      <w:r w:rsidRPr="00A21B5C">
        <w:rPr>
          <w:rFonts w:ascii="Arial" w:hAnsi="Arial" w:cs="Arial"/>
          <w:sz w:val="22"/>
          <w:szCs w:val="22"/>
          <w:lang w:val="es-CO"/>
        </w:rPr>
        <w:t xml:space="preserve"> </w:t>
      </w:r>
      <w:r w:rsidRPr="00A21B5C">
        <w:rPr>
          <w:rFonts w:ascii="Arial" w:eastAsia="Calibri" w:hAnsi="Arial" w:cs="Arial"/>
          <w:sz w:val="22"/>
          <w:szCs w:val="22"/>
          <w:lang w:val="es-CO" w:eastAsia="en-US"/>
        </w:rPr>
        <w:t>del Decreto 1081 de 2015,</w:t>
      </w:r>
      <w:r w:rsidRPr="00A21B5C">
        <w:rPr>
          <w:rFonts w:ascii="Arial" w:eastAsia="Calibri" w:hAnsi="Arial" w:cs="Arial"/>
          <w:i/>
          <w:sz w:val="22"/>
          <w:szCs w:val="22"/>
          <w:lang w:val="es-CO" w:eastAsia="en-US"/>
        </w:rPr>
        <w:t xml:space="preserve"> </w:t>
      </w:r>
      <w:r w:rsidRPr="00A21B5C">
        <w:rPr>
          <w:rFonts w:ascii="Arial" w:eastAsia="Calibri" w:hAnsi="Arial" w:cs="Arial"/>
          <w:sz w:val="22"/>
          <w:szCs w:val="22"/>
          <w:lang w:val="es-CO" w:eastAsia="en-US"/>
        </w:rPr>
        <w:t>referente a la publicación de la información contractual</w:t>
      </w:r>
      <w:r w:rsidRPr="00A21B5C">
        <w:rPr>
          <w:rFonts w:ascii="Arial" w:eastAsia="Calibri" w:hAnsi="Arial" w:cs="Arial"/>
          <w:i/>
          <w:sz w:val="22"/>
          <w:szCs w:val="22"/>
          <w:lang w:val="es-CO" w:eastAsia="en-US"/>
        </w:rPr>
        <w:t xml:space="preserve">, </w:t>
      </w:r>
      <w:r w:rsidRPr="00A21B5C">
        <w:rPr>
          <w:rFonts w:ascii="Arial" w:eastAsia="Calibri" w:hAnsi="Arial" w:cs="Arial"/>
          <w:sz w:val="22"/>
          <w:szCs w:val="22"/>
          <w:lang w:val="es-CO" w:eastAsia="en-US"/>
        </w:rPr>
        <w:t>establece que</w:t>
      </w:r>
      <w:r w:rsidRPr="00A21B5C">
        <w:rPr>
          <w:rFonts w:ascii="Arial" w:eastAsia="Calibri" w:hAnsi="Arial" w:cs="Arial"/>
          <w:i/>
          <w:sz w:val="22"/>
          <w:szCs w:val="22"/>
          <w:lang w:val="es-CO" w:eastAsia="en-US"/>
        </w:rPr>
        <w:t xml:space="preserve"> “de conformidad con el literal (c) del artículo 3° de la Ley 1150 de 2007, el sistema de información del Estado en el cual los sujetos obligados que contratan con cargo a recursos públicos deben cumplir la obligación de publicar la información de su gestión contractual es el Sistema Electrónico para la Contratación Pública (SECOP). Los sujetos obligados que contratan con cargo a recursos públicos deben publicar la información de su gestión contractual en el plazo previsto en el artículo 19 del Decreto 1510 de 2013, o el que lo modifique, sustituya o adicione</w:t>
      </w:r>
      <w:r w:rsidRPr="00A21B5C">
        <w:rPr>
          <w:rFonts w:ascii="Arial" w:eastAsia="Calibri" w:hAnsi="Arial" w:cs="Arial"/>
          <w:sz w:val="22"/>
          <w:szCs w:val="22"/>
          <w:lang w:val="es-CO" w:eastAsia="en-US"/>
        </w:rPr>
        <w:t xml:space="preserve"> [artículo </w:t>
      </w:r>
      <w:r w:rsidRPr="00A21B5C">
        <w:rPr>
          <w:rFonts w:ascii="Arial" w:eastAsia="Times New Roman" w:hAnsi="Arial" w:cs="Arial"/>
          <w:sz w:val="22"/>
          <w:szCs w:val="22"/>
          <w:lang w:val="es-CO"/>
        </w:rPr>
        <w:t>2.2.1.1.1.7.1 del Decreto 1082 de 2015]</w:t>
      </w:r>
      <w:r w:rsidRPr="00A21B5C">
        <w:rPr>
          <w:rFonts w:ascii="Arial" w:eastAsia="Calibri" w:hAnsi="Arial" w:cs="Arial"/>
          <w:i/>
          <w:sz w:val="22"/>
          <w:szCs w:val="22"/>
          <w:lang w:val="es-CO" w:eastAsia="en-US"/>
        </w:rPr>
        <w:t>. Los sujetos obligados que contratan con recursos públicos y recursos privados, deben publicar la información de su gestión contractual con cargo a recursos públicos en el Sistema Electrónico para la Contratación Pública (SECOP)”.</w:t>
      </w:r>
    </w:p>
    <w:p w:rsidR="008C2E4A" w:rsidRPr="00A21B5C" w:rsidRDefault="008C2E4A" w:rsidP="00A21B5C">
      <w:pPr>
        <w:contextualSpacing/>
        <w:jc w:val="both"/>
        <w:rPr>
          <w:rFonts w:ascii="Arial" w:eastAsia="Calibri" w:hAnsi="Arial" w:cs="Arial"/>
          <w:i/>
          <w:sz w:val="22"/>
          <w:szCs w:val="22"/>
          <w:lang w:val="es-CO" w:eastAsia="en-US"/>
        </w:rPr>
      </w:pPr>
    </w:p>
    <w:p w:rsidR="008C2E4A" w:rsidRPr="00A21B5C" w:rsidRDefault="008C2E4A" w:rsidP="00A21B5C">
      <w:pPr>
        <w:contextualSpacing/>
        <w:jc w:val="both"/>
        <w:rPr>
          <w:rFonts w:ascii="Arial" w:hAnsi="Arial" w:cs="Arial"/>
          <w:i/>
          <w:sz w:val="22"/>
          <w:szCs w:val="22"/>
          <w:lang w:val="es-CO"/>
        </w:rPr>
      </w:pPr>
      <w:r w:rsidRPr="00A21B5C">
        <w:rPr>
          <w:rFonts w:ascii="Arial" w:eastAsia="Times New Roman" w:hAnsi="Arial" w:cs="Arial"/>
          <w:sz w:val="22"/>
          <w:szCs w:val="22"/>
          <w:lang w:val="es-CO"/>
        </w:rPr>
        <w:t>De la misma forma, el artículo 2.1.1.2.1.8 del Decreto 1081 de 2015 demanda que “</w:t>
      </w:r>
      <w:r w:rsidRPr="00A21B5C">
        <w:rPr>
          <w:rFonts w:ascii="Arial" w:eastAsia="Times New Roman" w:hAnsi="Arial" w:cs="Arial"/>
          <w:i/>
          <w:sz w:val="22"/>
          <w:szCs w:val="22"/>
          <w:lang w:val="es-CO"/>
        </w:rPr>
        <w:t>para efectos del cumplimiento de la obligación contenida en el literal g) del artículo 11 de la Ley 1712 de 2014</w:t>
      </w:r>
      <w:r w:rsidRPr="00A21B5C">
        <w:rPr>
          <w:rStyle w:val="Refdenotaalpie"/>
          <w:rFonts w:ascii="Arial" w:eastAsia="Times New Roman" w:hAnsi="Arial" w:cs="Arial"/>
          <w:i/>
          <w:sz w:val="22"/>
          <w:szCs w:val="22"/>
          <w:lang w:val="es-CO"/>
        </w:rPr>
        <w:footnoteReference w:id="58"/>
      </w:r>
      <w:r w:rsidRPr="00A21B5C">
        <w:rPr>
          <w:rFonts w:ascii="Arial" w:eastAsia="Times New Roman" w:hAnsi="Arial" w:cs="Arial"/>
          <w:i/>
          <w:sz w:val="22"/>
          <w:szCs w:val="22"/>
          <w:lang w:val="es-CO"/>
        </w:rPr>
        <w:t>, relativa a la</w:t>
      </w:r>
      <w:r w:rsidRPr="00A21B5C">
        <w:rPr>
          <w:rFonts w:ascii="Arial" w:hAnsi="Arial" w:cs="Arial"/>
          <w:i/>
          <w:sz w:val="22"/>
          <w:szCs w:val="22"/>
          <w:lang w:val="es-CO"/>
        </w:rPr>
        <w:t xml:space="preserve"> información sobre la ejecución de contratos, el sujeto obligado debe publicar las aprobaciones, autorizaciones, requerimientos o informes del supervisor o del interventor, que prueben la ejecución del contrato”.</w:t>
      </w:r>
    </w:p>
    <w:p w:rsidR="008C2E4A" w:rsidRPr="00A21B5C" w:rsidRDefault="008C2E4A" w:rsidP="00A21B5C">
      <w:pPr>
        <w:contextualSpacing/>
        <w:jc w:val="both"/>
        <w:rPr>
          <w:rFonts w:ascii="Arial" w:eastAsia="Times New Roman" w:hAnsi="Arial" w:cs="Arial"/>
          <w:b/>
          <w:i/>
          <w:sz w:val="22"/>
          <w:szCs w:val="22"/>
          <w:lang w:val="es-CO"/>
        </w:rPr>
      </w:pPr>
    </w:p>
    <w:p w:rsidR="008C2E4A" w:rsidRPr="00A21B5C" w:rsidRDefault="008C2E4A" w:rsidP="00A21B5C">
      <w:pPr>
        <w:contextualSpacing/>
        <w:jc w:val="both"/>
        <w:rPr>
          <w:rFonts w:ascii="Arial" w:eastAsia="Times New Roman" w:hAnsi="Arial" w:cs="Arial"/>
          <w:i/>
          <w:sz w:val="22"/>
          <w:szCs w:val="22"/>
          <w:lang w:val="es-CO"/>
        </w:rPr>
      </w:pPr>
      <w:r w:rsidRPr="00A21B5C">
        <w:rPr>
          <w:rFonts w:ascii="Arial" w:eastAsia="Times New Roman" w:hAnsi="Arial" w:cs="Arial"/>
          <w:sz w:val="22"/>
          <w:szCs w:val="22"/>
          <w:lang w:val="es-CO"/>
        </w:rPr>
        <w:t>En relación con la publicación de las actuaciones contractuales en el Sistema Electrónico de Contratación Pública - SECOP, el Decreto 1082 de 2015 establece en el artículo 2.2.1.1.1.7.1. que: “</w:t>
      </w:r>
      <w:r w:rsidRPr="00A21B5C">
        <w:rPr>
          <w:rFonts w:ascii="Arial" w:eastAsia="Times New Roman" w:hAnsi="Arial" w:cs="Arial"/>
          <w:i/>
          <w:sz w:val="22"/>
          <w:szCs w:val="22"/>
          <w:lang w:val="es-CO"/>
        </w:rPr>
        <w:t>La Entidad Estatal está obligada a publicar en el SECOP los Documentos del Proceso y los actos administrativos del Proceso de Contratación, dentro de los tres (3) días siguientes a su expedición […]”.</w:t>
      </w:r>
    </w:p>
    <w:p w:rsidR="008C2E4A" w:rsidRPr="00A21B5C" w:rsidRDefault="008C2E4A" w:rsidP="00A21B5C">
      <w:pPr>
        <w:contextualSpacing/>
        <w:jc w:val="both"/>
        <w:rPr>
          <w:rFonts w:ascii="Arial" w:eastAsia="Times New Roman" w:hAnsi="Arial" w:cs="Arial"/>
          <w:color w:val="000000" w:themeColor="text1"/>
          <w:sz w:val="22"/>
          <w:szCs w:val="22"/>
          <w:lang w:val="es-CO"/>
        </w:rPr>
      </w:pPr>
    </w:p>
    <w:p w:rsidR="008C2E4A" w:rsidRPr="00A21B5C" w:rsidRDefault="008C2E4A" w:rsidP="00A21B5C">
      <w:pPr>
        <w:contextualSpacing/>
        <w:jc w:val="both"/>
        <w:rPr>
          <w:rFonts w:ascii="Arial" w:eastAsia="Times New Roman" w:hAnsi="Arial" w:cs="Arial"/>
          <w:sz w:val="22"/>
          <w:szCs w:val="22"/>
          <w:lang w:val="es-CO"/>
        </w:rPr>
      </w:pPr>
      <w:r w:rsidRPr="00A21B5C">
        <w:rPr>
          <w:rFonts w:ascii="Arial" w:eastAsia="Times New Roman" w:hAnsi="Arial" w:cs="Arial"/>
          <w:sz w:val="22"/>
          <w:szCs w:val="22"/>
          <w:lang w:val="es-CO"/>
        </w:rPr>
        <w:t xml:space="preserve">Con base en estas referencias, </w:t>
      </w:r>
      <w:r w:rsidR="00AB2DE4" w:rsidRPr="00A21B5C">
        <w:rPr>
          <w:rFonts w:ascii="Arial" w:eastAsia="Times New Roman" w:hAnsi="Arial" w:cs="Arial"/>
          <w:sz w:val="22"/>
          <w:szCs w:val="22"/>
          <w:lang w:val="es-CO"/>
        </w:rPr>
        <w:t>se</w:t>
      </w:r>
      <w:r w:rsidRPr="00A21B5C">
        <w:rPr>
          <w:rFonts w:ascii="Arial" w:eastAsia="Times New Roman" w:hAnsi="Arial" w:cs="Arial"/>
          <w:sz w:val="22"/>
          <w:szCs w:val="22"/>
          <w:lang w:val="es-CO"/>
        </w:rPr>
        <w:t xml:space="preserve"> </w:t>
      </w:r>
      <w:r w:rsidR="00AB2DE4" w:rsidRPr="00A21B5C">
        <w:rPr>
          <w:rFonts w:ascii="Arial" w:eastAsia="Times New Roman" w:hAnsi="Arial" w:cs="Arial"/>
          <w:sz w:val="22"/>
          <w:szCs w:val="22"/>
          <w:lang w:val="es-CO"/>
        </w:rPr>
        <w:t xml:space="preserve">inspeccionaron </w:t>
      </w:r>
      <w:r w:rsidRPr="00A21B5C">
        <w:rPr>
          <w:rFonts w:ascii="Arial" w:eastAsia="Times New Roman" w:hAnsi="Arial" w:cs="Arial"/>
          <w:sz w:val="22"/>
          <w:szCs w:val="22"/>
          <w:lang w:val="es-CO"/>
        </w:rPr>
        <w:t>en el SECOP los procesos contractuales publicados por el Municipio de Dibulla – La Guajira durante las vigencias 2016, 2017 y 2018, observando que este no publicó la totalidad de la documentación en los procesos contractuales que adelantó en administración de los recursos AESGPRI</w:t>
      </w:r>
      <w:r w:rsidR="00CA45FC" w:rsidRPr="00A21B5C">
        <w:rPr>
          <w:rFonts w:ascii="Arial" w:eastAsia="Times New Roman" w:hAnsi="Arial" w:cs="Arial"/>
          <w:sz w:val="22"/>
          <w:szCs w:val="22"/>
          <w:lang w:val="es-CO"/>
        </w:rPr>
        <w:t xml:space="preserve">, tal como se detalla en la Tabla Nº </w:t>
      </w:r>
      <w:r w:rsidR="005E5D5C" w:rsidRPr="00A21B5C">
        <w:rPr>
          <w:rFonts w:ascii="Arial" w:eastAsia="Times New Roman" w:hAnsi="Arial" w:cs="Arial"/>
          <w:sz w:val="22"/>
          <w:szCs w:val="22"/>
          <w:lang w:val="es-CO"/>
        </w:rPr>
        <w:t>7</w:t>
      </w:r>
      <w:r w:rsidR="00CA45FC" w:rsidRPr="00A21B5C">
        <w:rPr>
          <w:rFonts w:ascii="Arial" w:eastAsia="Times New Roman" w:hAnsi="Arial" w:cs="Arial"/>
          <w:sz w:val="22"/>
          <w:szCs w:val="22"/>
          <w:lang w:val="es-CO"/>
        </w:rPr>
        <w:t xml:space="preserve"> de este inform</w:t>
      </w:r>
      <w:r w:rsidR="00177767" w:rsidRPr="00A21B5C">
        <w:rPr>
          <w:rFonts w:ascii="Arial" w:eastAsia="Times New Roman" w:hAnsi="Arial" w:cs="Arial"/>
          <w:sz w:val="22"/>
          <w:szCs w:val="22"/>
          <w:lang w:val="es-CO"/>
        </w:rPr>
        <w:t>e.</w:t>
      </w:r>
    </w:p>
    <w:p w:rsidR="00177767" w:rsidRPr="00A21B5C" w:rsidRDefault="00177767" w:rsidP="00A21B5C">
      <w:pPr>
        <w:contextualSpacing/>
        <w:jc w:val="both"/>
        <w:rPr>
          <w:rFonts w:ascii="Arial" w:hAnsi="Arial" w:cs="Arial"/>
          <w:sz w:val="22"/>
          <w:szCs w:val="22"/>
          <w:lang w:val="es-CO"/>
        </w:rPr>
      </w:pPr>
    </w:p>
    <w:p w:rsidR="00177767" w:rsidRPr="00A21B5C" w:rsidRDefault="00177767" w:rsidP="00A21B5C">
      <w:pPr>
        <w:pStyle w:val="Textoindependiente2"/>
        <w:contextualSpacing/>
        <w:rPr>
          <w:rFonts w:cs="Arial"/>
          <w:sz w:val="22"/>
          <w:szCs w:val="22"/>
          <w:lang w:val="es-CO"/>
        </w:rPr>
      </w:pPr>
      <w:r w:rsidRPr="00A21B5C">
        <w:rPr>
          <w:rFonts w:cs="Arial"/>
          <w:sz w:val="22"/>
          <w:szCs w:val="22"/>
          <w:lang w:val="es-CO"/>
        </w:rPr>
        <w:lastRenderedPageBreak/>
        <w:t xml:space="preserve">Así, con esta evidencia, se concluye que el Municipio de Dibulla – La Guajira no publicó toda la información relacionada con los contratos de ejecución, en administración de los recursos AESGPRI, omitiendo con ello, lo ordenado en el artículo 2.1.1.2.1.8 del Decreto 1081 de 2015 y el artículo 11 de la Ley 1712 de 2014, en armonía con el </w:t>
      </w:r>
      <w:r w:rsidR="00AB2DE4" w:rsidRPr="00A21B5C">
        <w:rPr>
          <w:rFonts w:cs="Arial"/>
          <w:sz w:val="22"/>
          <w:szCs w:val="22"/>
          <w:lang w:val="es-CO"/>
        </w:rPr>
        <w:t>P</w:t>
      </w:r>
      <w:r w:rsidRPr="00A21B5C">
        <w:rPr>
          <w:rFonts w:cs="Arial"/>
          <w:sz w:val="22"/>
          <w:szCs w:val="22"/>
          <w:lang w:val="es-CO"/>
        </w:rPr>
        <w:t xml:space="preserve">rincipio de </w:t>
      </w:r>
      <w:r w:rsidR="00AB2DE4" w:rsidRPr="00A21B5C">
        <w:rPr>
          <w:rFonts w:cs="Arial"/>
          <w:sz w:val="22"/>
          <w:szCs w:val="22"/>
          <w:lang w:val="es-CO"/>
        </w:rPr>
        <w:t>T</w:t>
      </w:r>
      <w:r w:rsidRPr="00A21B5C">
        <w:rPr>
          <w:rFonts w:cs="Arial"/>
          <w:sz w:val="22"/>
          <w:szCs w:val="22"/>
          <w:lang w:val="es-CO"/>
        </w:rPr>
        <w:t>ransparencia en la Contratación Pública.</w:t>
      </w:r>
    </w:p>
    <w:p w:rsidR="008C2E4A" w:rsidRPr="00A21B5C" w:rsidRDefault="008C2E4A" w:rsidP="00A21B5C">
      <w:pPr>
        <w:contextualSpacing/>
        <w:jc w:val="both"/>
        <w:rPr>
          <w:rFonts w:ascii="Arial" w:hAnsi="Arial" w:cs="Arial"/>
          <w:sz w:val="22"/>
          <w:szCs w:val="22"/>
          <w:lang w:val="es-CO"/>
        </w:rPr>
      </w:pPr>
    </w:p>
    <w:p w:rsidR="00134F45" w:rsidRPr="00A21B5C" w:rsidRDefault="00134F45" w:rsidP="00A21B5C">
      <w:pPr>
        <w:contextualSpacing/>
        <w:jc w:val="both"/>
        <w:rPr>
          <w:rFonts w:ascii="Arial" w:hAnsi="Arial" w:cs="Arial"/>
          <w:b/>
          <w:bCs/>
          <w:sz w:val="22"/>
          <w:szCs w:val="22"/>
          <w:lang w:val="es-CO"/>
        </w:rPr>
      </w:pPr>
      <w:r w:rsidRPr="00A21B5C">
        <w:rPr>
          <w:rFonts w:ascii="Arial" w:hAnsi="Arial" w:cs="Arial"/>
          <w:b/>
          <w:bCs/>
          <w:sz w:val="22"/>
          <w:szCs w:val="22"/>
          <w:lang w:val="es-CO"/>
        </w:rPr>
        <w:t>Recomendación:</w:t>
      </w:r>
    </w:p>
    <w:p w:rsidR="00134F45" w:rsidRPr="00A21B5C" w:rsidRDefault="00134F45" w:rsidP="00A21B5C">
      <w:pPr>
        <w:contextualSpacing/>
        <w:jc w:val="both"/>
        <w:rPr>
          <w:rFonts w:ascii="Arial" w:hAnsi="Arial" w:cs="Arial"/>
          <w:iCs/>
          <w:sz w:val="22"/>
          <w:szCs w:val="22"/>
          <w:lang w:val="es-CO"/>
        </w:rPr>
      </w:pPr>
    </w:p>
    <w:p w:rsidR="00B24930" w:rsidRPr="00A21B5C" w:rsidRDefault="008D5A6F" w:rsidP="00A21B5C">
      <w:pPr>
        <w:contextualSpacing/>
        <w:jc w:val="both"/>
        <w:rPr>
          <w:rFonts w:ascii="Arial" w:hAnsi="Arial" w:cs="Arial"/>
          <w:bCs/>
          <w:sz w:val="22"/>
          <w:szCs w:val="22"/>
          <w:lang w:val="es-CO"/>
        </w:rPr>
      </w:pPr>
      <w:r w:rsidRPr="00A21B5C">
        <w:rPr>
          <w:rFonts w:ascii="Arial" w:hAnsi="Arial" w:cs="Arial"/>
          <w:bCs/>
          <w:iCs/>
          <w:sz w:val="22"/>
          <w:szCs w:val="22"/>
        </w:rPr>
        <w:t xml:space="preserve">Con el objetivo de </w:t>
      </w:r>
      <w:r w:rsidR="00C916B0" w:rsidRPr="00A21B5C">
        <w:rPr>
          <w:rFonts w:ascii="Arial" w:hAnsi="Arial" w:cs="Arial"/>
          <w:bCs/>
          <w:iCs/>
          <w:sz w:val="22"/>
          <w:szCs w:val="22"/>
        </w:rPr>
        <w:t>f</w:t>
      </w:r>
      <w:r w:rsidR="00B24930" w:rsidRPr="00A21B5C">
        <w:rPr>
          <w:rFonts w:ascii="Arial" w:hAnsi="Arial" w:cs="Arial"/>
          <w:bCs/>
          <w:iCs/>
          <w:sz w:val="22"/>
          <w:szCs w:val="22"/>
        </w:rPr>
        <w:t>ortalecer el proceso de publicación</w:t>
      </w:r>
      <w:r w:rsidR="00C916B0" w:rsidRPr="00A21B5C">
        <w:rPr>
          <w:rFonts w:ascii="Arial" w:hAnsi="Arial" w:cs="Arial"/>
          <w:bCs/>
          <w:iCs/>
          <w:sz w:val="22"/>
          <w:szCs w:val="22"/>
        </w:rPr>
        <w:t xml:space="preserve"> </w:t>
      </w:r>
      <w:r w:rsidR="004C3261" w:rsidRPr="00A21B5C">
        <w:rPr>
          <w:rFonts w:ascii="Arial" w:hAnsi="Arial" w:cs="Arial"/>
          <w:bCs/>
          <w:iCs/>
          <w:sz w:val="22"/>
          <w:szCs w:val="22"/>
        </w:rPr>
        <w:t xml:space="preserve">en el SECOP </w:t>
      </w:r>
      <w:r w:rsidR="00C916B0" w:rsidRPr="00A21B5C">
        <w:rPr>
          <w:rFonts w:ascii="Arial" w:hAnsi="Arial" w:cs="Arial"/>
          <w:bCs/>
          <w:iCs/>
          <w:sz w:val="22"/>
          <w:szCs w:val="22"/>
        </w:rPr>
        <w:t>de los documentos de los procesos contractuales que se adelanten con los recursos de la AESGPRI</w:t>
      </w:r>
      <w:r w:rsidR="00B24930" w:rsidRPr="00A21B5C">
        <w:rPr>
          <w:rFonts w:ascii="Arial" w:hAnsi="Arial" w:cs="Arial"/>
          <w:bCs/>
          <w:iCs/>
          <w:sz w:val="22"/>
          <w:szCs w:val="22"/>
        </w:rPr>
        <w:t xml:space="preserve">, </w:t>
      </w:r>
      <w:r w:rsidR="00052CF3" w:rsidRPr="00A21B5C">
        <w:rPr>
          <w:rFonts w:ascii="Arial" w:hAnsi="Arial" w:cs="Arial"/>
          <w:bCs/>
          <w:iCs/>
          <w:sz w:val="22"/>
          <w:szCs w:val="22"/>
        </w:rPr>
        <w:t>de modo que l</w:t>
      </w:r>
      <w:r w:rsidR="00B24930" w:rsidRPr="00A21B5C">
        <w:rPr>
          <w:rFonts w:ascii="Arial" w:hAnsi="Arial" w:cs="Arial"/>
          <w:bCs/>
          <w:iCs/>
          <w:sz w:val="22"/>
          <w:szCs w:val="22"/>
        </w:rPr>
        <w:t>a Entidad Territorial garantice la transparencia en sus procesos contractuales</w:t>
      </w:r>
      <w:r w:rsidR="00052CF3" w:rsidRPr="00A21B5C">
        <w:rPr>
          <w:rFonts w:ascii="Arial" w:hAnsi="Arial" w:cs="Arial"/>
          <w:bCs/>
          <w:iCs/>
          <w:sz w:val="22"/>
          <w:szCs w:val="22"/>
        </w:rPr>
        <w:t xml:space="preserve">, se recomienda al Municipio </w:t>
      </w:r>
      <w:r w:rsidR="003F6C20" w:rsidRPr="00A21B5C">
        <w:rPr>
          <w:rFonts w:ascii="Arial" w:hAnsi="Arial" w:cs="Arial"/>
          <w:bCs/>
          <w:iCs/>
          <w:sz w:val="22"/>
          <w:szCs w:val="22"/>
        </w:rPr>
        <w:t>que</w:t>
      </w:r>
      <w:r w:rsidR="00F6015F" w:rsidRPr="00A21B5C">
        <w:rPr>
          <w:rFonts w:ascii="Arial" w:hAnsi="Arial" w:cs="Arial"/>
          <w:bCs/>
          <w:iCs/>
          <w:sz w:val="22"/>
          <w:szCs w:val="22"/>
        </w:rPr>
        <w:t xml:space="preserve"> implemente un </w:t>
      </w:r>
      <w:r w:rsidR="00543AA1" w:rsidRPr="00A21B5C">
        <w:rPr>
          <w:rFonts w:ascii="Arial" w:hAnsi="Arial" w:cs="Arial"/>
          <w:bCs/>
          <w:iCs/>
          <w:sz w:val="22"/>
          <w:szCs w:val="22"/>
        </w:rPr>
        <w:t xml:space="preserve">manual </w:t>
      </w:r>
      <w:r w:rsidR="0059029A" w:rsidRPr="00A21B5C">
        <w:rPr>
          <w:rFonts w:ascii="Arial" w:hAnsi="Arial" w:cs="Arial"/>
          <w:bCs/>
          <w:iCs/>
          <w:sz w:val="22"/>
          <w:szCs w:val="22"/>
        </w:rPr>
        <w:t xml:space="preserve">institucional </w:t>
      </w:r>
      <w:r w:rsidR="00E9160E" w:rsidRPr="00A21B5C">
        <w:rPr>
          <w:rFonts w:ascii="Arial" w:hAnsi="Arial" w:cs="Arial"/>
          <w:bCs/>
          <w:iCs/>
          <w:sz w:val="22"/>
          <w:szCs w:val="22"/>
        </w:rPr>
        <w:t xml:space="preserve">que </w:t>
      </w:r>
      <w:r w:rsidR="0059029A" w:rsidRPr="00A21B5C">
        <w:rPr>
          <w:rFonts w:ascii="Arial" w:hAnsi="Arial" w:cs="Arial"/>
          <w:bCs/>
          <w:iCs/>
          <w:sz w:val="22"/>
          <w:szCs w:val="22"/>
        </w:rPr>
        <w:t>establezca</w:t>
      </w:r>
      <w:r w:rsidR="006A44A2" w:rsidRPr="00A21B5C">
        <w:rPr>
          <w:rFonts w:ascii="Arial" w:hAnsi="Arial" w:cs="Arial"/>
          <w:bCs/>
          <w:iCs/>
          <w:sz w:val="22"/>
          <w:szCs w:val="22"/>
        </w:rPr>
        <w:t xml:space="preserve"> </w:t>
      </w:r>
      <w:r w:rsidR="00821A6F" w:rsidRPr="00A21B5C">
        <w:rPr>
          <w:rFonts w:ascii="Arial" w:hAnsi="Arial" w:cs="Arial"/>
          <w:bCs/>
          <w:iCs/>
          <w:sz w:val="22"/>
          <w:szCs w:val="22"/>
        </w:rPr>
        <w:t>el proceso de</w:t>
      </w:r>
      <w:r w:rsidR="00543AA1" w:rsidRPr="00A21B5C">
        <w:rPr>
          <w:rFonts w:ascii="Arial" w:hAnsi="Arial" w:cs="Arial"/>
          <w:bCs/>
          <w:iCs/>
          <w:sz w:val="22"/>
          <w:szCs w:val="22"/>
        </w:rPr>
        <w:t xml:space="preserve"> archivo</w:t>
      </w:r>
      <w:r w:rsidR="00821A6F" w:rsidRPr="00A21B5C">
        <w:rPr>
          <w:rFonts w:ascii="Arial" w:hAnsi="Arial" w:cs="Arial"/>
          <w:bCs/>
          <w:iCs/>
          <w:sz w:val="22"/>
          <w:szCs w:val="22"/>
        </w:rPr>
        <w:t xml:space="preserve"> de</w:t>
      </w:r>
      <w:r w:rsidR="00543AA1" w:rsidRPr="00A21B5C">
        <w:rPr>
          <w:rFonts w:ascii="Arial" w:hAnsi="Arial" w:cs="Arial"/>
          <w:bCs/>
          <w:iCs/>
          <w:sz w:val="22"/>
          <w:szCs w:val="22"/>
        </w:rPr>
        <w:t xml:space="preserve"> la documentación contractual</w:t>
      </w:r>
      <w:r w:rsidR="00821A6F" w:rsidRPr="00A21B5C">
        <w:rPr>
          <w:rFonts w:ascii="Arial" w:hAnsi="Arial" w:cs="Arial"/>
          <w:bCs/>
          <w:iCs/>
          <w:sz w:val="22"/>
          <w:szCs w:val="22"/>
        </w:rPr>
        <w:t xml:space="preserve"> de la Entidad</w:t>
      </w:r>
      <w:r w:rsidR="00AF4F34" w:rsidRPr="00A21B5C">
        <w:rPr>
          <w:rFonts w:ascii="Arial" w:hAnsi="Arial" w:cs="Arial"/>
          <w:bCs/>
          <w:iCs/>
          <w:sz w:val="22"/>
          <w:szCs w:val="22"/>
        </w:rPr>
        <w:t xml:space="preserve"> a</w:t>
      </w:r>
      <w:r w:rsidR="00A048B6" w:rsidRPr="00A21B5C">
        <w:rPr>
          <w:rFonts w:ascii="Arial" w:hAnsi="Arial" w:cs="Arial"/>
          <w:bCs/>
          <w:iCs/>
          <w:sz w:val="22"/>
          <w:szCs w:val="22"/>
        </w:rPr>
        <w:t xml:space="preserve"> </w:t>
      </w:r>
      <w:r w:rsidR="00AF4F34" w:rsidRPr="00A21B5C">
        <w:rPr>
          <w:rFonts w:ascii="Arial" w:hAnsi="Arial" w:cs="Arial"/>
          <w:sz w:val="22"/>
          <w:szCs w:val="22"/>
          <w:lang w:val="es-CO"/>
        </w:rPr>
        <w:t>fin garantizar la integridad y la salvaguarda de la información</w:t>
      </w:r>
      <w:r w:rsidR="001E663F" w:rsidRPr="00A21B5C">
        <w:rPr>
          <w:rFonts w:ascii="Arial" w:hAnsi="Arial" w:cs="Arial"/>
          <w:sz w:val="22"/>
          <w:szCs w:val="22"/>
          <w:lang w:val="es-CO"/>
        </w:rPr>
        <w:t xml:space="preserve">. </w:t>
      </w:r>
      <w:r w:rsidR="00AD761E" w:rsidRPr="00A21B5C">
        <w:rPr>
          <w:rFonts w:ascii="Arial" w:hAnsi="Arial" w:cs="Arial"/>
          <w:sz w:val="22"/>
          <w:szCs w:val="22"/>
          <w:lang w:val="es-CO"/>
        </w:rPr>
        <w:t>En segundo lugar, se recomienda que</w:t>
      </w:r>
      <w:r w:rsidR="0059029A" w:rsidRPr="00A21B5C">
        <w:rPr>
          <w:rFonts w:ascii="Arial" w:hAnsi="Arial" w:cs="Arial"/>
          <w:sz w:val="22"/>
          <w:szCs w:val="22"/>
          <w:lang w:val="es-CO"/>
        </w:rPr>
        <w:t>,</w:t>
      </w:r>
      <w:r w:rsidR="00AD761E" w:rsidRPr="00A21B5C">
        <w:rPr>
          <w:rFonts w:ascii="Arial" w:hAnsi="Arial" w:cs="Arial"/>
          <w:sz w:val="22"/>
          <w:szCs w:val="22"/>
          <w:lang w:val="es-CO"/>
        </w:rPr>
        <w:t xml:space="preserve"> de manera simultánea, se</w:t>
      </w:r>
      <w:r w:rsidR="00CA42FE" w:rsidRPr="00A21B5C">
        <w:rPr>
          <w:rFonts w:ascii="Arial" w:hAnsi="Arial" w:cs="Arial"/>
          <w:sz w:val="22"/>
          <w:szCs w:val="22"/>
          <w:lang w:val="es-CO"/>
        </w:rPr>
        <w:t xml:space="preserve"> </w:t>
      </w:r>
      <w:r w:rsidR="00052CF3" w:rsidRPr="00A21B5C">
        <w:rPr>
          <w:rFonts w:ascii="Arial" w:hAnsi="Arial" w:cs="Arial"/>
          <w:bCs/>
          <w:iCs/>
          <w:sz w:val="22"/>
          <w:szCs w:val="22"/>
        </w:rPr>
        <w:t>d</w:t>
      </w:r>
      <w:r w:rsidR="00B24930" w:rsidRPr="00A21B5C">
        <w:rPr>
          <w:rFonts w:ascii="Arial" w:hAnsi="Arial" w:cs="Arial"/>
          <w:bCs/>
          <w:sz w:val="22"/>
          <w:szCs w:val="22"/>
        </w:rPr>
        <w:t>iseñ</w:t>
      </w:r>
      <w:r w:rsidR="00AD761E" w:rsidRPr="00A21B5C">
        <w:rPr>
          <w:rFonts w:ascii="Arial" w:hAnsi="Arial" w:cs="Arial"/>
          <w:bCs/>
          <w:sz w:val="22"/>
          <w:szCs w:val="22"/>
        </w:rPr>
        <w:t>e</w:t>
      </w:r>
      <w:r w:rsidR="00B24930" w:rsidRPr="00A21B5C">
        <w:rPr>
          <w:rFonts w:ascii="Arial" w:hAnsi="Arial" w:cs="Arial"/>
          <w:bCs/>
          <w:sz w:val="22"/>
          <w:szCs w:val="22"/>
        </w:rPr>
        <w:t xml:space="preserve"> </w:t>
      </w:r>
      <w:r w:rsidR="00052CF3" w:rsidRPr="00A21B5C">
        <w:rPr>
          <w:rFonts w:ascii="Arial" w:hAnsi="Arial" w:cs="Arial"/>
          <w:bCs/>
          <w:sz w:val="22"/>
          <w:szCs w:val="22"/>
        </w:rPr>
        <w:t>e implement</w:t>
      </w:r>
      <w:r w:rsidR="00AD761E" w:rsidRPr="00A21B5C">
        <w:rPr>
          <w:rFonts w:ascii="Arial" w:hAnsi="Arial" w:cs="Arial"/>
          <w:bCs/>
          <w:sz w:val="22"/>
          <w:szCs w:val="22"/>
        </w:rPr>
        <w:t>e</w:t>
      </w:r>
      <w:r w:rsidR="00057181" w:rsidRPr="00A21B5C">
        <w:rPr>
          <w:rFonts w:ascii="Arial" w:hAnsi="Arial" w:cs="Arial"/>
          <w:bCs/>
          <w:sz w:val="22"/>
          <w:szCs w:val="22"/>
        </w:rPr>
        <w:t xml:space="preserve"> un mecanismo de control para</w:t>
      </w:r>
      <w:r w:rsidR="00B24930" w:rsidRPr="00A21B5C">
        <w:rPr>
          <w:rFonts w:ascii="Arial" w:hAnsi="Arial" w:cs="Arial"/>
          <w:bCs/>
          <w:sz w:val="22"/>
          <w:szCs w:val="22"/>
        </w:rPr>
        <w:t xml:space="preserve"> el proceso de publicación en el SECOP, </w:t>
      </w:r>
      <w:r w:rsidR="00CE6429" w:rsidRPr="00A21B5C">
        <w:rPr>
          <w:rFonts w:ascii="Arial" w:hAnsi="Arial" w:cs="Arial"/>
          <w:bCs/>
          <w:sz w:val="22"/>
          <w:szCs w:val="22"/>
        </w:rPr>
        <w:t xml:space="preserve">que </w:t>
      </w:r>
      <w:r w:rsidR="002047D3" w:rsidRPr="00A21B5C">
        <w:rPr>
          <w:rFonts w:ascii="Arial" w:hAnsi="Arial" w:cs="Arial"/>
          <w:bCs/>
          <w:sz w:val="22"/>
          <w:szCs w:val="22"/>
        </w:rPr>
        <w:t>dé</w:t>
      </w:r>
      <w:r w:rsidR="00CE6429" w:rsidRPr="00A21B5C">
        <w:rPr>
          <w:rFonts w:ascii="Arial" w:hAnsi="Arial" w:cs="Arial"/>
          <w:bCs/>
          <w:sz w:val="22"/>
          <w:szCs w:val="22"/>
        </w:rPr>
        <w:t xml:space="preserve"> cuenta de</w:t>
      </w:r>
      <w:r w:rsidR="000067CF" w:rsidRPr="00A21B5C">
        <w:rPr>
          <w:rFonts w:ascii="Arial" w:hAnsi="Arial" w:cs="Arial"/>
          <w:bCs/>
          <w:sz w:val="22"/>
          <w:szCs w:val="22"/>
        </w:rPr>
        <w:t xml:space="preserve"> la fecha de emisión y cargue de los documentos que conforman los expedientes </w:t>
      </w:r>
      <w:r w:rsidR="002047D3" w:rsidRPr="00A21B5C">
        <w:rPr>
          <w:rFonts w:ascii="Arial" w:hAnsi="Arial" w:cs="Arial"/>
          <w:bCs/>
          <w:sz w:val="22"/>
          <w:szCs w:val="22"/>
        </w:rPr>
        <w:t>contractuales</w:t>
      </w:r>
      <w:r w:rsidR="000067CF" w:rsidRPr="00A21B5C">
        <w:rPr>
          <w:rFonts w:ascii="Arial" w:hAnsi="Arial" w:cs="Arial"/>
          <w:bCs/>
          <w:sz w:val="22"/>
          <w:szCs w:val="22"/>
        </w:rPr>
        <w:t>,</w:t>
      </w:r>
      <w:r w:rsidR="00C92910" w:rsidRPr="00A21B5C">
        <w:rPr>
          <w:rFonts w:ascii="Arial" w:hAnsi="Arial" w:cs="Arial"/>
          <w:bCs/>
          <w:sz w:val="22"/>
          <w:szCs w:val="22"/>
        </w:rPr>
        <w:t xml:space="preserve"> y</w:t>
      </w:r>
      <w:r w:rsidR="000067CF" w:rsidRPr="00A21B5C">
        <w:rPr>
          <w:rFonts w:ascii="Arial" w:hAnsi="Arial" w:cs="Arial"/>
          <w:bCs/>
          <w:sz w:val="22"/>
          <w:szCs w:val="22"/>
        </w:rPr>
        <w:t xml:space="preserve"> </w:t>
      </w:r>
      <w:r w:rsidR="00B24930" w:rsidRPr="00A21B5C">
        <w:rPr>
          <w:rFonts w:ascii="Arial" w:hAnsi="Arial" w:cs="Arial"/>
          <w:bCs/>
          <w:sz w:val="22"/>
          <w:szCs w:val="22"/>
        </w:rPr>
        <w:t>el responsable</w:t>
      </w:r>
      <w:r w:rsidR="002047D3" w:rsidRPr="00A21B5C">
        <w:rPr>
          <w:rFonts w:ascii="Arial" w:hAnsi="Arial" w:cs="Arial"/>
          <w:bCs/>
          <w:sz w:val="22"/>
          <w:szCs w:val="22"/>
        </w:rPr>
        <w:t xml:space="preserve"> del mismo. </w:t>
      </w:r>
      <w:r w:rsidR="002047D3" w:rsidRPr="00A21B5C">
        <w:rPr>
          <w:rFonts w:ascii="Arial" w:hAnsi="Arial" w:cs="Arial"/>
          <w:bCs/>
          <w:iCs/>
          <w:sz w:val="22"/>
          <w:szCs w:val="22"/>
          <w:lang w:val="es-CO"/>
        </w:rPr>
        <w:t>Para ello, s</w:t>
      </w:r>
      <w:r w:rsidR="002047D3" w:rsidRPr="00A21B5C">
        <w:rPr>
          <w:rFonts w:ascii="Arial" w:hAnsi="Arial" w:cs="Arial"/>
          <w:bCs/>
          <w:sz w:val="22"/>
          <w:szCs w:val="22"/>
          <w:lang w:val="es-CO"/>
        </w:rPr>
        <w:t>e comparte este formato a manera de ejemplo:</w:t>
      </w:r>
    </w:p>
    <w:p w:rsidR="0044105E" w:rsidRPr="00A21B5C" w:rsidRDefault="0044105E" w:rsidP="00A21B5C">
      <w:pPr>
        <w:contextualSpacing/>
        <w:jc w:val="both"/>
        <w:rPr>
          <w:rFonts w:ascii="Arial" w:hAnsi="Arial" w:cs="Arial"/>
          <w:bCs/>
          <w:sz w:val="22"/>
          <w:szCs w:val="22"/>
          <w:lang w:val="es-CO"/>
        </w:rPr>
      </w:pPr>
    </w:p>
    <w:tbl>
      <w:tblPr>
        <w:tblStyle w:val="Tablaconcuadrcula"/>
        <w:tblW w:w="0" w:type="auto"/>
        <w:jc w:val="center"/>
        <w:tblLook w:val="04A0" w:firstRow="1" w:lastRow="0" w:firstColumn="1" w:lastColumn="0" w:noHBand="0" w:noVBand="1"/>
      </w:tblPr>
      <w:tblGrid>
        <w:gridCol w:w="8217"/>
      </w:tblGrid>
      <w:tr w:rsidR="00214178" w:rsidRPr="00A21B5C" w:rsidTr="00A96D69">
        <w:trPr>
          <w:jc w:val="center"/>
        </w:trPr>
        <w:tc>
          <w:tcPr>
            <w:tcW w:w="8217" w:type="dxa"/>
          </w:tcPr>
          <w:p w:rsidR="00214178" w:rsidRPr="00A21B5C" w:rsidRDefault="00214178" w:rsidP="00A21B5C">
            <w:pPr>
              <w:contextualSpacing/>
              <w:jc w:val="center"/>
              <w:rPr>
                <w:rFonts w:ascii="Arial" w:hAnsi="Arial" w:cs="Arial"/>
                <w:sz w:val="16"/>
                <w:lang w:val="es-CO"/>
              </w:rPr>
            </w:pPr>
          </w:p>
          <w:p w:rsidR="00214178" w:rsidRPr="00A21B5C" w:rsidRDefault="00214178" w:rsidP="00A21B5C">
            <w:pPr>
              <w:contextualSpacing/>
              <w:jc w:val="center"/>
              <w:rPr>
                <w:rFonts w:ascii="Arial" w:hAnsi="Arial" w:cs="Arial"/>
                <w:sz w:val="16"/>
                <w:lang w:val="es-CO"/>
              </w:rPr>
            </w:pPr>
            <w:r w:rsidRPr="00A21B5C">
              <w:rPr>
                <w:rFonts w:ascii="Arial" w:hAnsi="Arial" w:cs="Arial"/>
                <w:sz w:val="16"/>
                <w:lang w:val="es-CO"/>
              </w:rPr>
              <w:t>Proceso contractual N°________</w:t>
            </w:r>
          </w:p>
          <w:p w:rsidR="00214178" w:rsidRPr="00A21B5C" w:rsidRDefault="00214178" w:rsidP="00A21B5C">
            <w:pPr>
              <w:contextualSpacing/>
              <w:jc w:val="center"/>
              <w:rPr>
                <w:rFonts w:ascii="Arial" w:hAnsi="Arial" w:cs="Arial"/>
                <w:sz w:val="16"/>
                <w:lang w:val="es-CO"/>
              </w:rPr>
            </w:pPr>
            <w:r w:rsidRPr="00A21B5C">
              <w:rPr>
                <w:rFonts w:ascii="Arial" w:hAnsi="Arial" w:cs="Arial"/>
                <w:sz w:val="16"/>
                <w:lang w:val="es-CO"/>
              </w:rPr>
              <w:t>Objeto contractual_____</w:t>
            </w:r>
          </w:p>
          <w:p w:rsidR="00214178" w:rsidRPr="00A21B5C" w:rsidRDefault="00214178" w:rsidP="00A21B5C">
            <w:pPr>
              <w:contextualSpacing/>
              <w:jc w:val="center"/>
              <w:rPr>
                <w:rFonts w:ascii="Arial" w:hAnsi="Arial" w:cs="Arial"/>
                <w:sz w:val="16"/>
                <w:lang w:val="es-CO"/>
              </w:rPr>
            </w:pPr>
            <w:r w:rsidRPr="00A21B5C">
              <w:rPr>
                <w:rFonts w:ascii="Arial" w:hAnsi="Arial" w:cs="Arial"/>
                <w:sz w:val="16"/>
                <w:lang w:val="es-CO"/>
              </w:rPr>
              <w:t>Fecha apertura_____</w:t>
            </w:r>
          </w:p>
          <w:p w:rsidR="00214178" w:rsidRPr="00A21B5C" w:rsidRDefault="00214178" w:rsidP="00A21B5C">
            <w:pPr>
              <w:contextualSpacing/>
              <w:jc w:val="center"/>
              <w:rPr>
                <w:rFonts w:ascii="Arial" w:hAnsi="Arial" w:cs="Arial"/>
                <w:sz w:val="16"/>
                <w:lang w:val="es-CO"/>
              </w:rPr>
            </w:pPr>
            <w:r w:rsidRPr="00A21B5C">
              <w:rPr>
                <w:rFonts w:ascii="Arial" w:hAnsi="Arial" w:cs="Arial"/>
                <w:sz w:val="16"/>
                <w:lang w:val="es-CO"/>
              </w:rPr>
              <w:t>Nomenclatura en SECOP_______</w:t>
            </w:r>
          </w:p>
          <w:p w:rsidR="00214178" w:rsidRPr="00A21B5C" w:rsidRDefault="00214178" w:rsidP="00A21B5C">
            <w:pPr>
              <w:contextualSpacing/>
              <w:jc w:val="center"/>
              <w:rPr>
                <w:rFonts w:ascii="Arial" w:hAnsi="Arial" w:cs="Arial"/>
                <w:sz w:val="16"/>
                <w:lang w:val="es-CO"/>
              </w:rPr>
            </w:pPr>
          </w:p>
          <w:tbl>
            <w:tblPr>
              <w:tblStyle w:val="Tablaconcuadrcula"/>
              <w:tblW w:w="0" w:type="auto"/>
              <w:tblLook w:val="04A0" w:firstRow="1" w:lastRow="0" w:firstColumn="1" w:lastColumn="0" w:noHBand="0" w:noVBand="1"/>
            </w:tblPr>
            <w:tblGrid>
              <w:gridCol w:w="1754"/>
              <w:gridCol w:w="1076"/>
              <w:gridCol w:w="1829"/>
              <w:gridCol w:w="1549"/>
              <w:gridCol w:w="1761"/>
            </w:tblGrid>
            <w:tr w:rsidR="00214178" w:rsidRPr="00A21B5C" w:rsidTr="00EE584D">
              <w:trPr>
                <w:trHeight w:val="509"/>
              </w:trPr>
              <w:tc>
                <w:tcPr>
                  <w:tcW w:w="1754" w:type="dxa"/>
                  <w:tcBorders>
                    <w:top w:val="single" w:sz="4" w:space="0" w:color="auto"/>
                    <w:left w:val="single" w:sz="4" w:space="0" w:color="auto"/>
                    <w:bottom w:val="single" w:sz="4" w:space="0" w:color="auto"/>
                    <w:right w:val="single" w:sz="4" w:space="0" w:color="auto"/>
                  </w:tcBorders>
                  <w:vAlign w:val="center"/>
                  <w:hideMark/>
                </w:tcPr>
                <w:p w:rsidR="00214178" w:rsidRPr="00A21B5C" w:rsidRDefault="00214178" w:rsidP="00A21B5C">
                  <w:pPr>
                    <w:contextualSpacing/>
                    <w:jc w:val="center"/>
                    <w:rPr>
                      <w:rFonts w:ascii="Arial" w:hAnsi="Arial" w:cs="Arial"/>
                      <w:sz w:val="16"/>
                    </w:rPr>
                  </w:pPr>
                  <w:r w:rsidRPr="00A21B5C">
                    <w:rPr>
                      <w:rFonts w:ascii="Arial" w:hAnsi="Arial" w:cs="Arial"/>
                      <w:sz w:val="16"/>
                    </w:rPr>
                    <w:t>Documento</w:t>
                  </w:r>
                </w:p>
              </w:tc>
              <w:tc>
                <w:tcPr>
                  <w:tcW w:w="1076" w:type="dxa"/>
                  <w:tcBorders>
                    <w:top w:val="single" w:sz="4" w:space="0" w:color="auto"/>
                    <w:left w:val="single" w:sz="4" w:space="0" w:color="auto"/>
                    <w:bottom w:val="single" w:sz="4" w:space="0" w:color="auto"/>
                    <w:right w:val="single" w:sz="4" w:space="0" w:color="auto"/>
                  </w:tcBorders>
                  <w:vAlign w:val="center"/>
                  <w:hideMark/>
                </w:tcPr>
                <w:p w:rsidR="00214178" w:rsidRPr="00A21B5C" w:rsidRDefault="00214178" w:rsidP="00A21B5C">
                  <w:pPr>
                    <w:contextualSpacing/>
                    <w:jc w:val="center"/>
                    <w:rPr>
                      <w:rFonts w:ascii="Arial" w:hAnsi="Arial" w:cs="Arial"/>
                      <w:sz w:val="16"/>
                    </w:rPr>
                  </w:pPr>
                  <w:r w:rsidRPr="00A21B5C">
                    <w:rPr>
                      <w:rFonts w:ascii="Arial" w:hAnsi="Arial" w:cs="Arial"/>
                      <w:sz w:val="16"/>
                    </w:rPr>
                    <w:t>Cargue</w:t>
                  </w:r>
                </w:p>
              </w:tc>
              <w:tc>
                <w:tcPr>
                  <w:tcW w:w="1829" w:type="dxa"/>
                  <w:tcBorders>
                    <w:top w:val="single" w:sz="4" w:space="0" w:color="auto"/>
                    <w:left w:val="single" w:sz="4" w:space="0" w:color="auto"/>
                    <w:bottom w:val="single" w:sz="4" w:space="0" w:color="auto"/>
                    <w:right w:val="single" w:sz="4" w:space="0" w:color="auto"/>
                  </w:tcBorders>
                  <w:vAlign w:val="center"/>
                  <w:hideMark/>
                </w:tcPr>
                <w:p w:rsidR="00214178" w:rsidRPr="00A21B5C" w:rsidRDefault="00214178" w:rsidP="00A21B5C">
                  <w:pPr>
                    <w:contextualSpacing/>
                    <w:jc w:val="center"/>
                    <w:rPr>
                      <w:rFonts w:ascii="Arial" w:hAnsi="Arial" w:cs="Arial"/>
                      <w:sz w:val="16"/>
                    </w:rPr>
                  </w:pPr>
                  <w:r w:rsidRPr="00A21B5C">
                    <w:rPr>
                      <w:rFonts w:ascii="Arial" w:hAnsi="Arial" w:cs="Arial"/>
                      <w:sz w:val="16"/>
                    </w:rPr>
                    <w:t>Fecha emisión del documento</w:t>
                  </w:r>
                </w:p>
              </w:tc>
              <w:tc>
                <w:tcPr>
                  <w:tcW w:w="1549" w:type="dxa"/>
                  <w:tcBorders>
                    <w:top w:val="single" w:sz="4" w:space="0" w:color="auto"/>
                    <w:left w:val="single" w:sz="4" w:space="0" w:color="auto"/>
                    <w:bottom w:val="single" w:sz="4" w:space="0" w:color="auto"/>
                    <w:right w:val="single" w:sz="4" w:space="0" w:color="auto"/>
                  </w:tcBorders>
                  <w:vAlign w:val="center"/>
                  <w:hideMark/>
                </w:tcPr>
                <w:p w:rsidR="00214178" w:rsidRPr="00A21B5C" w:rsidRDefault="00214178" w:rsidP="00A21B5C">
                  <w:pPr>
                    <w:contextualSpacing/>
                    <w:jc w:val="center"/>
                    <w:rPr>
                      <w:rFonts w:ascii="Arial" w:hAnsi="Arial" w:cs="Arial"/>
                      <w:sz w:val="16"/>
                    </w:rPr>
                  </w:pPr>
                  <w:r w:rsidRPr="00A21B5C">
                    <w:rPr>
                      <w:rFonts w:ascii="Arial" w:hAnsi="Arial" w:cs="Arial"/>
                      <w:sz w:val="16"/>
                    </w:rPr>
                    <w:t>Fecha de cargue</w:t>
                  </w:r>
                </w:p>
              </w:tc>
              <w:tc>
                <w:tcPr>
                  <w:tcW w:w="1761" w:type="dxa"/>
                  <w:tcBorders>
                    <w:top w:val="single" w:sz="4" w:space="0" w:color="auto"/>
                    <w:left w:val="single" w:sz="4" w:space="0" w:color="auto"/>
                    <w:bottom w:val="single" w:sz="4" w:space="0" w:color="auto"/>
                    <w:right w:val="single" w:sz="4" w:space="0" w:color="auto"/>
                  </w:tcBorders>
                  <w:vAlign w:val="center"/>
                  <w:hideMark/>
                </w:tcPr>
                <w:p w:rsidR="00214178" w:rsidRPr="00A21B5C" w:rsidRDefault="00214178" w:rsidP="00A21B5C">
                  <w:pPr>
                    <w:contextualSpacing/>
                    <w:jc w:val="center"/>
                    <w:rPr>
                      <w:rFonts w:ascii="Arial" w:hAnsi="Arial" w:cs="Arial"/>
                      <w:sz w:val="16"/>
                    </w:rPr>
                  </w:pPr>
                  <w:r w:rsidRPr="00A21B5C">
                    <w:rPr>
                      <w:rFonts w:ascii="Arial" w:hAnsi="Arial" w:cs="Arial"/>
                      <w:sz w:val="16"/>
                    </w:rPr>
                    <w:t>Firma quien carga.</w:t>
                  </w:r>
                </w:p>
              </w:tc>
            </w:tr>
            <w:tr w:rsidR="00214178" w:rsidRPr="00A21B5C" w:rsidTr="00EE584D">
              <w:trPr>
                <w:trHeight w:val="166"/>
              </w:trPr>
              <w:tc>
                <w:tcPr>
                  <w:tcW w:w="1754" w:type="dxa"/>
                  <w:tcBorders>
                    <w:top w:val="single" w:sz="4" w:space="0" w:color="auto"/>
                    <w:left w:val="single" w:sz="4" w:space="0" w:color="auto"/>
                    <w:bottom w:val="single" w:sz="4" w:space="0" w:color="auto"/>
                    <w:right w:val="single" w:sz="4" w:space="0" w:color="auto"/>
                  </w:tcBorders>
                  <w:vAlign w:val="center"/>
                  <w:hideMark/>
                </w:tcPr>
                <w:p w:rsidR="00214178" w:rsidRPr="00A21B5C" w:rsidRDefault="00214178" w:rsidP="00A21B5C">
                  <w:pPr>
                    <w:contextualSpacing/>
                    <w:jc w:val="center"/>
                    <w:rPr>
                      <w:rFonts w:ascii="Arial" w:hAnsi="Arial" w:cs="Arial"/>
                      <w:sz w:val="16"/>
                    </w:rPr>
                  </w:pPr>
                  <w:r w:rsidRPr="00A21B5C">
                    <w:rPr>
                      <w:rFonts w:ascii="Arial" w:hAnsi="Arial" w:cs="Arial"/>
                      <w:sz w:val="16"/>
                    </w:rPr>
                    <w:t>Estudios Previos</w:t>
                  </w:r>
                </w:p>
              </w:tc>
              <w:tc>
                <w:tcPr>
                  <w:tcW w:w="1076" w:type="dxa"/>
                  <w:tcBorders>
                    <w:top w:val="single" w:sz="4" w:space="0" w:color="auto"/>
                    <w:left w:val="single" w:sz="4" w:space="0" w:color="auto"/>
                    <w:bottom w:val="single" w:sz="4" w:space="0" w:color="auto"/>
                    <w:right w:val="single" w:sz="4" w:space="0" w:color="auto"/>
                  </w:tcBorders>
                  <w:vAlign w:val="center"/>
                  <w:hideMark/>
                </w:tcPr>
                <w:p w:rsidR="00214178" w:rsidRPr="00A21B5C" w:rsidRDefault="00214178" w:rsidP="00A21B5C">
                  <w:pPr>
                    <w:contextualSpacing/>
                    <w:jc w:val="center"/>
                    <w:rPr>
                      <w:rFonts w:ascii="Arial" w:hAnsi="Arial" w:cs="Arial"/>
                      <w:sz w:val="16"/>
                    </w:rPr>
                  </w:pPr>
                  <w:r w:rsidRPr="00A21B5C">
                    <w:rPr>
                      <w:rFonts w:ascii="Segoe UI Symbol" w:hAnsi="Segoe UI Symbol" w:cs="Segoe UI Symbol"/>
                      <w:b/>
                      <w:bCs/>
                      <w:color w:val="222222"/>
                      <w:sz w:val="16"/>
                      <w:shd w:val="clear" w:color="auto" w:fill="FFFFFF"/>
                    </w:rPr>
                    <w:t>✔</w:t>
                  </w:r>
                </w:p>
              </w:tc>
              <w:tc>
                <w:tcPr>
                  <w:tcW w:w="1829" w:type="dxa"/>
                  <w:tcBorders>
                    <w:top w:val="single" w:sz="4" w:space="0" w:color="auto"/>
                    <w:left w:val="single" w:sz="4" w:space="0" w:color="auto"/>
                    <w:bottom w:val="single" w:sz="4" w:space="0" w:color="auto"/>
                    <w:right w:val="single" w:sz="4" w:space="0" w:color="auto"/>
                  </w:tcBorders>
                  <w:vAlign w:val="center"/>
                  <w:hideMark/>
                </w:tcPr>
                <w:p w:rsidR="00214178" w:rsidRPr="00A21B5C" w:rsidRDefault="00214178" w:rsidP="00A21B5C">
                  <w:pPr>
                    <w:contextualSpacing/>
                    <w:jc w:val="center"/>
                    <w:rPr>
                      <w:rFonts w:ascii="Arial" w:hAnsi="Arial" w:cs="Arial"/>
                      <w:sz w:val="16"/>
                    </w:rPr>
                  </w:pPr>
                  <w:r w:rsidRPr="00A21B5C">
                    <w:rPr>
                      <w:rFonts w:ascii="Arial" w:hAnsi="Arial" w:cs="Arial"/>
                      <w:sz w:val="16"/>
                    </w:rPr>
                    <w:t>8/10/20</w:t>
                  </w:r>
                  <w:r w:rsidR="009D0331" w:rsidRPr="00A21B5C">
                    <w:rPr>
                      <w:rFonts w:ascii="Arial" w:hAnsi="Arial" w:cs="Arial"/>
                      <w:sz w:val="16"/>
                    </w:rPr>
                    <w:t>20</w:t>
                  </w:r>
                </w:p>
              </w:tc>
              <w:tc>
                <w:tcPr>
                  <w:tcW w:w="1549" w:type="dxa"/>
                  <w:tcBorders>
                    <w:top w:val="single" w:sz="4" w:space="0" w:color="auto"/>
                    <w:left w:val="single" w:sz="4" w:space="0" w:color="auto"/>
                    <w:bottom w:val="single" w:sz="4" w:space="0" w:color="auto"/>
                    <w:right w:val="single" w:sz="4" w:space="0" w:color="auto"/>
                  </w:tcBorders>
                  <w:vAlign w:val="center"/>
                  <w:hideMark/>
                </w:tcPr>
                <w:p w:rsidR="00214178" w:rsidRPr="00A21B5C" w:rsidRDefault="00214178" w:rsidP="00A21B5C">
                  <w:pPr>
                    <w:contextualSpacing/>
                    <w:jc w:val="center"/>
                    <w:rPr>
                      <w:rFonts w:ascii="Arial" w:hAnsi="Arial" w:cs="Arial"/>
                      <w:sz w:val="16"/>
                    </w:rPr>
                  </w:pPr>
                  <w:r w:rsidRPr="00A21B5C">
                    <w:rPr>
                      <w:rFonts w:ascii="Arial" w:hAnsi="Arial" w:cs="Arial"/>
                      <w:sz w:val="16"/>
                    </w:rPr>
                    <w:t>10/10/20</w:t>
                  </w:r>
                  <w:r w:rsidR="009D0331" w:rsidRPr="00A21B5C">
                    <w:rPr>
                      <w:rFonts w:ascii="Arial" w:hAnsi="Arial" w:cs="Arial"/>
                      <w:sz w:val="16"/>
                    </w:rPr>
                    <w:t>20</w:t>
                  </w:r>
                </w:p>
              </w:tc>
              <w:tc>
                <w:tcPr>
                  <w:tcW w:w="1761" w:type="dxa"/>
                  <w:tcBorders>
                    <w:top w:val="single" w:sz="4" w:space="0" w:color="auto"/>
                    <w:left w:val="single" w:sz="4" w:space="0" w:color="auto"/>
                    <w:bottom w:val="single" w:sz="4" w:space="0" w:color="auto"/>
                    <w:right w:val="single" w:sz="4" w:space="0" w:color="auto"/>
                  </w:tcBorders>
                  <w:vAlign w:val="center"/>
                  <w:hideMark/>
                </w:tcPr>
                <w:p w:rsidR="00214178" w:rsidRPr="00A21B5C" w:rsidRDefault="00214178" w:rsidP="00A21B5C">
                  <w:pPr>
                    <w:contextualSpacing/>
                    <w:jc w:val="center"/>
                    <w:rPr>
                      <w:rFonts w:ascii="Arial" w:hAnsi="Arial" w:cs="Arial"/>
                      <w:sz w:val="16"/>
                    </w:rPr>
                  </w:pPr>
                  <w:r w:rsidRPr="00A21B5C">
                    <w:rPr>
                      <w:rFonts w:ascii="Arial" w:hAnsi="Arial" w:cs="Arial"/>
                      <w:sz w:val="16"/>
                    </w:rPr>
                    <w:t>XXXXXXX</w:t>
                  </w:r>
                </w:p>
              </w:tc>
            </w:tr>
            <w:tr w:rsidR="00214178" w:rsidRPr="00A21B5C" w:rsidTr="00EE584D">
              <w:trPr>
                <w:trHeight w:val="259"/>
              </w:trPr>
              <w:tc>
                <w:tcPr>
                  <w:tcW w:w="1754" w:type="dxa"/>
                  <w:tcBorders>
                    <w:top w:val="single" w:sz="4" w:space="0" w:color="auto"/>
                    <w:left w:val="single" w:sz="4" w:space="0" w:color="auto"/>
                    <w:bottom w:val="single" w:sz="4" w:space="0" w:color="auto"/>
                    <w:right w:val="single" w:sz="4" w:space="0" w:color="auto"/>
                  </w:tcBorders>
                  <w:vAlign w:val="center"/>
                  <w:hideMark/>
                </w:tcPr>
                <w:p w:rsidR="00214178" w:rsidRPr="00A21B5C" w:rsidRDefault="00214178" w:rsidP="00A21B5C">
                  <w:pPr>
                    <w:contextualSpacing/>
                    <w:jc w:val="center"/>
                    <w:rPr>
                      <w:rFonts w:ascii="Arial" w:hAnsi="Arial" w:cs="Arial"/>
                    </w:rPr>
                  </w:pPr>
                  <w:r w:rsidRPr="00A21B5C">
                    <w:rPr>
                      <w:rFonts w:ascii="Arial" w:hAnsi="Arial" w:cs="Arial"/>
                      <w:sz w:val="16"/>
                    </w:rPr>
                    <w:t>…</w:t>
                  </w:r>
                </w:p>
              </w:tc>
              <w:tc>
                <w:tcPr>
                  <w:tcW w:w="1076" w:type="dxa"/>
                  <w:tcBorders>
                    <w:top w:val="single" w:sz="4" w:space="0" w:color="auto"/>
                    <w:left w:val="single" w:sz="4" w:space="0" w:color="auto"/>
                    <w:bottom w:val="single" w:sz="4" w:space="0" w:color="auto"/>
                    <w:right w:val="single" w:sz="4" w:space="0" w:color="auto"/>
                  </w:tcBorders>
                  <w:vAlign w:val="center"/>
                </w:tcPr>
                <w:p w:rsidR="00214178" w:rsidRPr="00A21B5C" w:rsidRDefault="00214178" w:rsidP="00A21B5C">
                  <w:pPr>
                    <w:contextualSpacing/>
                    <w:jc w:val="center"/>
                    <w:rPr>
                      <w:rFonts w:ascii="Arial" w:hAnsi="Arial" w:cs="Arial"/>
                    </w:rPr>
                  </w:pPr>
                </w:p>
              </w:tc>
              <w:tc>
                <w:tcPr>
                  <w:tcW w:w="1829" w:type="dxa"/>
                  <w:tcBorders>
                    <w:top w:val="single" w:sz="4" w:space="0" w:color="auto"/>
                    <w:left w:val="single" w:sz="4" w:space="0" w:color="auto"/>
                    <w:bottom w:val="single" w:sz="4" w:space="0" w:color="auto"/>
                    <w:right w:val="single" w:sz="4" w:space="0" w:color="auto"/>
                  </w:tcBorders>
                  <w:vAlign w:val="center"/>
                </w:tcPr>
                <w:p w:rsidR="00214178" w:rsidRPr="00A21B5C" w:rsidRDefault="00214178" w:rsidP="00A21B5C">
                  <w:pPr>
                    <w:contextualSpacing/>
                    <w:jc w:val="center"/>
                    <w:rPr>
                      <w:rFonts w:ascii="Arial" w:hAnsi="Arial" w:cs="Arial"/>
                    </w:rPr>
                  </w:pPr>
                </w:p>
              </w:tc>
              <w:tc>
                <w:tcPr>
                  <w:tcW w:w="1549" w:type="dxa"/>
                  <w:tcBorders>
                    <w:top w:val="single" w:sz="4" w:space="0" w:color="auto"/>
                    <w:left w:val="single" w:sz="4" w:space="0" w:color="auto"/>
                    <w:bottom w:val="single" w:sz="4" w:space="0" w:color="auto"/>
                    <w:right w:val="single" w:sz="4" w:space="0" w:color="auto"/>
                  </w:tcBorders>
                  <w:vAlign w:val="center"/>
                </w:tcPr>
                <w:p w:rsidR="00214178" w:rsidRPr="00A21B5C" w:rsidRDefault="00214178" w:rsidP="00A21B5C">
                  <w:pPr>
                    <w:contextualSpacing/>
                    <w:jc w:val="center"/>
                    <w:rPr>
                      <w:rFonts w:ascii="Arial" w:hAnsi="Arial" w:cs="Arial"/>
                    </w:rPr>
                  </w:pPr>
                </w:p>
              </w:tc>
              <w:tc>
                <w:tcPr>
                  <w:tcW w:w="1761" w:type="dxa"/>
                  <w:tcBorders>
                    <w:top w:val="single" w:sz="4" w:space="0" w:color="auto"/>
                    <w:left w:val="single" w:sz="4" w:space="0" w:color="auto"/>
                    <w:bottom w:val="single" w:sz="4" w:space="0" w:color="auto"/>
                    <w:right w:val="single" w:sz="4" w:space="0" w:color="auto"/>
                  </w:tcBorders>
                  <w:vAlign w:val="center"/>
                </w:tcPr>
                <w:p w:rsidR="00214178" w:rsidRPr="00A21B5C" w:rsidRDefault="00214178" w:rsidP="00A21B5C">
                  <w:pPr>
                    <w:contextualSpacing/>
                    <w:jc w:val="center"/>
                    <w:rPr>
                      <w:rFonts w:ascii="Arial" w:hAnsi="Arial" w:cs="Arial"/>
                    </w:rPr>
                  </w:pPr>
                </w:p>
              </w:tc>
            </w:tr>
            <w:tr w:rsidR="00214178" w:rsidRPr="00A21B5C" w:rsidTr="00EE584D">
              <w:trPr>
                <w:trHeight w:val="259"/>
              </w:trPr>
              <w:tc>
                <w:tcPr>
                  <w:tcW w:w="1754" w:type="dxa"/>
                  <w:tcBorders>
                    <w:top w:val="single" w:sz="4" w:space="0" w:color="auto"/>
                    <w:left w:val="single" w:sz="4" w:space="0" w:color="auto"/>
                    <w:bottom w:val="single" w:sz="4" w:space="0" w:color="auto"/>
                    <w:right w:val="single" w:sz="4" w:space="0" w:color="auto"/>
                  </w:tcBorders>
                  <w:vAlign w:val="center"/>
                  <w:hideMark/>
                </w:tcPr>
                <w:p w:rsidR="00214178" w:rsidRPr="00A21B5C" w:rsidRDefault="00214178" w:rsidP="00A21B5C">
                  <w:pPr>
                    <w:contextualSpacing/>
                    <w:jc w:val="center"/>
                    <w:rPr>
                      <w:rFonts w:ascii="Arial" w:hAnsi="Arial" w:cs="Arial"/>
                      <w:sz w:val="16"/>
                    </w:rPr>
                  </w:pPr>
                  <w:r w:rsidRPr="00A21B5C">
                    <w:rPr>
                      <w:rFonts w:ascii="Arial" w:hAnsi="Arial" w:cs="Arial"/>
                      <w:sz w:val="16"/>
                    </w:rPr>
                    <w:t>CDP</w:t>
                  </w:r>
                </w:p>
              </w:tc>
              <w:tc>
                <w:tcPr>
                  <w:tcW w:w="1076" w:type="dxa"/>
                  <w:tcBorders>
                    <w:top w:val="single" w:sz="4" w:space="0" w:color="auto"/>
                    <w:left w:val="single" w:sz="4" w:space="0" w:color="auto"/>
                    <w:bottom w:val="single" w:sz="4" w:space="0" w:color="auto"/>
                    <w:right w:val="single" w:sz="4" w:space="0" w:color="auto"/>
                  </w:tcBorders>
                  <w:vAlign w:val="center"/>
                  <w:hideMark/>
                </w:tcPr>
                <w:p w:rsidR="00214178" w:rsidRPr="00A21B5C" w:rsidRDefault="00214178" w:rsidP="00A21B5C">
                  <w:pPr>
                    <w:contextualSpacing/>
                    <w:jc w:val="center"/>
                    <w:rPr>
                      <w:rFonts w:ascii="Arial" w:hAnsi="Arial" w:cs="Arial"/>
                    </w:rPr>
                  </w:pPr>
                  <w:r w:rsidRPr="00A21B5C">
                    <w:rPr>
                      <w:rFonts w:ascii="Segoe UI Symbol" w:hAnsi="Segoe UI Symbol" w:cs="Segoe UI Symbol"/>
                      <w:b/>
                      <w:bCs/>
                      <w:color w:val="222222"/>
                      <w:sz w:val="16"/>
                      <w:shd w:val="clear" w:color="auto" w:fill="FFFFFF"/>
                    </w:rPr>
                    <w:t>✔</w:t>
                  </w:r>
                </w:p>
              </w:tc>
              <w:tc>
                <w:tcPr>
                  <w:tcW w:w="1829" w:type="dxa"/>
                  <w:tcBorders>
                    <w:top w:val="single" w:sz="4" w:space="0" w:color="auto"/>
                    <w:left w:val="single" w:sz="4" w:space="0" w:color="auto"/>
                    <w:bottom w:val="single" w:sz="4" w:space="0" w:color="auto"/>
                    <w:right w:val="single" w:sz="4" w:space="0" w:color="auto"/>
                  </w:tcBorders>
                  <w:vAlign w:val="center"/>
                </w:tcPr>
                <w:p w:rsidR="00214178" w:rsidRPr="00A21B5C" w:rsidRDefault="00214178" w:rsidP="00A21B5C">
                  <w:pPr>
                    <w:contextualSpacing/>
                    <w:jc w:val="center"/>
                    <w:rPr>
                      <w:rFonts w:ascii="Arial" w:hAnsi="Arial" w:cs="Arial"/>
                    </w:rPr>
                  </w:pPr>
                </w:p>
              </w:tc>
              <w:tc>
                <w:tcPr>
                  <w:tcW w:w="1549" w:type="dxa"/>
                  <w:tcBorders>
                    <w:top w:val="single" w:sz="4" w:space="0" w:color="auto"/>
                    <w:left w:val="single" w:sz="4" w:space="0" w:color="auto"/>
                    <w:bottom w:val="single" w:sz="4" w:space="0" w:color="auto"/>
                    <w:right w:val="single" w:sz="4" w:space="0" w:color="auto"/>
                  </w:tcBorders>
                  <w:vAlign w:val="center"/>
                </w:tcPr>
                <w:p w:rsidR="00214178" w:rsidRPr="00A21B5C" w:rsidRDefault="00214178" w:rsidP="00A21B5C">
                  <w:pPr>
                    <w:contextualSpacing/>
                    <w:jc w:val="center"/>
                    <w:rPr>
                      <w:rFonts w:ascii="Arial" w:hAnsi="Arial" w:cs="Arial"/>
                    </w:rPr>
                  </w:pPr>
                </w:p>
              </w:tc>
              <w:tc>
                <w:tcPr>
                  <w:tcW w:w="1761" w:type="dxa"/>
                  <w:tcBorders>
                    <w:top w:val="single" w:sz="4" w:space="0" w:color="auto"/>
                    <w:left w:val="single" w:sz="4" w:space="0" w:color="auto"/>
                    <w:bottom w:val="single" w:sz="4" w:space="0" w:color="auto"/>
                    <w:right w:val="single" w:sz="4" w:space="0" w:color="auto"/>
                  </w:tcBorders>
                  <w:vAlign w:val="center"/>
                </w:tcPr>
                <w:p w:rsidR="00214178" w:rsidRPr="00A21B5C" w:rsidRDefault="00214178" w:rsidP="00A21B5C">
                  <w:pPr>
                    <w:contextualSpacing/>
                    <w:jc w:val="center"/>
                    <w:rPr>
                      <w:rFonts w:ascii="Arial" w:hAnsi="Arial" w:cs="Arial"/>
                    </w:rPr>
                  </w:pPr>
                </w:p>
              </w:tc>
            </w:tr>
            <w:tr w:rsidR="00214178" w:rsidRPr="00A21B5C" w:rsidTr="00EE584D">
              <w:trPr>
                <w:trHeight w:val="250"/>
              </w:trPr>
              <w:tc>
                <w:tcPr>
                  <w:tcW w:w="1754" w:type="dxa"/>
                  <w:tcBorders>
                    <w:top w:val="single" w:sz="4" w:space="0" w:color="auto"/>
                    <w:left w:val="single" w:sz="4" w:space="0" w:color="auto"/>
                    <w:bottom w:val="single" w:sz="4" w:space="0" w:color="auto"/>
                    <w:right w:val="single" w:sz="4" w:space="0" w:color="auto"/>
                  </w:tcBorders>
                  <w:vAlign w:val="center"/>
                  <w:hideMark/>
                </w:tcPr>
                <w:p w:rsidR="00214178" w:rsidRPr="00A21B5C" w:rsidRDefault="00214178" w:rsidP="00A21B5C">
                  <w:pPr>
                    <w:contextualSpacing/>
                    <w:jc w:val="center"/>
                    <w:rPr>
                      <w:rFonts w:ascii="Arial" w:hAnsi="Arial" w:cs="Arial"/>
                      <w:sz w:val="16"/>
                    </w:rPr>
                  </w:pPr>
                  <w:r w:rsidRPr="00A21B5C">
                    <w:rPr>
                      <w:rFonts w:ascii="Arial" w:hAnsi="Arial" w:cs="Arial"/>
                      <w:sz w:val="16"/>
                    </w:rPr>
                    <w:t>…</w:t>
                  </w:r>
                </w:p>
              </w:tc>
              <w:tc>
                <w:tcPr>
                  <w:tcW w:w="1076" w:type="dxa"/>
                  <w:tcBorders>
                    <w:top w:val="single" w:sz="4" w:space="0" w:color="auto"/>
                    <w:left w:val="single" w:sz="4" w:space="0" w:color="auto"/>
                    <w:bottom w:val="single" w:sz="4" w:space="0" w:color="auto"/>
                    <w:right w:val="single" w:sz="4" w:space="0" w:color="auto"/>
                  </w:tcBorders>
                  <w:vAlign w:val="center"/>
                </w:tcPr>
                <w:p w:rsidR="00214178" w:rsidRPr="00A21B5C" w:rsidRDefault="00214178" w:rsidP="00A21B5C">
                  <w:pPr>
                    <w:contextualSpacing/>
                    <w:jc w:val="center"/>
                    <w:rPr>
                      <w:rFonts w:ascii="Arial" w:hAnsi="Arial" w:cs="Arial"/>
                    </w:rPr>
                  </w:pPr>
                </w:p>
              </w:tc>
              <w:tc>
                <w:tcPr>
                  <w:tcW w:w="1829" w:type="dxa"/>
                  <w:tcBorders>
                    <w:top w:val="single" w:sz="4" w:space="0" w:color="auto"/>
                    <w:left w:val="single" w:sz="4" w:space="0" w:color="auto"/>
                    <w:bottom w:val="single" w:sz="4" w:space="0" w:color="auto"/>
                    <w:right w:val="single" w:sz="4" w:space="0" w:color="auto"/>
                  </w:tcBorders>
                  <w:vAlign w:val="center"/>
                </w:tcPr>
                <w:p w:rsidR="00214178" w:rsidRPr="00A21B5C" w:rsidRDefault="00214178" w:rsidP="00A21B5C">
                  <w:pPr>
                    <w:contextualSpacing/>
                    <w:jc w:val="center"/>
                    <w:rPr>
                      <w:rFonts w:ascii="Arial" w:hAnsi="Arial" w:cs="Arial"/>
                    </w:rPr>
                  </w:pPr>
                </w:p>
              </w:tc>
              <w:tc>
                <w:tcPr>
                  <w:tcW w:w="1549" w:type="dxa"/>
                  <w:tcBorders>
                    <w:top w:val="single" w:sz="4" w:space="0" w:color="auto"/>
                    <w:left w:val="single" w:sz="4" w:space="0" w:color="auto"/>
                    <w:bottom w:val="single" w:sz="4" w:space="0" w:color="auto"/>
                    <w:right w:val="single" w:sz="4" w:space="0" w:color="auto"/>
                  </w:tcBorders>
                  <w:vAlign w:val="center"/>
                </w:tcPr>
                <w:p w:rsidR="00214178" w:rsidRPr="00A21B5C" w:rsidRDefault="00214178" w:rsidP="00A21B5C">
                  <w:pPr>
                    <w:contextualSpacing/>
                    <w:jc w:val="center"/>
                    <w:rPr>
                      <w:rFonts w:ascii="Arial" w:hAnsi="Arial" w:cs="Arial"/>
                    </w:rPr>
                  </w:pPr>
                </w:p>
              </w:tc>
              <w:tc>
                <w:tcPr>
                  <w:tcW w:w="1761" w:type="dxa"/>
                  <w:tcBorders>
                    <w:top w:val="single" w:sz="4" w:space="0" w:color="auto"/>
                    <w:left w:val="single" w:sz="4" w:space="0" w:color="auto"/>
                    <w:bottom w:val="single" w:sz="4" w:space="0" w:color="auto"/>
                    <w:right w:val="single" w:sz="4" w:space="0" w:color="auto"/>
                  </w:tcBorders>
                  <w:vAlign w:val="center"/>
                </w:tcPr>
                <w:p w:rsidR="00214178" w:rsidRPr="00A21B5C" w:rsidRDefault="00214178" w:rsidP="00A21B5C">
                  <w:pPr>
                    <w:contextualSpacing/>
                    <w:jc w:val="center"/>
                    <w:rPr>
                      <w:rFonts w:ascii="Arial" w:hAnsi="Arial" w:cs="Arial"/>
                    </w:rPr>
                  </w:pPr>
                </w:p>
              </w:tc>
            </w:tr>
            <w:tr w:rsidR="00214178" w:rsidRPr="00A21B5C" w:rsidTr="00EE584D">
              <w:trPr>
                <w:trHeight w:val="250"/>
              </w:trPr>
              <w:tc>
                <w:tcPr>
                  <w:tcW w:w="1754" w:type="dxa"/>
                  <w:tcBorders>
                    <w:top w:val="single" w:sz="4" w:space="0" w:color="auto"/>
                    <w:left w:val="single" w:sz="4" w:space="0" w:color="auto"/>
                    <w:bottom w:val="single" w:sz="4" w:space="0" w:color="auto"/>
                    <w:right w:val="single" w:sz="4" w:space="0" w:color="auto"/>
                  </w:tcBorders>
                  <w:vAlign w:val="center"/>
                </w:tcPr>
                <w:p w:rsidR="00214178" w:rsidRPr="00A21B5C" w:rsidRDefault="00214178" w:rsidP="00A21B5C">
                  <w:pPr>
                    <w:contextualSpacing/>
                    <w:jc w:val="center"/>
                    <w:rPr>
                      <w:rFonts w:ascii="Arial" w:hAnsi="Arial" w:cs="Arial"/>
                      <w:sz w:val="16"/>
                    </w:rPr>
                  </w:pPr>
                </w:p>
              </w:tc>
              <w:tc>
                <w:tcPr>
                  <w:tcW w:w="1076" w:type="dxa"/>
                  <w:tcBorders>
                    <w:top w:val="single" w:sz="4" w:space="0" w:color="auto"/>
                    <w:left w:val="single" w:sz="4" w:space="0" w:color="auto"/>
                    <w:bottom w:val="single" w:sz="4" w:space="0" w:color="auto"/>
                    <w:right w:val="single" w:sz="4" w:space="0" w:color="auto"/>
                  </w:tcBorders>
                  <w:vAlign w:val="center"/>
                </w:tcPr>
                <w:p w:rsidR="00214178" w:rsidRPr="00A21B5C" w:rsidRDefault="00214178" w:rsidP="00A21B5C">
                  <w:pPr>
                    <w:contextualSpacing/>
                    <w:jc w:val="center"/>
                    <w:rPr>
                      <w:rFonts w:ascii="Arial" w:hAnsi="Arial" w:cs="Arial"/>
                    </w:rPr>
                  </w:pPr>
                </w:p>
              </w:tc>
              <w:tc>
                <w:tcPr>
                  <w:tcW w:w="1829" w:type="dxa"/>
                  <w:tcBorders>
                    <w:top w:val="single" w:sz="4" w:space="0" w:color="auto"/>
                    <w:left w:val="single" w:sz="4" w:space="0" w:color="auto"/>
                    <w:bottom w:val="single" w:sz="4" w:space="0" w:color="auto"/>
                    <w:right w:val="single" w:sz="4" w:space="0" w:color="auto"/>
                  </w:tcBorders>
                  <w:vAlign w:val="center"/>
                </w:tcPr>
                <w:p w:rsidR="00214178" w:rsidRPr="00A21B5C" w:rsidRDefault="00214178" w:rsidP="00A21B5C">
                  <w:pPr>
                    <w:contextualSpacing/>
                    <w:jc w:val="center"/>
                    <w:rPr>
                      <w:rFonts w:ascii="Arial" w:hAnsi="Arial" w:cs="Arial"/>
                    </w:rPr>
                  </w:pPr>
                </w:p>
              </w:tc>
              <w:tc>
                <w:tcPr>
                  <w:tcW w:w="1549" w:type="dxa"/>
                  <w:tcBorders>
                    <w:top w:val="single" w:sz="4" w:space="0" w:color="auto"/>
                    <w:left w:val="single" w:sz="4" w:space="0" w:color="auto"/>
                    <w:bottom w:val="single" w:sz="4" w:space="0" w:color="auto"/>
                    <w:right w:val="single" w:sz="4" w:space="0" w:color="auto"/>
                  </w:tcBorders>
                  <w:vAlign w:val="center"/>
                </w:tcPr>
                <w:p w:rsidR="00214178" w:rsidRPr="00A21B5C" w:rsidRDefault="00214178" w:rsidP="00A21B5C">
                  <w:pPr>
                    <w:contextualSpacing/>
                    <w:jc w:val="center"/>
                    <w:rPr>
                      <w:rFonts w:ascii="Arial" w:hAnsi="Arial" w:cs="Arial"/>
                    </w:rPr>
                  </w:pPr>
                </w:p>
              </w:tc>
              <w:tc>
                <w:tcPr>
                  <w:tcW w:w="1761" w:type="dxa"/>
                  <w:tcBorders>
                    <w:top w:val="single" w:sz="4" w:space="0" w:color="auto"/>
                    <w:left w:val="single" w:sz="4" w:space="0" w:color="auto"/>
                    <w:bottom w:val="single" w:sz="4" w:space="0" w:color="auto"/>
                    <w:right w:val="single" w:sz="4" w:space="0" w:color="auto"/>
                  </w:tcBorders>
                  <w:vAlign w:val="center"/>
                </w:tcPr>
                <w:p w:rsidR="00214178" w:rsidRPr="00A21B5C" w:rsidRDefault="00214178" w:rsidP="00A21B5C">
                  <w:pPr>
                    <w:contextualSpacing/>
                    <w:jc w:val="center"/>
                    <w:rPr>
                      <w:rFonts w:ascii="Arial" w:hAnsi="Arial" w:cs="Arial"/>
                    </w:rPr>
                  </w:pPr>
                </w:p>
              </w:tc>
            </w:tr>
            <w:tr w:rsidR="00214178" w:rsidRPr="00A21B5C" w:rsidTr="00EE584D">
              <w:trPr>
                <w:trHeight w:val="259"/>
              </w:trPr>
              <w:tc>
                <w:tcPr>
                  <w:tcW w:w="1754" w:type="dxa"/>
                  <w:tcBorders>
                    <w:top w:val="single" w:sz="4" w:space="0" w:color="auto"/>
                    <w:left w:val="single" w:sz="4" w:space="0" w:color="auto"/>
                    <w:bottom w:val="single" w:sz="4" w:space="0" w:color="auto"/>
                    <w:right w:val="single" w:sz="4" w:space="0" w:color="auto"/>
                  </w:tcBorders>
                  <w:vAlign w:val="center"/>
                  <w:hideMark/>
                </w:tcPr>
                <w:p w:rsidR="00214178" w:rsidRPr="00A21B5C" w:rsidRDefault="00214178" w:rsidP="00A21B5C">
                  <w:pPr>
                    <w:contextualSpacing/>
                    <w:jc w:val="center"/>
                    <w:rPr>
                      <w:rFonts w:ascii="Arial" w:hAnsi="Arial" w:cs="Arial"/>
                      <w:sz w:val="16"/>
                    </w:rPr>
                  </w:pPr>
                  <w:r w:rsidRPr="00A21B5C">
                    <w:rPr>
                      <w:rFonts w:ascii="Arial" w:hAnsi="Arial" w:cs="Arial"/>
                      <w:sz w:val="16"/>
                    </w:rPr>
                    <w:t>Minuta contractual</w:t>
                  </w:r>
                </w:p>
              </w:tc>
              <w:tc>
                <w:tcPr>
                  <w:tcW w:w="1076" w:type="dxa"/>
                  <w:tcBorders>
                    <w:top w:val="single" w:sz="4" w:space="0" w:color="auto"/>
                    <w:left w:val="single" w:sz="4" w:space="0" w:color="auto"/>
                    <w:bottom w:val="single" w:sz="4" w:space="0" w:color="auto"/>
                    <w:right w:val="single" w:sz="4" w:space="0" w:color="auto"/>
                  </w:tcBorders>
                  <w:vAlign w:val="center"/>
                  <w:hideMark/>
                </w:tcPr>
                <w:p w:rsidR="00214178" w:rsidRPr="00A21B5C" w:rsidRDefault="00214178" w:rsidP="00A21B5C">
                  <w:pPr>
                    <w:contextualSpacing/>
                    <w:jc w:val="center"/>
                    <w:rPr>
                      <w:rFonts w:ascii="Arial" w:hAnsi="Arial" w:cs="Arial"/>
                    </w:rPr>
                  </w:pPr>
                  <w:r w:rsidRPr="00A21B5C">
                    <w:rPr>
                      <w:rFonts w:ascii="Segoe UI Symbol" w:hAnsi="Segoe UI Symbol" w:cs="Segoe UI Symbol"/>
                      <w:b/>
                      <w:bCs/>
                      <w:color w:val="222222"/>
                      <w:sz w:val="16"/>
                      <w:shd w:val="clear" w:color="auto" w:fill="FFFFFF"/>
                    </w:rPr>
                    <w:t>✔</w:t>
                  </w:r>
                </w:p>
              </w:tc>
              <w:tc>
                <w:tcPr>
                  <w:tcW w:w="1829" w:type="dxa"/>
                  <w:tcBorders>
                    <w:top w:val="single" w:sz="4" w:space="0" w:color="auto"/>
                    <w:left w:val="single" w:sz="4" w:space="0" w:color="auto"/>
                    <w:bottom w:val="single" w:sz="4" w:space="0" w:color="auto"/>
                    <w:right w:val="single" w:sz="4" w:space="0" w:color="auto"/>
                  </w:tcBorders>
                  <w:vAlign w:val="center"/>
                </w:tcPr>
                <w:p w:rsidR="00214178" w:rsidRPr="00A21B5C" w:rsidRDefault="00214178" w:rsidP="00A21B5C">
                  <w:pPr>
                    <w:contextualSpacing/>
                    <w:jc w:val="center"/>
                    <w:rPr>
                      <w:rFonts w:ascii="Arial" w:hAnsi="Arial" w:cs="Arial"/>
                    </w:rPr>
                  </w:pPr>
                </w:p>
              </w:tc>
              <w:tc>
                <w:tcPr>
                  <w:tcW w:w="1549" w:type="dxa"/>
                  <w:tcBorders>
                    <w:top w:val="single" w:sz="4" w:space="0" w:color="auto"/>
                    <w:left w:val="single" w:sz="4" w:space="0" w:color="auto"/>
                    <w:bottom w:val="single" w:sz="4" w:space="0" w:color="auto"/>
                    <w:right w:val="single" w:sz="4" w:space="0" w:color="auto"/>
                  </w:tcBorders>
                  <w:vAlign w:val="center"/>
                </w:tcPr>
                <w:p w:rsidR="00214178" w:rsidRPr="00A21B5C" w:rsidRDefault="00214178" w:rsidP="00A21B5C">
                  <w:pPr>
                    <w:contextualSpacing/>
                    <w:jc w:val="center"/>
                    <w:rPr>
                      <w:rFonts w:ascii="Arial" w:hAnsi="Arial" w:cs="Arial"/>
                    </w:rPr>
                  </w:pPr>
                </w:p>
              </w:tc>
              <w:tc>
                <w:tcPr>
                  <w:tcW w:w="1761" w:type="dxa"/>
                  <w:tcBorders>
                    <w:top w:val="single" w:sz="4" w:space="0" w:color="auto"/>
                    <w:left w:val="single" w:sz="4" w:space="0" w:color="auto"/>
                    <w:bottom w:val="single" w:sz="4" w:space="0" w:color="auto"/>
                    <w:right w:val="single" w:sz="4" w:space="0" w:color="auto"/>
                  </w:tcBorders>
                  <w:vAlign w:val="center"/>
                </w:tcPr>
                <w:p w:rsidR="00214178" w:rsidRPr="00A21B5C" w:rsidRDefault="00214178" w:rsidP="00A21B5C">
                  <w:pPr>
                    <w:contextualSpacing/>
                    <w:jc w:val="center"/>
                    <w:rPr>
                      <w:rFonts w:ascii="Arial" w:hAnsi="Arial" w:cs="Arial"/>
                    </w:rPr>
                  </w:pPr>
                </w:p>
              </w:tc>
            </w:tr>
            <w:tr w:rsidR="00214178" w:rsidRPr="00A21B5C" w:rsidTr="00EE584D">
              <w:trPr>
                <w:trHeight w:val="250"/>
              </w:trPr>
              <w:tc>
                <w:tcPr>
                  <w:tcW w:w="1754" w:type="dxa"/>
                  <w:tcBorders>
                    <w:top w:val="single" w:sz="4" w:space="0" w:color="auto"/>
                    <w:left w:val="single" w:sz="4" w:space="0" w:color="auto"/>
                    <w:bottom w:val="single" w:sz="4" w:space="0" w:color="auto"/>
                    <w:right w:val="single" w:sz="4" w:space="0" w:color="auto"/>
                  </w:tcBorders>
                  <w:hideMark/>
                </w:tcPr>
                <w:p w:rsidR="00214178" w:rsidRPr="00A21B5C" w:rsidRDefault="00214178" w:rsidP="00A21B5C">
                  <w:pPr>
                    <w:contextualSpacing/>
                    <w:jc w:val="center"/>
                    <w:rPr>
                      <w:rFonts w:ascii="Arial" w:hAnsi="Arial" w:cs="Arial"/>
                    </w:rPr>
                  </w:pPr>
                  <w:r w:rsidRPr="00A21B5C">
                    <w:rPr>
                      <w:rFonts w:ascii="Arial" w:hAnsi="Arial" w:cs="Arial"/>
                      <w:sz w:val="16"/>
                    </w:rPr>
                    <w:t>…</w:t>
                  </w:r>
                </w:p>
              </w:tc>
              <w:tc>
                <w:tcPr>
                  <w:tcW w:w="1076" w:type="dxa"/>
                  <w:tcBorders>
                    <w:top w:val="single" w:sz="4" w:space="0" w:color="auto"/>
                    <w:left w:val="single" w:sz="4" w:space="0" w:color="auto"/>
                    <w:bottom w:val="single" w:sz="4" w:space="0" w:color="auto"/>
                    <w:right w:val="single" w:sz="4" w:space="0" w:color="auto"/>
                  </w:tcBorders>
                </w:tcPr>
                <w:p w:rsidR="00214178" w:rsidRPr="00A21B5C" w:rsidRDefault="00214178" w:rsidP="00A21B5C">
                  <w:pPr>
                    <w:contextualSpacing/>
                    <w:jc w:val="center"/>
                    <w:rPr>
                      <w:rFonts w:ascii="Arial" w:hAnsi="Arial" w:cs="Arial"/>
                    </w:rPr>
                  </w:pPr>
                </w:p>
              </w:tc>
              <w:tc>
                <w:tcPr>
                  <w:tcW w:w="1829" w:type="dxa"/>
                  <w:tcBorders>
                    <w:top w:val="single" w:sz="4" w:space="0" w:color="auto"/>
                    <w:left w:val="single" w:sz="4" w:space="0" w:color="auto"/>
                    <w:bottom w:val="single" w:sz="4" w:space="0" w:color="auto"/>
                    <w:right w:val="single" w:sz="4" w:space="0" w:color="auto"/>
                  </w:tcBorders>
                </w:tcPr>
                <w:p w:rsidR="00214178" w:rsidRPr="00A21B5C" w:rsidRDefault="00214178" w:rsidP="00A21B5C">
                  <w:pPr>
                    <w:contextualSpacing/>
                    <w:jc w:val="center"/>
                    <w:rPr>
                      <w:rFonts w:ascii="Arial" w:hAnsi="Arial" w:cs="Arial"/>
                    </w:rPr>
                  </w:pPr>
                </w:p>
              </w:tc>
              <w:tc>
                <w:tcPr>
                  <w:tcW w:w="1549" w:type="dxa"/>
                  <w:tcBorders>
                    <w:top w:val="single" w:sz="4" w:space="0" w:color="auto"/>
                    <w:left w:val="single" w:sz="4" w:space="0" w:color="auto"/>
                    <w:bottom w:val="single" w:sz="4" w:space="0" w:color="auto"/>
                    <w:right w:val="single" w:sz="4" w:space="0" w:color="auto"/>
                  </w:tcBorders>
                </w:tcPr>
                <w:p w:rsidR="00214178" w:rsidRPr="00A21B5C" w:rsidRDefault="00214178" w:rsidP="00A21B5C">
                  <w:pPr>
                    <w:contextualSpacing/>
                    <w:jc w:val="center"/>
                    <w:rPr>
                      <w:rFonts w:ascii="Arial" w:hAnsi="Arial" w:cs="Arial"/>
                    </w:rPr>
                  </w:pPr>
                </w:p>
              </w:tc>
              <w:tc>
                <w:tcPr>
                  <w:tcW w:w="1761" w:type="dxa"/>
                  <w:tcBorders>
                    <w:top w:val="single" w:sz="4" w:space="0" w:color="auto"/>
                    <w:left w:val="single" w:sz="4" w:space="0" w:color="auto"/>
                    <w:bottom w:val="single" w:sz="4" w:space="0" w:color="auto"/>
                    <w:right w:val="single" w:sz="4" w:space="0" w:color="auto"/>
                  </w:tcBorders>
                </w:tcPr>
                <w:p w:rsidR="00214178" w:rsidRPr="00A21B5C" w:rsidRDefault="00214178" w:rsidP="00A21B5C">
                  <w:pPr>
                    <w:contextualSpacing/>
                    <w:jc w:val="center"/>
                    <w:rPr>
                      <w:rFonts w:ascii="Arial" w:hAnsi="Arial" w:cs="Arial"/>
                    </w:rPr>
                  </w:pPr>
                </w:p>
              </w:tc>
            </w:tr>
            <w:tr w:rsidR="00214178" w:rsidRPr="00A21B5C" w:rsidTr="00EE584D">
              <w:trPr>
                <w:trHeight w:val="250"/>
              </w:trPr>
              <w:tc>
                <w:tcPr>
                  <w:tcW w:w="1754" w:type="dxa"/>
                  <w:tcBorders>
                    <w:top w:val="single" w:sz="4" w:space="0" w:color="auto"/>
                    <w:left w:val="single" w:sz="4" w:space="0" w:color="auto"/>
                    <w:bottom w:val="single" w:sz="4" w:space="0" w:color="auto"/>
                    <w:right w:val="single" w:sz="4" w:space="0" w:color="auto"/>
                  </w:tcBorders>
                  <w:hideMark/>
                </w:tcPr>
                <w:p w:rsidR="00214178" w:rsidRPr="00A21B5C" w:rsidRDefault="00214178" w:rsidP="00A21B5C">
                  <w:pPr>
                    <w:contextualSpacing/>
                    <w:jc w:val="center"/>
                    <w:rPr>
                      <w:rFonts w:ascii="Arial" w:hAnsi="Arial" w:cs="Arial"/>
                      <w:sz w:val="16"/>
                    </w:rPr>
                  </w:pPr>
                  <w:r w:rsidRPr="00A21B5C">
                    <w:rPr>
                      <w:rFonts w:ascii="Arial" w:hAnsi="Arial" w:cs="Arial"/>
                      <w:sz w:val="16"/>
                    </w:rPr>
                    <w:t>Informe supervisión</w:t>
                  </w:r>
                </w:p>
              </w:tc>
              <w:tc>
                <w:tcPr>
                  <w:tcW w:w="1076" w:type="dxa"/>
                  <w:tcBorders>
                    <w:top w:val="single" w:sz="4" w:space="0" w:color="auto"/>
                    <w:left w:val="single" w:sz="4" w:space="0" w:color="auto"/>
                    <w:bottom w:val="single" w:sz="4" w:space="0" w:color="auto"/>
                    <w:right w:val="single" w:sz="4" w:space="0" w:color="auto"/>
                  </w:tcBorders>
                  <w:hideMark/>
                </w:tcPr>
                <w:p w:rsidR="00214178" w:rsidRPr="00A21B5C" w:rsidRDefault="00214178" w:rsidP="00A21B5C">
                  <w:pPr>
                    <w:contextualSpacing/>
                    <w:jc w:val="center"/>
                    <w:rPr>
                      <w:rFonts w:ascii="Arial" w:hAnsi="Arial" w:cs="Arial"/>
                    </w:rPr>
                  </w:pPr>
                  <w:r w:rsidRPr="00A21B5C">
                    <w:rPr>
                      <w:rFonts w:ascii="Segoe UI Symbol" w:hAnsi="Segoe UI Symbol" w:cs="Segoe UI Symbol"/>
                      <w:b/>
                      <w:bCs/>
                      <w:color w:val="222222"/>
                      <w:sz w:val="16"/>
                      <w:shd w:val="clear" w:color="auto" w:fill="FFFFFF"/>
                    </w:rPr>
                    <w:t>✔</w:t>
                  </w:r>
                </w:p>
              </w:tc>
              <w:tc>
                <w:tcPr>
                  <w:tcW w:w="1829" w:type="dxa"/>
                  <w:tcBorders>
                    <w:top w:val="single" w:sz="4" w:space="0" w:color="auto"/>
                    <w:left w:val="single" w:sz="4" w:space="0" w:color="auto"/>
                    <w:bottom w:val="single" w:sz="4" w:space="0" w:color="auto"/>
                    <w:right w:val="single" w:sz="4" w:space="0" w:color="auto"/>
                  </w:tcBorders>
                </w:tcPr>
                <w:p w:rsidR="00214178" w:rsidRPr="00A21B5C" w:rsidRDefault="00214178" w:rsidP="00A21B5C">
                  <w:pPr>
                    <w:contextualSpacing/>
                    <w:jc w:val="center"/>
                    <w:rPr>
                      <w:rFonts w:ascii="Arial" w:hAnsi="Arial" w:cs="Arial"/>
                    </w:rPr>
                  </w:pPr>
                </w:p>
              </w:tc>
              <w:tc>
                <w:tcPr>
                  <w:tcW w:w="1549" w:type="dxa"/>
                  <w:tcBorders>
                    <w:top w:val="single" w:sz="4" w:space="0" w:color="auto"/>
                    <w:left w:val="single" w:sz="4" w:space="0" w:color="auto"/>
                    <w:bottom w:val="single" w:sz="4" w:space="0" w:color="auto"/>
                    <w:right w:val="single" w:sz="4" w:space="0" w:color="auto"/>
                  </w:tcBorders>
                </w:tcPr>
                <w:p w:rsidR="00214178" w:rsidRPr="00A21B5C" w:rsidRDefault="00214178" w:rsidP="00A21B5C">
                  <w:pPr>
                    <w:contextualSpacing/>
                    <w:jc w:val="center"/>
                    <w:rPr>
                      <w:rFonts w:ascii="Arial" w:hAnsi="Arial" w:cs="Arial"/>
                    </w:rPr>
                  </w:pPr>
                </w:p>
              </w:tc>
              <w:tc>
                <w:tcPr>
                  <w:tcW w:w="1761" w:type="dxa"/>
                  <w:tcBorders>
                    <w:top w:val="single" w:sz="4" w:space="0" w:color="auto"/>
                    <w:left w:val="single" w:sz="4" w:space="0" w:color="auto"/>
                    <w:bottom w:val="single" w:sz="4" w:space="0" w:color="auto"/>
                    <w:right w:val="single" w:sz="4" w:space="0" w:color="auto"/>
                  </w:tcBorders>
                </w:tcPr>
                <w:p w:rsidR="00214178" w:rsidRPr="00A21B5C" w:rsidRDefault="00214178" w:rsidP="00A21B5C">
                  <w:pPr>
                    <w:contextualSpacing/>
                    <w:jc w:val="center"/>
                    <w:rPr>
                      <w:rFonts w:ascii="Arial" w:hAnsi="Arial" w:cs="Arial"/>
                    </w:rPr>
                  </w:pPr>
                </w:p>
              </w:tc>
            </w:tr>
            <w:tr w:rsidR="00214178" w:rsidRPr="00A21B5C" w:rsidTr="00EE584D">
              <w:trPr>
                <w:trHeight w:val="250"/>
              </w:trPr>
              <w:tc>
                <w:tcPr>
                  <w:tcW w:w="1754" w:type="dxa"/>
                  <w:tcBorders>
                    <w:top w:val="single" w:sz="4" w:space="0" w:color="auto"/>
                    <w:left w:val="single" w:sz="4" w:space="0" w:color="auto"/>
                    <w:bottom w:val="single" w:sz="4" w:space="0" w:color="auto"/>
                    <w:right w:val="single" w:sz="4" w:space="0" w:color="auto"/>
                  </w:tcBorders>
                  <w:hideMark/>
                </w:tcPr>
                <w:p w:rsidR="00214178" w:rsidRPr="00A21B5C" w:rsidRDefault="00214178" w:rsidP="00A21B5C">
                  <w:pPr>
                    <w:contextualSpacing/>
                    <w:jc w:val="center"/>
                    <w:rPr>
                      <w:rFonts w:ascii="Arial" w:hAnsi="Arial" w:cs="Arial"/>
                      <w:sz w:val="16"/>
                    </w:rPr>
                  </w:pPr>
                  <w:r w:rsidRPr="00A21B5C">
                    <w:rPr>
                      <w:rFonts w:ascii="Arial" w:hAnsi="Arial" w:cs="Arial"/>
                      <w:sz w:val="16"/>
                    </w:rPr>
                    <w:t>…</w:t>
                  </w:r>
                </w:p>
              </w:tc>
              <w:tc>
                <w:tcPr>
                  <w:tcW w:w="1076" w:type="dxa"/>
                  <w:tcBorders>
                    <w:top w:val="single" w:sz="4" w:space="0" w:color="auto"/>
                    <w:left w:val="single" w:sz="4" w:space="0" w:color="auto"/>
                    <w:bottom w:val="single" w:sz="4" w:space="0" w:color="auto"/>
                    <w:right w:val="single" w:sz="4" w:space="0" w:color="auto"/>
                  </w:tcBorders>
                </w:tcPr>
                <w:p w:rsidR="00214178" w:rsidRPr="00A21B5C" w:rsidRDefault="00214178" w:rsidP="00A21B5C">
                  <w:pPr>
                    <w:contextualSpacing/>
                    <w:jc w:val="center"/>
                    <w:rPr>
                      <w:rFonts w:ascii="Arial" w:hAnsi="Arial" w:cs="Arial"/>
                    </w:rPr>
                  </w:pPr>
                </w:p>
              </w:tc>
              <w:tc>
                <w:tcPr>
                  <w:tcW w:w="1829" w:type="dxa"/>
                  <w:tcBorders>
                    <w:top w:val="single" w:sz="4" w:space="0" w:color="auto"/>
                    <w:left w:val="single" w:sz="4" w:space="0" w:color="auto"/>
                    <w:bottom w:val="single" w:sz="4" w:space="0" w:color="auto"/>
                    <w:right w:val="single" w:sz="4" w:space="0" w:color="auto"/>
                  </w:tcBorders>
                </w:tcPr>
                <w:p w:rsidR="00214178" w:rsidRPr="00A21B5C" w:rsidRDefault="00214178" w:rsidP="00A21B5C">
                  <w:pPr>
                    <w:contextualSpacing/>
                    <w:jc w:val="center"/>
                    <w:rPr>
                      <w:rFonts w:ascii="Arial" w:hAnsi="Arial" w:cs="Arial"/>
                    </w:rPr>
                  </w:pPr>
                </w:p>
              </w:tc>
              <w:tc>
                <w:tcPr>
                  <w:tcW w:w="1549" w:type="dxa"/>
                  <w:tcBorders>
                    <w:top w:val="single" w:sz="4" w:space="0" w:color="auto"/>
                    <w:left w:val="single" w:sz="4" w:space="0" w:color="auto"/>
                    <w:bottom w:val="single" w:sz="4" w:space="0" w:color="auto"/>
                    <w:right w:val="single" w:sz="4" w:space="0" w:color="auto"/>
                  </w:tcBorders>
                </w:tcPr>
                <w:p w:rsidR="00214178" w:rsidRPr="00A21B5C" w:rsidRDefault="00214178" w:rsidP="00A21B5C">
                  <w:pPr>
                    <w:contextualSpacing/>
                    <w:jc w:val="center"/>
                    <w:rPr>
                      <w:rFonts w:ascii="Arial" w:hAnsi="Arial" w:cs="Arial"/>
                    </w:rPr>
                  </w:pPr>
                </w:p>
              </w:tc>
              <w:tc>
                <w:tcPr>
                  <w:tcW w:w="1761" w:type="dxa"/>
                  <w:tcBorders>
                    <w:top w:val="single" w:sz="4" w:space="0" w:color="auto"/>
                    <w:left w:val="single" w:sz="4" w:space="0" w:color="auto"/>
                    <w:bottom w:val="single" w:sz="4" w:space="0" w:color="auto"/>
                    <w:right w:val="single" w:sz="4" w:space="0" w:color="auto"/>
                  </w:tcBorders>
                </w:tcPr>
                <w:p w:rsidR="00214178" w:rsidRPr="00A21B5C" w:rsidRDefault="00214178" w:rsidP="00A21B5C">
                  <w:pPr>
                    <w:contextualSpacing/>
                    <w:jc w:val="center"/>
                    <w:rPr>
                      <w:rFonts w:ascii="Arial" w:hAnsi="Arial" w:cs="Arial"/>
                    </w:rPr>
                  </w:pPr>
                </w:p>
              </w:tc>
            </w:tr>
            <w:tr w:rsidR="00214178" w:rsidRPr="00A21B5C" w:rsidTr="00EE584D">
              <w:trPr>
                <w:trHeight w:val="250"/>
              </w:trPr>
              <w:tc>
                <w:tcPr>
                  <w:tcW w:w="1754" w:type="dxa"/>
                  <w:tcBorders>
                    <w:top w:val="single" w:sz="4" w:space="0" w:color="auto"/>
                    <w:left w:val="single" w:sz="4" w:space="0" w:color="auto"/>
                    <w:bottom w:val="single" w:sz="4" w:space="0" w:color="auto"/>
                    <w:right w:val="single" w:sz="4" w:space="0" w:color="auto"/>
                  </w:tcBorders>
                  <w:hideMark/>
                </w:tcPr>
                <w:p w:rsidR="00214178" w:rsidRPr="00A21B5C" w:rsidRDefault="00214178" w:rsidP="00A21B5C">
                  <w:pPr>
                    <w:contextualSpacing/>
                    <w:jc w:val="center"/>
                    <w:rPr>
                      <w:rFonts w:ascii="Arial" w:hAnsi="Arial" w:cs="Arial"/>
                      <w:sz w:val="16"/>
                    </w:rPr>
                  </w:pPr>
                  <w:r w:rsidRPr="00A21B5C">
                    <w:rPr>
                      <w:rFonts w:ascii="Arial" w:hAnsi="Arial" w:cs="Arial"/>
                      <w:sz w:val="16"/>
                    </w:rPr>
                    <w:t>Acta liquidación</w:t>
                  </w:r>
                </w:p>
              </w:tc>
              <w:tc>
                <w:tcPr>
                  <w:tcW w:w="1076" w:type="dxa"/>
                  <w:tcBorders>
                    <w:top w:val="single" w:sz="4" w:space="0" w:color="auto"/>
                    <w:left w:val="single" w:sz="4" w:space="0" w:color="auto"/>
                    <w:bottom w:val="single" w:sz="4" w:space="0" w:color="auto"/>
                    <w:right w:val="single" w:sz="4" w:space="0" w:color="auto"/>
                  </w:tcBorders>
                  <w:hideMark/>
                </w:tcPr>
                <w:p w:rsidR="00214178" w:rsidRPr="00A21B5C" w:rsidRDefault="00214178" w:rsidP="00A21B5C">
                  <w:pPr>
                    <w:contextualSpacing/>
                    <w:jc w:val="center"/>
                    <w:rPr>
                      <w:rFonts w:ascii="Arial" w:hAnsi="Arial" w:cs="Arial"/>
                    </w:rPr>
                  </w:pPr>
                  <w:r w:rsidRPr="00A21B5C">
                    <w:rPr>
                      <w:rFonts w:ascii="Segoe UI Symbol" w:hAnsi="Segoe UI Symbol" w:cs="Segoe UI Symbol"/>
                      <w:b/>
                      <w:bCs/>
                      <w:color w:val="222222"/>
                      <w:sz w:val="16"/>
                      <w:shd w:val="clear" w:color="auto" w:fill="FFFFFF"/>
                    </w:rPr>
                    <w:t>✔</w:t>
                  </w:r>
                </w:p>
              </w:tc>
              <w:tc>
                <w:tcPr>
                  <w:tcW w:w="1829" w:type="dxa"/>
                  <w:tcBorders>
                    <w:top w:val="single" w:sz="4" w:space="0" w:color="auto"/>
                    <w:left w:val="single" w:sz="4" w:space="0" w:color="auto"/>
                    <w:bottom w:val="single" w:sz="4" w:space="0" w:color="auto"/>
                    <w:right w:val="single" w:sz="4" w:space="0" w:color="auto"/>
                  </w:tcBorders>
                </w:tcPr>
                <w:p w:rsidR="00214178" w:rsidRPr="00A21B5C" w:rsidRDefault="00214178" w:rsidP="00A21B5C">
                  <w:pPr>
                    <w:contextualSpacing/>
                    <w:jc w:val="center"/>
                    <w:rPr>
                      <w:rFonts w:ascii="Arial" w:hAnsi="Arial" w:cs="Arial"/>
                    </w:rPr>
                  </w:pPr>
                </w:p>
              </w:tc>
              <w:tc>
                <w:tcPr>
                  <w:tcW w:w="1549" w:type="dxa"/>
                  <w:tcBorders>
                    <w:top w:val="single" w:sz="4" w:space="0" w:color="auto"/>
                    <w:left w:val="single" w:sz="4" w:space="0" w:color="auto"/>
                    <w:bottom w:val="single" w:sz="4" w:space="0" w:color="auto"/>
                    <w:right w:val="single" w:sz="4" w:space="0" w:color="auto"/>
                  </w:tcBorders>
                </w:tcPr>
                <w:p w:rsidR="00214178" w:rsidRPr="00A21B5C" w:rsidRDefault="00214178" w:rsidP="00A21B5C">
                  <w:pPr>
                    <w:contextualSpacing/>
                    <w:jc w:val="center"/>
                    <w:rPr>
                      <w:rFonts w:ascii="Arial" w:hAnsi="Arial" w:cs="Arial"/>
                    </w:rPr>
                  </w:pPr>
                </w:p>
              </w:tc>
              <w:tc>
                <w:tcPr>
                  <w:tcW w:w="1761" w:type="dxa"/>
                  <w:tcBorders>
                    <w:top w:val="single" w:sz="4" w:space="0" w:color="auto"/>
                    <w:left w:val="single" w:sz="4" w:space="0" w:color="auto"/>
                    <w:bottom w:val="single" w:sz="4" w:space="0" w:color="auto"/>
                    <w:right w:val="single" w:sz="4" w:space="0" w:color="auto"/>
                  </w:tcBorders>
                </w:tcPr>
                <w:p w:rsidR="00214178" w:rsidRPr="00A21B5C" w:rsidRDefault="00214178" w:rsidP="00A21B5C">
                  <w:pPr>
                    <w:contextualSpacing/>
                    <w:jc w:val="center"/>
                    <w:rPr>
                      <w:rFonts w:ascii="Arial" w:hAnsi="Arial" w:cs="Arial"/>
                    </w:rPr>
                  </w:pPr>
                </w:p>
              </w:tc>
            </w:tr>
          </w:tbl>
          <w:p w:rsidR="00214178" w:rsidRPr="00A21B5C" w:rsidRDefault="00214178" w:rsidP="00A21B5C">
            <w:pPr>
              <w:contextualSpacing/>
              <w:jc w:val="center"/>
              <w:rPr>
                <w:rFonts w:ascii="Arial" w:hAnsi="Arial" w:cs="Arial"/>
                <w:sz w:val="20"/>
                <w:szCs w:val="20"/>
                <w:lang w:val="es-CO"/>
              </w:rPr>
            </w:pPr>
          </w:p>
          <w:p w:rsidR="00214178" w:rsidRPr="00A21B5C" w:rsidRDefault="00214178" w:rsidP="00A21B5C">
            <w:pPr>
              <w:contextualSpacing/>
              <w:jc w:val="center"/>
              <w:rPr>
                <w:rFonts w:ascii="Arial" w:hAnsi="Arial" w:cs="Arial"/>
                <w:sz w:val="16"/>
                <w:lang w:val="es-CO"/>
              </w:rPr>
            </w:pPr>
            <w:r w:rsidRPr="00A21B5C">
              <w:rPr>
                <w:rFonts w:ascii="Arial" w:hAnsi="Arial" w:cs="Arial"/>
                <w:sz w:val="16"/>
                <w:lang w:val="es-CO"/>
              </w:rPr>
              <w:t>Firma elaboración: XXX 1</w:t>
            </w:r>
          </w:p>
          <w:p w:rsidR="00214178" w:rsidRPr="00A21B5C" w:rsidRDefault="00214178" w:rsidP="00A21B5C">
            <w:pPr>
              <w:contextualSpacing/>
              <w:jc w:val="center"/>
              <w:rPr>
                <w:rFonts w:ascii="Arial" w:hAnsi="Arial" w:cs="Arial"/>
                <w:sz w:val="16"/>
                <w:u w:val="single"/>
                <w:lang w:val="es-CO"/>
              </w:rPr>
            </w:pPr>
            <w:r w:rsidRPr="00A21B5C">
              <w:rPr>
                <w:rFonts w:ascii="Arial" w:hAnsi="Arial" w:cs="Arial"/>
                <w:sz w:val="16"/>
                <w:u w:val="single"/>
                <w:lang w:val="es-CO"/>
              </w:rPr>
              <w:t>Firma verificación del cargue de la totalidad de los documentos referenciados:  XXXX 2</w:t>
            </w:r>
          </w:p>
          <w:p w:rsidR="00214178" w:rsidRPr="00A21B5C" w:rsidRDefault="00214178" w:rsidP="00A21B5C">
            <w:pPr>
              <w:contextualSpacing/>
              <w:jc w:val="center"/>
              <w:rPr>
                <w:rFonts w:ascii="Arial" w:hAnsi="Arial" w:cs="Arial"/>
                <w:sz w:val="16"/>
                <w:lang w:val="es-CO"/>
              </w:rPr>
            </w:pPr>
            <w:r w:rsidRPr="00A21B5C">
              <w:rPr>
                <w:rFonts w:ascii="Arial" w:hAnsi="Arial" w:cs="Arial"/>
                <w:sz w:val="16"/>
                <w:lang w:val="es-CO"/>
              </w:rPr>
              <w:t>Firma aprobación: XXX 3</w:t>
            </w:r>
          </w:p>
          <w:p w:rsidR="00214178" w:rsidRPr="00A21B5C" w:rsidRDefault="00214178" w:rsidP="00A21B5C">
            <w:pPr>
              <w:contextualSpacing/>
              <w:jc w:val="both"/>
              <w:rPr>
                <w:rFonts w:ascii="Arial" w:hAnsi="Arial" w:cs="Arial"/>
                <w:sz w:val="20"/>
                <w:szCs w:val="20"/>
                <w:lang w:val="es-CO"/>
              </w:rPr>
            </w:pPr>
          </w:p>
        </w:tc>
      </w:tr>
    </w:tbl>
    <w:p w:rsidR="008C2E4A" w:rsidRPr="00A21B5C" w:rsidRDefault="008C2E4A" w:rsidP="00A21B5C">
      <w:pPr>
        <w:contextualSpacing/>
        <w:jc w:val="both"/>
        <w:rPr>
          <w:rFonts w:ascii="Arial" w:hAnsi="Arial" w:cs="Arial"/>
          <w:b/>
          <w:sz w:val="22"/>
          <w:szCs w:val="20"/>
          <w:lang w:val="es-CO"/>
        </w:rPr>
      </w:pPr>
    </w:p>
    <w:p w:rsidR="008C2E4A" w:rsidRPr="00A21B5C" w:rsidRDefault="008C2E4A">
      <w:pPr>
        <w:pStyle w:val="Prrafodelista"/>
        <w:numPr>
          <w:ilvl w:val="0"/>
          <w:numId w:val="21"/>
        </w:numPr>
        <w:jc w:val="both"/>
        <w:rPr>
          <w:rFonts w:ascii="Arial" w:hAnsi="Arial" w:cs="Arial"/>
          <w:sz w:val="22"/>
          <w:lang w:val="es-CO"/>
        </w:rPr>
      </w:pPr>
      <w:r w:rsidRPr="00A21B5C">
        <w:rPr>
          <w:rFonts w:ascii="Arial" w:hAnsi="Arial" w:cs="Arial"/>
          <w:b/>
          <w:bCs/>
          <w:sz w:val="22"/>
          <w:szCs w:val="21"/>
          <w:lang w:val="es-CO"/>
        </w:rPr>
        <w:t>Incumplimiento</w:t>
      </w:r>
      <w:r w:rsidR="009D2F75" w:rsidRPr="00A21B5C">
        <w:rPr>
          <w:rFonts w:ascii="Arial" w:hAnsi="Arial" w:cs="Arial"/>
          <w:b/>
          <w:bCs/>
          <w:sz w:val="22"/>
          <w:szCs w:val="21"/>
          <w:lang w:val="es-CO"/>
        </w:rPr>
        <w:t xml:space="preserve"> en la</w:t>
      </w:r>
      <w:r w:rsidRPr="00A21B5C">
        <w:rPr>
          <w:rFonts w:ascii="Arial" w:hAnsi="Arial" w:cs="Arial"/>
          <w:b/>
          <w:bCs/>
          <w:sz w:val="22"/>
          <w:szCs w:val="21"/>
          <w:lang w:val="es-CO"/>
        </w:rPr>
        <w:t xml:space="preserve"> fecha límite para la suscripción de Contrato de Administración.</w:t>
      </w:r>
    </w:p>
    <w:p w:rsidR="008C2E4A" w:rsidRPr="00A21B5C" w:rsidRDefault="008C2E4A" w:rsidP="00A21B5C">
      <w:pPr>
        <w:contextualSpacing/>
        <w:jc w:val="both"/>
        <w:rPr>
          <w:rFonts w:ascii="Arial" w:hAnsi="Arial" w:cs="Arial"/>
          <w:sz w:val="22"/>
          <w:lang w:val="es-CO"/>
        </w:rPr>
      </w:pPr>
    </w:p>
    <w:p w:rsidR="008C2E4A" w:rsidRPr="00A21B5C" w:rsidRDefault="008C2E4A" w:rsidP="00A21B5C">
      <w:pPr>
        <w:pStyle w:val="Textoindependiente2"/>
        <w:contextualSpacing/>
        <w:rPr>
          <w:rFonts w:cs="Arial"/>
          <w:i/>
          <w:color w:val="000000"/>
          <w:sz w:val="22"/>
          <w:szCs w:val="21"/>
          <w:lang w:val="es-CO"/>
        </w:rPr>
      </w:pPr>
      <w:r w:rsidRPr="00A21B5C">
        <w:rPr>
          <w:rFonts w:cs="Arial"/>
          <w:sz w:val="22"/>
          <w:szCs w:val="21"/>
          <w:lang w:val="es-CO"/>
        </w:rPr>
        <w:t xml:space="preserve">El artículo 34 del Decreto 1953 de 2014 establece que </w:t>
      </w:r>
      <w:r w:rsidRPr="00A21B5C">
        <w:rPr>
          <w:rFonts w:cs="Arial"/>
          <w:i/>
          <w:sz w:val="22"/>
          <w:szCs w:val="21"/>
          <w:lang w:val="es-CO"/>
        </w:rPr>
        <w:t>“</w:t>
      </w:r>
      <w:r w:rsidRPr="00A21B5C">
        <w:rPr>
          <w:rFonts w:cs="Arial"/>
          <w:sz w:val="22"/>
          <w:szCs w:val="21"/>
          <w:lang w:val="es-CO"/>
        </w:rPr>
        <w:t>e</w:t>
      </w:r>
      <w:r w:rsidRPr="00A21B5C">
        <w:rPr>
          <w:rFonts w:cs="Arial"/>
          <w:i/>
          <w:color w:val="000000"/>
          <w:sz w:val="22"/>
          <w:szCs w:val="21"/>
          <w:lang w:val="es-CO"/>
        </w:rPr>
        <w:t xml:space="preserve">n caso que un resguardo indígena no administre la asignación especial del Sistema General de Participaciones, o no se haya asociado con otros para administrarlos, su ejecución se realizará mediante la celebración </w:t>
      </w:r>
      <w:r w:rsidRPr="00A21B5C">
        <w:rPr>
          <w:rFonts w:cs="Arial"/>
          <w:i/>
          <w:color w:val="000000"/>
          <w:sz w:val="22"/>
          <w:szCs w:val="21"/>
          <w:lang w:val="es-CO"/>
        </w:rPr>
        <w:lastRenderedPageBreak/>
        <w:t xml:space="preserve">de un contrato de administración suscrito entre la entidad territorial respectiva y el representante legal del resguardo designado por las autoridades propias”. </w:t>
      </w:r>
    </w:p>
    <w:p w:rsidR="008C2E4A" w:rsidRPr="00A21B5C" w:rsidRDefault="008C2E4A" w:rsidP="00A21B5C">
      <w:pPr>
        <w:pStyle w:val="Textoindependiente2"/>
        <w:contextualSpacing/>
        <w:rPr>
          <w:rFonts w:cs="Arial"/>
          <w:i/>
          <w:color w:val="000000"/>
          <w:sz w:val="22"/>
          <w:szCs w:val="21"/>
          <w:lang w:val="es-CO"/>
        </w:rPr>
      </w:pPr>
    </w:p>
    <w:p w:rsidR="008C2E4A" w:rsidRPr="00A21B5C" w:rsidRDefault="008C2E4A" w:rsidP="00A21B5C">
      <w:pPr>
        <w:pStyle w:val="Textoindependiente2"/>
        <w:contextualSpacing/>
        <w:rPr>
          <w:rFonts w:cs="Arial"/>
          <w:i/>
          <w:color w:val="000000"/>
          <w:sz w:val="22"/>
          <w:szCs w:val="21"/>
          <w:lang w:val="es-CO"/>
        </w:rPr>
      </w:pPr>
      <w:r w:rsidRPr="00A21B5C">
        <w:rPr>
          <w:rFonts w:cs="Arial"/>
          <w:color w:val="000000"/>
          <w:sz w:val="22"/>
          <w:szCs w:val="21"/>
          <w:lang w:val="es-CO"/>
        </w:rPr>
        <w:t xml:space="preserve">Así mismo, el artículo 83 de la Ley 715 establece que </w:t>
      </w:r>
      <w:r w:rsidRPr="00A21B5C">
        <w:rPr>
          <w:rFonts w:cs="Arial"/>
          <w:i/>
          <w:color w:val="000000"/>
          <w:sz w:val="22"/>
          <w:szCs w:val="21"/>
          <w:lang w:val="es-CO"/>
        </w:rPr>
        <w:t>“[…] deberá celebrarse un contrato entre la entidad territorial y las autoridades del resguardo, antes del 31 de diciembre de cada año, en la que se determine el uso de los recursos en el año siguiente. Copia de dicho contrato se enviará antes del 20 de enero al Ministerio del Interior” (Subrayado fuera de texto)</w:t>
      </w:r>
    </w:p>
    <w:p w:rsidR="008C2E4A" w:rsidRPr="00A21B5C" w:rsidRDefault="008C2E4A" w:rsidP="00A21B5C">
      <w:pPr>
        <w:pStyle w:val="Textoindependiente2"/>
        <w:contextualSpacing/>
        <w:rPr>
          <w:rFonts w:cs="Arial"/>
          <w:color w:val="000000"/>
          <w:sz w:val="22"/>
          <w:lang w:val="es-CO"/>
        </w:rPr>
      </w:pPr>
    </w:p>
    <w:p w:rsidR="008C2E4A" w:rsidRPr="00A21B5C" w:rsidRDefault="008C2E4A" w:rsidP="00A21B5C">
      <w:pPr>
        <w:pStyle w:val="Textoindependiente2"/>
        <w:contextualSpacing/>
        <w:rPr>
          <w:rFonts w:cs="Arial"/>
          <w:color w:val="000000"/>
          <w:sz w:val="22"/>
          <w:lang w:val="es-CO"/>
        </w:rPr>
      </w:pPr>
      <w:r w:rsidRPr="00A21B5C">
        <w:rPr>
          <w:rFonts w:cs="Arial"/>
          <w:color w:val="000000"/>
          <w:sz w:val="22"/>
          <w:lang w:val="es-CO"/>
        </w:rPr>
        <w:t xml:space="preserve">De esta manera, para lograr la firma de los </w:t>
      </w:r>
      <w:r w:rsidR="00AB2DE4" w:rsidRPr="00A21B5C">
        <w:rPr>
          <w:rFonts w:cs="Arial"/>
          <w:color w:val="000000"/>
          <w:sz w:val="22"/>
          <w:lang w:val="es-CO"/>
        </w:rPr>
        <w:t xml:space="preserve">convenios </w:t>
      </w:r>
      <w:r w:rsidRPr="00A21B5C">
        <w:rPr>
          <w:rFonts w:cs="Arial"/>
          <w:color w:val="000000"/>
          <w:sz w:val="22"/>
          <w:lang w:val="es-CO"/>
        </w:rPr>
        <w:t xml:space="preserve">de </w:t>
      </w:r>
      <w:r w:rsidR="00AB2DE4" w:rsidRPr="00A21B5C">
        <w:rPr>
          <w:rFonts w:cs="Arial"/>
          <w:color w:val="000000"/>
          <w:sz w:val="22"/>
          <w:lang w:val="es-CO"/>
        </w:rPr>
        <w:t xml:space="preserve">administración </w:t>
      </w:r>
      <w:r w:rsidRPr="00A21B5C">
        <w:rPr>
          <w:rFonts w:cs="Arial"/>
          <w:color w:val="000000"/>
          <w:sz w:val="22"/>
          <w:lang w:val="es-CO"/>
        </w:rPr>
        <w:t>es necesario que previamente el Resguardo Indígena haya determinado el uso de los recursos para el año siguiente, a través de proyectos de inversión debidamente formulados, como se establece en el artículo 27 del Decreto 1953 de 2014. Par</w:t>
      </w:r>
      <w:r w:rsidR="004C3261" w:rsidRPr="00A21B5C">
        <w:rPr>
          <w:rFonts w:cs="Arial"/>
          <w:color w:val="000000"/>
          <w:sz w:val="22"/>
          <w:lang w:val="es-CO"/>
        </w:rPr>
        <w:t>a</w:t>
      </w:r>
      <w:r w:rsidRPr="00A21B5C">
        <w:rPr>
          <w:rFonts w:cs="Arial"/>
          <w:color w:val="000000"/>
          <w:sz w:val="22"/>
          <w:lang w:val="es-CO"/>
        </w:rPr>
        <w:t xml:space="preserve"> ello, de acuerdo con las </w:t>
      </w:r>
      <w:r w:rsidRPr="00A21B5C">
        <w:rPr>
          <w:rFonts w:cs="Arial"/>
          <w:i/>
          <w:color w:val="000000"/>
          <w:sz w:val="22"/>
          <w:lang w:val="es-CO"/>
        </w:rPr>
        <w:t xml:space="preserve">“Orientaciones para la programación, administración y ejecución de los recursos de la Asignación Especial del Sistema General de Participaciones para los Resguardos Indígenas (AESGRI) 2012” </w:t>
      </w:r>
      <w:r w:rsidRPr="00A21B5C">
        <w:rPr>
          <w:rFonts w:cs="Arial"/>
          <w:color w:val="000000"/>
          <w:sz w:val="22"/>
          <w:lang w:val="es-CO"/>
        </w:rPr>
        <w:t xml:space="preserve">del Departamento Nacional de Planeación, debe surtirse el proceso de concertación al interior del Resguardo Indígena para la identificación de necesidades, el planteamiento de alternativas de solución, la formulación de los proyectos, la priorización de los mismos y su inclusión en el </w:t>
      </w:r>
      <w:r w:rsidR="00AB2DE4" w:rsidRPr="00A21B5C">
        <w:rPr>
          <w:rFonts w:cs="Arial"/>
          <w:color w:val="000000"/>
          <w:sz w:val="22"/>
          <w:lang w:val="es-CO"/>
        </w:rPr>
        <w:t xml:space="preserve">convenio </w:t>
      </w:r>
      <w:r w:rsidRPr="00A21B5C">
        <w:rPr>
          <w:rFonts w:cs="Arial"/>
          <w:color w:val="000000"/>
          <w:sz w:val="22"/>
          <w:lang w:val="es-CO"/>
        </w:rPr>
        <w:t xml:space="preserve">de </w:t>
      </w:r>
      <w:r w:rsidR="00AB2DE4" w:rsidRPr="00A21B5C">
        <w:rPr>
          <w:rFonts w:cs="Arial"/>
          <w:color w:val="000000"/>
          <w:sz w:val="22"/>
          <w:lang w:val="es-CO"/>
        </w:rPr>
        <w:t>administración</w:t>
      </w:r>
      <w:r w:rsidRPr="00A21B5C">
        <w:rPr>
          <w:rFonts w:cs="Arial"/>
          <w:color w:val="000000"/>
          <w:sz w:val="22"/>
          <w:lang w:val="es-CO"/>
        </w:rPr>
        <w:t xml:space="preserve">. A partir de lo anterior, es claro que este proceso de programación de los recursos deberá darse a lo largo de </w:t>
      </w:r>
      <w:r w:rsidR="00D95E1F" w:rsidRPr="00A21B5C">
        <w:rPr>
          <w:rFonts w:cs="Arial"/>
          <w:color w:val="000000"/>
          <w:sz w:val="22"/>
          <w:lang w:val="es-CO"/>
        </w:rPr>
        <w:t xml:space="preserve">la </w:t>
      </w:r>
      <w:r w:rsidRPr="00A21B5C">
        <w:rPr>
          <w:rFonts w:cs="Arial"/>
          <w:color w:val="000000"/>
          <w:sz w:val="22"/>
          <w:lang w:val="es-CO"/>
        </w:rPr>
        <w:t xml:space="preserve">vigencia fiscal anterior a la cual se espera ejecutar los recursos de la AESGPRI, esto para dar cumplimiento a la fecha estipulada para la firma del </w:t>
      </w:r>
      <w:r w:rsidR="00AB2DE4" w:rsidRPr="00A21B5C">
        <w:rPr>
          <w:rFonts w:cs="Arial"/>
          <w:color w:val="000000"/>
          <w:sz w:val="22"/>
          <w:lang w:val="es-CO"/>
        </w:rPr>
        <w:t xml:space="preserve">convenio </w:t>
      </w:r>
      <w:r w:rsidRPr="00A21B5C">
        <w:rPr>
          <w:rFonts w:cs="Arial"/>
          <w:color w:val="000000"/>
          <w:sz w:val="22"/>
          <w:lang w:val="es-CO"/>
        </w:rPr>
        <w:t xml:space="preserve">de </w:t>
      </w:r>
      <w:r w:rsidR="00AB2DE4" w:rsidRPr="00A21B5C">
        <w:rPr>
          <w:rFonts w:cs="Arial"/>
          <w:color w:val="000000"/>
          <w:sz w:val="22"/>
          <w:lang w:val="es-CO"/>
        </w:rPr>
        <w:t>administración</w:t>
      </w:r>
      <w:r w:rsidRPr="00A21B5C">
        <w:rPr>
          <w:rFonts w:cs="Arial"/>
          <w:color w:val="000000"/>
          <w:sz w:val="22"/>
          <w:lang w:val="es-CO"/>
        </w:rPr>
        <w:t>.</w:t>
      </w:r>
    </w:p>
    <w:p w:rsidR="008C2E4A" w:rsidRPr="00A21B5C" w:rsidRDefault="008C2E4A" w:rsidP="00A21B5C">
      <w:pPr>
        <w:contextualSpacing/>
        <w:jc w:val="both"/>
        <w:rPr>
          <w:rFonts w:ascii="Arial" w:hAnsi="Arial" w:cs="Arial"/>
          <w:sz w:val="22"/>
          <w:lang w:val="es-CO"/>
        </w:rPr>
      </w:pPr>
    </w:p>
    <w:p w:rsidR="008C2E4A" w:rsidRPr="00A21B5C" w:rsidRDefault="008C2E4A" w:rsidP="00A21B5C">
      <w:pPr>
        <w:pStyle w:val="Textoindependiente2"/>
        <w:contextualSpacing/>
        <w:rPr>
          <w:rFonts w:cs="Arial"/>
          <w:sz w:val="22"/>
          <w:szCs w:val="22"/>
          <w:lang w:val="es-CO"/>
        </w:rPr>
      </w:pPr>
      <w:r w:rsidRPr="00A21B5C">
        <w:rPr>
          <w:rFonts w:cs="Arial"/>
          <w:sz w:val="22"/>
          <w:lang w:val="es-CO"/>
        </w:rPr>
        <w:t xml:space="preserve">Así, en revisión </w:t>
      </w:r>
      <w:r w:rsidRPr="00A21B5C">
        <w:rPr>
          <w:rFonts w:cs="Arial"/>
          <w:sz w:val="22"/>
          <w:szCs w:val="22"/>
          <w:lang w:val="es-CO"/>
        </w:rPr>
        <w:t xml:space="preserve">a </w:t>
      </w:r>
      <w:r w:rsidRPr="00A21B5C">
        <w:rPr>
          <w:rFonts w:cs="Arial"/>
          <w:color w:val="000000"/>
          <w:sz w:val="22"/>
          <w:szCs w:val="21"/>
          <w:lang w:val="es-CO"/>
        </w:rPr>
        <w:t xml:space="preserve">los </w:t>
      </w:r>
      <w:r w:rsidR="00AB2DE4" w:rsidRPr="00A21B5C">
        <w:rPr>
          <w:rFonts w:cs="Arial"/>
          <w:color w:val="000000"/>
          <w:sz w:val="22"/>
          <w:szCs w:val="21"/>
          <w:lang w:val="es-CO"/>
        </w:rPr>
        <w:t xml:space="preserve">Convenios </w:t>
      </w:r>
      <w:r w:rsidRPr="00A21B5C">
        <w:rPr>
          <w:rFonts w:cs="Arial"/>
          <w:color w:val="000000"/>
          <w:sz w:val="22"/>
          <w:szCs w:val="21"/>
          <w:lang w:val="es-CO"/>
        </w:rPr>
        <w:t xml:space="preserve">de Administración suscritos por el Municipio de Dibulla – la Guajira con el </w:t>
      </w:r>
      <w:r w:rsidRPr="00A21B5C">
        <w:rPr>
          <w:rFonts w:cs="Arial"/>
          <w:sz w:val="22"/>
          <w:szCs w:val="22"/>
          <w:lang w:val="es-CO"/>
        </w:rPr>
        <w:t xml:space="preserve">Resguardo Indígena </w:t>
      </w:r>
      <w:r w:rsidRPr="00A21B5C">
        <w:rPr>
          <w:rFonts w:cs="Arial"/>
          <w:iCs/>
          <w:sz w:val="22"/>
          <w:szCs w:val="22"/>
          <w:lang w:val="es-CO"/>
        </w:rPr>
        <w:t>Kogui – Malayo – Arhuaco</w:t>
      </w:r>
      <w:r w:rsidRPr="00A21B5C">
        <w:rPr>
          <w:rFonts w:cs="Arial"/>
          <w:color w:val="000000"/>
          <w:sz w:val="22"/>
          <w:szCs w:val="21"/>
          <w:lang w:val="es-CO"/>
        </w:rPr>
        <w:t xml:space="preserve"> para las vigencias 2017</w:t>
      </w:r>
      <w:r w:rsidR="009B5DC3" w:rsidRPr="00A21B5C">
        <w:rPr>
          <w:rFonts w:cs="Arial"/>
          <w:color w:val="000000"/>
          <w:sz w:val="22"/>
          <w:szCs w:val="21"/>
          <w:lang w:val="es-CO"/>
        </w:rPr>
        <w:t>,</w:t>
      </w:r>
      <w:r w:rsidRPr="00A21B5C">
        <w:rPr>
          <w:rFonts w:cs="Arial"/>
          <w:color w:val="000000"/>
          <w:sz w:val="22"/>
          <w:szCs w:val="21"/>
          <w:lang w:val="es-CO"/>
        </w:rPr>
        <w:t xml:space="preserve"> 2018</w:t>
      </w:r>
      <w:r w:rsidR="009B5DC3" w:rsidRPr="00A21B5C">
        <w:rPr>
          <w:rFonts w:cs="Arial"/>
          <w:color w:val="000000"/>
          <w:sz w:val="22"/>
          <w:szCs w:val="21"/>
          <w:lang w:val="es-CO"/>
        </w:rPr>
        <w:t xml:space="preserve"> y 2019</w:t>
      </w:r>
      <w:r w:rsidRPr="00A21B5C">
        <w:rPr>
          <w:rFonts w:cs="Arial"/>
          <w:color w:val="000000"/>
          <w:sz w:val="22"/>
          <w:szCs w:val="21"/>
          <w:lang w:val="es-CO"/>
        </w:rPr>
        <w:t xml:space="preserve">, se evidenció que estos fueron suscritos durante la misma vigencia fiscal y no </w:t>
      </w:r>
      <w:r w:rsidR="005D0E60" w:rsidRPr="00A21B5C">
        <w:rPr>
          <w:rFonts w:cs="Arial"/>
          <w:color w:val="000000"/>
          <w:sz w:val="22"/>
          <w:szCs w:val="21"/>
          <w:lang w:val="es-CO"/>
        </w:rPr>
        <w:t>antes de</w:t>
      </w:r>
      <w:r w:rsidRPr="00A21B5C">
        <w:rPr>
          <w:rFonts w:cs="Arial"/>
          <w:color w:val="000000"/>
          <w:sz w:val="22"/>
          <w:szCs w:val="21"/>
          <w:lang w:val="es-CO"/>
        </w:rPr>
        <w:t xml:space="preserve"> la fecha </w:t>
      </w:r>
      <w:r w:rsidR="005D0E60" w:rsidRPr="00A21B5C">
        <w:rPr>
          <w:rFonts w:cs="Arial"/>
          <w:color w:val="000000"/>
          <w:sz w:val="22"/>
          <w:szCs w:val="21"/>
          <w:lang w:val="es-CO"/>
        </w:rPr>
        <w:t xml:space="preserve">límite </w:t>
      </w:r>
      <w:r w:rsidRPr="00A21B5C">
        <w:rPr>
          <w:rFonts w:cs="Arial"/>
          <w:color w:val="000000"/>
          <w:sz w:val="22"/>
          <w:szCs w:val="21"/>
          <w:lang w:val="es-CO"/>
        </w:rPr>
        <w:t>establecida normativamente. Lo anterior aunado a que en inspección a las</w:t>
      </w:r>
      <w:r w:rsidRPr="00A21B5C">
        <w:rPr>
          <w:rFonts w:cs="Arial"/>
          <w:sz w:val="22"/>
          <w:szCs w:val="22"/>
          <w:lang w:val="es-CO"/>
        </w:rPr>
        <w:t xml:space="preserve"> </w:t>
      </w:r>
      <w:r w:rsidRPr="00A21B5C">
        <w:rPr>
          <w:rFonts w:cs="Arial"/>
          <w:iCs/>
          <w:sz w:val="22"/>
          <w:szCs w:val="22"/>
          <w:lang w:val="es-CO"/>
        </w:rPr>
        <w:t>Actas de Concertación</w:t>
      </w:r>
      <w:r w:rsidRPr="00A21B5C">
        <w:rPr>
          <w:rFonts w:cs="Arial"/>
          <w:sz w:val="22"/>
          <w:szCs w:val="22"/>
          <w:lang w:val="es-CO"/>
        </w:rPr>
        <w:t xml:space="preserve"> adjunt</w:t>
      </w:r>
      <w:r w:rsidR="004C3261" w:rsidRPr="00A21B5C">
        <w:rPr>
          <w:rFonts w:cs="Arial"/>
          <w:sz w:val="22"/>
          <w:szCs w:val="22"/>
          <w:lang w:val="es-CO"/>
        </w:rPr>
        <w:t>a</w:t>
      </w:r>
      <w:r w:rsidRPr="00A21B5C">
        <w:rPr>
          <w:rFonts w:cs="Arial"/>
          <w:sz w:val="22"/>
          <w:szCs w:val="22"/>
          <w:lang w:val="es-CO"/>
        </w:rPr>
        <w:t xml:space="preserve">s a los </w:t>
      </w:r>
      <w:r w:rsidR="00AB2DE4" w:rsidRPr="00A21B5C">
        <w:rPr>
          <w:rFonts w:cs="Arial"/>
          <w:sz w:val="22"/>
          <w:szCs w:val="22"/>
          <w:lang w:val="es-CO"/>
        </w:rPr>
        <w:t xml:space="preserve">Convenios </w:t>
      </w:r>
      <w:r w:rsidRPr="00A21B5C">
        <w:rPr>
          <w:rFonts w:cs="Arial"/>
          <w:sz w:val="22"/>
          <w:szCs w:val="22"/>
          <w:lang w:val="es-CO"/>
        </w:rPr>
        <w:t xml:space="preserve">de Administración, se evidenció que el proceso de programación de los recursos por parte de las comunidades </w:t>
      </w:r>
      <w:r w:rsidR="00804467" w:rsidRPr="00A21B5C">
        <w:rPr>
          <w:rFonts w:cs="Arial"/>
          <w:sz w:val="22"/>
          <w:szCs w:val="22"/>
          <w:lang w:val="es-CO"/>
        </w:rPr>
        <w:t xml:space="preserve">de los tres pueblos </w:t>
      </w:r>
      <w:r w:rsidRPr="00A21B5C">
        <w:rPr>
          <w:rFonts w:cs="Arial"/>
          <w:sz w:val="22"/>
          <w:szCs w:val="22"/>
          <w:lang w:val="es-CO"/>
        </w:rPr>
        <w:t>que hacen parte del Resguardo Indígena, se realizó al inicio de las vigencias fiscales</w:t>
      </w:r>
      <w:r w:rsidR="009A79A1" w:rsidRPr="00A21B5C">
        <w:rPr>
          <w:rFonts w:cs="Arial"/>
          <w:sz w:val="22"/>
          <w:szCs w:val="22"/>
          <w:lang w:val="es-CO"/>
        </w:rPr>
        <w:t xml:space="preserve"> 2017 y 2018</w:t>
      </w:r>
      <w:r w:rsidRPr="00A21B5C">
        <w:rPr>
          <w:rFonts w:cs="Arial"/>
          <w:sz w:val="22"/>
          <w:szCs w:val="22"/>
          <w:lang w:val="es-CO"/>
        </w:rPr>
        <w:t>, particularmente el 21 de enero de 2017</w:t>
      </w:r>
      <w:r w:rsidR="008F6F69" w:rsidRPr="00A21B5C">
        <w:rPr>
          <w:rFonts w:cs="Arial"/>
          <w:sz w:val="22"/>
          <w:szCs w:val="22"/>
          <w:lang w:val="es-CO"/>
        </w:rPr>
        <w:t xml:space="preserve"> y</w:t>
      </w:r>
      <w:r w:rsidRPr="00A21B5C">
        <w:rPr>
          <w:rFonts w:cs="Arial"/>
          <w:sz w:val="22"/>
          <w:szCs w:val="22"/>
          <w:lang w:val="es-CO"/>
        </w:rPr>
        <w:t xml:space="preserve"> el 12 de enero de 2018</w:t>
      </w:r>
      <w:r w:rsidR="008F6F69" w:rsidRPr="00A21B5C">
        <w:rPr>
          <w:rFonts w:cs="Arial"/>
          <w:sz w:val="22"/>
          <w:szCs w:val="22"/>
          <w:lang w:val="es-CO"/>
        </w:rPr>
        <w:t>,</w:t>
      </w:r>
      <w:r w:rsidRPr="00A21B5C">
        <w:rPr>
          <w:rFonts w:cs="Arial"/>
          <w:sz w:val="22"/>
          <w:szCs w:val="22"/>
          <w:lang w:val="es-CO"/>
        </w:rPr>
        <w:t xml:space="preserve"> y </w:t>
      </w:r>
      <w:r w:rsidR="008F6F69" w:rsidRPr="00A21B5C">
        <w:rPr>
          <w:rFonts w:cs="Arial"/>
          <w:sz w:val="22"/>
          <w:szCs w:val="22"/>
          <w:lang w:val="es-CO"/>
        </w:rPr>
        <w:t xml:space="preserve">hacia el final de la vigencia </w:t>
      </w:r>
      <w:r w:rsidR="005C50C0" w:rsidRPr="00A21B5C">
        <w:rPr>
          <w:rFonts w:cs="Arial"/>
          <w:sz w:val="22"/>
          <w:szCs w:val="22"/>
          <w:lang w:val="es-CO"/>
        </w:rPr>
        <w:t xml:space="preserve">anterior para el 2019, específicamente el </w:t>
      </w:r>
      <w:r w:rsidRPr="00A21B5C">
        <w:rPr>
          <w:rFonts w:cs="Arial"/>
          <w:sz w:val="22"/>
          <w:szCs w:val="22"/>
          <w:lang w:val="es-CO"/>
        </w:rPr>
        <w:t>2</w:t>
      </w:r>
      <w:r w:rsidR="005C50C0" w:rsidRPr="00A21B5C">
        <w:rPr>
          <w:rFonts w:cs="Arial"/>
          <w:sz w:val="22"/>
          <w:szCs w:val="22"/>
          <w:lang w:val="es-CO"/>
        </w:rPr>
        <w:t>1</w:t>
      </w:r>
      <w:r w:rsidRPr="00A21B5C">
        <w:rPr>
          <w:rFonts w:cs="Arial"/>
          <w:sz w:val="22"/>
          <w:szCs w:val="22"/>
          <w:lang w:val="es-CO"/>
        </w:rPr>
        <w:t xml:space="preserve"> de </w:t>
      </w:r>
      <w:r w:rsidR="005C50C0" w:rsidRPr="00A21B5C">
        <w:rPr>
          <w:rFonts w:cs="Arial"/>
          <w:sz w:val="22"/>
          <w:szCs w:val="22"/>
          <w:lang w:val="es-CO"/>
        </w:rPr>
        <w:t xml:space="preserve">diciembre </w:t>
      </w:r>
      <w:r w:rsidRPr="00A21B5C">
        <w:rPr>
          <w:rFonts w:cs="Arial"/>
          <w:sz w:val="22"/>
          <w:szCs w:val="22"/>
          <w:lang w:val="es-CO"/>
        </w:rPr>
        <w:t>de 201</w:t>
      </w:r>
      <w:r w:rsidR="005C50C0" w:rsidRPr="00A21B5C">
        <w:rPr>
          <w:rFonts w:cs="Arial"/>
          <w:sz w:val="22"/>
          <w:szCs w:val="22"/>
          <w:lang w:val="es-CO"/>
        </w:rPr>
        <w:t>8</w:t>
      </w:r>
      <w:r w:rsidR="004A2AFE" w:rsidRPr="00A21B5C">
        <w:rPr>
          <w:rFonts w:cs="Arial"/>
          <w:sz w:val="22"/>
          <w:szCs w:val="22"/>
          <w:lang w:val="es-CO"/>
        </w:rPr>
        <w:t>.</w:t>
      </w:r>
    </w:p>
    <w:p w:rsidR="008C2E4A" w:rsidRPr="00A21B5C" w:rsidRDefault="008C2E4A" w:rsidP="00A21B5C">
      <w:pPr>
        <w:pStyle w:val="Textoindependiente2"/>
        <w:contextualSpacing/>
        <w:rPr>
          <w:rFonts w:cs="Arial"/>
          <w:sz w:val="22"/>
          <w:szCs w:val="22"/>
          <w:lang w:val="es-CO"/>
        </w:rPr>
      </w:pPr>
    </w:p>
    <w:p w:rsidR="008C2E4A" w:rsidRDefault="008C2E4A" w:rsidP="00A21B5C">
      <w:pPr>
        <w:pStyle w:val="Textoindependiente2"/>
        <w:numPr>
          <w:ilvl w:val="0"/>
          <w:numId w:val="24"/>
        </w:numPr>
        <w:contextualSpacing/>
        <w:rPr>
          <w:rFonts w:cs="Arial"/>
          <w:sz w:val="22"/>
          <w:szCs w:val="22"/>
          <w:lang w:val="es-CO"/>
        </w:rPr>
      </w:pPr>
      <w:r w:rsidRPr="00A21B5C">
        <w:rPr>
          <w:rFonts w:cs="Arial"/>
          <w:sz w:val="22"/>
          <w:szCs w:val="22"/>
          <w:lang w:val="es-CO"/>
        </w:rPr>
        <w:t xml:space="preserve">El </w:t>
      </w:r>
      <w:r w:rsidR="00AB2DE4" w:rsidRPr="00A21B5C">
        <w:rPr>
          <w:rFonts w:cs="Arial"/>
          <w:sz w:val="22"/>
          <w:szCs w:val="22"/>
          <w:lang w:val="es-CO"/>
        </w:rPr>
        <w:t xml:space="preserve">Convenio </w:t>
      </w:r>
      <w:r w:rsidRPr="00A21B5C">
        <w:rPr>
          <w:rFonts w:cs="Arial"/>
          <w:sz w:val="22"/>
          <w:szCs w:val="22"/>
          <w:lang w:val="es-CO"/>
        </w:rPr>
        <w:t>N° 001 para la administración de los recursos de la asignación especial del Sistema General de Participaciones para los Resguardos Indígenas celebrado entre el Municipio de Dibulla y el Resguardo Indígena Kogui – Malayo – Arhuaco para la vigencia 2017, fue suscrito el 26 de enero de 2016.</w:t>
      </w:r>
    </w:p>
    <w:p w:rsidR="001A6907" w:rsidRPr="00A21B5C" w:rsidRDefault="001A6907" w:rsidP="001A6907">
      <w:pPr>
        <w:pStyle w:val="Textoindependiente2"/>
        <w:ind w:left="720"/>
        <w:contextualSpacing/>
        <w:rPr>
          <w:rFonts w:cs="Arial"/>
          <w:sz w:val="22"/>
          <w:szCs w:val="22"/>
          <w:lang w:val="es-CO"/>
        </w:rPr>
      </w:pPr>
    </w:p>
    <w:p w:rsidR="008C2E4A" w:rsidRDefault="008C2E4A" w:rsidP="00A21B5C">
      <w:pPr>
        <w:pStyle w:val="Textoindependiente2"/>
        <w:numPr>
          <w:ilvl w:val="0"/>
          <w:numId w:val="24"/>
        </w:numPr>
        <w:contextualSpacing/>
        <w:rPr>
          <w:rFonts w:cs="Arial"/>
          <w:sz w:val="22"/>
          <w:szCs w:val="22"/>
          <w:lang w:val="es-CO"/>
        </w:rPr>
      </w:pPr>
      <w:r w:rsidRPr="00A21B5C">
        <w:rPr>
          <w:rFonts w:cs="Arial"/>
          <w:sz w:val="22"/>
          <w:szCs w:val="22"/>
          <w:lang w:val="es-CO"/>
        </w:rPr>
        <w:t xml:space="preserve">El </w:t>
      </w:r>
      <w:r w:rsidR="00AB2DE4" w:rsidRPr="00A21B5C">
        <w:rPr>
          <w:rFonts w:cs="Arial"/>
          <w:sz w:val="22"/>
          <w:szCs w:val="22"/>
          <w:lang w:val="es-CO"/>
        </w:rPr>
        <w:t xml:space="preserve">Convenio </w:t>
      </w:r>
      <w:r w:rsidRPr="00A21B5C">
        <w:rPr>
          <w:rFonts w:cs="Arial"/>
          <w:sz w:val="22"/>
          <w:szCs w:val="22"/>
          <w:lang w:val="es-CO"/>
        </w:rPr>
        <w:t>N° 001 para la administración de los recursos de la asignación especial del Sistema General de Participaciones para los Resguardos Indígenas celebrado entre el Municipio de Dibulla y el Resguardo Indígena Kogui – Malayo – Arhuaco para la vigencia 2018, fue suscrito el 15 de mayo de 2018.</w:t>
      </w:r>
    </w:p>
    <w:p w:rsidR="001A6907" w:rsidRPr="00A21B5C" w:rsidRDefault="001A6907" w:rsidP="001A6907">
      <w:pPr>
        <w:pStyle w:val="Textoindependiente2"/>
        <w:ind w:left="720"/>
        <w:contextualSpacing/>
        <w:rPr>
          <w:rFonts w:cs="Arial"/>
          <w:sz w:val="22"/>
          <w:szCs w:val="22"/>
          <w:lang w:val="es-CO"/>
        </w:rPr>
      </w:pPr>
    </w:p>
    <w:p w:rsidR="008C2E4A" w:rsidRPr="00A21B5C" w:rsidRDefault="008C2E4A" w:rsidP="00A21B5C">
      <w:pPr>
        <w:pStyle w:val="Textoindependiente2"/>
        <w:numPr>
          <w:ilvl w:val="0"/>
          <w:numId w:val="24"/>
        </w:numPr>
        <w:contextualSpacing/>
        <w:rPr>
          <w:rFonts w:cs="Arial"/>
          <w:sz w:val="22"/>
          <w:szCs w:val="22"/>
          <w:lang w:val="es-CO"/>
        </w:rPr>
      </w:pPr>
      <w:r w:rsidRPr="00A21B5C">
        <w:rPr>
          <w:rFonts w:cs="Arial"/>
          <w:sz w:val="22"/>
          <w:szCs w:val="22"/>
          <w:lang w:val="es-CO"/>
        </w:rPr>
        <w:t xml:space="preserve">El </w:t>
      </w:r>
      <w:r w:rsidR="00AB2DE4" w:rsidRPr="00A21B5C">
        <w:rPr>
          <w:rFonts w:cs="Arial"/>
          <w:sz w:val="22"/>
          <w:szCs w:val="22"/>
          <w:lang w:val="es-CO"/>
        </w:rPr>
        <w:t xml:space="preserve">Convenio </w:t>
      </w:r>
      <w:r w:rsidRPr="00A21B5C">
        <w:rPr>
          <w:rFonts w:cs="Arial"/>
          <w:sz w:val="22"/>
          <w:szCs w:val="22"/>
          <w:lang w:val="es-CO"/>
        </w:rPr>
        <w:t>N° 001 para la administración de los recursos de la asignación especial del Sistema General de Participaciones para los Resguardos Indígenas celebrado entre el Municipio de Dibulla y el Resguardo Indígena Kogui – Malayo – Arhuaco para la vigencia 2019, fue suscrito el 6 de febrero de 2019.</w:t>
      </w:r>
    </w:p>
    <w:p w:rsidR="008C2E4A" w:rsidRPr="00A21B5C" w:rsidRDefault="008C2E4A" w:rsidP="00A21B5C">
      <w:pPr>
        <w:pStyle w:val="Textoindependiente2"/>
        <w:contextualSpacing/>
        <w:rPr>
          <w:rFonts w:cs="Arial"/>
          <w:i/>
          <w:color w:val="000000"/>
          <w:sz w:val="22"/>
          <w:szCs w:val="21"/>
          <w:lang w:val="es-CO"/>
        </w:rPr>
      </w:pPr>
    </w:p>
    <w:p w:rsidR="008C2E4A" w:rsidRPr="00A21B5C" w:rsidRDefault="008C2E4A" w:rsidP="00A21B5C">
      <w:pPr>
        <w:pStyle w:val="Textoindependiente2"/>
        <w:contextualSpacing/>
        <w:rPr>
          <w:rFonts w:cs="Arial"/>
          <w:sz w:val="22"/>
          <w:szCs w:val="21"/>
          <w:lang w:val="es-CO"/>
        </w:rPr>
      </w:pPr>
      <w:r w:rsidRPr="00A21B5C">
        <w:rPr>
          <w:rFonts w:cs="Arial"/>
          <w:sz w:val="22"/>
          <w:szCs w:val="21"/>
          <w:lang w:val="es-CO"/>
        </w:rPr>
        <w:t xml:space="preserve">A partir de esta evidencia, se concluye que se incumplieron los tiempos establecidos en el artículo 83 de la Ley 715 de 2001 respecto a la firma de los </w:t>
      </w:r>
      <w:r w:rsidR="00AB2DE4" w:rsidRPr="00A21B5C">
        <w:rPr>
          <w:rFonts w:cs="Arial"/>
          <w:sz w:val="22"/>
          <w:szCs w:val="21"/>
          <w:lang w:val="es-CO"/>
        </w:rPr>
        <w:t xml:space="preserve">Convenios </w:t>
      </w:r>
      <w:r w:rsidRPr="00A21B5C">
        <w:rPr>
          <w:rFonts w:cs="Arial"/>
          <w:sz w:val="22"/>
          <w:szCs w:val="21"/>
          <w:lang w:val="es-CO"/>
        </w:rPr>
        <w:t xml:space="preserve">de Administración para la ejecución de los recursos AESGPRI del Resguardo Indígena </w:t>
      </w:r>
      <w:r w:rsidRPr="00A21B5C">
        <w:rPr>
          <w:rFonts w:cs="Arial"/>
          <w:iCs/>
          <w:sz w:val="22"/>
          <w:szCs w:val="21"/>
          <w:lang w:val="es-CO"/>
        </w:rPr>
        <w:t>Kogui</w:t>
      </w:r>
      <w:r w:rsidR="00EB5E33" w:rsidRPr="00A21B5C">
        <w:rPr>
          <w:rFonts w:cs="Arial"/>
          <w:iCs/>
          <w:sz w:val="22"/>
          <w:szCs w:val="21"/>
          <w:lang w:val="es-CO"/>
        </w:rPr>
        <w:t xml:space="preserve"> </w:t>
      </w:r>
      <w:r w:rsidRPr="00A21B5C">
        <w:rPr>
          <w:rFonts w:cs="Arial"/>
          <w:iCs/>
          <w:sz w:val="22"/>
          <w:szCs w:val="21"/>
          <w:lang w:val="es-CO"/>
        </w:rPr>
        <w:t xml:space="preserve">- Malayo </w:t>
      </w:r>
      <w:r w:rsidR="00EB5E33" w:rsidRPr="00A21B5C">
        <w:rPr>
          <w:rFonts w:cs="Arial"/>
          <w:iCs/>
          <w:sz w:val="22"/>
          <w:szCs w:val="21"/>
          <w:lang w:val="es-CO"/>
        </w:rPr>
        <w:t>–</w:t>
      </w:r>
      <w:r w:rsidRPr="00A21B5C">
        <w:rPr>
          <w:rFonts w:cs="Arial"/>
          <w:iCs/>
          <w:sz w:val="22"/>
          <w:szCs w:val="21"/>
          <w:lang w:val="es-CO"/>
        </w:rPr>
        <w:t xml:space="preserve"> Arhuaco</w:t>
      </w:r>
      <w:r w:rsidR="00EB5E33" w:rsidRPr="00A21B5C">
        <w:rPr>
          <w:rFonts w:cs="Arial"/>
          <w:sz w:val="22"/>
          <w:szCs w:val="21"/>
          <w:lang w:val="es-CO"/>
        </w:rPr>
        <w:t>.</w:t>
      </w:r>
    </w:p>
    <w:p w:rsidR="00F06C3D" w:rsidRPr="00A21B5C" w:rsidRDefault="00F06C3D" w:rsidP="00A21B5C">
      <w:pPr>
        <w:pStyle w:val="Textoindependiente2"/>
        <w:contextualSpacing/>
        <w:rPr>
          <w:rFonts w:cs="Arial"/>
          <w:sz w:val="22"/>
          <w:szCs w:val="21"/>
          <w:lang w:val="es-CO"/>
        </w:rPr>
      </w:pPr>
    </w:p>
    <w:p w:rsidR="00F06C3D" w:rsidRPr="00A21B5C" w:rsidRDefault="00F06C3D" w:rsidP="00A21B5C">
      <w:pPr>
        <w:pStyle w:val="Textoindependiente2"/>
        <w:contextualSpacing/>
        <w:rPr>
          <w:rFonts w:cs="Arial"/>
          <w:b/>
          <w:bCs/>
          <w:sz w:val="22"/>
          <w:szCs w:val="21"/>
          <w:lang w:val="es-CO"/>
        </w:rPr>
      </w:pPr>
      <w:r w:rsidRPr="00A21B5C">
        <w:rPr>
          <w:rFonts w:cs="Arial"/>
          <w:b/>
          <w:bCs/>
          <w:sz w:val="22"/>
          <w:szCs w:val="21"/>
          <w:lang w:val="es-CO"/>
        </w:rPr>
        <w:t xml:space="preserve">Recomendación: </w:t>
      </w:r>
    </w:p>
    <w:p w:rsidR="00D57413" w:rsidRPr="00A21B5C" w:rsidRDefault="00D57413" w:rsidP="00A21B5C">
      <w:pPr>
        <w:pStyle w:val="Textoindependiente2"/>
        <w:contextualSpacing/>
        <w:rPr>
          <w:rFonts w:cs="Arial"/>
          <w:b/>
          <w:bCs/>
          <w:sz w:val="22"/>
          <w:szCs w:val="21"/>
          <w:lang w:val="es-CO"/>
        </w:rPr>
      </w:pPr>
    </w:p>
    <w:p w:rsidR="00D57413" w:rsidRPr="00A21B5C" w:rsidRDefault="00F23050" w:rsidP="00A21B5C">
      <w:pPr>
        <w:pStyle w:val="Textoindependiente2"/>
        <w:contextualSpacing/>
        <w:rPr>
          <w:rFonts w:cs="Arial"/>
          <w:sz w:val="22"/>
          <w:szCs w:val="21"/>
          <w:lang w:val="es-CO"/>
        </w:rPr>
      </w:pPr>
      <w:r w:rsidRPr="00A21B5C">
        <w:rPr>
          <w:rFonts w:cs="Arial"/>
          <w:sz w:val="22"/>
          <w:szCs w:val="21"/>
          <w:lang w:val="es-CO"/>
        </w:rPr>
        <w:t xml:space="preserve">De cara a esta situación de riesgo identificada y con el objetivo de que tanto el proceso de programación de los recursos como la suscripción de los </w:t>
      </w:r>
      <w:r w:rsidR="00AB2DE4" w:rsidRPr="00A21B5C">
        <w:rPr>
          <w:rFonts w:cs="Arial"/>
          <w:sz w:val="22"/>
          <w:szCs w:val="21"/>
          <w:lang w:val="es-CO"/>
        </w:rPr>
        <w:t xml:space="preserve">convenios </w:t>
      </w:r>
      <w:r w:rsidRPr="00A21B5C">
        <w:rPr>
          <w:rFonts w:cs="Arial"/>
          <w:sz w:val="22"/>
          <w:szCs w:val="21"/>
          <w:lang w:val="es-CO"/>
        </w:rPr>
        <w:t xml:space="preserve">de administración se </w:t>
      </w:r>
      <w:r w:rsidR="00D95E1F" w:rsidRPr="00A21B5C">
        <w:rPr>
          <w:rFonts w:cs="Arial"/>
          <w:sz w:val="22"/>
          <w:szCs w:val="21"/>
          <w:lang w:val="es-CO"/>
        </w:rPr>
        <w:t>realice</w:t>
      </w:r>
      <w:r w:rsidR="00D61DE7" w:rsidRPr="00A21B5C">
        <w:rPr>
          <w:rFonts w:cs="Arial"/>
          <w:sz w:val="22"/>
          <w:szCs w:val="21"/>
          <w:lang w:val="es-CO"/>
        </w:rPr>
        <w:t xml:space="preserve"> en los tiempos que la normativa vigente establece, se recomienda que el Municipio </w:t>
      </w:r>
      <w:r w:rsidR="00911BE2" w:rsidRPr="00A21B5C">
        <w:rPr>
          <w:rFonts w:cs="Arial"/>
          <w:sz w:val="22"/>
          <w:szCs w:val="21"/>
          <w:lang w:val="es-CO"/>
        </w:rPr>
        <w:t>incorpor</w:t>
      </w:r>
      <w:r w:rsidR="00D95E1F" w:rsidRPr="00A21B5C">
        <w:rPr>
          <w:rFonts w:cs="Arial"/>
          <w:sz w:val="22"/>
          <w:szCs w:val="21"/>
          <w:lang w:val="es-CO"/>
        </w:rPr>
        <w:t>e</w:t>
      </w:r>
      <w:r w:rsidR="00911BE2" w:rsidRPr="00A21B5C">
        <w:rPr>
          <w:rFonts w:cs="Arial"/>
          <w:sz w:val="22"/>
          <w:szCs w:val="21"/>
          <w:lang w:val="es-CO"/>
        </w:rPr>
        <w:t xml:space="preserve"> dentro de su p</w:t>
      </w:r>
      <w:r w:rsidR="00D35549" w:rsidRPr="00A21B5C">
        <w:rPr>
          <w:rFonts w:cs="Arial"/>
          <w:sz w:val="22"/>
          <w:szCs w:val="21"/>
          <w:lang w:val="es-CO"/>
        </w:rPr>
        <w:t xml:space="preserve">rogramación anual de actividades </w:t>
      </w:r>
      <w:r w:rsidR="004C4C3B" w:rsidRPr="00A21B5C">
        <w:rPr>
          <w:rFonts w:cs="Arial"/>
          <w:sz w:val="22"/>
          <w:szCs w:val="21"/>
          <w:lang w:val="es-CO"/>
        </w:rPr>
        <w:t>el seguimiento al proceso de concertación por parte de la población del Resguardo Indígena Kogui – Malayo – Arhuaco</w:t>
      </w:r>
      <w:r w:rsidR="00AD1F8E" w:rsidRPr="00A21B5C">
        <w:rPr>
          <w:rFonts w:cs="Arial"/>
          <w:sz w:val="22"/>
          <w:szCs w:val="21"/>
          <w:lang w:val="es-CO"/>
        </w:rPr>
        <w:t xml:space="preserve">, </w:t>
      </w:r>
      <w:r w:rsidR="00E22006" w:rsidRPr="00A21B5C">
        <w:rPr>
          <w:rFonts w:cs="Arial"/>
          <w:sz w:val="22"/>
          <w:szCs w:val="21"/>
          <w:lang w:val="es-CO"/>
        </w:rPr>
        <w:t>así</w:t>
      </w:r>
      <w:r w:rsidR="00AD1F8E" w:rsidRPr="00A21B5C">
        <w:rPr>
          <w:rFonts w:cs="Arial"/>
          <w:sz w:val="22"/>
          <w:szCs w:val="21"/>
          <w:lang w:val="es-CO"/>
        </w:rPr>
        <w:t xml:space="preserve"> como </w:t>
      </w:r>
      <w:r w:rsidR="00E22006" w:rsidRPr="00A21B5C">
        <w:rPr>
          <w:rFonts w:cs="Arial"/>
          <w:sz w:val="22"/>
          <w:szCs w:val="21"/>
          <w:lang w:val="es-CO"/>
        </w:rPr>
        <w:t xml:space="preserve">un encuentro con el representante legal del mismo para la suscripción del </w:t>
      </w:r>
      <w:r w:rsidR="000718CD" w:rsidRPr="00A21B5C">
        <w:rPr>
          <w:rFonts w:cs="Arial"/>
          <w:sz w:val="22"/>
          <w:szCs w:val="21"/>
          <w:lang w:val="es-CO"/>
        </w:rPr>
        <w:t xml:space="preserve">Convenio </w:t>
      </w:r>
      <w:r w:rsidR="00D35549" w:rsidRPr="00A21B5C">
        <w:rPr>
          <w:rFonts w:cs="Arial"/>
          <w:sz w:val="22"/>
          <w:szCs w:val="21"/>
          <w:lang w:val="es-CO"/>
        </w:rPr>
        <w:t xml:space="preserve">de </w:t>
      </w:r>
      <w:r w:rsidR="00E22006" w:rsidRPr="00A21B5C">
        <w:rPr>
          <w:rFonts w:cs="Arial"/>
          <w:sz w:val="22"/>
          <w:szCs w:val="21"/>
          <w:lang w:val="es-CO"/>
        </w:rPr>
        <w:t>A</w:t>
      </w:r>
      <w:r w:rsidR="00D35549" w:rsidRPr="00A21B5C">
        <w:rPr>
          <w:rFonts w:cs="Arial"/>
          <w:sz w:val="22"/>
          <w:szCs w:val="21"/>
          <w:lang w:val="es-CO"/>
        </w:rPr>
        <w:t>dministración</w:t>
      </w:r>
      <w:r w:rsidR="00E037BD" w:rsidRPr="00A21B5C">
        <w:rPr>
          <w:rFonts w:cs="Arial"/>
          <w:sz w:val="22"/>
          <w:szCs w:val="21"/>
          <w:lang w:val="es-CO"/>
        </w:rPr>
        <w:t xml:space="preserve"> </w:t>
      </w:r>
      <w:r w:rsidR="00E22006" w:rsidRPr="00A21B5C">
        <w:rPr>
          <w:rFonts w:cs="Arial"/>
          <w:sz w:val="22"/>
          <w:szCs w:val="21"/>
          <w:lang w:val="es-CO"/>
        </w:rPr>
        <w:t xml:space="preserve">que por supuesto </w:t>
      </w:r>
      <w:r w:rsidR="000C1778" w:rsidRPr="00A21B5C">
        <w:rPr>
          <w:rFonts w:cs="Arial"/>
          <w:sz w:val="22"/>
          <w:szCs w:val="21"/>
          <w:lang w:val="es-CO"/>
        </w:rPr>
        <w:t>deberá tener</w:t>
      </w:r>
      <w:r w:rsidR="00E037BD" w:rsidRPr="00A21B5C">
        <w:rPr>
          <w:rFonts w:cs="Arial"/>
          <w:sz w:val="22"/>
          <w:szCs w:val="21"/>
          <w:lang w:val="es-CO"/>
        </w:rPr>
        <w:t xml:space="preserve"> </w:t>
      </w:r>
      <w:r w:rsidR="00E22006" w:rsidRPr="00A21B5C">
        <w:rPr>
          <w:rFonts w:cs="Arial"/>
          <w:sz w:val="22"/>
          <w:szCs w:val="21"/>
          <w:lang w:val="es-CO"/>
        </w:rPr>
        <w:t>una fecha anterior</w:t>
      </w:r>
      <w:r w:rsidR="009127DC" w:rsidRPr="00A21B5C">
        <w:rPr>
          <w:rFonts w:cs="Arial"/>
          <w:sz w:val="22"/>
          <w:szCs w:val="21"/>
          <w:lang w:val="es-CO"/>
        </w:rPr>
        <w:t xml:space="preserve"> al</w:t>
      </w:r>
      <w:r w:rsidR="0031594C" w:rsidRPr="00A21B5C">
        <w:rPr>
          <w:rFonts w:cs="Arial"/>
          <w:sz w:val="22"/>
          <w:szCs w:val="21"/>
          <w:lang w:val="es-CO"/>
        </w:rPr>
        <w:t xml:space="preserve"> 31 de diciembre de cada vigencia. En el mismo sentido, se recomienda </w:t>
      </w:r>
      <w:r w:rsidR="00E31B7E" w:rsidRPr="00A21B5C">
        <w:rPr>
          <w:rFonts w:cs="Arial"/>
          <w:sz w:val="22"/>
          <w:szCs w:val="21"/>
          <w:lang w:val="es-CO"/>
        </w:rPr>
        <w:t xml:space="preserve">socializar con las comunidades la importancia de que el ejercicio de programación de los recursos se </w:t>
      </w:r>
      <w:r w:rsidR="007F7439" w:rsidRPr="00A21B5C">
        <w:rPr>
          <w:rFonts w:cs="Arial"/>
          <w:sz w:val="22"/>
          <w:szCs w:val="21"/>
          <w:lang w:val="es-CO"/>
        </w:rPr>
        <w:t>dé</w:t>
      </w:r>
      <w:r w:rsidR="00E31B7E" w:rsidRPr="00A21B5C">
        <w:rPr>
          <w:rFonts w:cs="Arial"/>
          <w:sz w:val="22"/>
          <w:szCs w:val="21"/>
          <w:lang w:val="es-CO"/>
        </w:rPr>
        <w:t xml:space="preserve"> oportunamente, considerando no solo </w:t>
      </w:r>
      <w:r w:rsidR="007C0BD5" w:rsidRPr="00A21B5C">
        <w:rPr>
          <w:rFonts w:cs="Arial"/>
          <w:sz w:val="22"/>
          <w:szCs w:val="21"/>
          <w:lang w:val="es-CO"/>
        </w:rPr>
        <w:t>el mandato legal asociado sino las consecuencias</w:t>
      </w:r>
      <w:r w:rsidR="00F32EC6" w:rsidRPr="00A21B5C">
        <w:rPr>
          <w:rFonts w:cs="Arial"/>
          <w:sz w:val="22"/>
          <w:szCs w:val="21"/>
          <w:lang w:val="es-CO"/>
        </w:rPr>
        <w:t xml:space="preserve"> en términos de planeación y ejecución que la inoportunidad de este proceso acarrea</w:t>
      </w:r>
      <w:r w:rsidR="007C0BD5" w:rsidRPr="00A21B5C">
        <w:rPr>
          <w:rFonts w:cs="Arial"/>
          <w:sz w:val="22"/>
          <w:szCs w:val="21"/>
          <w:lang w:val="es-CO"/>
        </w:rPr>
        <w:t xml:space="preserve">. Para ello se comparte el siguiente esquema </w:t>
      </w:r>
      <w:r w:rsidR="000F00F2" w:rsidRPr="00A21B5C">
        <w:rPr>
          <w:rFonts w:cs="Arial"/>
          <w:sz w:val="22"/>
          <w:szCs w:val="21"/>
          <w:lang w:val="es-CO"/>
        </w:rPr>
        <w:t>que corresponde a</w:t>
      </w:r>
      <w:r w:rsidR="009127DC" w:rsidRPr="00A21B5C">
        <w:rPr>
          <w:rFonts w:cs="Arial"/>
          <w:sz w:val="22"/>
          <w:szCs w:val="21"/>
          <w:lang w:val="es-CO"/>
        </w:rPr>
        <w:t xml:space="preserve"> </w:t>
      </w:r>
      <w:r w:rsidR="000F00F2" w:rsidRPr="00A21B5C">
        <w:rPr>
          <w:rFonts w:cs="Arial"/>
          <w:sz w:val="22"/>
          <w:szCs w:val="21"/>
          <w:lang w:val="es-CO"/>
        </w:rPr>
        <w:t>l</w:t>
      </w:r>
      <w:r w:rsidR="009127DC" w:rsidRPr="00A21B5C">
        <w:rPr>
          <w:rFonts w:cs="Arial"/>
          <w:sz w:val="22"/>
          <w:szCs w:val="21"/>
          <w:lang w:val="es-CO"/>
        </w:rPr>
        <w:t>a</w:t>
      </w:r>
      <w:r w:rsidR="000F00F2" w:rsidRPr="00A21B5C">
        <w:rPr>
          <w:rFonts w:cs="Arial"/>
          <w:sz w:val="22"/>
          <w:szCs w:val="21"/>
          <w:lang w:val="es-CO"/>
        </w:rPr>
        <w:t xml:space="preserve"> línea temporal ideal de</w:t>
      </w:r>
      <w:r w:rsidR="00994E7D" w:rsidRPr="00A21B5C">
        <w:rPr>
          <w:rFonts w:cs="Arial"/>
          <w:sz w:val="22"/>
          <w:szCs w:val="21"/>
          <w:lang w:val="es-CO"/>
        </w:rPr>
        <w:t xml:space="preserve"> programación, administración y ejecución de los recursos de la AESGPRI</w:t>
      </w:r>
      <w:r w:rsidRPr="00A21B5C">
        <w:rPr>
          <w:rFonts w:cs="Arial"/>
          <w:sz w:val="22"/>
          <w:szCs w:val="21"/>
          <w:lang w:val="es-CO"/>
        </w:rPr>
        <w:t>:</w:t>
      </w:r>
    </w:p>
    <w:p w:rsidR="00D45FD9" w:rsidRPr="00A21B5C" w:rsidRDefault="00D45FD9" w:rsidP="00A21B5C">
      <w:pPr>
        <w:pStyle w:val="Textoindependiente2"/>
        <w:contextualSpacing/>
        <w:rPr>
          <w:rFonts w:cs="Arial"/>
          <w:sz w:val="22"/>
          <w:szCs w:val="21"/>
          <w:lang w:val="es-CO"/>
        </w:rPr>
      </w:pPr>
    </w:p>
    <w:p w:rsidR="00D45FD9" w:rsidRPr="00A21B5C" w:rsidRDefault="00B90E26" w:rsidP="00A21B5C">
      <w:pPr>
        <w:pStyle w:val="Textoindependiente2"/>
        <w:contextualSpacing/>
        <w:rPr>
          <w:rFonts w:cs="Arial"/>
          <w:sz w:val="22"/>
          <w:szCs w:val="21"/>
          <w:lang w:val="es-CO"/>
        </w:rPr>
      </w:pPr>
      <w:r w:rsidRPr="00A21B5C">
        <w:rPr>
          <w:rFonts w:cs="Arial"/>
          <w:noProof/>
          <w:lang w:val="es-CO" w:eastAsia="es-CO"/>
        </w:rPr>
        <w:drawing>
          <wp:inline distT="0" distB="0" distL="0" distR="0">
            <wp:extent cx="5915398" cy="3381375"/>
            <wp:effectExtent l="0" t="0" r="9525"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BEBA8EAE-BF5A-486C-A8C5-ECC9F3942E4B}">
                          <a14:imgProps xmlns:a14="http://schemas.microsoft.com/office/drawing/2010/main">
                            <a14:imgLayer r:embed="rId30">
                              <a14:imgEffect>
                                <a14:sharpenSoften amount="25000"/>
                              </a14:imgEffect>
                            </a14:imgLayer>
                          </a14:imgProps>
                        </a:ext>
                      </a:extLst>
                    </a:blip>
                    <a:stretch>
                      <a:fillRect/>
                    </a:stretch>
                  </pic:blipFill>
                  <pic:spPr>
                    <a:xfrm>
                      <a:off x="0" y="0"/>
                      <a:ext cx="5922614" cy="3385500"/>
                    </a:xfrm>
                    <a:prstGeom prst="rect">
                      <a:avLst/>
                    </a:prstGeom>
                  </pic:spPr>
                </pic:pic>
              </a:graphicData>
            </a:graphic>
          </wp:inline>
        </w:drawing>
      </w:r>
    </w:p>
    <w:p w:rsidR="00F06C3D" w:rsidRPr="00A21B5C" w:rsidRDefault="00F06C3D" w:rsidP="00A21B5C">
      <w:pPr>
        <w:pStyle w:val="Textoindependiente2"/>
        <w:contextualSpacing/>
        <w:rPr>
          <w:rFonts w:cs="Arial"/>
          <w:sz w:val="22"/>
          <w:szCs w:val="21"/>
          <w:lang w:val="es-CO"/>
        </w:rPr>
      </w:pPr>
    </w:p>
    <w:p w:rsidR="008C2E4A" w:rsidRPr="00A21B5C" w:rsidRDefault="008C2E4A">
      <w:pPr>
        <w:pStyle w:val="Prrafodelista"/>
        <w:numPr>
          <w:ilvl w:val="0"/>
          <w:numId w:val="21"/>
        </w:numPr>
        <w:jc w:val="both"/>
        <w:rPr>
          <w:rFonts w:ascii="Arial" w:hAnsi="Arial" w:cs="Arial"/>
          <w:b/>
          <w:sz w:val="22"/>
          <w:szCs w:val="20"/>
          <w:lang w:val="es-CO"/>
        </w:rPr>
      </w:pPr>
      <w:r w:rsidRPr="00A21B5C">
        <w:rPr>
          <w:rFonts w:ascii="Arial" w:hAnsi="Arial" w:cs="Arial"/>
          <w:b/>
          <w:sz w:val="22"/>
          <w:szCs w:val="20"/>
          <w:lang w:val="es-CO"/>
        </w:rPr>
        <w:t>Indebida formulación de los proyectos de inversión e insuficiente acompañamiento técnico por parte de la Entidad Territorial.</w:t>
      </w:r>
    </w:p>
    <w:p w:rsidR="008C2E4A" w:rsidRPr="00A21B5C" w:rsidRDefault="008C2E4A" w:rsidP="00A21B5C">
      <w:pPr>
        <w:contextualSpacing/>
        <w:jc w:val="both"/>
        <w:rPr>
          <w:rFonts w:ascii="Arial" w:hAnsi="Arial" w:cs="Arial"/>
          <w:sz w:val="22"/>
          <w:lang w:val="es-CO"/>
        </w:rPr>
      </w:pPr>
    </w:p>
    <w:p w:rsidR="00DC2791" w:rsidRPr="00A21B5C" w:rsidRDefault="008C2E4A" w:rsidP="00A21B5C">
      <w:pPr>
        <w:contextualSpacing/>
        <w:jc w:val="both"/>
        <w:rPr>
          <w:rFonts w:ascii="Arial" w:hAnsi="Arial" w:cs="Arial"/>
          <w:sz w:val="22"/>
          <w:lang w:val="es-CO"/>
        </w:rPr>
      </w:pPr>
      <w:r w:rsidRPr="00A21B5C">
        <w:rPr>
          <w:rFonts w:ascii="Arial" w:hAnsi="Arial" w:cs="Arial"/>
          <w:sz w:val="22"/>
          <w:lang w:val="es-CO"/>
        </w:rPr>
        <w:lastRenderedPageBreak/>
        <w:t>E</w:t>
      </w:r>
      <w:r w:rsidR="00643AB3" w:rsidRPr="00A21B5C">
        <w:rPr>
          <w:rFonts w:ascii="Arial" w:hAnsi="Arial" w:cs="Arial"/>
          <w:sz w:val="22"/>
          <w:lang w:val="es-CO"/>
        </w:rPr>
        <w:t xml:space="preserve">n virtud de lo estipulado por el </w:t>
      </w:r>
      <w:r w:rsidRPr="00A21B5C">
        <w:rPr>
          <w:rFonts w:ascii="Arial" w:hAnsi="Arial" w:cs="Arial"/>
          <w:sz w:val="22"/>
          <w:lang w:val="es-CO"/>
        </w:rPr>
        <w:t xml:space="preserve">artículo 27 del Decreto 1953 de 2014 </w:t>
      </w:r>
      <w:r w:rsidR="00643AB3" w:rsidRPr="00A21B5C">
        <w:rPr>
          <w:rFonts w:ascii="Arial" w:hAnsi="Arial" w:cs="Arial"/>
          <w:sz w:val="22"/>
          <w:lang w:val="es-CO"/>
        </w:rPr>
        <w:t>y por el</w:t>
      </w:r>
      <w:r w:rsidRPr="00A21B5C">
        <w:rPr>
          <w:rFonts w:ascii="Arial" w:hAnsi="Arial" w:cs="Arial"/>
          <w:sz w:val="22"/>
          <w:szCs w:val="20"/>
          <w:lang w:val="es-CO"/>
        </w:rPr>
        <w:t xml:space="preserve"> documento</w:t>
      </w:r>
      <w:r w:rsidR="00643AB3" w:rsidRPr="00A21B5C">
        <w:rPr>
          <w:rFonts w:ascii="Arial" w:hAnsi="Arial" w:cs="Arial"/>
          <w:sz w:val="22"/>
          <w:szCs w:val="20"/>
          <w:lang w:val="es-CO"/>
        </w:rPr>
        <w:t xml:space="preserve"> de</w:t>
      </w:r>
      <w:r w:rsidRPr="00A21B5C">
        <w:rPr>
          <w:rFonts w:ascii="Arial" w:hAnsi="Arial" w:cs="Arial"/>
          <w:sz w:val="22"/>
          <w:szCs w:val="20"/>
          <w:lang w:val="es-CO"/>
        </w:rPr>
        <w:t xml:space="preserve"> </w:t>
      </w:r>
      <w:r w:rsidR="004C3261" w:rsidRPr="00A21B5C">
        <w:rPr>
          <w:rFonts w:ascii="Arial" w:hAnsi="Arial" w:cs="Arial"/>
          <w:i/>
          <w:color w:val="000000"/>
          <w:sz w:val="22"/>
          <w:lang w:val="es-CO"/>
        </w:rPr>
        <w:t xml:space="preserve">“Orientaciones para la programación, administración y ejecución de los recursos de la Asignación Especial del Sistema General de Participaciones para los Resguardos Indígenas (AESGRI) 2012” </w:t>
      </w:r>
      <w:r w:rsidRPr="00A21B5C">
        <w:rPr>
          <w:rFonts w:ascii="Arial" w:hAnsi="Arial" w:cs="Arial"/>
          <w:sz w:val="22"/>
          <w:szCs w:val="20"/>
          <w:lang w:val="es-CO"/>
        </w:rPr>
        <w:t xml:space="preserve"> del Departamento Nacional de Planeación</w:t>
      </w:r>
      <w:r w:rsidR="00643AB3" w:rsidRPr="00A21B5C">
        <w:rPr>
          <w:rFonts w:ascii="Arial" w:hAnsi="Arial" w:cs="Arial"/>
          <w:sz w:val="22"/>
          <w:szCs w:val="20"/>
          <w:lang w:val="es-CO"/>
        </w:rPr>
        <w:t xml:space="preserve">, en lo referente a </w:t>
      </w:r>
      <w:r w:rsidRPr="00A21B5C">
        <w:rPr>
          <w:rFonts w:ascii="Arial" w:hAnsi="Arial" w:cs="Arial"/>
          <w:sz w:val="22"/>
          <w:lang w:val="es-CO"/>
        </w:rPr>
        <w:t>la</w:t>
      </w:r>
      <w:r w:rsidR="00643AB3" w:rsidRPr="00A21B5C">
        <w:rPr>
          <w:rFonts w:ascii="Arial" w:hAnsi="Arial" w:cs="Arial"/>
          <w:sz w:val="22"/>
          <w:lang w:val="es-CO"/>
        </w:rPr>
        <w:t xml:space="preserve"> debida</w:t>
      </w:r>
      <w:r w:rsidRPr="00A21B5C">
        <w:rPr>
          <w:rFonts w:ascii="Arial" w:hAnsi="Arial" w:cs="Arial"/>
          <w:sz w:val="22"/>
          <w:lang w:val="es-CO"/>
        </w:rPr>
        <w:t xml:space="preserve"> formulación de los proyectos</w:t>
      </w:r>
      <w:r w:rsidR="00643AB3" w:rsidRPr="00A21B5C">
        <w:rPr>
          <w:rFonts w:ascii="Arial" w:hAnsi="Arial" w:cs="Arial"/>
          <w:sz w:val="22"/>
          <w:lang w:val="es-CO"/>
        </w:rPr>
        <w:t xml:space="preserve"> de inversión financiados con los recursos de la AESGPRI, </w:t>
      </w:r>
      <w:r w:rsidRPr="00A21B5C">
        <w:rPr>
          <w:rFonts w:ascii="Arial" w:hAnsi="Arial" w:cs="Arial"/>
          <w:sz w:val="22"/>
          <w:lang w:val="es-CO"/>
        </w:rPr>
        <w:t>esta Dirección revisó los proyectos</w:t>
      </w:r>
      <w:r w:rsidR="00643AB3" w:rsidRPr="00A21B5C">
        <w:rPr>
          <w:rFonts w:ascii="Arial" w:hAnsi="Arial" w:cs="Arial"/>
          <w:sz w:val="22"/>
          <w:lang w:val="es-CO"/>
        </w:rPr>
        <w:t xml:space="preserve"> priorizados por el Resguardo Kogui – Malayo – Arhuaco </w:t>
      </w:r>
      <w:r w:rsidRPr="00A21B5C">
        <w:rPr>
          <w:rFonts w:ascii="Arial" w:hAnsi="Arial" w:cs="Arial"/>
          <w:sz w:val="22"/>
          <w:lang w:val="es-CO"/>
        </w:rPr>
        <w:t>durante la vigencia 2017, 2018 y 2019, evidenciando que</w:t>
      </w:r>
      <w:r w:rsidR="00DC2791" w:rsidRPr="00A21B5C">
        <w:rPr>
          <w:rFonts w:ascii="Arial" w:hAnsi="Arial" w:cs="Arial"/>
          <w:sz w:val="22"/>
          <w:lang w:val="es-CO"/>
        </w:rPr>
        <w:t>:</w:t>
      </w:r>
    </w:p>
    <w:p w:rsidR="00DC2791" w:rsidRPr="00A21B5C" w:rsidRDefault="00DC2791" w:rsidP="00A21B5C">
      <w:pPr>
        <w:contextualSpacing/>
        <w:jc w:val="both"/>
        <w:rPr>
          <w:rFonts w:ascii="Arial" w:hAnsi="Arial" w:cs="Arial"/>
          <w:sz w:val="22"/>
          <w:lang w:val="es-CO"/>
        </w:rPr>
      </w:pPr>
    </w:p>
    <w:p w:rsidR="007D26E2" w:rsidRPr="00A21B5C" w:rsidRDefault="00384D32">
      <w:pPr>
        <w:pStyle w:val="Prrafodelista"/>
        <w:numPr>
          <w:ilvl w:val="0"/>
          <w:numId w:val="39"/>
        </w:numPr>
        <w:jc w:val="both"/>
        <w:rPr>
          <w:rFonts w:ascii="Arial" w:hAnsi="Arial" w:cs="Arial"/>
          <w:sz w:val="22"/>
          <w:szCs w:val="22"/>
          <w:lang w:val="es-CO"/>
        </w:rPr>
      </w:pPr>
      <w:r w:rsidRPr="00A21B5C">
        <w:rPr>
          <w:rFonts w:ascii="Arial" w:hAnsi="Arial" w:cs="Arial"/>
          <w:sz w:val="22"/>
          <w:lang w:val="es-CO"/>
        </w:rPr>
        <w:t>Algunos de los proyectos se formularon de manera separada, aun cuando pareciese que estos de manera articulada conformarían un proyecto de mayor envergadura</w:t>
      </w:r>
      <w:r w:rsidR="00031AC8" w:rsidRPr="00A21B5C">
        <w:rPr>
          <w:rFonts w:ascii="Arial" w:hAnsi="Arial" w:cs="Arial"/>
          <w:sz w:val="22"/>
          <w:lang w:val="es-CO"/>
        </w:rPr>
        <w:t xml:space="preserve">, o cuando la realización de uno de los proyectos depende de </w:t>
      </w:r>
      <w:r w:rsidR="000A0CEB" w:rsidRPr="00A21B5C">
        <w:rPr>
          <w:rFonts w:ascii="Arial" w:hAnsi="Arial" w:cs="Arial"/>
          <w:sz w:val="22"/>
          <w:lang w:val="es-CO"/>
        </w:rPr>
        <w:t xml:space="preserve">la ejecución de </w:t>
      </w:r>
      <w:r w:rsidR="00031AC8" w:rsidRPr="00A21B5C">
        <w:rPr>
          <w:rFonts w:ascii="Arial" w:hAnsi="Arial" w:cs="Arial"/>
          <w:sz w:val="22"/>
          <w:lang w:val="es-CO"/>
        </w:rPr>
        <w:t>otro.</w:t>
      </w:r>
    </w:p>
    <w:p w:rsidR="000718CD" w:rsidRPr="00A21B5C" w:rsidRDefault="000718CD" w:rsidP="00A21B5C">
      <w:pPr>
        <w:pStyle w:val="Prrafodelista"/>
        <w:jc w:val="both"/>
        <w:rPr>
          <w:rFonts w:ascii="Arial" w:hAnsi="Arial" w:cs="Arial"/>
          <w:sz w:val="22"/>
          <w:szCs w:val="22"/>
          <w:lang w:val="es-CO"/>
        </w:rPr>
      </w:pPr>
    </w:p>
    <w:p w:rsidR="00FC1FA2" w:rsidRPr="00A21B5C" w:rsidRDefault="00F96C78">
      <w:pPr>
        <w:pStyle w:val="Prrafodelista"/>
        <w:numPr>
          <w:ilvl w:val="0"/>
          <w:numId w:val="38"/>
        </w:numPr>
        <w:jc w:val="both"/>
        <w:rPr>
          <w:rFonts w:ascii="Arial" w:hAnsi="Arial" w:cs="Arial"/>
          <w:sz w:val="22"/>
          <w:lang w:val="es-CO"/>
        </w:rPr>
      </w:pPr>
      <w:r w:rsidRPr="00A21B5C">
        <w:rPr>
          <w:rFonts w:ascii="Arial" w:hAnsi="Arial" w:cs="Arial"/>
          <w:sz w:val="22"/>
          <w:lang w:val="es-CO"/>
        </w:rPr>
        <w:t>A</w:t>
      </w:r>
      <w:r w:rsidR="008C2E4A" w:rsidRPr="00A21B5C">
        <w:rPr>
          <w:rFonts w:ascii="Arial" w:hAnsi="Arial" w:cs="Arial"/>
          <w:sz w:val="22"/>
          <w:lang w:val="es-CO"/>
        </w:rPr>
        <w:t xml:space="preserve">lgunos </w:t>
      </w:r>
      <w:r w:rsidRPr="00A21B5C">
        <w:rPr>
          <w:rFonts w:ascii="Arial" w:hAnsi="Arial" w:cs="Arial"/>
          <w:sz w:val="22"/>
          <w:lang w:val="es-CO"/>
        </w:rPr>
        <w:t xml:space="preserve">de los </w:t>
      </w:r>
      <w:r w:rsidR="008C2E4A" w:rsidRPr="00A21B5C">
        <w:rPr>
          <w:rFonts w:ascii="Arial" w:hAnsi="Arial" w:cs="Arial"/>
          <w:sz w:val="22"/>
          <w:lang w:val="es-CO"/>
        </w:rPr>
        <w:t>proyectos se limit</w:t>
      </w:r>
      <w:r w:rsidRPr="00A21B5C">
        <w:rPr>
          <w:rFonts w:ascii="Arial" w:hAnsi="Arial" w:cs="Arial"/>
          <w:sz w:val="22"/>
          <w:lang w:val="es-CO"/>
        </w:rPr>
        <w:t>aron</w:t>
      </w:r>
      <w:r w:rsidR="008C2E4A" w:rsidRPr="00A21B5C">
        <w:rPr>
          <w:rFonts w:ascii="Arial" w:hAnsi="Arial" w:cs="Arial"/>
          <w:sz w:val="22"/>
          <w:lang w:val="es-CO"/>
        </w:rPr>
        <w:t xml:space="preserve"> a la </w:t>
      </w:r>
      <w:r w:rsidR="000718CD" w:rsidRPr="00A21B5C">
        <w:rPr>
          <w:rFonts w:ascii="Arial" w:hAnsi="Arial" w:cs="Arial"/>
          <w:sz w:val="22"/>
          <w:lang w:val="es-CO"/>
        </w:rPr>
        <w:t>c</w:t>
      </w:r>
      <w:r w:rsidR="008C2E4A" w:rsidRPr="00A21B5C">
        <w:rPr>
          <w:rFonts w:ascii="Arial" w:hAnsi="Arial" w:cs="Arial"/>
          <w:sz w:val="22"/>
          <w:lang w:val="es-CO"/>
        </w:rPr>
        <w:t xml:space="preserve">ompra de insumos, sin contemplarse otras actividades para que se garantice no solo la adquisición del insumo, sino la </w:t>
      </w:r>
      <w:r w:rsidR="004C3261" w:rsidRPr="00A21B5C">
        <w:rPr>
          <w:rFonts w:ascii="Arial" w:hAnsi="Arial" w:cs="Arial"/>
          <w:sz w:val="22"/>
          <w:lang w:val="es-CO"/>
        </w:rPr>
        <w:t>consecución del objetivo</w:t>
      </w:r>
      <w:r w:rsidR="009803A6" w:rsidRPr="00A21B5C">
        <w:rPr>
          <w:rFonts w:ascii="Arial" w:hAnsi="Arial" w:cs="Arial"/>
          <w:sz w:val="22"/>
          <w:lang w:val="es-CO"/>
        </w:rPr>
        <w:t xml:space="preserve"> mismo </w:t>
      </w:r>
      <w:r w:rsidR="001B6CCE" w:rsidRPr="00A21B5C">
        <w:rPr>
          <w:rFonts w:ascii="Arial" w:hAnsi="Arial" w:cs="Arial"/>
          <w:sz w:val="22"/>
          <w:lang w:val="es-CO"/>
        </w:rPr>
        <w:t xml:space="preserve">al que está </w:t>
      </w:r>
      <w:r w:rsidR="004C3261" w:rsidRPr="00A21B5C">
        <w:rPr>
          <w:rFonts w:ascii="Arial" w:hAnsi="Arial" w:cs="Arial"/>
          <w:sz w:val="22"/>
          <w:lang w:val="es-CO"/>
        </w:rPr>
        <w:t xml:space="preserve">asociada </w:t>
      </w:r>
      <w:r w:rsidR="009803A6" w:rsidRPr="00A21B5C">
        <w:rPr>
          <w:rFonts w:ascii="Arial" w:hAnsi="Arial" w:cs="Arial"/>
          <w:sz w:val="22"/>
          <w:lang w:val="es-CO"/>
        </w:rPr>
        <w:t>la compra de insumos</w:t>
      </w:r>
      <w:r w:rsidRPr="00A21B5C">
        <w:rPr>
          <w:rFonts w:ascii="Arial" w:hAnsi="Arial" w:cs="Arial"/>
          <w:sz w:val="22"/>
          <w:lang w:val="es-CO"/>
        </w:rPr>
        <w:t>.</w:t>
      </w:r>
    </w:p>
    <w:p w:rsidR="000718CD" w:rsidRPr="00A21B5C" w:rsidRDefault="000718CD" w:rsidP="00A21B5C">
      <w:pPr>
        <w:pStyle w:val="Prrafodelista"/>
        <w:jc w:val="both"/>
        <w:rPr>
          <w:rFonts w:ascii="Arial" w:hAnsi="Arial" w:cs="Arial"/>
          <w:sz w:val="22"/>
          <w:lang w:val="es-CO"/>
        </w:rPr>
      </w:pPr>
    </w:p>
    <w:p w:rsidR="004F1D58" w:rsidRPr="00A21B5C" w:rsidRDefault="00FC1FA2">
      <w:pPr>
        <w:pStyle w:val="Prrafodelista"/>
        <w:numPr>
          <w:ilvl w:val="0"/>
          <w:numId w:val="22"/>
        </w:numPr>
        <w:jc w:val="both"/>
        <w:rPr>
          <w:rFonts w:ascii="Arial" w:hAnsi="Arial" w:cs="Arial"/>
          <w:sz w:val="22"/>
          <w:lang w:val="es-CO"/>
        </w:rPr>
      </w:pPr>
      <w:r w:rsidRPr="00A21B5C">
        <w:rPr>
          <w:rFonts w:ascii="Arial" w:hAnsi="Arial" w:cs="Arial"/>
          <w:sz w:val="22"/>
          <w:szCs w:val="22"/>
          <w:lang w:val="es-CO"/>
        </w:rPr>
        <w:t>De</w:t>
      </w:r>
      <w:r w:rsidR="008C2E4A" w:rsidRPr="00A21B5C">
        <w:rPr>
          <w:rFonts w:ascii="Arial" w:hAnsi="Arial" w:cs="Arial"/>
          <w:sz w:val="22"/>
          <w:szCs w:val="22"/>
          <w:lang w:val="es-CO"/>
        </w:rPr>
        <w:t xml:space="preserve"> </w:t>
      </w:r>
      <w:r w:rsidR="008C2E4A" w:rsidRPr="00A21B5C">
        <w:rPr>
          <w:rFonts w:ascii="Arial" w:hAnsi="Arial" w:cs="Arial"/>
          <w:sz w:val="22"/>
          <w:lang w:val="es-CO"/>
        </w:rPr>
        <w:t xml:space="preserve">manera transversal, se evidenció en la totalidad de las fichas de perfil de proyecto, adjuntas a los </w:t>
      </w:r>
      <w:r w:rsidR="000718CD" w:rsidRPr="00A21B5C">
        <w:rPr>
          <w:rFonts w:ascii="Arial" w:hAnsi="Arial" w:cs="Arial"/>
          <w:sz w:val="22"/>
          <w:lang w:val="es-CO"/>
        </w:rPr>
        <w:t xml:space="preserve">Convenios </w:t>
      </w:r>
      <w:r w:rsidR="008C2E4A" w:rsidRPr="00A21B5C">
        <w:rPr>
          <w:rFonts w:ascii="Arial" w:hAnsi="Arial" w:cs="Arial"/>
          <w:sz w:val="22"/>
          <w:lang w:val="es-CO"/>
        </w:rPr>
        <w:t>de Administración de las vigencias 2017 y 2018 que, si bien el Resguardo Indígena logra consolidar una ficha técnica clara y coherente entre la necesidad, la alternativa de solución y la justificación dada, logrando determinar objetivos, metas e indicadores, no se determinaron las actividades puntuales para la realización del proyecto</w:t>
      </w:r>
      <w:r w:rsidR="004F1D58" w:rsidRPr="00A21B5C">
        <w:rPr>
          <w:rFonts w:ascii="Arial" w:hAnsi="Arial" w:cs="Arial"/>
          <w:sz w:val="22"/>
          <w:lang w:val="es-CO"/>
        </w:rPr>
        <w:t>.</w:t>
      </w:r>
    </w:p>
    <w:p w:rsidR="008C2E4A" w:rsidRPr="00A21B5C" w:rsidRDefault="008C2E4A">
      <w:pPr>
        <w:pStyle w:val="Prrafodelista"/>
        <w:jc w:val="both"/>
        <w:rPr>
          <w:rFonts w:ascii="Arial" w:hAnsi="Arial" w:cs="Arial"/>
          <w:b/>
          <w:sz w:val="22"/>
          <w:lang w:val="es-CO"/>
        </w:rPr>
      </w:pPr>
    </w:p>
    <w:p w:rsidR="008C2E4A" w:rsidRPr="00A21B5C" w:rsidRDefault="008C2E4A" w:rsidP="00A21B5C">
      <w:pPr>
        <w:contextualSpacing/>
        <w:jc w:val="both"/>
        <w:rPr>
          <w:rFonts w:ascii="Arial" w:hAnsi="Arial" w:cs="Arial"/>
          <w:color w:val="000000"/>
          <w:sz w:val="22"/>
          <w:szCs w:val="20"/>
          <w:lang w:val="es-CO"/>
        </w:rPr>
      </w:pPr>
      <w:r w:rsidRPr="00A21B5C">
        <w:rPr>
          <w:rFonts w:ascii="Arial" w:hAnsi="Arial" w:cs="Arial"/>
          <w:sz w:val="22"/>
          <w:szCs w:val="20"/>
          <w:lang w:val="es-CO"/>
        </w:rPr>
        <w:t xml:space="preserve">De esta manera, esta Dirección </w:t>
      </w:r>
      <w:r w:rsidRPr="00A21B5C">
        <w:rPr>
          <w:rFonts w:ascii="Arial" w:hAnsi="Arial" w:cs="Arial"/>
          <w:color w:val="000000"/>
          <w:sz w:val="22"/>
          <w:szCs w:val="20"/>
          <w:lang w:val="es-CO"/>
        </w:rPr>
        <w:t xml:space="preserve">evidenció que se desconocen los lineamientos dados por el Departamento Nacional de Planeación en materia de la formulación de los proyectos que trata el artículo 27 del Decreto 1953 de 2014, </w:t>
      </w:r>
      <w:r w:rsidR="009F0181" w:rsidRPr="00A21B5C">
        <w:rPr>
          <w:rFonts w:ascii="Arial" w:hAnsi="Arial" w:cs="Arial"/>
          <w:color w:val="000000"/>
          <w:sz w:val="22"/>
          <w:szCs w:val="20"/>
          <w:lang w:val="es-CO"/>
        </w:rPr>
        <w:t xml:space="preserve">los cuales tienen como </w:t>
      </w:r>
      <w:r w:rsidRPr="00A21B5C">
        <w:rPr>
          <w:rFonts w:ascii="Arial" w:hAnsi="Arial" w:cs="Arial"/>
          <w:color w:val="000000"/>
          <w:sz w:val="22"/>
          <w:szCs w:val="20"/>
          <w:lang w:val="es-CO"/>
        </w:rPr>
        <w:t xml:space="preserve">fin mejorar la calidad de vida de la totalidad de la población, tal como versa en el mismo artículo. </w:t>
      </w:r>
    </w:p>
    <w:p w:rsidR="0044105E" w:rsidRPr="00A21B5C" w:rsidRDefault="0044105E" w:rsidP="00A21B5C">
      <w:pPr>
        <w:contextualSpacing/>
        <w:jc w:val="both"/>
        <w:rPr>
          <w:rFonts w:ascii="Arial" w:hAnsi="Arial" w:cs="Arial"/>
          <w:color w:val="000000"/>
          <w:sz w:val="22"/>
          <w:szCs w:val="20"/>
          <w:lang w:val="es-CO"/>
        </w:rPr>
      </w:pPr>
    </w:p>
    <w:p w:rsidR="007F49B3" w:rsidRPr="00A21B5C" w:rsidRDefault="007F49B3" w:rsidP="00A21B5C">
      <w:pPr>
        <w:contextualSpacing/>
        <w:jc w:val="both"/>
        <w:rPr>
          <w:rFonts w:ascii="Arial" w:hAnsi="Arial" w:cs="Arial"/>
          <w:b/>
          <w:bCs/>
          <w:color w:val="000000"/>
          <w:sz w:val="22"/>
          <w:szCs w:val="20"/>
          <w:lang w:val="es-CO"/>
        </w:rPr>
      </w:pPr>
      <w:r w:rsidRPr="00A21B5C">
        <w:rPr>
          <w:rFonts w:ascii="Arial" w:hAnsi="Arial" w:cs="Arial"/>
          <w:b/>
          <w:bCs/>
          <w:color w:val="000000"/>
          <w:sz w:val="22"/>
          <w:szCs w:val="20"/>
          <w:lang w:val="es-CO"/>
        </w:rPr>
        <w:t xml:space="preserve">Recomendación: </w:t>
      </w:r>
    </w:p>
    <w:p w:rsidR="00300855" w:rsidRPr="00A21B5C" w:rsidRDefault="00300855" w:rsidP="00A21B5C">
      <w:pPr>
        <w:contextualSpacing/>
        <w:jc w:val="both"/>
        <w:rPr>
          <w:rFonts w:ascii="Arial" w:hAnsi="Arial" w:cs="Arial"/>
          <w:b/>
          <w:bCs/>
          <w:color w:val="000000"/>
          <w:sz w:val="22"/>
          <w:szCs w:val="20"/>
          <w:lang w:val="es-CO"/>
        </w:rPr>
      </w:pPr>
    </w:p>
    <w:p w:rsidR="00643AB3" w:rsidRPr="00A21B5C" w:rsidRDefault="009F0181" w:rsidP="00A21B5C">
      <w:pPr>
        <w:contextualSpacing/>
        <w:jc w:val="both"/>
        <w:rPr>
          <w:rFonts w:ascii="Arial" w:eastAsia="Times New Roman" w:hAnsi="Arial" w:cs="Arial"/>
          <w:color w:val="000000"/>
          <w:sz w:val="22"/>
          <w:szCs w:val="22"/>
          <w:lang w:val="es-CO" w:eastAsia="es-CO"/>
        </w:rPr>
      </w:pPr>
      <w:r w:rsidRPr="00A21B5C">
        <w:rPr>
          <w:rFonts w:ascii="Arial" w:hAnsi="Arial" w:cs="Arial"/>
          <w:sz w:val="22"/>
          <w:lang w:val="es-CO"/>
        </w:rPr>
        <w:t>Considerando además de lo anterior que,</w:t>
      </w:r>
      <w:r w:rsidR="00063C87" w:rsidRPr="00A21B5C">
        <w:rPr>
          <w:rFonts w:ascii="Arial" w:hAnsi="Arial" w:cs="Arial"/>
          <w:sz w:val="22"/>
          <w:szCs w:val="22"/>
          <w:lang w:val="es-CO"/>
        </w:rPr>
        <w:t xml:space="preserve"> a partir de la visita de reconocimiento realizada por esta Dirección al Municipio de Dibulla – La Guajira, los días 7 al 10 de mayo de 2019, </w:t>
      </w:r>
      <w:r w:rsidR="00A0540D" w:rsidRPr="00A21B5C">
        <w:rPr>
          <w:rFonts w:ascii="Arial" w:hAnsi="Arial" w:cs="Arial"/>
          <w:sz w:val="22"/>
          <w:szCs w:val="22"/>
          <w:lang w:val="es-CO"/>
        </w:rPr>
        <w:t xml:space="preserve">se pudo establecer </w:t>
      </w:r>
      <w:r w:rsidR="00063C87" w:rsidRPr="00A21B5C">
        <w:rPr>
          <w:rFonts w:ascii="Arial" w:hAnsi="Arial" w:cs="Arial"/>
          <w:sz w:val="22"/>
          <w:szCs w:val="22"/>
          <w:lang w:val="es-CO"/>
        </w:rPr>
        <w:t>que la Secretaría de Planeación no realiza acompañamiento técnico al Resguardo Indígena en la formulación de todos sus proyectos de inversión, sino solamente en aquellos proyectos que implican actividades de obra, puntualmente en los requerimientos técnicos y de infraestructura</w:t>
      </w:r>
      <w:r w:rsidR="004C2916" w:rsidRPr="00A21B5C">
        <w:rPr>
          <w:rFonts w:ascii="Arial" w:hAnsi="Arial" w:cs="Arial"/>
          <w:sz w:val="22"/>
          <w:szCs w:val="22"/>
          <w:lang w:val="es-CO"/>
        </w:rPr>
        <w:t xml:space="preserve">; </w:t>
      </w:r>
      <w:r w:rsidR="00643AB3" w:rsidRPr="00A21B5C">
        <w:rPr>
          <w:rFonts w:ascii="Arial" w:hAnsi="Arial" w:cs="Arial"/>
          <w:sz w:val="22"/>
          <w:szCs w:val="22"/>
          <w:lang w:val="es-CO"/>
        </w:rPr>
        <w:t xml:space="preserve">y que en relación a ello, se evidenciaron </w:t>
      </w:r>
      <w:r w:rsidR="00643AB3" w:rsidRPr="00A21B5C">
        <w:rPr>
          <w:rFonts w:ascii="Arial" w:eastAsia="Times New Roman" w:hAnsi="Arial" w:cs="Arial"/>
          <w:color w:val="000000"/>
          <w:sz w:val="22"/>
          <w:szCs w:val="22"/>
          <w:lang w:val="es-CO" w:eastAsia="es-CO"/>
        </w:rPr>
        <w:t>múltiples dificultades</w:t>
      </w:r>
      <w:r w:rsidR="00DA7367" w:rsidRPr="00A21B5C">
        <w:rPr>
          <w:rFonts w:ascii="Arial" w:eastAsia="Times New Roman" w:hAnsi="Arial" w:cs="Arial"/>
          <w:color w:val="000000"/>
          <w:sz w:val="22"/>
          <w:szCs w:val="22"/>
          <w:lang w:val="es-CO" w:eastAsia="es-CO"/>
        </w:rPr>
        <w:t xml:space="preserve"> asociadas a la planeación</w:t>
      </w:r>
      <w:r w:rsidR="00643AB3" w:rsidRPr="00A21B5C">
        <w:rPr>
          <w:rFonts w:ascii="Arial" w:eastAsia="Times New Roman" w:hAnsi="Arial" w:cs="Arial"/>
          <w:color w:val="000000"/>
          <w:sz w:val="22"/>
          <w:szCs w:val="22"/>
          <w:lang w:val="es-CO" w:eastAsia="es-CO"/>
        </w:rPr>
        <w:t xml:space="preserve"> en la ejecución del </w:t>
      </w:r>
      <w:r w:rsidR="00643AB3" w:rsidRPr="00A21B5C">
        <w:rPr>
          <w:rFonts w:ascii="Arial" w:hAnsi="Arial" w:cs="Arial"/>
          <w:sz w:val="22"/>
          <w:szCs w:val="22"/>
          <w:lang w:val="es-CO"/>
        </w:rPr>
        <w:t xml:space="preserve">Contrato de Obra N° 004 del 2016 </w:t>
      </w:r>
      <w:r w:rsidR="00DA7367" w:rsidRPr="00A21B5C">
        <w:rPr>
          <w:rFonts w:ascii="Arial" w:hAnsi="Arial" w:cs="Arial"/>
          <w:sz w:val="22"/>
          <w:szCs w:val="22"/>
          <w:lang w:val="es-CO"/>
        </w:rPr>
        <w:t xml:space="preserve">asociado al proyecto </w:t>
      </w:r>
      <w:r w:rsidR="00643AB3" w:rsidRPr="00A21B5C">
        <w:rPr>
          <w:rFonts w:ascii="Arial" w:hAnsi="Arial" w:cs="Arial"/>
          <w:sz w:val="22"/>
          <w:szCs w:val="22"/>
          <w:lang w:val="es-CO"/>
        </w:rPr>
        <w:t>“</w:t>
      </w:r>
      <w:r w:rsidR="00643AB3" w:rsidRPr="00A21B5C">
        <w:rPr>
          <w:rFonts w:ascii="Arial" w:hAnsi="Arial" w:cs="Arial"/>
          <w:i/>
          <w:sz w:val="22"/>
          <w:szCs w:val="22"/>
          <w:lang w:val="es-CO"/>
        </w:rPr>
        <w:t>Construcción de dos (2) bodegas para la instalación de trilladora y adecuación y construcción de oficinas para funcionamiento del programa de desarrollo económico del Pueblo Kogui</w:t>
      </w:r>
      <w:r w:rsidR="00643AB3" w:rsidRPr="00A21B5C">
        <w:rPr>
          <w:rFonts w:ascii="Arial" w:hAnsi="Arial" w:cs="Arial"/>
          <w:sz w:val="22"/>
          <w:szCs w:val="22"/>
          <w:lang w:val="es-CO"/>
        </w:rPr>
        <w:t>”</w:t>
      </w:r>
      <w:r w:rsidR="00DA7367" w:rsidRPr="00A21B5C">
        <w:rPr>
          <w:rFonts w:ascii="Arial" w:eastAsia="Times New Roman" w:hAnsi="Arial" w:cs="Arial"/>
          <w:color w:val="000000"/>
          <w:sz w:val="22"/>
          <w:szCs w:val="22"/>
          <w:lang w:val="es-CO" w:eastAsia="es-CO"/>
        </w:rPr>
        <w:t>, que por su naturaleza se presume fue asistido en su formulación por la Secretaria de Planeación del Municipio.</w:t>
      </w:r>
    </w:p>
    <w:p w:rsidR="00643AB3" w:rsidRPr="00A21B5C" w:rsidRDefault="00643AB3" w:rsidP="00A21B5C">
      <w:pPr>
        <w:contextualSpacing/>
        <w:jc w:val="both"/>
        <w:rPr>
          <w:rFonts w:ascii="Arial" w:hAnsi="Arial" w:cs="Arial"/>
          <w:sz w:val="22"/>
          <w:szCs w:val="22"/>
          <w:lang w:val="es-CO"/>
        </w:rPr>
      </w:pPr>
    </w:p>
    <w:p w:rsidR="00676F05" w:rsidRPr="00A21B5C" w:rsidRDefault="00DA7367" w:rsidP="00A21B5C">
      <w:pPr>
        <w:contextualSpacing/>
        <w:jc w:val="both"/>
        <w:rPr>
          <w:rFonts w:ascii="Arial" w:hAnsi="Arial" w:cs="Arial"/>
          <w:color w:val="000000"/>
          <w:sz w:val="22"/>
          <w:szCs w:val="20"/>
          <w:lang w:val="es-CO"/>
        </w:rPr>
      </w:pPr>
      <w:r w:rsidRPr="00A21B5C">
        <w:rPr>
          <w:rFonts w:ascii="Arial" w:hAnsi="Arial" w:cs="Arial"/>
          <w:sz w:val="22"/>
          <w:szCs w:val="22"/>
          <w:lang w:val="es-CO"/>
        </w:rPr>
        <w:t>S</w:t>
      </w:r>
      <w:r w:rsidR="004C2916" w:rsidRPr="00A21B5C">
        <w:rPr>
          <w:rFonts w:ascii="Arial" w:hAnsi="Arial" w:cs="Arial"/>
          <w:sz w:val="22"/>
          <w:szCs w:val="22"/>
          <w:lang w:val="es-CO"/>
        </w:rPr>
        <w:t xml:space="preserve">e recomienda </w:t>
      </w:r>
      <w:r w:rsidRPr="00A21B5C">
        <w:rPr>
          <w:rFonts w:ascii="Arial" w:hAnsi="Arial" w:cs="Arial"/>
          <w:sz w:val="22"/>
          <w:szCs w:val="22"/>
          <w:lang w:val="es-CO"/>
        </w:rPr>
        <w:t xml:space="preserve">reevaluar la profundidad y rigurosidad del acompañamiento técnico que ya se brinda al Resguardo Indígena en el proceso de formulación de los proyectos de inversión, y en el mismo sentido </w:t>
      </w:r>
      <w:r w:rsidR="00EB017F" w:rsidRPr="00A21B5C">
        <w:rPr>
          <w:rFonts w:ascii="Arial" w:hAnsi="Arial" w:cs="Arial"/>
          <w:sz w:val="22"/>
          <w:szCs w:val="22"/>
          <w:lang w:val="es-CO"/>
        </w:rPr>
        <w:t xml:space="preserve">ampliar </w:t>
      </w:r>
      <w:r w:rsidRPr="00A21B5C">
        <w:rPr>
          <w:rFonts w:ascii="Arial" w:hAnsi="Arial" w:cs="Arial"/>
          <w:sz w:val="22"/>
          <w:szCs w:val="22"/>
          <w:lang w:val="es-CO"/>
        </w:rPr>
        <w:t>dicho</w:t>
      </w:r>
      <w:r w:rsidR="00EB017F" w:rsidRPr="00A21B5C">
        <w:rPr>
          <w:rFonts w:ascii="Arial" w:hAnsi="Arial" w:cs="Arial"/>
          <w:sz w:val="22"/>
          <w:szCs w:val="22"/>
          <w:lang w:val="es-CO"/>
        </w:rPr>
        <w:t xml:space="preserve"> acompañamiento</w:t>
      </w:r>
      <w:r w:rsidRPr="00A21B5C">
        <w:rPr>
          <w:rFonts w:ascii="Arial" w:hAnsi="Arial" w:cs="Arial"/>
          <w:sz w:val="22"/>
          <w:szCs w:val="22"/>
          <w:lang w:val="es-CO"/>
        </w:rPr>
        <w:t xml:space="preserve"> a la totalidad de los proyectos priorizados por este</w:t>
      </w:r>
      <w:r w:rsidR="00EB017F" w:rsidRPr="00A21B5C">
        <w:rPr>
          <w:rFonts w:ascii="Arial" w:hAnsi="Arial" w:cs="Arial"/>
          <w:sz w:val="22"/>
          <w:szCs w:val="22"/>
          <w:lang w:val="es-CO"/>
        </w:rPr>
        <w:t>, claro está, en el marco de la autonomía y potestad del Resguardo de acuerdo a sus usos y costumbres.</w:t>
      </w:r>
      <w:r w:rsidR="00E55816" w:rsidRPr="00A21B5C">
        <w:rPr>
          <w:rFonts w:ascii="Arial" w:hAnsi="Arial" w:cs="Arial"/>
          <w:sz w:val="22"/>
          <w:szCs w:val="22"/>
          <w:lang w:val="es-CO"/>
        </w:rPr>
        <w:t xml:space="preserve"> O bien</w:t>
      </w:r>
      <w:r w:rsidR="004561A9" w:rsidRPr="00A21B5C">
        <w:rPr>
          <w:rFonts w:ascii="Arial" w:hAnsi="Arial" w:cs="Arial"/>
          <w:sz w:val="22"/>
          <w:szCs w:val="22"/>
          <w:lang w:val="es-CO"/>
        </w:rPr>
        <w:t xml:space="preserve"> que,</w:t>
      </w:r>
      <w:r w:rsidR="00E55816" w:rsidRPr="00A21B5C">
        <w:rPr>
          <w:rFonts w:ascii="Arial" w:hAnsi="Arial" w:cs="Arial"/>
          <w:sz w:val="22"/>
          <w:szCs w:val="22"/>
          <w:lang w:val="es-CO"/>
        </w:rPr>
        <w:t xml:space="preserve"> en virtud de lo estipulado por el artículo 83 de la Ley 715 de 2001,</w:t>
      </w:r>
      <w:r w:rsidR="00CA1D7D" w:rsidRPr="00A21B5C">
        <w:rPr>
          <w:rFonts w:ascii="Arial" w:hAnsi="Arial" w:cs="Arial"/>
          <w:sz w:val="22"/>
          <w:szCs w:val="22"/>
          <w:lang w:val="es-CO"/>
        </w:rPr>
        <w:t xml:space="preserve"> de acuerdo con el cual </w:t>
      </w:r>
      <w:r w:rsidR="00E55816" w:rsidRPr="00A21B5C">
        <w:rPr>
          <w:rFonts w:ascii="Arial" w:hAnsi="Arial" w:cs="Arial"/>
          <w:sz w:val="22"/>
          <w:szCs w:val="22"/>
          <w:lang w:val="es-CO"/>
        </w:rPr>
        <w:t xml:space="preserve">le corresponde a las Secretarías de </w:t>
      </w:r>
      <w:r w:rsidR="00E55816" w:rsidRPr="00A21B5C">
        <w:rPr>
          <w:rFonts w:ascii="Arial" w:hAnsi="Arial" w:cs="Arial"/>
          <w:sz w:val="22"/>
          <w:szCs w:val="22"/>
          <w:lang w:val="es-CO"/>
        </w:rPr>
        <w:lastRenderedPageBreak/>
        <w:t>Planeación Departamental, o al órgano</w:t>
      </w:r>
      <w:r w:rsidR="00CA1D7D" w:rsidRPr="00A21B5C">
        <w:rPr>
          <w:rFonts w:ascii="Arial" w:hAnsi="Arial" w:cs="Arial"/>
          <w:sz w:val="22"/>
          <w:szCs w:val="22"/>
          <w:lang w:val="es-CO"/>
        </w:rPr>
        <w:t xml:space="preserve"> </w:t>
      </w:r>
      <w:r w:rsidR="00E55816" w:rsidRPr="00A21B5C">
        <w:rPr>
          <w:rFonts w:ascii="Arial" w:hAnsi="Arial" w:cs="Arial"/>
          <w:sz w:val="22"/>
          <w:szCs w:val="22"/>
          <w:lang w:val="es-CO"/>
        </w:rPr>
        <w:t>que haga sus veces, “</w:t>
      </w:r>
      <w:r w:rsidR="00E55816" w:rsidRPr="00A21B5C">
        <w:rPr>
          <w:rFonts w:ascii="Arial" w:hAnsi="Arial" w:cs="Arial"/>
          <w:i/>
          <w:iCs/>
          <w:sz w:val="22"/>
          <w:szCs w:val="22"/>
          <w:lang w:val="es-CO"/>
        </w:rPr>
        <w:t>desarrollar programas de capacitación, asesoría y asistencia técnica a los resguardos indígenas y autoridades municipales, para la</w:t>
      </w:r>
      <w:r w:rsidR="00CA1D7D" w:rsidRPr="00A21B5C">
        <w:rPr>
          <w:rFonts w:ascii="Arial" w:hAnsi="Arial" w:cs="Arial"/>
          <w:i/>
          <w:iCs/>
          <w:sz w:val="22"/>
          <w:szCs w:val="22"/>
          <w:lang w:val="es-CO"/>
        </w:rPr>
        <w:t xml:space="preserve"> </w:t>
      </w:r>
      <w:r w:rsidR="00E55816" w:rsidRPr="00A21B5C">
        <w:rPr>
          <w:rFonts w:ascii="Arial" w:hAnsi="Arial" w:cs="Arial"/>
          <w:i/>
          <w:iCs/>
          <w:sz w:val="22"/>
          <w:szCs w:val="22"/>
          <w:lang w:val="es-CO"/>
        </w:rPr>
        <w:t>adecuada programación y uso de los recursos</w:t>
      </w:r>
      <w:r w:rsidR="00E55816" w:rsidRPr="00A21B5C">
        <w:rPr>
          <w:rFonts w:ascii="Arial" w:hAnsi="Arial" w:cs="Arial"/>
          <w:sz w:val="22"/>
          <w:szCs w:val="22"/>
          <w:lang w:val="es-CO"/>
        </w:rPr>
        <w:t>”</w:t>
      </w:r>
      <w:r w:rsidR="00CA1D7D" w:rsidRPr="00A21B5C">
        <w:rPr>
          <w:rFonts w:ascii="Arial" w:hAnsi="Arial" w:cs="Arial"/>
          <w:sz w:val="22"/>
          <w:szCs w:val="22"/>
          <w:lang w:val="es-CO"/>
        </w:rPr>
        <w:t xml:space="preserve">, solicitar a la Gobernación del Departamento de La Guajira </w:t>
      </w:r>
      <w:r w:rsidR="00D31D13" w:rsidRPr="00A21B5C">
        <w:rPr>
          <w:rFonts w:ascii="Arial" w:hAnsi="Arial" w:cs="Arial"/>
          <w:sz w:val="22"/>
          <w:szCs w:val="22"/>
          <w:lang w:val="es-CO"/>
        </w:rPr>
        <w:t xml:space="preserve">el acompañamiento y asesoría en el proceso de formulación de los proyectos de inversión, con el objetivo de </w:t>
      </w:r>
      <w:r w:rsidR="0003554B" w:rsidRPr="00A21B5C">
        <w:rPr>
          <w:rFonts w:ascii="Arial" w:hAnsi="Arial" w:cs="Arial"/>
          <w:color w:val="000000"/>
          <w:sz w:val="22"/>
          <w:szCs w:val="20"/>
          <w:lang w:val="es-CO"/>
        </w:rPr>
        <w:t>que estos se ajusten a los lineamientos técnicos y normativos vigentes</w:t>
      </w:r>
      <w:r w:rsidR="00EB017F" w:rsidRPr="00A21B5C">
        <w:rPr>
          <w:rFonts w:ascii="Arial" w:hAnsi="Arial" w:cs="Arial"/>
          <w:color w:val="000000"/>
          <w:sz w:val="22"/>
          <w:szCs w:val="20"/>
          <w:lang w:val="es-CO"/>
        </w:rPr>
        <w:t xml:space="preserve">, </w:t>
      </w:r>
      <w:r w:rsidR="00F96512" w:rsidRPr="00A21B5C">
        <w:rPr>
          <w:rFonts w:ascii="Arial" w:hAnsi="Arial" w:cs="Arial"/>
          <w:color w:val="000000"/>
          <w:sz w:val="22"/>
          <w:szCs w:val="20"/>
          <w:lang w:val="es-CO"/>
        </w:rPr>
        <w:t xml:space="preserve">de modo que </w:t>
      </w:r>
      <w:r w:rsidR="009E6BB7" w:rsidRPr="00A21B5C">
        <w:rPr>
          <w:rFonts w:ascii="Arial" w:hAnsi="Arial" w:cs="Arial"/>
          <w:color w:val="000000"/>
          <w:sz w:val="22"/>
          <w:szCs w:val="20"/>
          <w:lang w:val="es-CO"/>
        </w:rPr>
        <w:t xml:space="preserve">con ello </w:t>
      </w:r>
      <w:r w:rsidR="00F96512" w:rsidRPr="00A21B5C">
        <w:rPr>
          <w:rFonts w:ascii="Arial" w:hAnsi="Arial" w:cs="Arial"/>
          <w:color w:val="000000"/>
          <w:sz w:val="22"/>
          <w:szCs w:val="20"/>
          <w:lang w:val="es-CO"/>
        </w:rPr>
        <w:t xml:space="preserve">se propicie </w:t>
      </w:r>
      <w:r w:rsidR="009E6BB7" w:rsidRPr="00A21B5C">
        <w:rPr>
          <w:rFonts w:ascii="Arial" w:hAnsi="Arial" w:cs="Arial"/>
          <w:color w:val="000000"/>
          <w:sz w:val="22"/>
          <w:szCs w:val="20"/>
          <w:lang w:val="es-CO"/>
        </w:rPr>
        <w:t xml:space="preserve">también </w:t>
      </w:r>
      <w:r w:rsidR="00F96512" w:rsidRPr="00A21B5C">
        <w:rPr>
          <w:rFonts w:ascii="Arial" w:hAnsi="Arial" w:cs="Arial"/>
          <w:color w:val="000000"/>
          <w:sz w:val="22"/>
          <w:szCs w:val="20"/>
          <w:lang w:val="es-CO"/>
        </w:rPr>
        <w:t xml:space="preserve">un </w:t>
      </w:r>
      <w:r w:rsidR="0003554B" w:rsidRPr="00A21B5C">
        <w:rPr>
          <w:rFonts w:ascii="Arial" w:hAnsi="Arial" w:cs="Arial"/>
          <w:color w:val="000000"/>
          <w:sz w:val="22"/>
          <w:szCs w:val="20"/>
          <w:lang w:val="es-CO"/>
        </w:rPr>
        <w:t xml:space="preserve">proceso de ejecución debido y asertivo </w:t>
      </w:r>
      <w:r w:rsidR="00D70E3E" w:rsidRPr="00A21B5C">
        <w:rPr>
          <w:rFonts w:ascii="Arial" w:hAnsi="Arial" w:cs="Arial"/>
          <w:color w:val="000000"/>
          <w:sz w:val="22"/>
          <w:szCs w:val="20"/>
          <w:lang w:val="es-CO"/>
        </w:rPr>
        <w:t xml:space="preserve">por parte de la Entidad Territorial, </w:t>
      </w:r>
      <w:r w:rsidR="00F96512" w:rsidRPr="00A21B5C">
        <w:rPr>
          <w:rFonts w:ascii="Arial" w:hAnsi="Arial" w:cs="Arial"/>
          <w:color w:val="000000"/>
          <w:sz w:val="22"/>
          <w:szCs w:val="20"/>
          <w:lang w:val="es-CO"/>
        </w:rPr>
        <w:t>que genere</w:t>
      </w:r>
      <w:r w:rsidR="0003554B" w:rsidRPr="00A21B5C">
        <w:rPr>
          <w:rFonts w:ascii="Arial" w:hAnsi="Arial" w:cs="Arial"/>
          <w:color w:val="000000"/>
          <w:sz w:val="22"/>
          <w:szCs w:val="20"/>
          <w:lang w:val="es-CO"/>
        </w:rPr>
        <w:t xml:space="preserve"> beneficio</w:t>
      </w:r>
      <w:r w:rsidR="00F96512" w:rsidRPr="00A21B5C">
        <w:rPr>
          <w:rFonts w:ascii="Arial" w:hAnsi="Arial" w:cs="Arial"/>
          <w:color w:val="000000"/>
          <w:sz w:val="22"/>
          <w:szCs w:val="20"/>
          <w:lang w:val="es-CO"/>
        </w:rPr>
        <w:t>s</w:t>
      </w:r>
      <w:r w:rsidR="0003554B" w:rsidRPr="00A21B5C">
        <w:rPr>
          <w:rFonts w:ascii="Arial" w:hAnsi="Arial" w:cs="Arial"/>
          <w:color w:val="000000"/>
          <w:sz w:val="22"/>
          <w:szCs w:val="20"/>
          <w:lang w:val="es-CO"/>
        </w:rPr>
        <w:t xml:space="preserve"> real</w:t>
      </w:r>
      <w:r w:rsidR="00F96512" w:rsidRPr="00A21B5C">
        <w:rPr>
          <w:rFonts w:ascii="Arial" w:hAnsi="Arial" w:cs="Arial"/>
          <w:color w:val="000000"/>
          <w:sz w:val="22"/>
          <w:szCs w:val="20"/>
          <w:lang w:val="es-CO"/>
        </w:rPr>
        <w:t>es</w:t>
      </w:r>
      <w:r w:rsidR="0003554B" w:rsidRPr="00A21B5C">
        <w:rPr>
          <w:rFonts w:ascii="Arial" w:hAnsi="Arial" w:cs="Arial"/>
          <w:color w:val="000000"/>
          <w:sz w:val="22"/>
          <w:szCs w:val="20"/>
          <w:lang w:val="es-CO"/>
        </w:rPr>
        <w:t xml:space="preserve"> para las comunidades indígenas beneficiarias de los recursos de la AESGPRI</w:t>
      </w:r>
      <w:r w:rsidR="00F96512" w:rsidRPr="00A21B5C">
        <w:rPr>
          <w:rFonts w:ascii="Arial" w:hAnsi="Arial" w:cs="Arial"/>
          <w:color w:val="000000"/>
          <w:sz w:val="22"/>
          <w:szCs w:val="20"/>
          <w:lang w:val="es-CO"/>
        </w:rPr>
        <w:t>.</w:t>
      </w:r>
    </w:p>
    <w:p w:rsidR="00232532" w:rsidRPr="00A21B5C" w:rsidRDefault="00232532" w:rsidP="00A21B5C">
      <w:pPr>
        <w:contextualSpacing/>
        <w:jc w:val="both"/>
        <w:rPr>
          <w:rFonts w:ascii="Arial" w:hAnsi="Arial" w:cs="Arial"/>
          <w:b/>
          <w:color w:val="000000"/>
          <w:sz w:val="22"/>
          <w:szCs w:val="20"/>
          <w:lang w:val="es-CO"/>
        </w:rPr>
      </w:pPr>
    </w:p>
    <w:p w:rsidR="00232532" w:rsidRPr="00A21B5C" w:rsidRDefault="00232532" w:rsidP="00A21B5C">
      <w:pPr>
        <w:pStyle w:val="Textocomentario"/>
        <w:numPr>
          <w:ilvl w:val="0"/>
          <w:numId w:val="21"/>
        </w:numPr>
        <w:contextualSpacing/>
        <w:jc w:val="both"/>
        <w:rPr>
          <w:rFonts w:ascii="Arial" w:hAnsi="Arial" w:cs="Arial"/>
          <w:b/>
          <w:sz w:val="22"/>
          <w:szCs w:val="22"/>
        </w:rPr>
      </w:pPr>
      <w:r w:rsidRPr="00A21B5C">
        <w:rPr>
          <w:rFonts w:ascii="Arial" w:hAnsi="Arial" w:cs="Arial"/>
          <w:b/>
          <w:sz w:val="22"/>
          <w:szCs w:val="22"/>
        </w:rPr>
        <w:t>No legalización de predios y mejoras adquiridas para</w:t>
      </w:r>
      <w:r w:rsidR="00F26622" w:rsidRPr="00A21B5C">
        <w:rPr>
          <w:rFonts w:ascii="Arial" w:hAnsi="Arial" w:cs="Arial"/>
          <w:b/>
          <w:sz w:val="22"/>
          <w:szCs w:val="22"/>
        </w:rPr>
        <w:t xml:space="preserve"> la ampliación y s</w:t>
      </w:r>
      <w:r w:rsidRPr="00A21B5C">
        <w:rPr>
          <w:rFonts w:ascii="Arial" w:hAnsi="Arial" w:cs="Arial"/>
          <w:b/>
          <w:sz w:val="22"/>
          <w:szCs w:val="22"/>
        </w:rPr>
        <w:t>aneamiento del Resguardo Kogui – Malayo – Arhuaco</w:t>
      </w:r>
    </w:p>
    <w:p w:rsidR="00232532" w:rsidRPr="00A21B5C" w:rsidRDefault="00232532" w:rsidP="00A21B5C">
      <w:pPr>
        <w:pStyle w:val="Textocomentario"/>
        <w:contextualSpacing/>
        <w:rPr>
          <w:rFonts w:ascii="Arial" w:hAnsi="Arial" w:cs="Arial"/>
          <w:sz w:val="22"/>
          <w:szCs w:val="22"/>
          <w:highlight w:val="yellow"/>
        </w:rPr>
      </w:pPr>
    </w:p>
    <w:p w:rsidR="00232532" w:rsidRPr="00A21B5C" w:rsidRDefault="00F26622" w:rsidP="00A21B5C">
      <w:pPr>
        <w:pStyle w:val="Textocomentario"/>
        <w:contextualSpacing/>
        <w:jc w:val="both"/>
        <w:rPr>
          <w:rFonts w:ascii="Arial" w:hAnsi="Arial" w:cs="Arial"/>
          <w:sz w:val="22"/>
          <w:szCs w:val="22"/>
        </w:rPr>
      </w:pPr>
      <w:r w:rsidRPr="00A21B5C">
        <w:rPr>
          <w:rFonts w:ascii="Arial" w:hAnsi="Arial" w:cs="Arial"/>
          <w:sz w:val="22"/>
          <w:szCs w:val="22"/>
        </w:rPr>
        <w:t>Aun cuando se efectuó la compra de un</w:t>
      </w:r>
      <w:r w:rsidR="00571E54" w:rsidRPr="00A21B5C">
        <w:rPr>
          <w:rFonts w:ascii="Arial" w:hAnsi="Arial" w:cs="Arial"/>
          <w:sz w:val="22"/>
          <w:szCs w:val="22"/>
        </w:rPr>
        <w:t xml:space="preserve"> predio </w:t>
      </w:r>
      <w:r w:rsidRPr="00A21B5C">
        <w:rPr>
          <w:rFonts w:ascii="Arial" w:hAnsi="Arial" w:cs="Arial"/>
          <w:sz w:val="22"/>
          <w:szCs w:val="22"/>
        </w:rPr>
        <w:t>y varias mejoras en el marco de los proyecto que tenían por objeto la ampliación y saneamiento del Resguardo Kogui – Malayo – Arhuac</w:t>
      </w:r>
      <w:r w:rsidR="00571E54" w:rsidRPr="00A21B5C">
        <w:rPr>
          <w:rFonts w:ascii="Arial" w:hAnsi="Arial" w:cs="Arial"/>
          <w:sz w:val="22"/>
          <w:szCs w:val="22"/>
        </w:rPr>
        <w:t>o</w:t>
      </w:r>
      <w:r w:rsidRPr="00A21B5C">
        <w:rPr>
          <w:rFonts w:ascii="Arial" w:hAnsi="Arial" w:cs="Arial"/>
          <w:sz w:val="22"/>
          <w:szCs w:val="22"/>
        </w:rPr>
        <w:t>, n</w:t>
      </w:r>
      <w:r w:rsidR="00232532" w:rsidRPr="00A21B5C">
        <w:rPr>
          <w:rFonts w:ascii="Arial" w:hAnsi="Arial" w:cs="Arial"/>
          <w:sz w:val="22"/>
          <w:szCs w:val="22"/>
        </w:rPr>
        <w:t xml:space="preserve">o se conoció documentación alguna sobre </w:t>
      </w:r>
      <w:r w:rsidRPr="00A21B5C">
        <w:rPr>
          <w:rFonts w:ascii="Arial" w:hAnsi="Arial" w:cs="Arial"/>
          <w:sz w:val="22"/>
          <w:szCs w:val="22"/>
        </w:rPr>
        <w:t xml:space="preserve">el </w:t>
      </w:r>
      <w:r w:rsidR="00571E54" w:rsidRPr="00A21B5C">
        <w:rPr>
          <w:rFonts w:ascii="Arial" w:hAnsi="Arial" w:cs="Arial"/>
          <w:sz w:val="22"/>
          <w:szCs w:val="22"/>
        </w:rPr>
        <w:t>procedimiento</w:t>
      </w:r>
      <w:r w:rsidR="00232532" w:rsidRPr="00A21B5C">
        <w:rPr>
          <w:rFonts w:ascii="Arial" w:hAnsi="Arial" w:cs="Arial"/>
          <w:sz w:val="22"/>
          <w:szCs w:val="22"/>
        </w:rPr>
        <w:t xml:space="preserve"> </w:t>
      </w:r>
      <w:r w:rsidRPr="00A21B5C">
        <w:rPr>
          <w:rFonts w:ascii="Arial" w:hAnsi="Arial" w:cs="Arial"/>
          <w:sz w:val="22"/>
          <w:szCs w:val="22"/>
        </w:rPr>
        <w:t>que</w:t>
      </w:r>
      <w:r w:rsidR="00571E54" w:rsidRPr="00A21B5C">
        <w:rPr>
          <w:rFonts w:ascii="Arial" w:hAnsi="Arial" w:cs="Arial"/>
          <w:sz w:val="22"/>
          <w:szCs w:val="22"/>
        </w:rPr>
        <w:t xml:space="preserve"> de acuerdo con el </w:t>
      </w:r>
      <w:r w:rsidR="000718CD" w:rsidRPr="00A21B5C">
        <w:rPr>
          <w:rFonts w:ascii="Arial" w:hAnsi="Arial" w:cs="Arial"/>
          <w:sz w:val="22"/>
          <w:szCs w:val="22"/>
        </w:rPr>
        <w:t>C</w:t>
      </w:r>
      <w:r w:rsidR="00571E54" w:rsidRPr="00A21B5C">
        <w:rPr>
          <w:rFonts w:ascii="Arial" w:hAnsi="Arial" w:cs="Arial"/>
          <w:sz w:val="22"/>
          <w:szCs w:val="22"/>
        </w:rPr>
        <w:t>apítulo 3</w:t>
      </w:r>
      <w:r w:rsidR="002E6D00" w:rsidRPr="00A21B5C">
        <w:rPr>
          <w:rStyle w:val="Refdenotaalpie"/>
          <w:rFonts w:ascii="Arial" w:hAnsi="Arial" w:cs="Arial"/>
          <w:sz w:val="22"/>
          <w:szCs w:val="22"/>
        </w:rPr>
        <w:footnoteReference w:id="59"/>
      </w:r>
      <w:r w:rsidRPr="00A21B5C">
        <w:rPr>
          <w:rFonts w:ascii="Arial" w:hAnsi="Arial" w:cs="Arial"/>
          <w:sz w:val="22"/>
          <w:szCs w:val="22"/>
        </w:rPr>
        <w:t xml:space="preserve"> </w:t>
      </w:r>
      <w:r w:rsidR="00571E54" w:rsidRPr="00A21B5C">
        <w:rPr>
          <w:rFonts w:ascii="Arial" w:hAnsi="Arial" w:cs="Arial"/>
          <w:sz w:val="22"/>
          <w:szCs w:val="22"/>
        </w:rPr>
        <w:t xml:space="preserve">del Decreto 1071 de 2015 </w:t>
      </w:r>
      <w:r w:rsidRPr="00A21B5C">
        <w:rPr>
          <w:rFonts w:ascii="Arial" w:hAnsi="Arial" w:cs="Arial"/>
          <w:sz w:val="22"/>
          <w:szCs w:val="22"/>
        </w:rPr>
        <w:t xml:space="preserve">debe surtirse para que dichas </w:t>
      </w:r>
      <w:r w:rsidR="00571E54" w:rsidRPr="00A21B5C">
        <w:rPr>
          <w:rFonts w:ascii="Arial" w:hAnsi="Arial" w:cs="Arial"/>
          <w:sz w:val="22"/>
          <w:szCs w:val="22"/>
        </w:rPr>
        <w:t>adquisiciones</w:t>
      </w:r>
      <w:r w:rsidRPr="00A21B5C">
        <w:rPr>
          <w:rFonts w:ascii="Arial" w:hAnsi="Arial" w:cs="Arial"/>
          <w:sz w:val="22"/>
          <w:szCs w:val="22"/>
        </w:rPr>
        <w:t xml:space="preserve"> sean </w:t>
      </w:r>
      <w:r w:rsidR="00571E54" w:rsidRPr="00A21B5C">
        <w:rPr>
          <w:rFonts w:ascii="Arial" w:hAnsi="Arial" w:cs="Arial"/>
          <w:sz w:val="22"/>
          <w:szCs w:val="22"/>
        </w:rPr>
        <w:t xml:space="preserve">legalmente reconocidas y englobadas dentro del </w:t>
      </w:r>
      <w:r w:rsidR="00232532" w:rsidRPr="00A21B5C">
        <w:rPr>
          <w:rFonts w:ascii="Arial" w:hAnsi="Arial" w:cs="Arial"/>
          <w:sz w:val="22"/>
          <w:szCs w:val="22"/>
        </w:rPr>
        <w:t>título</w:t>
      </w:r>
      <w:r w:rsidR="00571E54" w:rsidRPr="00A21B5C">
        <w:rPr>
          <w:rFonts w:ascii="Arial" w:hAnsi="Arial" w:cs="Arial"/>
          <w:sz w:val="22"/>
          <w:szCs w:val="22"/>
        </w:rPr>
        <w:t xml:space="preserve"> de propiedad</w:t>
      </w:r>
      <w:r w:rsidR="00232532" w:rsidRPr="00A21B5C">
        <w:rPr>
          <w:rFonts w:ascii="Arial" w:hAnsi="Arial" w:cs="Arial"/>
          <w:sz w:val="22"/>
          <w:szCs w:val="22"/>
        </w:rPr>
        <w:t xml:space="preserve"> co</w:t>
      </w:r>
      <w:r w:rsidR="00571E54" w:rsidRPr="00A21B5C">
        <w:rPr>
          <w:rFonts w:ascii="Arial" w:hAnsi="Arial" w:cs="Arial"/>
          <w:sz w:val="22"/>
          <w:szCs w:val="22"/>
        </w:rPr>
        <w:t xml:space="preserve">lectiva del Resguardo Indígena. Lo anterior representa </w:t>
      </w:r>
      <w:r w:rsidR="00232532" w:rsidRPr="00A21B5C">
        <w:rPr>
          <w:rFonts w:ascii="Arial" w:hAnsi="Arial" w:cs="Arial"/>
          <w:sz w:val="22"/>
          <w:szCs w:val="22"/>
        </w:rPr>
        <w:t xml:space="preserve">una situación de riesgo toda vez que, </w:t>
      </w:r>
      <w:r w:rsidR="00571E54" w:rsidRPr="00A21B5C">
        <w:rPr>
          <w:rFonts w:ascii="Arial" w:hAnsi="Arial" w:cs="Arial"/>
          <w:sz w:val="22"/>
          <w:szCs w:val="22"/>
        </w:rPr>
        <w:t>como resultado de la ausencia d</w:t>
      </w:r>
      <w:r w:rsidR="00232532" w:rsidRPr="00A21B5C">
        <w:rPr>
          <w:rFonts w:ascii="Arial" w:hAnsi="Arial" w:cs="Arial"/>
          <w:sz w:val="22"/>
          <w:szCs w:val="22"/>
        </w:rPr>
        <w:t>e</w:t>
      </w:r>
      <w:r w:rsidR="00571E54" w:rsidRPr="00A21B5C">
        <w:rPr>
          <w:rFonts w:ascii="Arial" w:hAnsi="Arial" w:cs="Arial"/>
          <w:sz w:val="22"/>
          <w:szCs w:val="22"/>
        </w:rPr>
        <w:t xml:space="preserve"> personería</w:t>
      </w:r>
      <w:r w:rsidR="00232532" w:rsidRPr="00A21B5C">
        <w:rPr>
          <w:rFonts w:ascii="Arial" w:hAnsi="Arial" w:cs="Arial"/>
          <w:sz w:val="22"/>
          <w:szCs w:val="22"/>
        </w:rPr>
        <w:t xml:space="preserve"> jurídica, el resguardo indígena no tiene la capacidad para celebrar contratos de compraventa de inmuebles a nombre propio, y en </w:t>
      </w:r>
      <w:r w:rsidR="00571E54" w:rsidRPr="00A21B5C">
        <w:rPr>
          <w:rFonts w:ascii="Arial" w:hAnsi="Arial" w:cs="Arial"/>
          <w:sz w:val="22"/>
          <w:szCs w:val="22"/>
        </w:rPr>
        <w:t>consecuencia</w:t>
      </w:r>
      <w:r w:rsidR="00232532" w:rsidRPr="00A21B5C">
        <w:rPr>
          <w:rFonts w:ascii="Arial" w:hAnsi="Arial" w:cs="Arial"/>
          <w:sz w:val="22"/>
          <w:szCs w:val="22"/>
        </w:rPr>
        <w:t xml:space="preserve"> la propiedad queda en cabeza de una persona de derecho privado</w:t>
      </w:r>
      <w:r w:rsidR="00571E54" w:rsidRPr="00A21B5C">
        <w:rPr>
          <w:rFonts w:ascii="Arial" w:hAnsi="Arial" w:cs="Arial"/>
          <w:sz w:val="22"/>
          <w:szCs w:val="22"/>
        </w:rPr>
        <w:t xml:space="preserve"> en tanto no se surta el procedimiento referenciado</w:t>
      </w:r>
      <w:r w:rsidR="002E6D00" w:rsidRPr="00A21B5C">
        <w:rPr>
          <w:rFonts w:ascii="Arial" w:hAnsi="Arial" w:cs="Arial"/>
          <w:sz w:val="22"/>
          <w:szCs w:val="22"/>
        </w:rPr>
        <w:t>; de mo</w:t>
      </w:r>
      <w:r w:rsidR="00C14186" w:rsidRPr="00A21B5C">
        <w:rPr>
          <w:rFonts w:ascii="Arial" w:hAnsi="Arial" w:cs="Arial"/>
          <w:sz w:val="22"/>
          <w:szCs w:val="22"/>
        </w:rPr>
        <w:t>d</w:t>
      </w:r>
      <w:r w:rsidR="002E6D00" w:rsidRPr="00A21B5C">
        <w:rPr>
          <w:rFonts w:ascii="Arial" w:hAnsi="Arial" w:cs="Arial"/>
          <w:sz w:val="22"/>
          <w:szCs w:val="22"/>
        </w:rPr>
        <w:t xml:space="preserve">o que </w:t>
      </w:r>
      <w:r w:rsidR="00232532" w:rsidRPr="00A21B5C">
        <w:rPr>
          <w:rFonts w:ascii="Arial" w:hAnsi="Arial" w:cs="Arial"/>
          <w:sz w:val="22"/>
          <w:szCs w:val="22"/>
        </w:rPr>
        <w:t xml:space="preserve">aun cuando en las escrituras </w:t>
      </w:r>
      <w:r w:rsidR="00571E54" w:rsidRPr="00A21B5C">
        <w:rPr>
          <w:rFonts w:ascii="Arial" w:hAnsi="Arial" w:cs="Arial"/>
          <w:sz w:val="22"/>
          <w:szCs w:val="22"/>
        </w:rPr>
        <w:t>públicas</w:t>
      </w:r>
      <w:r w:rsidR="00232532" w:rsidRPr="00A21B5C">
        <w:rPr>
          <w:rFonts w:ascii="Arial" w:hAnsi="Arial" w:cs="Arial"/>
          <w:sz w:val="22"/>
          <w:szCs w:val="22"/>
        </w:rPr>
        <w:t xml:space="preserve"> se estipulen </w:t>
      </w:r>
      <w:r w:rsidR="00571E54" w:rsidRPr="00A21B5C">
        <w:rPr>
          <w:rFonts w:ascii="Arial" w:hAnsi="Arial" w:cs="Arial"/>
          <w:sz w:val="22"/>
          <w:szCs w:val="22"/>
        </w:rPr>
        <w:t>cláusulas</w:t>
      </w:r>
      <w:r w:rsidR="00232532" w:rsidRPr="00A21B5C">
        <w:rPr>
          <w:rFonts w:ascii="Arial" w:hAnsi="Arial" w:cs="Arial"/>
          <w:sz w:val="22"/>
          <w:szCs w:val="22"/>
        </w:rPr>
        <w:t xml:space="preserve"> de uso y destinación de la tierra como elementos </w:t>
      </w:r>
      <w:r w:rsidR="00571E54" w:rsidRPr="00A21B5C">
        <w:rPr>
          <w:rFonts w:ascii="Arial" w:hAnsi="Arial" w:cs="Arial"/>
          <w:sz w:val="22"/>
          <w:szCs w:val="22"/>
        </w:rPr>
        <w:t>válidos</w:t>
      </w:r>
      <w:r w:rsidR="00232532" w:rsidRPr="00A21B5C">
        <w:rPr>
          <w:rFonts w:ascii="Arial" w:hAnsi="Arial" w:cs="Arial"/>
          <w:sz w:val="22"/>
          <w:szCs w:val="22"/>
        </w:rPr>
        <w:t xml:space="preserve"> para mitigar </w:t>
      </w:r>
      <w:r w:rsidR="007704D5" w:rsidRPr="00A21B5C">
        <w:rPr>
          <w:rFonts w:ascii="Arial" w:hAnsi="Arial" w:cs="Arial"/>
          <w:sz w:val="22"/>
          <w:szCs w:val="22"/>
        </w:rPr>
        <w:t>esta situación</w:t>
      </w:r>
      <w:r w:rsidR="00232532" w:rsidRPr="00A21B5C">
        <w:rPr>
          <w:rFonts w:ascii="Arial" w:hAnsi="Arial" w:cs="Arial"/>
          <w:sz w:val="22"/>
          <w:szCs w:val="22"/>
        </w:rPr>
        <w:t xml:space="preserve">, </w:t>
      </w:r>
      <w:r w:rsidR="002E6D00" w:rsidRPr="00A21B5C">
        <w:rPr>
          <w:rFonts w:ascii="Arial" w:hAnsi="Arial" w:cs="Arial"/>
          <w:sz w:val="22"/>
          <w:szCs w:val="22"/>
        </w:rPr>
        <w:t>el no adelanto de los trámites necesarios para la legalización de</w:t>
      </w:r>
      <w:r w:rsidR="00232532" w:rsidRPr="00A21B5C">
        <w:rPr>
          <w:rFonts w:ascii="Arial" w:hAnsi="Arial" w:cs="Arial"/>
          <w:sz w:val="22"/>
          <w:szCs w:val="22"/>
        </w:rPr>
        <w:t xml:space="preserve"> los predios y mejoras adquiridos </w:t>
      </w:r>
      <w:r w:rsidR="002E6D00" w:rsidRPr="00A21B5C">
        <w:rPr>
          <w:rFonts w:ascii="Arial" w:hAnsi="Arial" w:cs="Arial"/>
          <w:sz w:val="22"/>
          <w:szCs w:val="22"/>
        </w:rPr>
        <w:t>como parte del Resguardo</w:t>
      </w:r>
      <w:r w:rsidR="00232532" w:rsidRPr="00A21B5C">
        <w:rPr>
          <w:rFonts w:ascii="Arial" w:hAnsi="Arial" w:cs="Arial"/>
          <w:sz w:val="22"/>
          <w:szCs w:val="22"/>
        </w:rPr>
        <w:t>,</w:t>
      </w:r>
      <w:r w:rsidR="002E6D00" w:rsidRPr="00A21B5C">
        <w:rPr>
          <w:rFonts w:ascii="Arial" w:hAnsi="Arial" w:cs="Arial"/>
          <w:sz w:val="22"/>
          <w:szCs w:val="22"/>
        </w:rPr>
        <w:t xml:space="preserve"> podría acabar contraviniendo </w:t>
      </w:r>
      <w:r w:rsidR="00232532" w:rsidRPr="00A21B5C">
        <w:rPr>
          <w:rFonts w:ascii="Arial" w:hAnsi="Arial" w:cs="Arial"/>
          <w:sz w:val="22"/>
          <w:szCs w:val="22"/>
        </w:rPr>
        <w:t xml:space="preserve">el </w:t>
      </w:r>
      <w:r w:rsidR="002E6D00" w:rsidRPr="00A21B5C">
        <w:rPr>
          <w:rFonts w:ascii="Arial" w:hAnsi="Arial" w:cs="Arial"/>
          <w:sz w:val="22"/>
          <w:szCs w:val="22"/>
        </w:rPr>
        <w:t>objetivo mismo de los recursos de la AESGPRI que “</w:t>
      </w:r>
      <w:r w:rsidR="002E6D00" w:rsidRPr="00A21B5C">
        <w:rPr>
          <w:rFonts w:ascii="Arial" w:hAnsi="Arial" w:cs="Arial"/>
          <w:i/>
          <w:sz w:val="22"/>
          <w:szCs w:val="22"/>
        </w:rPr>
        <w:t>tienen</w:t>
      </w:r>
      <w:r w:rsidR="002E6D00" w:rsidRPr="00A21B5C">
        <w:rPr>
          <w:rFonts w:ascii="Arial" w:hAnsi="Arial" w:cs="Arial"/>
          <w:sz w:val="22"/>
          <w:szCs w:val="22"/>
        </w:rPr>
        <w:t xml:space="preserve"> </w:t>
      </w:r>
      <w:r w:rsidR="002E6D00" w:rsidRPr="00A21B5C">
        <w:rPr>
          <w:rFonts w:ascii="Arial" w:hAnsi="Arial" w:cs="Arial"/>
          <w:i/>
          <w:sz w:val="22"/>
          <w:szCs w:val="22"/>
        </w:rPr>
        <w:t>como finalidad mejorar la calidad de vida de la totalidad de la población que habita dentro del respectivo resguardo”</w:t>
      </w:r>
      <w:r w:rsidR="007704D5" w:rsidRPr="00A21B5C">
        <w:rPr>
          <w:rStyle w:val="Refdenotaalpie"/>
          <w:rFonts w:ascii="Arial" w:hAnsi="Arial" w:cs="Arial"/>
          <w:i/>
          <w:sz w:val="22"/>
          <w:szCs w:val="22"/>
        </w:rPr>
        <w:footnoteReference w:id="60"/>
      </w:r>
      <w:r w:rsidR="002E6D00" w:rsidRPr="00A21B5C">
        <w:rPr>
          <w:rFonts w:ascii="Arial" w:hAnsi="Arial" w:cs="Arial"/>
          <w:sz w:val="22"/>
          <w:szCs w:val="22"/>
        </w:rPr>
        <w:t>, dado que las adquisiciones siguen figurando a nombre de un tercero.</w:t>
      </w:r>
    </w:p>
    <w:p w:rsidR="00232532" w:rsidRPr="00A21B5C" w:rsidRDefault="00232532" w:rsidP="00A21B5C">
      <w:pPr>
        <w:pStyle w:val="Textocomentario"/>
        <w:contextualSpacing/>
        <w:rPr>
          <w:rFonts w:ascii="Arial" w:hAnsi="Arial" w:cs="Arial"/>
          <w:sz w:val="22"/>
          <w:szCs w:val="22"/>
          <w:highlight w:val="yellow"/>
        </w:rPr>
      </w:pPr>
    </w:p>
    <w:p w:rsidR="00232532" w:rsidRPr="00A21B5C" w:rsidRDefault="00232532" w:rsidP="00A21B5C">
      <w:pPr>
        <w:pStyle w:val="Textocomentario"/>
        <w:contextualSpacing/>
        <w:rPr>
          <w:rFonts w:ascii="Arial" w:hAnsi="Arial" w:cs="Arial"/>
          <w:b/>
          <w:sz w:val="22"/>
          <w:szCs w:val="22"/>
        </w:rPr>
      </w:pPr>
      <w:r w:rsidRPr="00A21B5C">
        <w:rPr>
          <w:rFonts w:ascii="Arial" w:hAnsi="Arial" w:cs="Arial"/>
          <w:b/>
          <w:sz w:val="22"/>
          <w:szCs w:val="22"/>
        </w:rPr>
        <w:t xml:space="preserve">Recomendación: </w:t>
      </w:r>
    </w:p>
    <w:p w:rsidR="00232532" w:rsidRPr="00A21B5C" w:rsidRDefault="00232532" w:rsidP="00A21B5C">
      <w:pPr>
        <w:pStyle w:val="Textocomentario"/>
        <w:contextualSpacing/>
        <w:rPr>
          <w:rFonts w:ascii="Arial" w:hAnsi="Arial" w:cs="Arial"/>
          <w:sz w:val="22"/>
          <w:szCs w:val="22"/>
          <w:highlight w:val="yellow"/>
        </w:rPr>
      </w:pPr>
    </w:p>
    <w:p w:rsidR="00232532" w:rsidRPr="00A21B5C" w:rsidRDefault="00232532" w:rsidP="00A21B5C">
      <w:pPr>
        <w:pStyle w:val="Textocomentario"/>
        <w:contextualSpacing/>
        <w:jc w:val="both"/>
        <w:rPr>
          <w:rFonts w:ascii="Arial" w:hAnsi="Arial" w:cs="Arial"/>
          <w:sz w:val="22"/>
          <w:szCs w:val="22"/>
        </w:rPr>
      </w:pPr>
      <w:r w:rsidRPr="00A21B5C">
        <w:rPr>
          <w:rFonts w:ascii="Arial" w:hAnsi="Arial" w:cs="Arial"/>
          <w:sz w:val="22"/>
          <w:szCs w:val="22"/>
        </w:rPr>
        <w:t>De cara a la situación de riesgo ide</w:t>
      </w:r>
      <w:r w:rsidR="002E6D00" w:rsidRPr="00A21B5C">
        <w:rPr>
          <w:rFonts w:ascii="Arial" w:hAnsi="Arial" w:cs="Arial"/>
          <w:sz w:val="22"/>
          <w:szCs w:val="22"/>
        </w:rPr>
        <w:t xml:space="preserve">ntificada, se recomienda al </w:t>
      </w:r>
      <w:r w:rsidRPr="00A21B5C">
        <w:rPr>
          <w:rFonts w:ascii="Arial" w:hAnsi="Arial" w:cs="Arial"/>
          <w:sz w:val="22"/>
          <w:szCs w:val="22"/>
        </w:rPr>
        <w:t>Municipio sugerir al Resguardo</w:t>
      </w:r>
      <w:r w:rsidR="0043447F" w:rsidRPr="00A21B5C">
        <w:rPr>
          <w:rFonts w:ascii="Arial" w:hAnsi="Arial" w:cs="Arial"/>
          <w:sz w:val="22"/>
          <w:szCs w:val="22"/>
        </w:rPr>
        <w:t xml:space="preserve"> en el </w:t>
      </w:r>
      <w:r w:rsidR="002E6D00" w:rsidRPr="00A21B5C">
        <w:rPr>
          <w:rFonts w:ascii="Arial" w:hAnsi="Arial" w:cs="Arial"/>
          <w:sz w:val="22"/>
          <w:szCs w:val="22"/>
        </w:rPr>
        <w:t xml:space="preserve">marco </w:t>
      </w:r>
      <w:r w:rsidR="0043447F" w:rsidRPr="00A21B5C">
        <w:rPr>
          <w:rFonts w:ascii="Arial" w:hAnsi="Arial" w:cs="Arial"/>
          <w:sz w:val="22"/>
          <w:szCs w:val="22"/>
        </w:rPr>
        <w:t>de</w:t>
      </w:r>
      <w:r w:rsidR="002E6D00" w:rsidRPr="00A21B5C">
        <w:rPr>
          <w:rFonts w:ascii="Arial" w:hAnsi="Arial" w:cs="Arial"/>
          <w:sz w:val="22"/>
          <w:szCs w:val="22"/>
        </w:rPr>
        <w:t>l</w:t>
      </w:r>
      <w:r w:rsidR="0043447F" w:rsidRPr="00A21B5C">
        <w:rPr>
          <w:rFonts w:ascii="Arial" w:hAnsi="Arial" w:cs="Arial"/>
          <w:sz w:val="22"/>
          <w:szCs w:val="22"/>
        </w:rPr>
        <w:t xml:space="preserve"> acompañamiento </w:t>
      </w:r>
      <w:r w:rsidR="002E6D00" w:rsidRPr="00A21B5C">
        <w:rPr>
          <w:rFonts w:ascii="Arial" w:hAnsi="Arial" w:cs="Arial"/>
          <w:sz w:val="22"/>
          <w:szCs w:val="22"/>
        </w:rPr>
        <w:t>técnico</w:t>
      </w:r>
      <w:r w:rsidRPr="00A21B5C">
        <w:rPr>
          <w:rFonts w:ascii="Arial" w:hAnsi="Arial" w:cs="Arial"/>
          <w:sz w:val="22"/>
          <w:szCs w:val="22"/>
        </w:rPr>
        <w:t xml:space="preserve"> </w:t>
      </w:r>
      <w:r w:rsidR="002E6D00" w:rsidRPr="00A21B5C">
        <w:rPr>
          <w:rFonts w:ascii="Arial" w:hAnsi="Arial" w:cs="Arial"/>
          <w:sz w:val="22"/>
          <w:szCs w:val="22"/>
        </w:rPr>
        <w:t>a</w:t>
      </w:r>
      <w:r w:rsidRPr="00A21B5C">
        <w:rPr>
          <w:rFonts w:ascii="Arial" w:hAnsi="Arial" w:cs="Arial"/>
          <w:sz w:val="22"/>
          <w:szCs w:val="22"/>
        </w:rPr>
        <w:t xml:space="preserve"> la formulación de los proyectos asociados a l</w:t>
      </w:r>
      <w:r w:rsidR="002E6D00" w:rsidRPr="00A21B5C">
        <w:rPr>
          <w:rFonts w:ascii="Arial" w:hAnsi="Arial" w:cs="Arial"/>
          <w:sz w:val="22"/>
          <w:szCs w:val="22"/>
        </w:rPr>
        <w:t>a ampliación o saneamiento del R</w:t>
      </w:r>
      <w:r w:rsidRPr="00A21B5C">
        <w:rPr>
          <w:rFonts w:ascii="Arial" w:hAnsi="Arial" w:cs="Arial"/>
          <w:sz w:val="22"/>
          <w:szCs w:val="22"/>
        </w:rPr>
        <w:t>esguardo</w:t>
      </w:r>
      <w:r w:rsidR="00C14186" w:rsidRPr="00A21B5C">
        <w:rPr>
          <w:rFonts w:ascii="Arial" w:hAnsi="Arial" w:cs="Arial"/>
          <w:sz w:val="22"/>
          <w:szCs w:val="22"/>
        </w:rPr>
        <w:t>,</w:t>
      </w:r>
      <w:r w:rsidR="002E6D00" w:rsidRPr="00A21B5C">
        <w:rPr>
          <w:rFonts w:ascii="Arial" w:hAnsi="Arial" w:cs="Arial"/>
          <w:sz w:val="22"/>
          <w:szCs w:val="22"/>
        </w:rPr>
        <w:t xml:space="preserve"> que se incluya</w:t>
      </w:r>
      <w:r w:rsidR="007704D5" w:rsidRPr="00A21B5C">
        <w:rPr>
          <w:rFonts w:ascii="Arial" w:hAnsi="Arial" w:cs="Arial"/>
          <w:sz w:val="22"/>
          <w:szCs w:val="22"/>
        </w:rPr>
        <w:t>n</w:t>
      </w:r>
      <w:r w:rsidR="002E6D00" w:rsidRPr="00A21B5C">
        <w:rPr>
          <w:rFonts w:ascii="Arial" w:hAnsi="Arial" w:cs="Arial"/>
          <w:sz w:val="22"/>
          <w:szCs w:val="22"/>
        </w:rPr>
        <w:t xml:space="preserve"> </w:t>
      </w:r>
      <w:r w:rsidR="007704D5" w:rsidRPr="00A21B5C">
        <w:rPr>
          <w:rFonts w:ascii="Arial" w:hAnsi="Arial" w:cs="Arial"/>
          <w:sz w:val="22"/>
          <w:szCs w:val="22"/>
        </w:rPr>
        <w:t xml:space="preserve">dentro de estos </w:t>
      </w:r>
      <w:r w:rsidRPr="00A21B5C">
        <w:rPr>
          <w:rFonts w:ascii="Arial" w:hAnsi="Arial" w:cs="Arial"/>
          <w:sz w:val="22"/>
          <w:szCs w:val="22"/>
        </w:rPr>
        <w:t>las actividades</w:t>
      </w:r>
      <w:r w:rsidR="002E6D00" w:rsidRPr="00A21B5C">
        <w:rPr>
          <w:rFonts w:ascii="Arial" w:hAnsi="Arial" w:cs="Arial"/>
          <w:sz w:val="22"/>
          <w:szCs w:val="22"/>
        </w:rPr>
        <w:t xml:space="preserve"> </w:t>
      </w:r>
      <w:r w:rsidRPr="00A21B5C">
        <w:rPr>
          <w:rFonts w:ascii="Arial" w:hAnsi="Arial" w:cs="Arial"/>
          <w:sz w:val="22"/>
          <w:szCs w:val="22"/>
        </w:rPr>
        <w:t xml:space="preserve">relativas a la legalización de los predios o mejoras adquiridas, a fin de que se cumpla con el fin </w:t>
      </w:r>
      <w:r w:rsidR="007704D5" w:rsidRPr="00A21B5C">
        <w:rPr>
          <w:rFonts w:ascii="Arial" w:hAnsi="Arial" w:cs="Arial"/>
          <w:sz w:val="22"/>
          <w:szCs w:val="22"/>
        </w:rPr>
        <w:t xml:space="preserve">último </w:t>
      </w:r>
      <w:r w:rsidRPr="00A21B5C">
        <w:rPr>
          <w:rFonts w:ascii="Arial" w:hAnsi="Arial" w:cs="Arial"/>
          <w:sz w:val="22"/>
          <w:szCs w:val="22"/>
        </w:rPr>
        <w:t>de este tipo de proyectos. En este sentido, y en el entendido de que la Entidad Territorial es la</w:t>
      </w:r>
      <w:r w:rsidR="007704D5" w:rsidRPr="00A21B5C">
        <w:rPr>
          <w:rFonts w:ascii="Arial" w:hAnsi="Arial" w:cs="Arial"/>
          <w:sz w:val="22"/>
          <w:szCs w:val="22"/>
        </w:rPr>
        <w:t xml:space="preserve"> responsable</w:t>
      </w:r>
      <w:r w:rsidRPr="00A21B5C">
        <w:rPr>
          <w:rFonts w:ascii="Arial" w:hAnsi="Arial" w:cs="Arial"/>
          <w:sz w:val="22"/>
          <w:szCs w:val="22"/>
        </w:rPr>
        <w:t xml:space="preserve"> de ejecutar los proyectos de inversión, se </w:t>
      </w:r>
      <w:r w:rsidR="007704D5" w:rsidRPr="00A21B5C">
        <w:rPr>
          <w:rFonts w:ascii="Arial" w:hAnsi="Arial" w:cs="Arial"/>
          <w:sz w:val="22"/>
          <w:szCs w:val="22"/>
        </w:rPr>
        <w:t>recomienda</w:t>
      </w:r>
      <w:r w:rsidRPr="00A21B5C">
        <w:rPr>
          <w:rFonts w:ascii="Arial" w:hAnsi="Arial" w:cs="Arial"/>
          <w:sz w:val="22"/>
          <w:szCs w:val="22"/>
        </w:rPr>
        <w:t xml:space="preserve"> también que la </w:t>
      </w:r>
      <w:r w:rsidR="007704D5" w:rsidRPr="00A21B5C">
        <w:rPr>
          <w:rFonts w:ascii="Arial" w:hAnsi="Arial" w:cs="Arial"/>
          <w:sz w:val="22"/>
          <w:szCs w:val="22"/>
        </w:rPr>
        <w:t>Administración Municipal</w:t>
      </w:r>
      <w:r w:rsidRPr="00A21B5C">
        <w:rPr>
          <w:rFonts w:ascii="Arial" w:hAnsi="Arial" w:cs="Arial"/>
          <w:sz w:val="22"/>
          <w:szCs w:val="22"/>
        </w:rPr>
        <w:t xml:space="preserve"> instituya un protocolo en donde se establezca un tiempo prudencial pero perentorio para presentar la solicitud de englobe a</w:t>
      </w:r>
      <w:r w:rsidR="007704D5" w:rsidRPr="00A21B5C">
        <w:rPr>
          <w:rFonts w:ascii="Arial" w:hAnsi="Arial" w:cs="Arial"/>
          <w:sz w:val="22"/>
          <w:szCs w:val="22"/>
        </w:rPr>
        <w:t>nte</w:t>
      </w:r>
      <w:r w:rsidRPr="00A21B5C">
        <w:rPr>
          <w:rFonts w:ascii="Arial" w:hAnsi="Arial" w:cs="Arial"/>
          <w:sz w:val="22"/>
          <w:szCs w:val="22"/>
        </w:rPr>
        <w:t xml:space="preserve"> la A</w:t>
      </w:r>
      <w:r w:rsidR="007704D5" w:rsidRPr="00A21B5C">
        <w:rPr>
          <w:rFonts w:ascii="Arial" w:hAnsi="Arial" w:cs="Arial"/>
          <w:sz w:val="22"/>
          <w:szCs w:val="22"/>
        </w:rPr>
        <w:t xml:space="preserve">gencia </w:t>
      </w:r>
      <w:r w:rsidRPr="00A21B5C">
        <w:rPr>
          <w:rFonts w:ascii="Arial" w:hAnsi="Arial" w:cs="Arial"/>
          <w:sz w:val="22"/>
          <w:szCs w:val="22"/>
        </w:rPr>
        <w:t>N</w:t>
      </w:r>
      <w:r w:rsidR="007704D5" w:rsidRPr="00A21B5C">
        <w:rPr>
          <w:rFonts w:ascii="Arial" w:hAnsi="Arial" w:cs="Arial"/>
          <w:sz w:val="22"/>
          <w:szCs w:val="22"/>
        </w:rPr>
        <w:t xml:space="preserve">acional de </w:t>
      </w:r>
      <w:r w:rsidRPr="00A21B5C">
        <w:rPr>
          <w:rFonts w:ascii="Arial" w:hAnsi="Arial" w:cs="Arial"/>
          <w:sz w:val="22"/>
          <w:szCs w:val="22"/>
        </w:rPr>
        <w:t>T</w:t>
      </w:r>
      <w:r w:rsidR="007704D5" w:rsidRPr="00A21B5C">
        <w:rPr>
          <w:rFonts w:ascii="Arial" w:hAnsi="Arial" w:cs="Arial"/>
          <w:sz w:val="22"/>
          <w:szCs w:val="22"/>
        </w:rPr>
        <w:t xml:space="preserve">ierras en los términos del </w:t>
      </w:r>
      <w:r w:rsidR="000718CD" w:rsidRPr="00A21B5C">
        <w:rPr>
          <w:rFonts w:ascii="Arial" w:hAnsi="Arial" w:cs="Arial"/>
          <w:sz w:val="22"/>
          <w:szCs w:val="22"/>
        </w:rPr>
        <w:t>C</w:t>
      </w:r>
      <w:r w:rsidR="007704D5" w:rsidRPr="00A21B5C">
        <w:rPr>
          <w:rFonts w:ascii="Arial" w:hAnsi="Arial" w:cs="Arial"/>
          <w:sz w:val="22"/>
          <w:szCs w:val="22"/>
        </w:rPr>
        <w:t xml:space="preserve">apítulo 3 del Decreto 1071 de 2015, </w:t>
      </w:r>
      <w:r w:rsidRPr="00A21B5C">
        <w:rPr>
          <w:rFonts w:ascii="Arial" w:hAnsi="Arial" w:cs="Arial"/>
          <w:sz w:val="22"/>
          <w:szCs w:val="22"/>
        </w:rPr>
        <w:t xml:space="preserve">tras la </w:t>
      </w:r>
      <w:r w:rsidR="007704D5" w:rsidRPr="00A21B5C">
        <w:rPr>
          <w:rFonts w:ascii="Arial" w:hAnsi="Arial" w:cs="Arial"/>
          <w:sz w:val="22"/>
          <w:szCs w:val="22"/>
        </w:rPr>
        <w:t>adquisición de predios o mejoras con cargo a los recursos de la AESGPRI.</w:t>
      </w:r>
    </w:p>
    <w:p w:rsidR="00C14186" w:rsidRPr="00A21B5C" w:rsidRDefault="00C14186" w:rsidP="00A21B5C">
      <w:pPr>
        <w:contextualSpacing/>
        <w:jc w:val="both"/>
        <w:rPr>
          <w:rFonts w:ascii="Arial" w:hAnsi="Arial" w:cs="Arial"/>
          <w:color w:val="000000"/>
          <w:sz w:val="22"/>
          <w:szCs w:val="20"/>
          <w:lang w:val="es-CO"/>
        </w:rPr>
      </w:pPr>
    </w:p>
    <w:p w:rsidR="008C2E4A" w:rsidRPr="00A21B5C" w:rsidRDefault="008C2E4A" w:rsidP="00A21B5C">
      <w:pPr>
        <w:pStyle w:val="Textoindependiente2"/>
        <w:numPr>
          <w:ilvl w:val="0"/>
          <w:numId w:val="21"/>
        </w:numPr>
        <w:contextualSpacing/>
        <w:rPr>
          <w:rFonts w:cs="Arial"/>
          <w:b/>
          <w:bCs/>
          <w:sz w:val="22"/>
          <w:szCs w:val="21"/>
          <w:lang w:val="es-CO"/>
        </w:rPr>
      </w:pPr>
      <w:r w:rsidRPr="00A21B5C">
        <w:rPr>
          <w:rFonts w:cs="Arial"/>
          <w:b/>
          <w:bCs/>
          <w:sz w:val="22"/>
          <w:szCs w:val="21"/>
          <w:lang w:val="es-CO"/>
        </w:rPr>
        <w:t>Omisión de los Principios de Planeación, Economía y Equilibrio Económico en Contrato de Obra Pública.</w:t>
      </w:r>
    </w:p>
    <w:p w:rsidR="000718CD" w:rsidRPr="00A21B5C" w:rsidRDefault="000718CD" w:rsidP="00A21B5C">
      <w:pPr>
        <w:pStyle w:val="Formatolibre"/>
        <w:contextualSpacing/>
        <w:jc w:val="both"/>
        <w:rPr>
          <w:rFonts w:ascii="Arial" w:eastAsia="MS Mincho" w:hAnsi="Arial" w:cs="Arial"/>
          <w:color w:val="auto"/>
          <w:sz w:val="22"/>
          <w:lang w:eastAsia="es-ES"/>
        </w:rPr>
      </w:pPr>
    </w:p>
    <w:p w:rsidR="008C2E4A" w:rsidRPr="00A21B5C" w:rsidRDefault="005A3393" w:rsidP="00A21B5C">
      <w:pPr>
        <w:pStyle w:val="Formatolibre"/>
        <w:contextualSpacing/>
        <w:jc w:val="both"/>
        <w:rPr>
          <w:rFonts w:ascii="Arial" w:hAnsi="Arial" w:cs="Arial"/>
          <w:i/>
          <w:sz w:val="22"/>
          <w:szCs w:val="22"/>
        </w:rPr>
      </w:pPr>
      <w:r w:rsidRPr="00A21B5C">
        <w:rPr>
          <w:rFonts w:ascii="Arial" w:eastAsia="MS Mincho" w:hAnsi="Arial" w:cs="Arial"/>
          <w:color w:val="auto"/>
          <w:sz w:val="22"/>
          <w:lang w:eastAsia="es-ES"/>
        </w:rPr>
        <w:t>Considerando lo estipulado por el</w:t>
      </w:r>
      <w:r w:rsidR="008C2E4A" w:rsidRPr="00A21B5C">
        <w:rPr>
          <w:rFonts w:ascii="Arial" w:eastAsia="MS Mincho" w:hAnsi="Arial" w:cs="Arial"/>
          <w:color w:val="auto"/>
          <w:sz w:val="22"/>
          <w:lang w:eastAsia="es-ES"/>
        </w:rPr>
        <w:t xml:space="preserve"> numeral 12 del artículo 25 de la Ley 80 de 1993 en el marco del Principio de Economía</w:t>
      </w:r>
      <w:r w:rsidR="00E636FB" w:rsidRPr="00A21B5C">
        <w:rPr>
          <w:rFonts w:ascii="Arial" w:eastAsia="MS Mincho" w:hAnsi="Arial" w:cs="Arial"/>
          <w:color w:val="auto"/>
          <w:sz w:val="22"/>
          <w:lang w:eastAsia="es-ES"/>
        </w:rPr>
        <w:t xml:space="preserve">, así </w:t>
      </w:r>
      <w:r w:rsidR="00E636FB" w:rsidRPr="00A21B5C">
        <w:rPr>
          <w:rFonts w:ascii="Arial" w:eastAsia="MS Mincho" w:hAnsi="Arial" w:cs="Arial"/>
          <w:color w:val="auto"/>
          <w:sz w:val="22"/>
          <w:szCs w:val="22"/>
          <w:lang w:eastAsia="es-ES"/>
        </w:rPr>
        <w:t xml:space="preserve">como lo que </w:t>
      </w:r>
      <w:r w:rsidR="00E636FB" w:rsidRPr="00A21B5C">
        <w:rPr>
          <w:rFonts w:ascii="Arial" w:hAnsi="Arial" w:cs="Arial"/>
          <w:sz w:val="22"/>
          <w:szCs w:val="22"/>
        </w:rPr>
        <w:t xml:space="preserve">en esa misma línea </w:t>
      </w:r>
      <w:r w:rsidR="00E636FB" w:rsidRPr="00A21B5C">
        <w:rPr>
          <w:rFonts w:ascii="Arial" w:eastAsia="MS Mincho" w:hAnsi="Arial" w:cs="Arial"/>
          <w:color w:val="auto"/>
          <w:sz w:val="22"/>
          <w:szCs w:val="22"/>
          <w:lang w:eastAsia="es-ES"/>
        </w:rPr>
        <w:t xml:space="preserve">expresa </w:t>
      </w:r>
      <w:r w:rsidR="008C2E4A" w:rsidRPr="00A21B5C">
        <w:rPr>
          <w:rFonts w:ascii="Arial" w:hAnsi="Arial" w:cs="Arial"/>
          <w:sz w:val="22"/>
          <w:szCs w:val="22"/>
        </w:rPr>
        <w:t>Colombia Compra Eficiente</w:t>
      </w:r>
      <w:r w:rsidR="008C2E4A" w:rsidRPr="00A21B5C">
        <w:rPr>
          <w:rStyle w:val="Refdenotaalpie"/>
          <w:rFonts w:ascii="Arial" w:hAnsi="Arial" w:cs="Arial"/>
          <w:i/>
          <w:sz w:val="22"/>
          <w:szCs w:val="22"/>
        </w:rPr>
        <w:footnoteReference w:id="61"/>
      </w:r>
      <w:r w:rsidR="008C2E4A" w:rsidRPr="00A21B5C">
        <w:rPr>
          <w:rFonts w:ascii="Arial" w:hAnsi="Arial" w:cs="Arial"/>
          <w:i/>
          <w:sz w:val="22"/>
          <w:szCs w:val="22"/>
        </w:rPr>
        <w:t>:</w:t>
      </w:r>
    </w:p>
    <w:p w:rsidR="008C2E4A" w:rsidRPr="00A21B5C" w:rsidRDefault="008C2E4A" w:rsidP="00A21B5C">
      <w:pPr>
        <w:spacing w:before="100" w:beforeAutospacing="1" w:after="100" w:afterAutospacing="1"/>
        <w:ind w:left="1418"/>
        <w:contextualSpacing/>
        <w:jc w:val="both"/>
        <w:rPr>
          <w:rFonts w:ascii="Arial" w:hAnsi="Arial" w:cs="Arial"/>
          <w:i/>
          <w:sz w:val="18"/>
          <w:szCs w:val="18"/>
          <w:lang w:val="es-CO"/>
        </w:rPr>
      </w:pPr>
      <w:r w:rsidRPr="00A21B5C">
        <w:rPr>
          <w:rFonts w:ascii="Arial" w:hAnsi="Arial" w:cs="Arial"/>
          <w:i/>
          <w:sz w:val="18"/>
          <w:szCs w:val="18"/>
          <w:lang w:val="es-CO"/>
        </w:rPr>
        <w:t xml:space="preserve">“Las Entidades Estatales </w:t>
      </w:r>
      <w:r w:rsidR="000718CD" w:rsidRPr="00A21B5C">
        <w:rPr>
          <w:rFonts w:ascii="Arial" w:hAnsi="Arial" w:cs="Arial"/>
          <w:i/>
          <w:sz w:val="18"/>
          <w:szCs w:val="18"/>
          <w:lang w:val="es-CO"/>
        </w:rPr>
        <w:t>[</w:t>
      </w:r>
      <w:r w:rsidR="007B65E7" w:rsidRPr="00A21B5C">
        <w:rPr>
          <w:rFonts w:ascii="Arial" w:hAnsi="Arial" w:cs="Arial"/>
          <w:i/>
          <w:sz w:val="18"/>
          <w:szCs w:val="18"/>
          <w:lang w:val="es-CO"/>
        </w:rPr>
        <w:t>…</w:t>
      </w:r>
      <w:r w:rsidR="000718CD" w:rsidRPr="00A21B5C">
        <w:rPr>
          <w:rFonts w:ascii="Arial" w:hAnsi="Arial" w:cs="Arial"/>
          <w:i/>
          <w:sz w:val="18"/>
          <w:szCs w:val="18"/>
          <w:lang w:val="es-CO"/>
        </w:rPr>
        <w:t>]</w:t>
      </w:r>
      <w:r w:rsidR="007B65E7" w:rsidRPr="00A21B5C">
        <w:rPr>
          <w:rFonts w:ascii="Arial" w:hAnsi="Arial" w:cs="Arial"/>
          <w:i/>
          <w:sz w:val="18"/>
          <w:szCs w:val="18"/>
          <w:lang w:val="es-CO"/>
        </w:rPr>
        <w:t xml:space="preserve"> </w:t>
      </w:r>
      <w:r w:rsidRPr="00A21B5C">
        <w:rPr>
          <w:rFonts w:ascii="Arial" w:hAnsi="Arial" w:cs="Arial"/>
          <w:i/>
          <w:sz w:val="18"/>
          <w:szCs w:val="18"/>
          <w:lang w:val="es-CO"/>
        </w:rPr>
        <w:t>deben elaborar los estudios técnicos que son los análisis necesarios para establecer la viabilidad del proyecto en cuanto corresponde a (i) estudios de ingeniería, (ii) aspectos presupuestales, (iii) establecer el impacto social, económico y ambiental, (iv) identificar los permisos, autorizaciones y licencias requeridas para la ejecución del proyecto y (v) proyectar la gestión predial. La Entidad Estatal solo debe iniciar el Proceso de Contratación de obra pública cuando los estudios técnicos permiten concluir que la obra es viable”</w:t>
      </w:r>
      <w:r w:rsidR="00C14186" w:rsidRPr="00A21B5C">
        <w:rPr>
          <w:rFonts w:ascii="Arial" w:hAnsi="Arial" w:cs="Arial"/>
          <w:i/>
          <w:sz w:val="18"/>
          <w:szCs w:val="18"/>
          <w:lang w:val="es-CO"/>
        </w:rPr>
        <w:t>.</w:t>
      </w:r>
    </w:p>
    <w:p w:rsidR="000718CD" w:rsidRPr="00A21B5C" w:rsidRDefault="000718CD" w:rsidP="00A21B5C">
      <w:pPr>
        <w:spacing w:before="100" w:beforeAutospacing="1" w:after="100" w:afterAutospacing="1"/>
        <w:contextualSpacing/>
        <w:jc w:val="both"/>
        <w:rPr>
          <w:rFonts w:ascii="Arial" w:hAnsi="Arial" w:cs="Arial"/>
          <w:sz w:val="22"/>
          <w:szCs w:val="20"/>
          <w:lang w:val="es-CO"/>
        </w:rPr>
      </w:pPr>
    </w:p>
    <w:p w:rsidR="008C2E4A" w:rsidRPr="00A21B5C" w:rsidRDefault="007B65E7">
      <w:pPr>
        <w:spacing w:before="100" w:beforeAutospacing="1" w:after="100" w:afterAutospacing="1"/>
        <w:contextualSpacing/>
        <w:jc w:val="both"/>
        <w:rPr>
          <w:rFonts w:ascii="Arial" w:hAnsi="Arial" w:cs="Arial"/>
          <w:sz w:val="22"/>
          <w:szCs w:val="22"/>
          <w:lang w:val="es-CO"/>
        </w:rPr>
      </w:pPr>
      <w:r w:rsidRPr="00A21B5C">
        <w:rPr>
          <w:rFonts w:ascii="Arial" w:hAnsi="Arial" w:cs="Arial"/>
          <w:sz w:val="22"/>
          <w:szCs w:val="20"/>
          <w:lang w:val="es-CO"/>
        </w:rPr>
        <w:t>Y lo que</w:t>
      </w:r>
      <w:r w:rsidR="008C2E4A" w:rsidRPr="00A21B5C">
        <w:rPr>
          <w:rFonts w:ascii="Arial" w:hAnsi="Arial" w:cs="Arial"/>
          <w:sz w:val="22"/>
          <w:szCs w:val="20"/>
          <w:lang w:val="es-CO"/>
        </w:rPr>
        <w:t xml:space="preserve"> </w:t>
      </w:r>
      <w:r w:rsidR="008C2E4A" w:rsidRPr="00A21B5C">
        <w:rPr>
          <w:rFonts w:ascii="Arial" w:hAnsi="Arial" w:cs="Arial"/>
          <w:sz w:val="22"/>
          <w:szCs w:val="22"/>
          <w:lang w:val="es-CO"/>
        </w:rPr>
        <w:t>resalta Colombia Compra Eficiente respecto al Principio de Planeación</w:t>
      </w:r>
      <w:r w:rsidR="008C2E4A" w:rsidRPr="00A21B5C">
        <w:rPr>
          <w:rStyle w:val="Refdenotaalpie"/>
          <w:rFonts w:ascii="Arial" w:hAnsi="Arial" w:cs="Arial"/>
          <w:sz w:val="22"/>
          <w:szCs w:val="22"/>
          <w:lang w:val="es-CO"/>
        </w:rPr>
        <w:footnoteReference w:id="62"/>
      </w:r>
      <w:r w:rsidR="008C2E4A" w:rsidRPr="00A21B5C">
        <w:rPr>
          <w:rFonts w:ascii="Arial" w:hAnsi="Arial" w:cs="Arial"/>
          <w:sz w:val="22"/>
          <w:szCs w:val="22"/>
          <w:lang w:val="es-CO"/>
        </w:rPr>
        <w:t>:</w:t>
      </w:r>
    </w:p>
    <w:p w:rsidR="000718CD" w:rsidRPr="00A21B5C" w:rsidRDefault="000718CD" w:rsidP="00A21B5C">
      <w:pPr>
        <w:spacing w:before="100" w:beforeAutospacing="1" w:after="100" w:afterAutospacing="1"/>
        <w:contextualSpacing/>
        <w:jc w:val="both"/>
        <w:rPr>
          <w:rFonts w:ascii="Arial" w:hAnsi="Arial" w:cs="Arial"/>
          <w:i/>
          <w:sz w:val="22"/>
          <w:szCs w:val="20"/>
          <w:lang w:val="es-CO"/>
        </w:rPr>
      </w:pPr>
    </w:p>
    <w:p w:rsidR="008C2E4A" w:rsidRPr="00A21B5C" w:rsidRDefault="008C2E4A" w:rsidP="00A21B5C">
      <w:pPr>
        <w:ind w:left="1416"/>
        <w:contextualSpacing/>
        <w:jc w:val="both"/>
        <w:rPr>
          <w:rFonts w:ascii="Arial" w:hAnsi="Arial" w:cs="Arial"/>
          <w:i/>
          <w:sz w:val="18"/>
          <w:szCs w:val="18"/>
          <w:lang w:val="es-CO"/>
        </w:rPr>
      </w:pPr>
      <w:r w:rsidRPr="00A21B5C">
        <w:rPr>
          <w:rFonts w:ascii="Arial" w:hAnsi="Arial" w:cs="Arial"/>
          <w:i/>
          <w:sz w:val="18"/>
          <w:szCs w:val="18"/>
          <w:lang w:val="es-CO"/>
        </w:rPr>
        <w:t xml:space="preserve">“De acuerdo con éste principio, en los contratos de obra las entidades públicas deben elaborar y entregar estudios completos, planos y diseños definitivos para la ejecución del contrato. </w:t>
      </w:r>
      <w:r w:rsidR="000718CD" w:rsidRPr="00A21B5C">
        <w:rPr>
          <w:rFonts w:ascii="Arial" w:hAnsi="Arial" w:cs="Arial"/>
          <w:i/>
          <w:sz w:val="18"/>
          <w:szCs w:val="18"/>
          <w:lang w:val="es-CO"/>
        </w:rPr>
        <w:t>[</w:t>
      </w:r>
      <w:r w:rsidR="00E636FB" w:rsidRPr="00A21B5C">
        <w:rPr>
          <w:rFonts w:ascii="Arial" w:hAnsi="Arial" w:cs="Arial"/>
          <w:i/>
          <w:sz w:val="18"/>
          <w:szCs w:val="18"/>
          <w:lang w:val="es-CO"/>
        </w:rPr>
        <w:t>…</w:t>
      </w:r>
      <w:r w:rsidR="000718CD" w:rsidRPr="00A21B5C">
        <w:rPr>
          <w:rFonts w:ascii="Arial" w:hAnsi="Arial" w:cs="Arial"/>
          <w:i/>
          <w:sz w:val="18"/>
          <w:szCs w:val="18"/>
          <w:lang w:val="es-CO"/>
        </w:rPr>
        <w:t>]</w:t>
      </w:r>
      <w:r w:rsidR="00E636FB" w:rsidRPr="00A21B5C">
        <w:rPr>
          <w:rFonts w:ascii="Arial" w:hAnsi="Arial" w:cs="Arial"/>
          <w:i/>
          <w:sz w:val="18"/>
          <w:szCs w:val="18"/>
          <w:lang w:val="es-CO"/>
        </w:rPr>
        <w:t xml:space="preserve"> E</w:t>
      </w:r>
      <w:r w:rsidRPr="00A21B5C">
        <w:rPr>
          <w:rFonts w:ascii="Arial" w:hAnsi="Arial" w:cs="Arial"/>
          <w:i/>
          <w:sz w:val="18"/>
          <w:szCs w:val="18"/>
          <w:lang w:val="es-CO"/>
        </w:rPr>
        <w:t>n tal virtud, el deber de planeación, como manifestación del principio de economía, tiene por finalidad asegurar que todo proyecto esté precedido de los estudios de orden técnico, financiero y jurídico requeridos para determinar su viabilidad económica y técnica</w:t>
      </w:r>
      <w:r w:rsidR="00E636FB" w:rsidRPr="00A21B5C">
        <w:rPr>
          <w:rFonts w:ascii="Arial" w:hAnsi="Arial" w:cs="Arial"/>
          <w:i/>
          <w:sz w:val="18"/>
          <w:szCs w:val="18"/>
          <w:lang w:val="es-CO"/>
        </w:rPr>
        <w:t>.</w:t>
      </w:r>
      <w:r w:rsidRPr="00A21B5C">
        <w:rPr>
          <w:rFonts w:ascii="Arial" w:hAnsi="Arial" w:cs="Arial"/>
          <w:i/>
          <w:sz w:val="18"/>
          <w:szCs w:val="18"/>
          <w:lang w:val="es-CO"/>
        </w:rPr>
        <w:t>”</w:t>
      </w:r>
    </w:p>
    <w:p w:rsidR="008C2E4A" w:rsidRPr="00A21B5C" w:rsidRDefault="008C2E4A" w:rsidP="00A21B5C">
      <w:pPr>
        <w:contextualSpacing/>
        <w:jc w:val="both"/>
        <w:rPr>
          <w:rFonts w:ascii="Arial" w:hAnsi="Arial" w:cs="Arial"/>
          <w:sz w:val="22"/>
          <w:szCs w:val="22"/>
          <w:lang w:val="es-CO"/>
        </w:rPr>
      </w:pPr>
    </w:p>
    <w:p w:rsidR="008C2E4A" w:rsidRPr="00A21B5C" w:rsidRDefault="007B65E7" w:rsidP="00A21B5C">
      <w:pPr>
        <w:contextualSpacing/>
        <w:jc w:val="both"/>
        <w:rPr>
          <w:rFonts w:ascii="Arial" w:hAnsi="Arial" w:cs="Arial"/>
          <w:sz w:val="22"/>
          <w:szCs w:val="22"/>
          <w:lang w:val="es-CO"/>
        </w:rPr>
      </w:pPr>
      <w:r w:rsidRPr="00A21B5C">
        <w:rPr>
          <w:rFonts w:ascii="Arial" w:hAnsi="Arial" w:cs="Arial"/>
          <w:sz w:val="22"/>
          <w:szCs w:val="22"/>
          <w:lang w:val="es-CO"/>
        </w:rPr>
        <w:t xml:space="preserve">Además de lo dispuesto por el </w:t>
      </w:r>
      <w:r w:rsidR="008C2E4A" w:rsidRPr="00A21B5C">
        <w:rPr>
          <w:rFonts w:ascii="Arial" w:hAnsi="Arial" w:cs="Arial"/>
          <w:sz w:val="22"/>
          <w:szCs w:val="22"/>
          <w:lang w:val="es-CO"/>
        </w:rPr>
        <w:t xml:space="preserve">artículo 27 de la Ley 80 de 1993, </w:t>
      </w:r>
      <w:r w:rsidRPr="00A21B5C">
        <w:rPr>
          <w:rFonts w:ascii="Arial" w:hAnsi="Arial" w:cs="Arial"/>
          <w:sz w:val="22"/>
          <w:szCs w:val="22"/>
          <w:lang w:val="es-CO"/>
        </w:rPr>
        <w:t xml:space="preserve">en cuanto a </w:t>
      </w:r>
      <w:r w:rsidR="008C2E4A" w:rsidRPr="00A21B5C">
        <w:rPr>
          <w:rFonts w:ascii="Arial" w:hAnsi="Arial" w:cs="Arial"/>
          <w:sz w:val="22"/>
          <w:szCs w:val="22"/>
          <w:lang w:val="es-CO"/>
        </w:rPr>
        <w:t>la ecuación contractual, sobre la que Colombia Compra Eficiente conceptúa</w:t>
      </w:r>
      <w:r w:rsidR="008C2E4A" w:rsidRPr="00A21B5C">
        <w:rPr>
          <w:rStyle w:val="Refdenotaalpie"/>
          <w:rFonts w:ascii="Arial" w:hAnsi="Arial" w:cs="Arial"/>
          <w:sz w:val="22"/>
          <w:szCs w:val="22"/>
          <w:lang w:val="es-CO"/>
        </w:rPr>
        <w:footnoteReference w:id="63"/>
      </w:r>
      <w:r w:rsidR="008C2E4A" w:rsidRPr="00A21B5C">
        <w:rPr>
          <w:rFonts w:ascii="Arial" w:hAnsi="Arial" w:cs="Arial"/>
          <w:sz w:val="22"/>
          <w:szCs w:val="22"/>
          <w:lang w:val="es-CO"/>
        </w:rPr>
        <w:t>:</w:t>
      </w:r>
    </w:p>
    <w:p w:rsidR="008C2E4A" w:rsidRPr="00A21B5C" w:rsidRDefault="008C2E4A" w:rsidP="00A21B5C">
      <w:pPr>
        <w:contextualSpacing/>
        <w:jc w:val="both"/>
        <w:rPr>
          <w:rFonts w:ascii="Arial" w:hAnsi="Arial" w:cs="Arial"/>
          <w:sz w:val="22"/>
          <w:szCs w:val="22"/>
          <w:lang w:val="es-CO"/>
        </w:rPr>
      </w:pPr>
    </w:p>
    <w:p w:rsidR="008C2E4A" w:rsidRPr="00A21B5C" w:rsidRDefault="008C2E4A" w:rsidP="00100DED">
      <w:pPr>
        <w:shd w:val="clear" w:color="auto" w:fill="FFFFFF"/>
        <w:spacing w:after="150"/>
        <w:ind w:left="1416"/>
        <w:contextualSpacing/>
        <w:jc w:val="both"/>
        <w:rPr>
          <w:rFonts w:ascii="Arial" w:hAnsi="Arial" w:cs="Arial"/>
          <w:i/>
          <w:sz w:val="18"/>
          <w:szCs w:val="18"/>
          <w:lang w:val="es-CO"/>
        </w:rPr>
      </w:pPr>
      <w:r w:rsidRPr="00A21B5C">
        <w:rPr>
          <w:rFonts w:ascii="Arial" w:hAnsi="Arial" w:cs="Arial"/>
          <w:i/>
          <w:sz w:val="18"/>
          <w:szCs w:val="18"/>
          <w:lang w:val="es-CO"/>
        </w:rPr>
        <w:t>“El Estatuto de Contratación Pública establece que se debe respetar el equilibrio económico del contrato, de tal forma que se debe mantener una equivalencia entre los derechos y obligaciones que se acordaron desde el inicio del contrato. </w:t>
      </w:r>
    </w:p>
    <w:p w:rsidR="00E91EEB" w:rsidRPr="00A21B5C" w:rsidRDefault="00E91EEB" w:rsidP="00A21B5C">
      <w:pPr>
        <w:shd w:val="clear" w:color="auto" w:fill="FFFFFF"/>
        <w:spacing w:after="150"/>
        <w:ind w:left="1416"/>
        <w:contextualSpacing/>
        <w:jc w:val="both"/>
        <w:rPr>
          <w:rFonts w:ascii="Arial" w:hAnsi="Arial" w:cs="Arial"/>
          <w:i/>
          <w:sz w:val="18"/>
          <w:szCs w:val="18"/>
          <w:lang w:val="es-CO"/>
        </w:rPr>
      </w:pPr>
    </w:p>
    <w:p w:rsidR="008C2E4A" w:rsidRPr="00A21B5C" w:rsidRDefault="008C2E4A" w:rsidP="00100DED">
      <w:pPr>
        <w:shd w:val="clear" w:color="auto" w:fill="FFFFFF"/>
        <w:spacing w:after="150"/>
        <w:ind w:left="1416"/>
        <w:contextualSpacing/>
        <w:jc w:val="both"/>
        <w:rPr>
          <w:rFonts w:ascii="Arial" w:hAnsi="Arial" w:cs="Arial"/>
          <w:i/>
          <w:sz w:val="18"/>
          <w:szCs w:val="18"/>
          <w:lang w:val="es-CO"/>
        </w:rPr>
      </w:pPr>
      <w:r w:rsidRPr="00A21B5C">
        <w:rPr>
          <w:rFonts w:ascii="Arial" w:hAnsi="Arial" w:cs="Arial"/>
          <w:i/>
          <w:sz w:val="18"/>
          <w:szCs w:val="18"/>
          <w:lang w:val="es-CO"/>
        </w:rPr>
        <w:t>El rompimiento del equilibrio económico contractual tiene las siguientes características:</w:t>
      </w:r>
    </w:p>
    <w:p w:rsidR="00E91EEB" w:rsidRPr="00A21B5C" w:rsidRDefault="00E91EEB" w:rsidP="00A21B5C">
      <w:pPr>
        <w:shd w:val="clear" w:color="auto" w:fill="FFFFFF"/>
        <w:spacing w:after="150"/>
        <w:ind w:left="1416"/>
        <w:contextualSpacing/>
        <w:jc w:val="both"/>
        <w:rPr>
          <w:rFonts w:ascii="Arial" w:hAnsi="Arial" w:cs="Arial"/>
          <w:i/>
          <w:sz w:val="18"/>
          <w:szCs w:val="18"/>
          <w:lang w:val="es-CO"/>
        </w:rPr>
      </w:pPr>
    </w:p>
    <w:p w:rsidR="008C2E4A" w:rsidRPr="00A21B5C" w:rsidRDefault="008C2E4A" w:rsidP="00A21B5C">
      <w:pPr>
        <w:shd w:val="clear" w:color="auto" w:fill="FFFFFF"/>
        <w:spacing w:after="150"/>
        <w:ind w:left="1416"/>
        <w:contextualSpacing/>
        <w:jc w:val="both"/>
        <w:rPr>
          <w:rFonts w:ascii="Arial" w:hAnsi="Arial" w:cs="Arial"/>
          <w:i/>
          <w:sz w:val="18"/>
          <w:szCs w:val="18"/>
          <w:lang w:val="es-CO"/>
        </w:rPr>
      </w:pPr>
      <w:r w:rsidRPr="00A21B5C">
        <w:rPr>
          <w:rFonts w:ascii="Arial" w:hAnsi="Arial" w:cs="Arial"/>
          <w:i/>
          <w:sz w:val="18"/>
          <w:szCs w:val="18"/>
          <w:lang w:val="es-CO"/>
        </w:rPr>
        <w:t>a) Afectación real, grave y significativa.</w:t>
      </w:r>
    </w:p>
    <w:p w:rsidR="008C2E4A" w:rsidRPr="00A21B5C" w:rsidRDefault="008C2E4A" w:rsidP="00A21B5C">
      <w:pPr>
        <w:shd w:val="clear" w:color="auto" w:fill="FFFFFF"/>
        <w:spacing w:after="150"/>
        <w:ind w:left="1416"/>
        <w:contextualSpacing/>
        <w:jc w:val="both"/>
        <w:rPr>
          <w:rFonts w:ascii="Arial" w:hAnsi="Arial" w:cs="Arial"/>
          <w:i/>
          <w:sz w:val="18"/>
          <w:szCs w:val="18"/>
          <w:lang w:val="es-CO"/>
        </w:rPr>
      </w:pPr>
      <w:r w:rsidRPr="00A21B5C">
        <w:rPr>
          <w:rFonts w:ascii="Arial" w:hAnsi="Arial" w:cs="Arial"/>
          <w:i/>
          <w:sz w:val="18"/>
          <w:szCs w:val="18"/>
          <w:lang w:val="es-CO"/>
        </w:rPr>
        <w:t>b) No hay una equivalencia entre lo previsto en los pliegos de condiciones y la ejecución del contrato</w:t>
      </w:r>
    </w:p>
    <w:p w:rsidR="00E91EEB" w:rsidRPr="00A21B5C" w:rsidRDefault="00E91EEB" w:rsidP="00100DED">
      <w:pPr>
        <w:ind w:left="1416"/>
        <w:contextualSpacing/>
        <w:jc w:val="both"/>
        <w:rPr>
          <w:rFonts w:ascii="Arial" w:eastAsia="Times New Roman" w:hAnsi="Arial" w:cs="Arial"/>
          <w:i/>
          <w:color w:val="000000" w:themeColor="text1"/>
          <w:sz w:val="18"/>
          <w:szCs w:val="18"/>
          <w:lang w:val="es-CO" w:eastAsia="es-CO"/>
        </w:rPr>
      </w:pPr>
    </w:p>
    <w:p w:rsidR="008C2E4A" w:rsidRPr="00A21B5C" w:rsidRDefault="008C2E4A" w:rsidP="00A21B5C">
      <w:pPr>
        <w:ind w:left="1416"/>
        <w:contextualSpacing/>
        <w:jc w:val="both"/>
        <w:rPr>
          <w:rFonts w:ascii="Arial" w:eastAsia="Times New Roman" w:hAnsi="Arial" w:cs="Arial"/>
          <w:i/>
          <w:color w:val="000000" w:themeColor="text1"/>
          <w:sz w:val="18"/>
          <w:szCs w:val="18"/>
          <w:lang w:val="es-CO" w:eastAsia="es-CO"/>
        </w:rPr>
      </w:pPr>
      <w:r w:rsidRPr="00A21B5C">
        <w:rPr>
          <w:rFonts w:ascii="Arial" w:eastAsia="Times New Roman" w:hAnsi="Arial" w:cs="Arial"/>
          <w:i/>
          <w:color w:val="000000" w:themeColor="text1"/>
          <w:sz w:val="18"/>
          <w:szCs w:val="18"/>
          <w:lang w:val="es-CO" w:eastAsia="es-CO"/>
        </w:rPr>
        <w:t>Es un principio cardinal en la contratación estatal el mantener el desarrollo y la ejecución del contrato, las condiciones técnicas, económicas y financieras existentes al momento de proponer o contratar, equilibrio que se puede afectar por diferentes factores</w:t>
      </w:r>
      <w:r w:rsidR="000718CD" w:rsidRPr="00A21B5C">
        <w:rPr>
          <w:rFonts w:ascii="Arial" w:eastAsia="Times New Roman" w:hAnsi="Arial" w:cs="Arial"/>
          <w:i/>
          <w:color w:val="000000" w:themeColor="text1"/>
          <w:sz w:val="18"/>
          <w:szCs w:val="18"/>
          <w:lang w:val="es-CO" w:eastAsia="es-CO"/>
        </w:rPr>
        <w:t xml:space="preserve"> [</w:t>
      </w:r>
      <w:r w:rsidRPr="00A21B5C">
        <w:rPr>
          <w:rFonts w:ascii="Arial" w:eastAsia="Times New Roman" w:hAnsi="Arial" w:cs="Arial"/>
          <w:i/>
          <w:color w:val="000000" w:themeColor="text1"/>
          <w:sz w:val="18"/>
          <w:szCs w:val="18"/>
          <w:lang w:val="es-CO" w:eastAsia="es-CO"/>
        </w:rPr>
        <w:t>…</w:t>
      </w:r>
      <w:r w:rsidR="000718CD" w:rsidRPr="00A21B5C">
        <w:rPr>
          <w:rFonts w:ascii="Arial" w:eastAsia="Times New Roman" w:hAnsi="Arial" w:cs="Arial"/>
          <w:i/>
          <w:color w:val="000000" w:themeColor="text1"/>
          <w:sz w:val="18"/>
          <w:szCs w:val="18"/>
          <w:lang w:val="es-CO" w:eastAsia="es-CO"/>
        </w:rPr>
        <w:t>]</w:t>
      </w:r>
      <w:r w:rsidRPr="00A21B5C">
        <w:rPr>
          <w:rFonts w:ascii="Arial" w:eastAsia="Times New Roman" w:hAnsi="Arial" w:cs="Arial"/>
          <w:i/>
          <w:color w:val="000000" w:themeColor="text1"/>
          <w:sz w:val="18"/>
          <w:szCs w:val="18"/>
          <w:lang w:val="es-CO" w:eastAsia="es-CO"/>
        </w:rPr>
        <w:t>”</w:t>
      </w:r>
    </w:p>
    <w:p w:rsidR="008C2E4A" w:rsidRPr="00A21B5C" w:rsidRDefault="008C2E4A" w:rsidP="00A21B5C">
      <w:pPr>
        <w:contextualSpacing/>
        <w:jc w:val="both"/>
        <w:rPr>
          <w:rFonts w:ascii="Arial" w:hAnsi="Arial" w:cs="Arial"/>
          <w:sz w:val="22"/>
          <w:szCs w:val="22"/>
          <w:lang w:val="es-CO"/>
        </w:rPr>
      </w:pPr>
    </w:p>
    <w:p w:rsidR="008C2E4A" w:rsidRPr="00A21B5C" w:rsidRDefault="007B65E7" w:rsidP="00A21B5C">
      <w:pPr>
        <w:contextualSpacing/>
        <w:jc w:val="both"/>
        <w:rPr>
          <w:rFonts w:ascii="Arial" w:hAnsi="Arial" w:cs="Arial"/>
          <w:sz w:val="22"/>
          <w:szCs w:val="22"/>
          <w:lang w:val="es-CO"/>
        </w:rPr>
      </w:pPr>
      <w:r w:rsidRPr="00A21B5C">
        <w:rPr>
          <w:rFonts w:ascii="Arial" w:hAnsi="Arial" w:cs="Arial"/>
          <w:sz w:val="22"/>
          <w:szCs w:val="22"/>
          <w:lang w:val="es-CO"/>
        </w:rPr>
        <w:t>E</w:t>
      </w:r>
      <w:r w:rsidR="008C2E4A" w:rsidRPr="00A21B5C">
        <w:rPr>
          <w:rFonts w:ascii="Arial" w:hAnsi="Arial" w:cs="Arial"/>
          <w:sz w:val="22"/>
          <w:szCs w:val="22"/>
          <w:lang w:val="es-CO"/>
        </w:rPr>
        <w:t xml:space="preserve">sta Dirección inspeccionó el Contrato de Obra Pública N° 004 de 2016, adelantado por la Entidad Territorial para la </w:t>
      </w:r>
      <w:r w:rsidR="008C2E4A" w:rsidRPr="00A21B5C">
        <w:rPr>
          <w:rFonts w:ascii="Arial" w:hAnsi="Arial" w:cs="Arial"/>
          <w:i/>
          <w:sz w:val="22"/>
          <w:szCs w:val="22"/>
          <w:lang w:val="es-CO"/>
        </w:rPr>
        <w:t>“Construcción de dos (2) bodegas para la instalación de trilladora y adecuación y construcción de oficinas para funcionamiento del programa de desarrollo económico del Pueblo Kogui en el corregimiento de Mingueo Municipio de Dibulla Departamento de la Guajira”,</w:t>
      </w:r>
      <w:r w:rsidR="008C2E4A" w:rsidRPr="00A21B5C">
        <w:rPr>
          <w:rFonts w:ascii="Arial" w:hAnsi="Arial" w:cs="Arial"/>
          <w:sz w:val="22"/>
          <w:szCs w:val="22"/>
          <w:lang w:val="es-CO"/>
        </w:rPr>
        <w:t xml:space="preserve"> evidenci</w:t>
      </w:r>
      <w:r w:rsidR="00585DA8" w:rsidRPr="00A21B5C">
        <w:rPr>
          <w:rFonts w:ascii="Arial" w:hAnsi="Arial" w:cs="Arial"/>
          <w:sz w:val="22"/>
          <w:szCs w:val="22"/>
          <w:lang w:val="es-CO"/>
        </w:rPr>
        <w:t>ando</w:t>
      </w:r>
      <w:r w:rsidR="008C2E4A" w:rsidRPr="00A21B5C">
        <w:rPr>
          <w:rFonts w:ascii="Arial" w:hAnsi="Arial" w:cs="Arial"/>
          <w:sz w:val="22"/>
          <w:szCs w:val="22"/>
          <w:lang w:val="es-CO"/>
        </w:rPr>
        <w:t xml:space="preserve"> las siguientes situaciones</w:t>
      </w:r>
      <w:r w:rsidR="009E6368" w:rsidRPr="00A21B5C">
        <w:rPr>
          <w:rFonts w:ascii="Arial" w:hAnsi="Arial" w:cs="Arial"/>
          <w:sz w:val="22"/>
          <w:szCs w:val="22"/>
          <w:lang w:val="es-CO"/>
        </w:rPr>
        <w:t xml:space="preserve"> (</w:t>
      </w:r>
      <w:r w:rsidR="00C0151E" w:rsidRPr="00A21B5C">
        <w:rPr>
          <w:rFonts w:ascii="Arial" w:hAnsi="Arial" w:cs="Arial"/>
          <w:sz w:val="22"/>
          <w:szCs w:val="22"/>
          <w:lang w:val="es-CO"/>
        </w:rPr>
        <w:t xml:space="preserve">detalladas en el apartado </w:t>
      </w:r>
      <w:r w:rsidR="000718CD" w:rsidRPr="00A21B5C">
        <w:rPr>
          <w:rFonts w:ascii="Arial" w:hAnsi="Arial" w:cs="Arial"/>
          <w:iCs/>
          <w:sz w:val="22"/>
          <w:szCs w:val="22"/>
          <w:lang w:val="es-CO"/>
        </w:rPr>
        <w:t>contratos de ejecución</w:t>
      </w:r>
      <w:r w:rsidR="000718CD" w:rsidRPr="00A21B5C">
        <w:rPr>
          <w:rFonts w:ascii="Arial" w:hAnsi="Arial" w:cs="Arial"/>
          <w:sz w:val="22"/>
          <w:szCs w:val="22"/>
          <w:lang w:val="es-CO"/>
        </w:rPr>
        <w:t xml:space="preserve"> </w:t>
      </w:r>
      <w:r w:rsidR="00C0151E" w:rsidRPr="00A21B5C">
        <w:rPr>
          <w:rFonts w:ascii="Arial" w:hAnsi="Arial" w:cs="Arial"/>
          <w:sz w:val="22"/>
          <w:szCs w:val="22"/>
          <w:lang w:val="es-CO"/>
        </w:rPr>
        <w:t>de este informe</w:t>
      </w:r>
      <w:r w:rsidR="009E6368" w:rsidRPr="00A21B5C">
        <w:rPr>
          <w:rFonts w:ascii="Arial" w:hAnsi="Arial" w:cs="Arial"/>
          <w:sz w:val="22"/>
          <w:szCs w:val="22"/>
          <w:lang w:val="es-CO"/>
        </w:rPr>
        <w:t>)</w:t>
      </w:r>
      <w:r w:rsidR="008C2E4A" w:rsidRPr="00A21B5C">
        <w:rPr>
          <w:rFonts w:ascii="Arial" w:hAnsi="Arial" w:cs="Arial"/>
          <w:sz w:val="22"/>
          <w:szCs w:val="22"/>
          <w:lang w:val="es-CO"/>
        </w:rPr>
        <w:t>:</w:t>
      </w:r>
    </w:p>
    <w:p w:rsidR="008C2E4A" w:rsidRPr="00A21B5C" w:rsidRDefault="008C2E4A" w:rsidP="00A21B5C">
      <w:pPr>
        <w:contextualSpacing/>
        <w:jc w:val="both"/>
        <w:rPr>
          <w:rFonts w:ascii="Arial" w:hAnsi="Arial" w:cs="Arial"/>
          <w:sz w:val="22"/>
          <w:szCs w:val="22"/>
          <w:lang w:val="es-CO"/>
        </w:rPr>
      </w:pPr>
    </w:p>
    <w:p w:rsidR="008C2E4A" w:rsidRPr="00A21B5C" w:rsidRDefault="000A79C8">
      <w:pPr>
        <w:pStyle w:val="Prrafodelista"/>
        <w:numPr>
          <w:ilvl w:val="0"/>
          <w:numId w:val="40"/>
        </w:numPr>
        <w:jc w:val="both"/>
        <w:rPr>
          <w:rFonts w:ascii="Arial" w:hAnsi="Arial" w:cs="Arial"/>
          <w:sz w:val="22"/>
          <w:szCs w:val="22"/>
          <w:lang w:val="es-CO"/>
        </w:rPr>
      </w:pPr>
      <w:r w:rsidRPr="00A21B5C">
        <w:rPr>
          <w:rFonts w:ascii="Arial" w:hAnsi="Arial" w:cs="Arial"/>
          <w:sz w:val="22"/>
          <w:szCs w:val="22"/>
          <w:lang w:val="es-CO"/>
        </w:rPr>
        <w:t>El contrato presentó cambios en</w:t>
      </w:r>
      <w:r w:rsidR="00585DA8" w:rsidRPr="00A21B5C">
        <w:rPr>
          <w:rFonts w:ascii="Arial" w:hAnsi="Arial" w:cs="Arial"/>
          <w:sz w:val="22"/>
          <w:szCs w:val="22"/>
          <w:lang w:val="es-CO"/>
        </w:rPr>
        <w:t xml:space="preserve"> el</w:t>
      </w:r>
      <w:r w:rsidRPr="00A21B5C">
        <w:rPr>
          <w:rFonts w:ascii="Arial" w:hAnsi="Arial" w:cs="Arial"/>
          <w:sz w:val="22"/>
          <w:szCs w:val="22"/>
          <w:lang w:val="es-CO"/>
        </w:rPr>
        <w:t xml:space="preserve"> plazo y </w:t>
      </w:r>
      <w:r w:rsidR="00585DA8" w:rsidRPr="00A21B5C">
        <w:rPr>
          <w:rFonts w:ascii="Arial" w:hAnsi="Arial" w:cs="Arial"/>
          <w:sz w:val="22"/>
          <w:szCs w:val="22"/>
          <w:lang w:val="es-CO"/>
        </w:rPr>
        <w:t xml:space="preserve">una </w:t>
      </w:r>
      <w:r w:rsidRPr="00A21B5C">
        <w:rPr>
          <w:rFonts w:ascii="Arial" w:hAnsi="Arial" w:cs="Arial"/>
          <w:sz w:val="22"/>
          <w:szCs w:val="22"/>
          <w:lang w:val="es-CO"/>
        </w:rPr>
        <w:t>suspensión en su ejecución</w:t>
      </w:r>
      <w:r w:rsidR="005A3393" w:rsidRPr="00A21B5C">
        <w:rPr>
          <w:rFonts w:ascii="Arial" w:hAnsi="Arial" w:cs="Arial"/>
          <w:sz w:val="22"/>
          <w:szCs w:val="22"/>
          <w:lang w:val="es-CO"/>
        </w:rPr>
        <w:t>.</w:t>
      </w:r>
      <w:r w:rsidR="00B270D7" w:rsidRPr="00A21B5C">
        <w:rPr>
          <w:rFonts w:ascii="Arial" w:hAnsi="Arial" w:cs="Arial"/>
          <w:sz w:val="22"/>
          <w:szCs w:val="22"/>
        </w:rPr>
        <w:t xml:space="preserve"> De modo que aunque fue </w:t>
      </w:r>
      <w:r w:rsidR="00B270D7" w:rsidRPr="00A21B5C">
        <w:rPr>
          <w:rFonts w:ascii="Arial" w:hAnsi="Arial" w:cs="Arial"/>
          <w:sz w:val="22"/>
          <w:szCs w:val="22"/>
          <w:lang w:val="es-CO"/>
        </w:rPr>
        <w:t xml:space="preserve">pactado inicialmente por un plazo de 3 meses, </w:t>
      </w:r>
      <w:r w:rsidR="00C0151E" w:rsidRPr="00A21B5C">
        <w:rPr>
          <w:rFonts w:ascii="Arial" w:hAnsi="Arial" w:cs="Arial"/>
          <w:sz w:val="22"/>
          <w:szCs w:val="22"/>
          <w:lang w:val="es-CO"/>
        </w:rPr>
        <w:t xml:space="preserve">su ejecución </w:t>
      </w:r>
      <w:r w:rsidR="00B270D7" w:rsidRPr="00A21B5C">
        <w:rPr>
          <w:rFonts w:ascii="Arial" w:hAnsi="Arial" w:cs="Arial"/>
          <w:sz w:val="22"/>
          <w:szCs w:val="22"/>
          <w:lang w:val="es-CO"/>
        </w:rPr>
        <w:t>tomó más de un año.</w:t>
      </w:r>
    </w:p>
    <w:p w:rsidR="000718CD" w:rsidRPr="00A21B5C" w:rsidRDefault="000718CD" w:rsidP="00A21B5C">
      <w:pPr>
        <w:pStyle w:val="Prrafodelista"/>
        <w:jc w:val="both"/>
        <w:rPr>
          <w:rFonts w:ascii="Arial" w:hAnsi="Arial" w:cs="Arial"/>
          <w:sz w:val="22"/>
          <w:szCs w:val="22"/>
          <w:lang w:val="es-CO"/>
        </w:rPr>
      </w:pPr>
    </w:p>
    <w:p w:rsidR="007B65E7" w:rsidRPr="00A21B5C" w:rsidRDefault="00585DA8">
      <w:pPr>
        <w:pStyle w:val="Prrafodelista"/>
        <w:numPr>
          <w:ilvl w:val="0"/>
          <w:numId w:val="18"/>
        </w:numPr>
        <w:ind w:left="709"/>
        <w:jc w:val="both"/>
        <w:rPr>
          <w:rFonts w:ascii="Arial" w:hAnsi="Arial" w:cs="Arial"/>
          <w:sz w:val="22"/>
          <w:szCs w:val="22"/>
          <w:lang w:val="es-CO"/>
        </w:rPr>
      </w:pPr>
      <w:r w:rsidRPr="00A21B5C">
        <w:rPr>
          <w:rFonts w:ascii="Arial" w:hAnsi="Arial" w:cs="Arial"/>
          <w:sz w:val="22"/>
          <w:szCs w:val="22"/>
          <w:lang w:val="es-CO"/>
        </w:rPr>
        <w:t>Diez d</w:t>
      </w:r>
      <w:r w:rsidR="008C2E4A" w:rsidRPr="00A21B5C">
        <w:rPr>
          <w:rFonts w:ascii="Arial" w:hAnsi="Arial" w:cs="Arial"/>
          <w:sz w:val="22"/>
          <w:szCs w:val="22"/>
          <w:lang w:val="es-CO"/>
        </w:rPr>
        <w:t xml:space="preserve">ías después del reinicio de la ejecución del Contrato, se expidió </w:t>
      </w:r>
      <w:r w:rsidRPr="00A21B5C">
        <w:rPr>
          <w:rFonts w:ascii="Arial" w:hAnsi="Arial" w:cs="Arial"/>
          <w:sz w:val="22"/>
          <w:szCs w:val="22"/>
          <w:lang w:val="es-CO"/>
        </w:rPr>
        <w:t xml:space="preserve">un </w:t>
      </w:r>
      <w:r w:rsidR="000718CD" w:rsidRPr="00A21B5C">
        <w:rPr>
          <w:rFonts w:ascii="Arial" w:hAnsi="Arial" w:cs="Arial"/>
          <w:iCs/>
          <w:sz w:val="22"/>
          <w:szCs w:val="22"/>
          <w:lang w:val="es-CO"/>
        </w:rPr>
        <w:t>Otrosí</w:t>
      </w:r>
      <w:r w:rsidRPr="00A21B5C">
        <w:rPr>
          <w:rFonts w:ascii="Arial" w:hAnsi="Arial" w:cs="Arial"/>
          <w:i/>
          <w:sz w:val="22"/>
          <w:szCs w:val="22"/>
          <w:lang w:val="es-CO"/>
        </w:rPr>
        <w:t>,</w:t>
      </w:r>
      <w:r w:rsidR="008C2E4A" w:rsidRPr="00A21B5C">
        <w:rPr>
          <w:rFonts w:ascii="Arial" w:hAnsi="Arial" w:cs="Arial"/>
          <w:i/>
          <w:sz w:val="22"/>
          <w:szCs w:val="22"/>
          <w:lang w:val="es-CO"/>
        </w:rPr>
        <w:t xml:space="preserve"> </w:t>
      </w:r>
      <w:r w:rsidR="008C2E4A" w:rsidRPr="00A21B5C">
        <w:rPr>
          <w:rFonts w:ascii="Arial" w:hAnsi="Arial" w:cs="Arial"/>
          <w:sz w:val="22"/>
          <w:szCs w:val="22"/>
          <w:lang w:val="es-CO"/>
        </w:rPr>
        <w:t>mediante la cual</w:t>
      </w:r>
      <w:r w:rsidRPr="00A21B5C">
        <w:rPr>
          <w:rFonts w:ascii="Arial" w:hAnsi="Arial" w:cs="Arial"/>
          <w:sz w:val="22"/>
          <w:szCs w:val="22"/>
          <w:lang w:val="es-CO"/>
        </w:rPr>
        <w:t xml:space="preserve"> se</w:t>
      </w:r>
      <w:r w:rsidR="008C2E4A" w:rsidRPr="00A21B5C">
        <w:rPr>
          <w:rFonts w:ascii="Arial" w:hAnsi="Arial" w:cs="Arial"/>
          <w:sz w:val="22"/>
          <w:szCs w:val="22"/>
          <w:lang w:val="es-CO"/>
        </w:rPr>
        <w:t xml:space="preserve"> </w:t>
      </w:r>
      <w:r w:rsidRPr="00A21B5C">
        <w:rPr>
          <w:rFonts w:ascii="Arial" w:hAnsi="Arial" w:cs="Arial"/>
          <w:sz w:val="22"/>
          <w:szCs w:val="22"/>
          <w:lang w:val="es-CO"/>
        </w:rPr>
        <w:t>realizaron</w:t>
      </w:r>
      <w:r w:rsidR="008C2E4A" w:rsidRPr="00A21B5C">
        <w:rPr>
          <w:rFonts w:ascii="Arial" w:hAnsi="Arial" w:cs="Arial"/>
          <w:sz w:val="22"/>
          <w:szCs w:val="22"/>
          <w:lang w:val="es-CO"/>
        </w:rPr>
        <w:t xml:space="preserve"> ajustes en las cantidades de obra objeto del </w:t>
      </w:r>
      <w:r w:rsidR="000718CD" w:rsidRPr="00A21B5C">
        <w:rPr>
          <w:rFonts w:ascii="Arial" w:hAnsi="Arial" w:cs="Arial"/>
          <w:sz w:val="22"/>
          <w:szCs w:val="22"/>
          <w:lang w:val="es-CO"/>
        </w:rPr>
        <w:t>C</w:t>
      </w:r>
      <w:r w:rsidR="008C2E4A" w:rsidRPr="00A21B5C">
        <w:rPr>
          <w:rFonts w:ascii="Arial" w:hAnsi="Arial" w:cs="Arial"/>
          <w:sz w:val="22"/>
          <w:szCs w:val="22"/>
          <w:lang w:val="es-CO"/>
        </w:rPr>
        <w:t>ontrato</w:t>
      </w:r>
      <w:r w:rsidRPr="00A21B5C">
        <w:rPr>
          <w:rFonts w:ascii="Arial" w:hAnsi="Arial" w:cs="Arial"/>
          <w:sz w:val="22"/>
          <w:szCs w:val="22"/>
          <w:lang w:val="es-CO"/>
        </w:rPr>
        <w:t>.</w:t>
      </w:r>
    </w:p>
    <w:p w:rsidR="000718CD" w:rsidRPr="00A21B5C" w:rsidRDefault="000718CD">
      <w:pPr>
        <w:pStyle w:val="Prrafodelista"/>
        <w:numPr>
          <w:ilvl w:val="0"/>
          <w:numId w:val="18"/>
        </w:numPr>
        <w:ind w:left="709"/>
        <w:jc w:val="both"/>
        <w:rPr>
          <w:rFonts w:ascii="Arial" w:hAnsi="Arial" w:cs="Arial"/>
          <w:sz w:val="22"/>
          <w:szCs w:val="22"/>
          <w:lang w:val="es-CO"/>
        </w:rPr>
      </w:pPr>
    </w:p>
    <w:p w:rsidR="008C2E4A" w:rsidRPr="00A21B5C" w:rsidRDefault="00585DA8">
      <w:pPr>
        <w:pStyle w:val="Prrafodelista"/>
        <w:numPr>
          <w:ilvl w:val="0"/>
          <w:numId w:val="18"/>
        </w:numPr>
        <w:ind w:left="709"/>
        <w:jc w:val="both"/>
        <w:rPr>
          <w:rFonts w:ascii="Arial" w:hAnsi="Arial" w:cs="Arial"/>
          <w:sz w:val="22"/>
          <w:szCs w:val="22"/>
          <w:lang w:val="es-CO"/>
        </w:rPr>
      </w:pPr>
      <w:r w:rsidRPr="00A21B5C">
        <w:rPr>
          <w:rFonts w:ascii="Arial" w:hAnsi="Arial" w:cs="Arial"/>
          <w:sz w:val="22"/>
          <w:szCs w:val="22"/>
          <w:lang w:val="es-CO"/>
        </w:rPr>
        <w:t xml:space="preserve">Con base en las actividades de supervisión, se conoció que varias de las actividades necesarias para la ejecución de la obra no fueron contempladas en las actividades contratadas, por lo que fue necesario </w:t>
      </w:r>
      <w:r w:rsidR="008C2E4A" w:rsidRPr="00A21B5C">
        <w:rPr>
          <w:rFonts w:ascii="Arial" w:hAnsi="Arial" w:cs="Arial"/>
          <w:sz w:val="22"/>
          <w:szCs w:val="22"/>
          <w:lang w:val="es-CO"/>
        </w:rPr>
        <w:t>modifica</w:t>
      </w:r>
      <w:r w:rsidR="00C0151E" w:rsidRPr="00A21B5C">
        <w:rPr>
          <w:rFonts w:ascii="Arial" w:hAnsi="Arial" w:cs="Arial"/>
          <w:sz w:val="22"/>
          <w:szCs w:val="22"/>
          <w:lang w:val="es-CO"/>
        </w:rPr>
        <w:t>r</w:t>
      </w:r>
      <w:r w:rsidR="008C2E4A" w:rsidRPr="00A21B5C">
        <w:rPr>
          <w:rFonts w:ascii="Arial" w:hAnsi="Arial" w:cs="Arial"/>
          <w:sz w:val="22"/>
          <w:szCs w:val="22"/>
          <w:lang w:val="es-CO"/>
        </w:rPr>
        <w:t xml:space="preserve"> las actividades programas al momento de la suscripción del Contrato de acuerdo con los pliegos de condiciones y la oferta recibida por parte del Contratista.</w:t>
      </w:r>
    </w:p>
    <w:p w:rsidR="000718CD" w:rsidRPr="00A21B5C" w:rsidRDefault="000718CD" w:rsidP="00A21B5C">
      <w:pPr>
        <w:pStyle w:val="Prrafodelista"/>
        <w:ind w:left="709"/>
        <w:jc w:val="both"/>
        <w:rPr>
          <w:rFonts w:ascii="Arial" w:hAnsi="Arial" w:cs="Arial"/>
          <w:sz w:val="22"/>
          <w:szCs w:val="22"/>
          <w:lang w:val="es-CO"/>
        </w:rPr>
      </w:pPr>
    </w:p>
    <w:p w:rsidR="00585DA8" w:rsidRPr="00A21B5C" w:rsidRDefault="00585DA8">
      <w:pPr>
        <w:pStyle w:val="Prrafodelista"/>
        <w:numPr>
          <w:ilvl w:val="0"/>
          <w:numId w:val="18"/>
        </w:numPr>
        <w:ind w:left="709"/>
        <w:jc w:val="both"/>
        <w:rPr>
          <w:rFonts w:ascii="Arial" w:hAnsi="Arial" w:cs="Arial"/>
          <w:sz w:val="22"/>
          <w:szCs w:val="22"/>
          <w:lang w:val="es-CO"/>
        </w:rPr>
      </w:pPr>
      <w:r w:rsidRPr="00A21B5C">
        <w:rPr>
          <w:rFonts w:ascii="Arial" w:hAnsi="Arial" w:cs="Arial"/>
          <w:sz w:val="22"/>
          <w:szCs w:val="22"/>
          <w:lang w:val="es-CO"/>
        </w:rPr>
        <w:t xml:space="preserve">Aunado al ítem anterior, el balance económico del contrato arrojó un valor de $636.045.239, cuando el contrato fue suscrito por </w:t>
      </w:r>
      <w:r w:rsidR="00B270D7" w:rsidRPr="00A21B5C">
        <w:rPr>
          <w:rFonts w:ascii="Arial" w:eastAsiaTheme="minorHAnsi" w:hAnsi="Arial" w:cs="Arial"/>
          <w:sz w:val="22"/>
          <w:szCs w:val="22"/>
          <w:lang w:val="es-CO" w:eastAsia="en-US"/>
        </w:rPr>
        <w:t xml:space="preserve">$424.060.786, no obstante, se decidió realizar un ajuste por el valor original del </w:t>
      </w:r>
      <w:r w:rsidR="000718CD" w:rsidRPr="00A21B5C">
        <w:rPr>
          <w:rFonts w:ascii="Arial" w:eastAsiaTheme="minorHAnsi" w:hAnsi="Arial" w:cs="Arial"/>
          <w:sz w:val="22"/>
          <w:szCs w:val="22"/>
          <w:lang w:val="es-CO" w:eastAsia="en-US"/>
        </w:rPr>
        <w:t>C</w:t>
      </w:r>
      <w:r w:rsidR="00B270D7" w:rsidRPr="00A21B5C">
        <w:rPr>
          <w:rFonts w:ascii="Arial" w:eastAsiaTheme="minorHAnsi" w:hAnsi="Arial" w:cs="Arial"/>
          <w:sz w:val="22"/>
          <w:szCs w:val="22"/>
          <w:lang w:val="es-CO" w:eastAsia="en-US"/>
        </w:rPr>
        <w:t>ontr</w:t>
      </w:r>
      <w:r w:rsidR="00C0151E" w:rsidRPr="00A21B5C">
        <w:rPr>
          <w:rFonts w:ascii="Arial" w:eastAsiaTheme="minorHAnsi" w:hAnsi="Arial" w:cs="Arial"/>
          <w:sz w:val="22"/>
          <w:szCs w:val="22"/>
          <w:lang w:val="es-CO" w:eastAsia="en-US"/>
        </w:rPr>
        <w:t>ato, con las obras que requerían</w:t>
      </w:r>
      <w:r w:rsidR="00B270D7" w:rsidRPr="00A21B5C">
        <w:rPr>
          <w:rFonts w:ascii="Arial" w:eastAsiaTheme="minorHAnsi" w:hAnsi="Arial" w:cs="Arial"/>
          <w:sz w:val="22"/>
          <w:szCs w:val="22"/>
          <w:lang w:val="es-CO" w:eastAsia="en-US"/>
        </w:rPr>
        <w:t xml:space="preserve"> ejecutarse de manera prioritaria, mientras que el Municipio de Dibulla realizaba las gestiones requeridas para el adicional </w:t>
      </w:r>
      <w:r w:rsidR="00C0151E" w:rsidRPr="00A21B5C">
        <w:rPr>
          <w:rFonts w:ascii="Arial" w:eastAsiaTheme="minorHAnsi" w:hAnsi="Arial" w:cs="Arial"/>
          <w:sz w:val="22"/>
          <w:szCs w:val="22"/>
          <w:lang w:val="es-CO" w:eastAsia="en-US"/>
        </w:rPr>
        <w:t>referenciado</w:t>
      </w:r>
      <w:r w:rsidR="00B270D7" w:rsidRPr="00A21B5C">
        <w:rPr>
          <w:rFonts w:ascii="Arial" w:eastAsiaTheme="minorHAnsi" w:hAnsi="Arial" w:cs="Arial"/>
          <w:sz w:val="22"/>
          <w:szCs w:val="22"/>
          <w:lang w:val="es-CO" w:eastAsia="en-US"/>
        </w:rPr>
        <w:t>.</w:t>
      </w:r>
    </w:p>
    <w:p w:rsidR="000718CD" w:rsidRPr="00A21B5C" w:rsidRDefault="000718CD" w:rsidP="00A21B5C">
      <w:pPr>
        <w:pStyle w:val="Prrafodelista"/>
        <w:ind w:left="709"/>
        <w:jc w:val="both"/>
        <w:rPr>
          <w:rFonts w:ascii="Arial" w:hAnsi="Arial" w:cs="Arial"/>
          <w:sz w:val="22"/>
          <w:szCs w:val="22"/>
          <w:lang w:val="es-CO"/>
        </w:rPr>
      </w:pPr>
    </w:p>
    <w:p w:rsidR="008C2E4A" w:rsidRPr="00A21B5C" w:rsidRDefault="00B270D7">
      <w:pPr>
        <w:pStyle w:val="Prrafodelista"/>
        <w:numPr>
          <w:ilvl w:val="0"/>
          <w:numId w:val="18"/>
        </w:numPr>
        <w:ind w:left="709"/>
        <w:jc w:val="both"/>
        <w:rPr>
          <w:rFonts w:ascii="Arial" w:hAnsi="Arial" w:cs="Arial"/>
          <w:sz w:val="22"/>
          <w:szCs w:val="22"/>
          <w:lang w:val="es-CO"/>
        </w:rPr>
      </w:pPr>
      <w:r w:rsidRPr="00A21B5C">
        <w:rPr>
          <w:rFonts w:ascii="Arial" w:hAnsi="Arial" w:cs="Arial"/>
          <w:sz w:val="22"/>
          <w:szCs w:val="22"/>
          <w:lang w:val="es-CO"/>
        </w:rPr>
        <w:t>Se expidieron los</w:t>
      </w:r>
      <w:r w:rsidR="008C2E4A" w:rsidRPr="00A21B5C">
        <w:rPr>
          <w:rFonts w:ascii="Arial" w:hAnsi="Arial" w:cs="Arial"/>
          <w:sz w:val="22"/>
          <w:szCs w:val="22"/>
          <w:lang w:val="es-CO"/>
        </w:rPr>
        <w:t xml:space="preserve"> CDP N° 211102 y 211103, y los RP N° 30111702 Y 30111702 por $100.000.000, el 21 de noviembre de 2017, mediante los cuales se realiza </w:t>
      </w:r>
      <w:r w:rsidR="000718CD" w:rsidRPr="00A21B5C">
        <w:rPr>
          <w:rFonts w:ascii="Arial" w:hAnsi="Arial" w:cs="Arial"/>
          <w:sz w:val="22"/>
          <w:szCs w:val="22"/>
          <w:lang w:val="es-CO"/>
        </w:rPr>
        <w:t xml:space="preserve">una </w:t>
      </w:r>
      <w:r w:rsidR="008C2E4A" w:rsidRPr="00A21B5C">
        <w:rPr>
          <w:rFonts w:ascii="Arial" w:hAnsi="Arial" w:cs="Arial"/>
          <w:sz w:val="22"/>
          <w:szCs w:val="22"/>
          <w:lang w:val="es-CO"/>
        </w:rPr>
        <w:t xml:space="preserve">adición el Contrato de </w:t>
      </w:r>
      <w:r w:rsidR="000718CD" w:rsidRPr="00A21B5C">
        <w:rPr>
          <w:rFonts w:ascii="Arial" w:hAnsi="Arial" w:cs="Arial"/>
          <w:sz w:val="22"/>
          <w:szCs w:val="22"/>
          <w:lang w:val="es-CO"/>
        </w:rPr>
        <w:t>O</w:t>
      </w:r>
      <w:r w:rsidR="008C2E4A" w:rsidRPr="00A21B5C">
        <w:rPr>
          <w:rFonts w:ascii="Arial" w:hAnsi="Arial" w:cs="Arial"/>
          <w:sz w:val="22"/>
          <w:szCs w:val="22"/>
          <w:lang w:val="es-CO"/>
        </w:rPr>
        <w:t>bra N° 004 de 2016 en referencia</w:t>
      </w:r>
      <w:r w:rsidRPr="00A21B5C">
        <w:rPr>
          <w:rFonts w:ascii="Arial" w:hAnsi="Arial" w:cs="Arial"/>
          <w:sz w:val="22"/>
          <w:szCs w:val="22"/>
          <w:lang w:val="es-CO"/>
        </w:rPr>
        <w:t xml:space="preserve">, aunque </w:t>
      </w:r>
      <w:r w:rsidR="008C2E4A" w:rsidRPr="00A21B5C">
        <w:rPr>
          <w:rFonts w:ascii="Arial" w:hAnsi="Arial" w:cs="Arial"/>
          <w:sz w:val="22"/>
          <w:szCs w:val="22"/>
          <w:lang w:val="es-CO"/>
        </w:rPr>
        <w:t xml:space="preserve">no se conoció </w:t>
      </w:r>
      <w:r w:rsidRPr="00A21B5C">
        <w:rPr>
          <w:rFonts w:ascii="Arial" w:hAnsi="Arial" w:cs="Arial"/>
          <w:sz w:val="22"/>
          <w:szCs w:val="22"/>
          <w:lang w:val="es-CO"/>
        </w:rPr>
        <w:t xml:space="preserve">el </w:t>
      </w:r>
      <w:r w:rsidR="008C2E4A" w:rsidRPr="00A21B5C">
        <w:rPr>
          <w:rFonts w:ascii="Arial" w:hAnsi="Arial" w:cs="Arial"/>
          <w:sz w:val="22"/>
          <w:szCs w:val="22"/>
          <w:lang w:val="es-CO"/>
        </w:rPr>
        <w:t>Otrosí</w:t>
      </w:r>
      <w:r w:rsidRPr="00A21B5C">
        <w:rPr>
          <w:rFonts w:ascii="Arial" w:hAnsi="Arial" w:cs="Arial"/>
          <w:sz w:val="22"/>
          <w:szCs w:val="22"/>
          <w:lang w:val="es-CO"/>
        </w:rPr>
        <w:t>.</w:t>
      </w:r>
    </w:p>
    <w:p w:rsidR="008C2E4A" w:rsidRPr="00A21B5C" w:rsidRDefault="008C2E4A">
      <w:pPr>
        <w:pStyle w:val="Prrafodelista"/>
        <w:ind w:left="709"/>
        <w:jc w:val="both"/>
        <w:rPr>
          <w:rFonts w:ascii="Arial" w:hAnsi="Arial" w:cs="Arial"/>
          <w:i/>
          <w:sz w:val="22"/>
          <w:szCs w:val="22"/>
          <w:lang w:val="es-CO"/>
        </w:rPr>
      </w:pPr>
    </w:p>
    <w:p w:rsidR="008C2E4A" w:rsidRPr="00A21B5C" w:rsidRDefault="008C2E4A" w:rsidP="00A21B5C">
      <w:pPr>
        <w:shd w:val="clear" w:color="auto" w:fill="FFFFFF"/>
        <w:contextualSpacing/>
        <w:jc w:val="both"/>
        <w:rPr>
          <w:rFonts w:ascii="Arial" w:hAnsi="Arial" w:cs="Arial"/>
          <w:sz w:val="22"/>
          <w:szCs w:val="22"/>
          <w:lang w:val="es-CO"/>
        </w:rPr>
      </w:pPr>
      <w:r w:rsidRPr="00A21B5C">
        <w:rPr>
          <w:rFonts w:ascii="Arial" w:hAnsi="Arial" w:cs="Arial"/>
          <w:sz w:val="22"/>
          <w:szCs w:val="22"/>
          <w:lang w:val="es-CO"/>
        </w:rPr>
        <w:t>Así las cosas, esta Dirección encuentra que</w:t>
      </w:r>
      <w:r w:rsidRPr="00A21B5C">
        <w:rPr>
          <w:rFonts w:ascii="Arial" w:hAnsi="Arial" w:cs="Arial"/>
          <w:i/>
          <w:sz w:val="22"/>
          <w:szCs w:val="22"/>
          <w:lang w:val="es-CO"/>
        </w:rPr>
        <w:t xml:space="preserve"> </w:t>
      </w:r>
      <w:r w:rsidRPr="00A21B5C">
        <w:rPr>
          <w:rFonts w:ascii="Arial" w:hAnsi="Arial" w:cs="Arial"/>
          <w:sz w:val="22"/>
          <w:szCs w:val="22"/>
          <w:lang w:val="es-CO"/>
        </w:rPr>
        <w:t xml:space="preserve">la Entidad Territorial violó el Principio de Planeación contractual en cuanto que, no contempló </w:t>
      </w:r>
      <w:r w:rsidRPr="00A21B5C">
        <w:rPr>
          <w:rFonts w:ascii="Arial" w:eastAsiaTheme="minorHAnsi" w:hAnsi="Arial" w:cs="Arial"/>
          <w:sz w:val="22"/>
          <w:szCs w:val="22"/>
          <w:lang w:val="es-CO" w:eastAsia="en-US"/>
        </w:rPr>
        <w:t>todas las actividades necesarias para lograr la ejecución contractual</w:t>
      </w:r>
      <w:r w:rsidR="00C0151E" w:rsidRPr="00A21B5C">
        <w:rPr>
          <w:rFonts w:ascii="Arial" w:eastAsiaTheme="minorHAnsi" w:hAnsi="Arial" w:cs="Arial"/>
          <w:sz w:val="22"/>
          <w:szCs w:val="22"/>
          <w:lang w:val="es-CO" w:eastAsia="en-US"/>
        </w:rPr>
        <w:t xml:space="preserve">; y </w:t>
      </w:r>
      <w:r w:rsidRPr="00A21B5C">
        <w:rPr>
          <w:rFonts w:ascii="Arial" w:eastAsiaTheme="minorHAnsi" w:hAnsi="Arial" w:cs="Arial"/>
          <w:sz w:val="22"/>
          <w:szCs w:val="22"/>
          <w:lang w:val="es-CO" w:eastAsia="en-US"/>
        </w:rPr>
        <w:t>violó el Principio de Economía</w:t>
      </w:r>
      <w:r w:rsidR="00C0151E" w:rsidRPr="00A21B5C">
        <w:rPr>
          <w:rFonts w:ascii="Arial" w:eastAsiaTheme="minorHAnsi" w:hAnsi="Arial" w:cs="Arial"/>
          <w:sz w:val="22"/>
          <w:szCs w:val="22"/>
          <w:lang w:val="es-CO" w:eastAsia="en-US"/>
        </w:rPr>
        <w:t>,</w:t>
      </w:r>
      <w:r w:rsidRPr="00A21B5C">
        <w:rPr>
          <w:rFonts w:ascii="Arial" w:eastAsiaTheme="minorHAnsi" w:hAnsi="Arial" w:cs="Arial"/>
          <w:sz w:val="22"/>
          <w:szCs w:val="22"/>
          <w:lang w:val="es-CO" w:eastAsia="en-US"/>
        </w:rPr>
        <w:t xml:space="preserve"> en cuanto adelantó el proceso contractual sin evaluar la viabilidad de la obra en el lugar de ejecución.</w:t>
      </w:r>
      <w:r w:rsidR="00B270D7" w:rsidRPr="00A21B5C">
        <w:rPr>
          <w:rFonts w:ascii="Arial" w:eastAsiaTheme="minorHAnsi" w:hAnsi="Arial" w:cs="Arial"/>
          <w:sz w:val="22"/>
          <w:szCs w:val="22"/>
          <w:lang w:val="es-CO" w:eastAsia="en-US"/>
        </w:rPr>
        <w:t xml:space="preserve"> </w:t>
      </w:r>
      <w:r w:rsidRPr="00A21B5C">
        <w:rPr>
          <w:rFonts w:ascii="Arial" w:eastAsiaTheme="minorHAnsi" w:hAnsi="Arial" w:cs="Arial"/>
          <w:sz w:val="22"/>
          <w:szCs w:val="22"/>
          <w:lang w:val="es-CO" w:eastAsia="en-US"/>
        </w:rPr>
        <w:t xml:space="preserve">Todo lo anterior, reflejado en los retrasos </w:t>
      </w:r>
      <w:r w:rsidR="00C0151E" w:rsidRPr="00A21B5C">
        <w:rPr>
          <w:rFonts w:ascii="Arial" w:eastAsiaTheme="minorHAnsi" w:hAnsi="Arial" w:cs="Arial"/>
          <w:sz w:val="22"/>
          <w:szCs w:val="22"/>
          <w:lang w:val="es-CO" w:eastAsia="en-US"/>
        </w:rPr>
        <w:t xml:space="preserve">que sufrió </w:t>
      </w:r>
      <w:r w:rsidRPr="00A21B5C">
        <w:rPr>
          <w:rFonts w:ascii="Arial" w:eastAsiaTheme="minorHAnsi" w:hAnsi="Arial" w:cs="Arial"/>
          <w:sz w:val="22"/>
          <w:szCs w:val="22"/>
          <w:lang w:val="es-CO" w:eastAsia="en-US"/>
        </w:rPr>
        <w:t xml:space="preserve">la ejecución, </w:t>
      </w:r>
      <w:r w:rsidRPr="00A21B5C">
        <w:rPr>
          <w:rFonts w:ascii="Arial" w:hAnsi="Arial" w:cs="Arial"/>
          <w:sz w:val="22"/>
          <w:szCs w:val="22"/>
          <w:lang w:val="es-CO"/>
        </w:rPr>
        <w:t xml:space="preserve">implicando ello una afectación a la ejecución de la obra de acuerdo a lo pactado, y a los fines mismos que motivaron la contratación, sin que se mantuviera la equivalencia entre lo previsto en los pliegos de condiciones y la ejecución del </w:t>
      </w:r>
      <w:r w:rsidR="000718CD" w:rsidRPr="00A21B5C">
        <w:rPr>
          <w:rFonts w:ascii="Arial" w:hAnsi="Arial" w:cs="Arial"/>
          <w:sz w:val="22"/>
          <w:szCs w:val="22"/>
          <w:lang w:val="es-CO"/>
        </w:rPr>
        <w:t>C</w:t>
      </w:r>
      <w:r w:rsidRPr="00A21B5C">
        <w:rPr>
          <w:rFonts w:ascii="Arial" w:hAnsi="Arial" w:cs="Arial"/>
          <w:sz w:val="22"/>
          <w:szCs w:val="22"/>
          <w:lang w:val="es-CO"/>
        </w:rPr>
        <w:t>ontrato, generándose inequívocamente, también, un desequilibrio económico en el Contrato.</w:t>
      </w:r>
    </w:p>
    <w:p w:rsidR="008C2E4A" w:rsidRPr="00A21B5C" w:rsidRDefault="008C2E4A" w:rsidP="00A21B5C">
      <w:pPr>
        <w:contextualSpacing/>
        <w:jc w:val="both"/>
        <w:rPr>
          <w:rFonts w:ascii="Arial" w:hAnsi="Arial" w:cs="Arial"/>
          <w:sz w:val="22"/>
          <w:szCs w:val="22"/>
          <w:lang w:val="es-CO"/>
        </w:rPr>
      </w:pPr>
    </w:p>
    <w:p w:rsidR="008C2E4A" w:rsidRPr="00A21B5C" w:rsidRDefault="00C0151E" w:rsidP="00A21B5C">
      <w:pPr>
        <w:contextualSpacing/>
        <w:jc w:val="both"/>
        <w:rPr>
          <w:rFonts w:ascii="Arial" w:hAnsi="Arial" w:cs="Arial"/>
          <w:sz w:val="22"/>
          <w:szCs w:val="22"/>
          <w:lang w:val="es-CO"/>
        </w:rPr>
      </w:pPr>
      <w:r w:rsidRPr="00A21B5C">
        <w:rPr>
          <w:rFonts w:ascii="Arial" w:hAnsi="Arial" w:cs="Arial"/>
          <w:sz w:val="22"/>
          <w:szCs w:val="22"/>
          <w:lang w:val="es-CO"/>
        </w:rPr>
        <w:t>Así</w:t>
      </w:r>
      <w:r w:rsidR="008C2E4A" w:rsidRPr="00A21B5C">
        <w:rPr>
          <w:rFonts w:ascii="Arial" w:hAnsi="Arial" w:cs="Arial"/>
          <w:sz w:val="22"/>
          <w:szCs w:val="22"/>
          <w:lang w:val="es-CO"/>
        </w:rPr>
        <w:t xml:space="preserve">, de cara a la administración de los recursos de la AESGPRI, las omisiones normativas antes referenciadas pusieron en riesgo la ejecución de los recursos del Resguardo Indígena </w:t>
      </w:r>
      <w:r w:rsidR="008C2E4A" w:rsidRPr="00A21B5C">
        <w:rPr>
          <w:rFonts w:ascii="Arial" w:hAnsi="Arial" w:cs="Arial"/>
          <w:iCs/>
          <w:sz w:val="22"/>
          <w:szCs w:val="22"/>
          <w:lang w:val="es-CO"/>
        </w:rPr>
        <w:t>Kogui – Malayo – Arhuaco</w:t>
      </w:r>
      <w:r w:rsidR="008C2E4A" w:rsidRPr="00A21B5C">
        <w:rPr>
          <w:rFonts w:ascii="Arial" w:hAnsi="Arial" w:cs="Arial"/>
          <w:sz w:val="22"/>
          <w:szCs w:val="22"/>
          <w:lang w:val="es-CO"/>
        </w:rPr>
        <w:t xml:space="preserve">, en cuanto se dio un uso ineficiente e inadecuado a los recursos AESGPRI con los cuales se financió este Contrato de </w:t>
      </w:r>
      <w:r w:rsidRPr="00A21B5C">
        <w:rPr>
          <w:rFonts w:ascii="Arial" w:hAnsi="Arial" w:cs="Arial"/>
          <w:sz w:val="22"/>
          <w:szCs w:val="22"/>
          <w:lang w:val="es-CO"/>
        </w:rPr>
        <w:t>Obra</w:t>
      </w:r>
      <w:r w:rsidR="008C2E4A" w:rsidRPr="00A21B5C">
        <w:rPr>
          <w:rFonts w:ascii="Arial" w:hAnsi="Arial" w:cs="Arial"/>
          <w:sz w:val="22"/>
          <w:szCs w:val="22"/>
          <w:lang w:val="es-CO"/>
        </w:rPr>
        <w:t xml:space="preserve">, dado que no se logró la consecución de su objetivo de la manera prevista en </w:t>
      </w:r>
      <w:r w:rsidRPr="00A21B5C">
        <w:rPr>
          <w:rFonts w:ascii="Arial" w:hAnsi="Arial" w:cs="Arial"/>
          <w:sz w:val="22"/>
          <w:szCs w:val="22"/>
          <w:lang w:val="es-CO"/>
        </w:rPr>
        <w:t>la minuta original</w:t>
      </w:r>
      <w:r w:rsidR="008C2E4A" w:rsidRPr="00A21B5C">
        <w:rPr>
          <w:rFonts w:ascii="Arial" w:hAnsi="Arial" w:cs="Arial"/>
          <w:sz w:val="22"/>
          <w:szCs w:val="22"/>
          <w:lang w:val="es-CO"/>
        </w:rPr>
        <w:t xml:space="preserve">, en línea con el proyecto de inversión que motivó </w:t>
      </w:r>
      <w:r w:rsidRPr="00A21B5C">
        <w:rPr>
          <w:rFonts w:ascii="Arial" w:hAnsi="Arial" w:cs="Arial"/>
          <w:sz w:val="22"/>
          <w:szCs w:val="22"/>
          <w:lang w:val="es-CO"/>
        </w:rPr>
        <w:t>la</w:t>
      </w:r>
      <w:r w:rsidR="00C14186" w:rsidRPr="00A21B5C">
        <w:rPr>
          <w:rFonts w:ascii="Arial" w:hAnsi="Arial" w:cs="Arial"/>
          <w:sz w:val="22"/>
          <w:szCs w:val="22"/>
          <w:lang w:val="es-CO"/>
        </w:rPr>
        <w:t xml:space="preserve"> </w:t>
      </w:r>
      <w:r w:rsidR="008C2E4A" w:rsidRPr="00A21B5C">
        <w:rPr>
          <w:rFonts w:ascii="Arial" w:hAnsi="Arial" w:cs="Arial"/>
          <w:sz w:val="22"/>
          <w:szCs w:val="22"/>
          <w:lang w:val="es-CO"/>
        </w:rPr>
        <w:t>contratación, disponiéndose de mayores tiempos y recursos para su ejecución satisfactoria.</w:t>
      </w:r>
    </w:p>
    <w:p w:rsidR="00300855" w:rsidRPr="00A21B5C" w:rsidRDefault="00300855" w:rsidP="00A21B5C">
      <w:pPr>
        <w:contextualSpacing/>
        <w:jc w:val="both"/>
        <w:rPr>
          <w:rFonts w:ascii="Arial" w:hAnsi="Arial" w:cs="Arial"/>
          <w:sz w:val="22"/>
          <w:szCs w:val="22"/>
          <w:lang w:val="es-CO"/>
        </w:rPr>
      </w:pPr>
    </w:p>
    <w:p w:rsidR="00300855" w:rsidRPr="00A21B5C" w:rsidRDefault="00300855" w:rsidP="00A21B5C">
      <w:pPr>
        <w:contextualSpacing/>
        <w:jc w:val="both"/>
        <w:rPr>
          <w:rFonts w:ascii="Arial" w:hAnsi="Arial" w:cs="Arial"/>
          <w:b/>
          <w:bCs/>
          <w:sz w:val="22"/>
          <w:szCs w:val="22"/>
          <w:lang w:val="es-CO"/>
        </w:rPr>
      </w:pPr>
      <w:r w:rsidRPr="00A21B5C">
        <w:rPr>
          <w:rFonts w:ascii="Arial" w:hAnsi="Arial" w:cs="Arial"/>
          <w:b/>
          <w:bCs/>
          <w:sz w:val="22"/>
          <w:szCs w:val="22"/>
          <w:lang w:val="es-CO"/>
        </w:rPr>
        <w:t>Recomendación:</w:t>
      </w:r>
    </w:p>
    <w:p w:rsidR="00DF6179" w:rsidRPr="00A21B5C" w:rsidRDefault="00DF6179" w:rsidP="00A21B5C">
      <w:pPr>
        <w:contextualSpacing/>
        <w:jc w:val="both"/>
        <w:rPr>
          <w:rFonts w:ascii="Arial" w:hAnsi="Arial" w:cs="Arial"/>
          <w:b/>
          <w:bCs/>
          <w:sz w:val="22"/>
          <w:szCs w:val="22"/>
          <w:lang w:val="es-CO"/>
        </w:rPr>
      </w:pPr>
    </w:p>
    <w:p w:rsidR="00941733" w:rsidRPr="00A21B5C" w:rsidRDefault="006439E4" w:rsidP="00A21B5C">
      <w:pPr>
        <w:contextualSpacing/>
        <w:jc w:val="both"/>
        <w:rPr>
          <w:rFonts w:ascii="Arial" w:hAnsi="Arial" w:cs="Arial"/>
          <w:sz w:val="22"/>
          <w:szCs w:val="22"/>
          <w:lang w:val="es-CO"/>
        </w:rPr>
      </w:pPr>
      <w:r w:rsidRPr="00A21B5C">
        <w:rPr>
          <w:rFonts w:ascii="Arial" w:hAnsi="Arial" w:cs="Arial"/>
          <w:sz w:val="22"/>
          <w:szCs w:val="22"/>
          <w:lang w:val="es-CO"/>
        </w:rPr>
        <w:t xml:space="preserve">De cara a esta situación de riesgo identificada, se recomienda </w:t>
      </w:r>
      <w:r w:rsidR="001F19F5" w:rsidRPr="00A21B5C">
        <w:rPr>
          <w:rFonts w:ascii="Arial" w:hAnsi="Arial" w:cs="Arial"/>
          <w:sz w:val="22"/>
          <w:szCs w:val="22"/>
          <w:lang w:val="es-CO"/>
        </w:rPr>
        <w:t xml:space="preserve">ajustar el proceso </w:t>
      </w:r>
      <w:r w:rsidR="00DF6179" w:rsidRPr="00A21B5C">
        <w:rPr>
          <w:rFonts w:ascii="Arial" w:hAnsi="Arial" w:cs="Arial"/>
          <w:sz w:val="22"/>
          <w:szCs w:val="22"/>
          <w:lang w:val="es-CO"/>
        </w:rPr>
        <w:t xml:space="preserve">contractual </w:t>
      </w:r>
      <w:r w:rsidR="00C139DB" w:rsidRPr="00A21B5C">
        <w:rPr>
          <w:rFonts w:ascii="Arial" w:hAnsi="Arial" w:cs="Arial"/>
          <w:sz w:val="22"/>
          <w:szCs w:val="22"/>
          <w:lang w:val="es-CO"/>
        </w:rPr>
        <w:t xml:space="preserve">que lleva a cabo el Municipio con el fin de que este se ciña a los </w:t>
      </w:r>
      <w:r w:rsidR="000718CD" w:rsidRPr="00A21B5C">
        <w:rPr>
          <w:rFonts w:ascii="Arial" w:hAnsi="Arial" w:cs="Arial"/>
          <w:sz w:val="22"/>
          <w:szCs w:val="22"/>
          <w:lang w:val="es-CO"/>
        </w:rPr>
        <w:t>P</w:t>
      </w:r>
      <w:r w:rsidR="00C139DB" w:rsidRPr="00A21B5C">
        <w:rPr>
          <w:rFonts w:ascii="Arial" w:hAnsi="Arial" w:cs="Arial"/>
          <w:sz w:val="22"/>
          <w:szCs w:val="22"/>
          <w:lang w:val="es-CO"/>
        </w:rPr>
        <w:t xml:space="preserve">rincipios </w:t>
      </w:r>
      <w:r w:rsidR="00FD5249" w:rsidRPr="00A21B5C">
        <w:rPr>
          <w:rFonts w:ascii="Arial" w:hAnsi="Arial" w:cs="Arial"/>
          <w:sz w:val="22"/>
          <w:szCs w:val="22"/>
          <w:lang w:val="es-CO"/>
        </w:rPr>
        <w:t xml:space="preserve">de la </w:t>
      </w:r>
      <w:r w:rsidR="000718CD" w:rsidRPr="00A21B5C">
        <w:rPr>
          <w:rFonts w:ascii="Arial" w:hAnsi="Arial" w:cs="Arial"/>
          <w:sz w:val="22"/>
          <w:szCs w:val="22"/>
          <w:lang w:val="es-CO"/>
        </w:rPr>
        <w:t>C</w:t>
      </w:r>
      <w:r w:rsidR="00FD5249" w:rsidRPr="00A21B5C">
        <w:rPr>
          <w:rFonts w:ascii="Arial" w:hAnsi="Arial" w:cs="Arial"/>
          <w:sz w:val="22"/>
          <w:szCs w:val="22"/>
          <w:lang w:val="es-CO"/>
        </w:rPr>
        <w:t xml:space="preserve">ontratación </w:t>
      </w:r>
      <w:r w:rsidR="000718CD" w:rsidRPr="00A21B5C">
        <w:rPr>
          <w:rFonts w:ascii="Arial" w:hAnsi="Arial" w:cs="Arial"/>
          <w:sz w:val="22"/>
          <w:szCs w:val="22"/>
          <w:lang w:val="es-CO"/>
        </w:rPr>
        <w:t>P</w:t>
      </w:r>
      <w:r w:rsidR="00FD5249" w:rsidRPr="00A21B5C">
        <w:rPr>
          <w:rFonts w:ascii="Arial" w:hAnsi="Arial" w:cs="Arial"/>
          <w:sz w:val="22"/>
          <w:szCs w:val="22"/>
          <w:lang w:val="es-CO"/>
        </w:rPr>
        <w:t>ública</w:t>
      </w:r>
      <w:r w:rsidR="00C139DB" w:rsidRPr="00A21B5C">
        <w:rPr>
          <w:rFonts w:ascii="Arial" w:hAnsi="Arial" w:cs="Arial"/>
          <w:sz w:val="22"/>
          <w:szCs w:val="22"/>
          <w:lang w:val="es-CO"/>
        </w:rPr>
        <w:t xml:space="preserve"> </w:t>
      </w:r>
      <w:r w:rsidR="00B00529" w:rsidRPr="00A21B5C">
        <w:rPr>
          <w:rFonts w:ascii="Arial" w:hAnsi="Arial" w:cs="Arial"/>
          <w:sz w:val="22"/>
          <w:szCs w:val="22"/>
          <w:lang w:val="es-CO"/>
        </w:rPr>
        <w:t xml:space="preserve">previstos por la </w:t>
      </w:r>
      <w:r w:rsidR="000718CD" w:rsidRPr="00A21B5C">
        <w:rPr>
          <w:rFonts w:ascii="Arial" w:hAnsi="Arial" w:cs="Arial"/>
          <w:sz w:val="22"/>
          <w:szCs w:val="22"/>
          <w:lang w:val="es-CO"/>
        </w:rPr>
        <w:t>L</w:t>
      </w:r>
      <w:r w:rsidR="00B00529" w:rsidRPr="00A21B5C">
        <w:rPr>
          <w:rFonts w:ascii="Arial" w:hAnsi="Arial" w:cs="Arial"/>
          <w:sz w:val="22"/>
          <w:szCs w:val="22"/>
          <w:lang w:val="es-CO"/>
        </w:rPr>
        <w:t>ey 80 de 1993</w:t>
      </w:r>
      <w:r w:rsidR="00D8170A" w:rsidRPr="00A21B5C">
        <w:rPr>
          <w:rFonts w:ascii="Arial" w:hAnsi="Arial" w:cs="Arial"/>
          <w:sz w:val="22"/>
          <w:szCs w:val="22"/>
          <w:lang w:val="es-CO"/>
        </w:rPr>
        <w:t xml:space="preserve"> y </w:t>
      </w:r>
      <w:r w:rsidR="00CF56A8" w:rsidRPr="00A21B5C">
        <w:rPr>
          <w:rFonts w:ascii="Arial" w:hAnsi="Arial" w:cs="Arial"/>
          <w:sz w:val="22"/>
          <w:szCs w:val="22"/>
          <w:lang w:val="es-CO"/>
        </w:rPr>
        <w:t>propic</w:t>
      </w:r>
      <w:r w:rsidR="00B00529" w:rsidRPr="00A21B5C">
        <w:rPr>
          <w:rFonts w:ascii="Arial" w:hAnsi="Arial" w:cs="Arial"/>
          <w:sz w:val="22"/>
          <w:szCs w:val="22"/>
          <w:lang w:val="es-CO"/>
        </w:rPr>
        <w:t>ie</w:t>
      </w:r>
      <w:r w:rsidR="00CF56A8" w:rsidRPr="00A21B5C">
        <w:rPr>
          <w:rFonts w:ascii="Arial" w:hAnsi="Arial" w:cs="Arial"/>
          <w:sz w:val="22"/>
          <w:szCs w:val="22"/>
          <w:lang w:val="es-CO"/>
        </w:rPr>
        <w:t xml:space="preserve"> la </w:t>
      </w:r>
      <w:r w:rsidR="00DF6179" w:rsidRPr="00A21B5C">
        <w:rPr>
          <w:rFonts w:ascii="Arial" w:hAnsi="Arial" w:cs="Arial"/>
          <w:sz w:val="22"/>
          <w:szCs w:val="22"/>
          <w:lang w:val="es-CO"/>
        </w:rPr>
        <w:t>adecuada ejecución de</w:t>
      </w:r>
      <w:r w:rsidR="00CF56A8" w:rsidRPr="00A21B5C">
        <w:rPr>
          <w:rFonts w:ascii="Arial" w:hAnsi="Arial" w:cs="Arial"/>
          <w:sz w:val="22"/>
          <w:szCs w:val="22"/>
          <w:lang w:val="es-CO"/>
        </w:rPr>
        <w:t xml:space="preserve"> </w:t>
      </w:r>
      <w:r w:rsidR="00DF6179" w:rsidRPr="00A21B5C">
        <w:rPr>
          <w:rFonts w:ascii="Arial" w:hAnsi="Arial" w:cs="Arial"/>
          <w:sz w:val="22"/>
          <w:szCs w:val="22"/>
          <w:lang w:val="es-CO"/>
        </w:rPr>
        <w:t>l</w:t>
      </w:r>
      <w:r w:rsidR="00CF56A8" w:rsidRPr="00A21B5C">
        <w:rPr>
          <w:rFonts w:ascii="Arial" w:hAnsi="Arial" w:cs="Arial"/>
          <w:sz w:val="22"/>
          <w:szCs w:val="22"/>
          <w:lang w:val="es-CO"/>
        </w:rPr>
        <w:t>os</w:t>
      </w:r>
      <w:r w:rsidR="00DF6179" w:rsidRPr="00A21B5C">
        <w:rPr>
          <w:rFonts w:ascii="Arial" w:hAnsi="Arial" w:cs="Arial"/>
          <w:sz w:val="22"/>
          <w:szCs w:val="22"/>
          <w:lang w:val="es-CO"/>
        </w:rPr>
        <w:t xml:space="preserve"> proyecto</w:t>
      </w:r>
      <w:r w:rsidR="00CF56A8" w:rsidRPr="00A21B5C">
        <w:rPr>
          <w:rFonts w:ascii="Arial" w:hAnsi="Arial" w:cs="Arial"/>
          <w:sz w:val="22"/>
          <w:szCs w:val="22"/>
          <w:lang w:val="es-CO"/>
        </w:rPr>
        <w:t>s</w:t>
      </w:r>
      <w:r w:rsidR="00DF6179" w:rsidRPr="00A21B5C">
        <w:rPr>
          <w:rFonts w:ascii="Arial" w:hAnsi="Arial" w:cs="Arial"/>
          <w:sz w:val="22"/>
          <w:szCs w:val="22"/>
          <w:lang w:val="es-CO"/>
        </w:rPr>
        <w:t xml:space="preserve"> de inversión</w:t>
      </w:r>
      <w:r w:rsidR="00EF7E44" w:rsidRPr="00A21B5C">
        <w:rPr>
          <w:rFonts w:ascii="Arial" w:hAnsi="Arial" w:cs="Arial"/>
          <w:sz w:val="22"/>
          <w:szCs w:val="22"/>
          <w:lang w:val="es-CO"/>
        </w:rPr>
        <w:t xml:space="preserve"> a cargo de la Entidad Territorial. Para ello se recomienda </w:t>
      </w:r>
      <w:r w:rsidR="00B76769" w:rsidRPr="00A21B5C">
        <w:rPr>
          <w:rFonts w:ascii="Arial" w:hAnsi="Arial" w:cs="Arial"/>
          <w:sz w:val="22"/>
          <w:szCs w:val="22"/>
          <w:lang w:val="es-CO"/>
        </w:rPr>
        <w:t>construir una g</w:t>
      </w:r>
      <w:r w:rsidR="009D6314" w:rsidRPr="00A21B5C">
        <w:rPr>
          <w:rFonts w:ascii="Arial" w:hAnsi="Arial" w:cs="Arial"/>
          <w:sz w:val="22"/>
          <w:szCs w:val="22"/>
          <w:lang w:val="es-CO"/>
        </w:rPr>
        <w:t>uía</w:t>
      </w:r>
      <w:r w:rsidR="00941733" w:rsidRPr="00A21B5C">
        <w:rPr>
          <w:rFonts w:ascii="Arial" w:hAnsi="Arial" w:cs="Arial"/>
          <w:sz w:val="22"/>
          <w:szCs w:val="22"/>
          <w:lang w:val="es-CO"/>
        </w:rPr>
        <w:t xml:space="preserve"> metodología </w:t>
      </w:r>
      <w:r w:rsidR="00B76769" w:rsidRPr="00A21B5C">
        <w:rPr>
          <w:rFonts w:ascii="Arial" w:hAnsi="Arial" w:cs="Arial"/>
          <w:sz w:val="22"/>
          <w:szCs w:val="22"/>
          <w:lang w:val="es-CO"/>
        </w:rPr>
        <w:t>que recopile</w:t>
      </w:r>
      <w:r w:rsidR="009F54AF" w:rsidRPr="00A21B5C">
        <w:rPr>
          <w:rFonts w:ascii="Arial" w:hAnsi="Arial" w:cs="Arial"/>
          <w:sz w:val="22"/>
          <w:szCs w:val="22"/>
          <w:lang w:val="es-CO"/>
        </w:rPr>
        <w:t xml:space="preserve"> los lineamientos </w:t>
      </w:r>
      <w:r w:rsidR="00572A9C" w:rsidRPr="00A21B5C">
        <w:rPr>
          <w:rFonts w:ascii="Arial" w:hAnsi="Arial" w:cs="Arial"/>
          <w:sz w:val="22"/>
          <w:szCs w:val="22"/>
          <w:lang w:val="es-CO"/>
        </w:rPr>
        <w:t xml:space="preserve">emitidos por </w:t>
      </w:r>
      <w:r w:rsidR="009D6314" w:rsidRPr="00A21B5C">
        <w:rPr>
          <w:rFonts w:ascii="Arial" w:hAnsi="Arial" w:cs="Arial"/>
          <w:sz w:val="22"/>
          <w:szCs w:val="22"/>
          <w:lang w:val="es-CO"/>
        </w:rPr>
        <w:t xml:space="preserve">Colombia </w:t>
      </w:r>
      <w:r w:rsidR="00572A9C" w:rsidRPr="00A21B5C">
        <w:rPr>
          <w:rFonts w:ascii="Arial" w:hAnsi="Arial" w:cs="Arial"/>
          <w:sz w:val="22"/>
          <w:szCs w:val="22"/>
          <w:lang w:val="es-CO"/>
        </w:rPr>
        <w:t>C</w:t>
      </w:r>
      <w:r w:rsidR="009D6314" w:rsidRPr="00A21B5C">
        <w:rPr>
          <w:rFonts w:ascii="Arial" w:hAnsi="Arial" w:cs="Arial"/>
          <w:sz w:val="22"/>
          <w:szCs w:val="22"/>
          <w:lang w:val="es-CO"/>
        </w:rPr>
        <w:t xml:space="preserve">ompra </w:t>
      </w:r>
      <w:r w:rsidR="00572A9C" w:rsidRPr="00A21B5C">
        <w:rPr>
          <w:rFonts w:ascii="Arial" w:hAnsi="Arial" w:cs="Arial"/>
          <w:sz w:val="22"/>
          <w:szCs w:val="22"/>
          <w:lang w:val="es-CO"/>
        </w:rPr>
        <w:t>E</w:t>
      </w:r>
      <w:r w:rsidR="009D6314" w:rsidRPr="00A21B5C">
        <w:rPr>
          <w:rFonts w:ascii="Arial" w:hAnsi="Arial" w:cs="Arial"/>
          <w:sz w:val="22"/>
          <w:szCs w:val="22"/>
          <w:lang w:val="es-CO"/>
        </w:rPr>
        <w:t>ficiente</w:t>
      </w:r>
      <w:r w:rsidR="00572A9C" w:rsidRPr="00A21B5C">
        <w:rPr>
          <w:rFonts w:ascii="Arial" w:hAnsi="Arial" w:cs="Arial"/>
          <w:sz w:val="22"/>
          <w:szCs w:val="22"/>
          <w:lang w:val="es-CO"/>
        </w:rPr>
        <w:t xml:space="preserve"> en </w:t>
      </w:r>
      <w:r w:rsidR="00572A9C" w:rsidRPr="00A21B5C">
        <w:rPr>
          <w:rFonts w:ascii="Arial" w:hAnsi="Arial" w:cs="Arial"/>
          <w:sz w:val="22"/>
          <w:szCs w:val="22"/>
          <w:lang w:val="es-CO"/>
        </w:rPr>
        <w:lastRenderedPageBreak/>
        <w:t xml:space="preserve">documentos como </w:t>
      </w:r>
      <w:r w:rsidR="008C110D" w:rsidRPr="00A21B5C">
        <w:rPr>
          <w:rFonts w:ascii="Arial" w:hAnsi="Arial" w:cs="Arial"/>
          <w:sz w:val="22"/>
          <w:szCs w:val="22"/>
          <w:lang w:val="es-CO"/>
        </w:rPr>
        <w:t>“</w:t>
      </w:r>
      <w:r w:rsidR="00CB4ABE" w:rsidRPr="00A21B5C">
        <w:rPr>
          <w:rFonts w:ascii="Arial" w:hAnsi="Arial" w:cs="Arial"/>
          <w:i/>
          <w:iCs/>
          <w:sz w:val="22"/>
          <w:szCs w:val="22"/>
          <w:lang w:val="es-CO"/>
        </w:rPr>
        <w:t>Guía para la Elaboración de Estudios de Sector</w:t>
      </w:r>
      <w:r w:rsidR="008C110D" w:rsidRPr="00A21B5C">
        <w:rPr>
          <w:rFonts w:ascii="Arial" w:hAnsi="Arial" w:cs="Arial"/>
          <w:i/>
          <w:iCs/>
          <w:sz w:val="22"/>
          <w:szCs w:val="22"/>
          <w:lang w:val="es-CO"/>
        </w:rPr>
        <w:t>”</w:t>
      </w:r>
      <w:r w:rsidR="008C110D" w:rsidRPr="00A21B5C">
        <w:rPr>
          <w:rStyle w:val="Refdenotaalpie"/>
          <w:rFonts w:ascii="Arial" w:hAnsi="Arial" w:cs="Arial"/>
          <w:i/>
          <w:iCs/>
          <w:sz w:val="22"/>
          <w:szCs w:val="22"/>
          <w:lang w:val="es-CO"/>
        </w:rPr>
        <w:footnoteReference w:id="64"/>
      </w:r>
      <w:r w:rsidR="00CB4ABE" w:rsidRPr="00A21B5C">
        <w:rPr>
          <w:rFonts w:ascii="Arial" w:hAnsi="Arial" w:cs="Arial"/>
          <w:sz w:val="22"/>
          <w:szCs w:val="22"/>
          <w:lang w:val="es-CO"/>
        </w:rPr>
        <w:t xml:space="preserve">, </w:t>
      </w:r>
      <w:r w:rsidR="008C110D" w:rsidRPr="00A21B5C">
        <w:rPr>
          <w:rFonts w:ascii="Arial" w:hAnsi="Arial" w:cs="Arial"/>
          <w:sz w:val="22"/>
          <w:szCs w:val="22"/>
          <w:lang w:val="es-CO"/>
        </w:rPr>
        <w:t>“</w:t>
      </w:r>
      <w:r w:rsidR="008C110D" w:rsidRPr="00A21B5C">
        <w:rPr>
          <w:rFonts w:ascii="Arial" w:hAnsi="Arial" w:cs="Arial"/>
          <w:i/>
          <w:iCs/>
          <w:sz w:val="22"/>
          <w:szCs w:val="22"/>
          <w:lang w:val="es-CO"/>
        </w:rPr>
        <w:t>Manual para determinar y verificar los requisitos habilitantes en los Procesos de Contratación</w:t>
      </w:r>
      <w:r w:rsidR="008C110D" w:rsidRPr="00A21B5C">
        <w:rPr>
          <w:rFonts w:ascii="Arial" w:hAnsi="Arial" w:cs="Arial"/>
          <w:sz w:val="22"/>
          <w:szCs w:val="22"/>
          <w:lang w:val="es-CO"/>
        </w:rPr>
        <w:t>”</w:t>
      </w:r>
      <w:r w:rsidR="00E516AC" w:rsidRPr="00A21B5C">
        <w:rPr>
          <w:rStyle w:val="Refdenotaalpie"/>
          <w:rFonts w:ascii="Arial" w:hAnsi="Arial" w:cs="Arial"/>
          <w:sz w:val="22"/>
          <w:szCs w:val="22"/>
          <w:lang w:val="es-CO"/>
        </w:rPr>
        <w:footnoteReference w:id="65"/>
      </w:r>
      <w:r w:rsidR="008C110D" w:rsidRPr="00A21B5C">
        <w:rPr>
          <w:rFonts w:ascii="Arial" w:hAnsi="Arial" w:cs="Arial"/>
          <w:sz w:val="22"/>
          <w:szCs w:val="22"/>
          <w:lang w:val="es-CO"/>
        </w:rPr>
        <w:t>, “</w:t>
      </w:r>
      <w:r w:rsidR="008C110D" w:rsidRPr="00A21B5C">
        <w:rPr>
          <w:rFonts w:ascii="Arial" w:hAnsi="Arial" w:cs="Arial"/>
          <w:i/>
          <w:iCs/>
          <w:sz w:val="22"/>
          <w:szCs w:val="22"/>
          <w:lang w:val="es-CO"/>
        </w:rPr>
        <w:t>Guía para Procesos de Contratación de obra pública y demás”</w:t>
      </w:r>
      <w:r w:rsidR="0083528C" w:rsidRPr="00A21B5C">
        <w:rPr>
          <w:rStyle w:val="Refdenotaalpie"/>
          <w:rFonts w:ascii="Arial" w:hAnsi="Arial" w:cs="Arial"/>
          <w:i/>
          <w:iCs/>
          <w:sz w:val="22"/>
          <w:szCs w:val="22"/>
          <w:lang w:val="es-CO"/>
        </w:rPr>
        <w:footnoteReference w:id="66"/>
      </w:r>
      <w:r w:rsidR="005676AB" w:rsidRPr="00A21B5C">
        <w:rPr>
          <w:rFonts w:ascii="Arial" w:hAnsi="Arial" w:cs="Arial"/>
          <w:i/>
          <w:iCs/>
          <w:sz w:val="22"/>
          <w:szCs w:val="22"/>
          <w:lang w:val="es-CO"/>
        </w:rPr>
        <w:t xml:space="preserve"> </w:t>
      </w:r>
      <w:r w:rsidR="005676AB" w:rsidRPr="00A21B5C">
        <w:rPr>
          <w:rFonts w:ascii="Arial" w:hAnsi="Arial" w:cs="Arial"/>
          <w:sz w:val="22"/>
          <w:szCs w:val="22"/>
          <w:lang w:val="es-CO"/>
        </w:rPr>
        <w:t>y demás manuales, guías y documentos tipo que puedan resultar útiles para la Entidad Territorial de cara a optimizar los procesos precontractuales, contractuales y postcontrac</w:t>
      </w:r>
      <w:r w:rsidR="003C73CB" w:rsidRPr="00A21B5C">
        <w:rPr>
          <w:rFonts w:ascii="Arial" w:hAnsi="Arial" w:cs="Arial"/>
          <w:sz w:val="22"/>
          <w:szCs w:val="22"/>
          <w:lang w:val="es-CO"/>
        </w:rPr>
        <w:t>tu</w:t>
      </w:r>
      <w:r w:rsidR="005676AB" w:rsidRPr="00A21B5C">
        <w:rPr>
          <w:rFonts w:ascii="Arial" w:hAnsi="Arial" w:cs="Arial"/>
          <w:sz w:val="22"/>
          <w:szCs w:val="22"/>
          <w:lang w:val="es-CO"/>
        </w:rPr>
        <w:t>ales que adelanta el Municipio.</w:t>
      </w:r>
    </w:p>
    <w:p w:rsidR="00DF6179" w:rsidRPr="00A21B5C" w:rsidRDefault="00DF6179" w:rsidP="00A21B5C">
      <w:pPr>
        <w:contextualSpacing/>
        <w:jc w:val="both"/>
        <w:rPr>
          <w:rFonts w:ascii="Arial" w:hAnsi="Arial" w:cs="Arial"/>
          <w:b/>
          <w:bCs/>
          <w:sz w:val="22"/>
          <w:szCs w:val="22"/>
          <w:lang w:val="es-CO"/>
        </w:rPr>
      </w:pPr>
    </w:p>
    <w:p w:rsidR="008C2E4A" w:rsidRPr="00A21B5C" w:rsidRDefault="008C2E4A">
      <w:pPr>
        <w:pStyle w:val="Prrafodelista"/>
        <w:numPr>
          <w:ilvl w:val="0"/>
          <w:numId w:val="21"/>
        </w:numPr>
        <w:spacing w:after="200"/>
        <w:jc w:val="both"/>
        <w:rPr>
          <w:rFonts w:ascii="Arial" w:eastAsia="Times New Roman" w:hAnsi="Arial" w:cs="Arial"/>
          <w:b/>
          <w:sz w:val="21"/>
          <w:szCs w:val="21"/>
        </w:rPr>
      </w:pPr>
      <w:r w:rsidRPr="00A21B5C">
        <w:rPr>
          <w:rFonts w:ascii="Arial" w:eastAsia="Times New Roman" w:hAnsi="Arial" w:cs="Arial"/>
          <w:b/>
          <w:sz w:val="21"/>
          <w:szCs w:val="21"/>
        </w:rPr>
        <w:t>Bajos niveles de ejecución.</w:t>
      </w:r>
    </w:p>
    <w:p w:rsidR="008C2E4A" w:rsidRDefault="008C2E4A" w:rsidP="00A21B5C">
      <w:pPr>
        <w:spacing w:after="200"/>
        <w:contextualSpacing/>
        <w:jc w:val="both"/>
        <w:rPr>
          <w:rFonts w:ascii="Arial" w:hAnsi="Arial" w:cs="Arial"/>
          <w:i/>
          <w:color w:val="000000"/>
          <w:sz w:val="22"/>
          <w:szCs w:val="21"/>
          <w:lang w:val="es-CO"/>
        </w:rPr>
      </w:pPr>
      <w:r w:rsidRPr="00A21B5C">
        <w:rPr>
          <w:rFonts w:ascii="Arial" w:hAnsi="Arial" w:cs="Arial"/>
          <w:sz w:val="22"/>
          <w:szCs w:val="21"/>
          <w:lang w:val="es-CO"/>
        </w:rPr>
        <w:t xml:space="preserve">El artículo 34 del Decreto 1953 de 2014 establece que </w:t>
      </w:r>
      <w:r w:rsidRPr="00A21B5C">
        <w:rPr>
          <w:rFonts w:ascii="Arial" w:hAnsi="Arial" w:cs="Arial"/>
          <w:i/>
          <w:sz w:val="22"/>
          <w:szCs w:val="21"/>
          <w:lang w:val="es-CO"/>
        </w:rPr>
        <w:t>“</w:t>
      </w:r>
      <w:r w:rsidRPr="00A21B5C">
        <w:rPr>
          <w:rFonts w:ascii="Arial" w:hAnsi="Arial" w:cs="Arial"/>
          <w:sz w:val="22"/>
          <w:szCs w:val="21"/>
          <w:lang w:val="es-CO"/>
        </w:rPr>
        <w:t>e</w:t>
      </w:r>
      <w:r w:rsidRPr="00A21B5C">
        <w:rPr>
          <w:rFonts w:ascii="Arial" w:hAnsi="Arial" w:cs="Arial"/>
          <w:i/>
          <w:color w:val="000000"/>
          <w:sz w:val="22"/>
          <w:szCs w:val="21"/>
          <w:lang w:val="es-CO"/>
        </w:rPr>
        <w:t>n caso que un resguardo indígena no administre la asignación especial del Sistema General de Participaciones, o no se haya asociado con otros para administrarlos, su ejecución se realizará mediante la celebración de un contrato de administración suscrito entre la entidad territorial respectiva y el representante legal del resguardo designad</w:t>
      </w:r>
      <w:r w:rsidR="001A6907">
        <w:rPr>
          <w:rFonts w:ascii="Arial" w:hAnsi="Arial" w:cs="Arial"/>
          <w:i/>
          <w:color w:val="000000"/>
          <w:sz w:val="22"/>
          <w:szCs w:val="21"/>
          <w:lang w:val="es-CO"/>
        </w:rPr>
        <w:t>o por las autoridades propias”.</w:t>
      </w:r>
    </w:p>
    <w:p w:rsidR="001A6907" w:rsidRPr="00A21B5C" w:rsidRDefault="001A6907" w:rsidP="00A21B5C">
      <w:pPr>
        <w:spacing w:after="200"/>
        <w:contextualSpacing/>
        <w:jc w:val="both"/>
        <w:rPr>
          <w:rFonts w:ascii="Arial" w:hAnsi="Arial" w:cs="Arial"/>
          <w:i/>
          <w:color w:val="000000"/>
          <w:sz w:val="22"/>
          <w:szCs w:val="21"/>
          <w:lang w:val="es-CO"/>
        </w:rPr>
      </w:pPr>
    </w:p>
    <w:p w:rsidR="008C2E4A" w:rsidRPr="00A21B5C" w:rsidRDefault="008C2E4A" w:rsidP="00100DED">
      <w:pPr>
        <w:spacing w:after="200"/>
        <w:contextualSpacing/>
        <w:jc w:val="both"/>
        <w:rPr>
          <w:rFonts w:ascii="Arial" w:hAnsi="Arial" w:cs="Arial"/>
          <w:i/>
          <w:color w:val="000000"/>
          <w:sz w:val="22"/>
          <w:szCs w:val="21"/>
          <w:lang w:val="es-CO"/>
        </w:rPr>
      </w:pPr>
      <w:r w:rsidRPr="00A21B5C">
        <w:rPr>
          <w:rFonts w:ascii="Arial" w:hAnsi="Arial" w:cs="Arial"/>
          <w:color w:val="000000"/>
          <w:sz w:val="22"/>
          <w:szCs w:val="21"/>
          <w:lang w:val="es-CO"/>
        </w:rPr>
        <w:t xml:space="preserve">Al respecto, el Departamento Nacional de Planeación indica en su documento de Orientaciones para la programación, Administración y ejecución de los recursos de la AESGPRI, que: </w:t>
      </w:r>
      <w:r w:rsidRPr="00A21B5C">
        <w:rPr>
          <w:rFonts w:ascii="Arial" w:hAnsi="Arial" w:cs="Arial"/>
          <w:i/>
          <w:color w:val="000000"/>
          <w:sz w:val="22"/>
          <w:szCs w:val="21"/>
          <w:lang w:val="es-CO"/>
        </w:rPr>
        <w:t>“Para efectos del cumplimiento del objeto del contrato entre el alcalde y las autoridades del resguardo, previsto en el artículo 83 de la Ley 715 de 2011, el alcalde o gobernador, según el caso, debe adelantar los procesos contractuales para la adjudicación de la ejecución de cada uno de los proyectos</w:t>
      </w:r>
      <w:r w:rsidR="00570FBE" w:rsidRPr="00A21B5C">
        <w:rPr>
          <w:rFonts w:ascii="Arial" w:hAnsi="Arial" w:cs="Arial"/>
          <w:i/>
          <w:color w:val="000000"/>
          <w:sz w:val="22"/>
          <w:szCs w:val="21"/>
          <w:lang w:val="es-CO"/>
        </w:rPr>
        <w:t xml:space="preserve"> [</w:t>
      </w:r>
      <w:r w:rsidRPr="00A21B5C">
        <w:rPr>
          <w:rFonts w:ascii="Arial" w:hAnsi="Arial" w:cs="Arial"/>
          <w:i/>
          <w:color w:val="000000"/>
          <w:sz w:val="22"/>
          <w:szCs w:val="21"/>
          <w:lang w:val="es-CO"/>
        </w:rPr>
        <w:t>…</w:t>
      </w:r>
      <w:r w:rsidR="00570FBE" w:rsidRPr="00A21B5C">
        <w:rPr>
          <w:rFonts w:ascii="Arial" w:hAnsi="Arial" w:cs="Arial"/>
          <w:i/>
          <w:color w:val="000000"/>
          <w:sz w:val="22"/>
          <w:szCs w:val="21"/>
          <w:lang w:val="es-CO"/>
        </w:rPr>
        <w:t>]</w:t>
      </w:r>
      <w:r w:rsidRPr="00A21B5C">
        <w:rPr>
          <w:rFonts w:ascii="Arial" w:hAnsi="Arial" w:cs="Arial"/>
          <w:i/>
          <w:color w:val="000000"/>
          <w:sz w:val="22"/>
          <w:szCs w:val="21"/>
          <w:lang w:val="es-CO"/>
        </w:rPr>
        <w:t>”</w:t>
      </w:r>
      <w:r w:rsidR="00570FBE" w:rsidRPr="00A21B5C">
        <w:rPr>
          <w:rFonts w:ascii="Arial" w:hAnsi="Arial" w:cs="Arial"/>
          <w:i/>
          <w:color w:val="000000"/>
          <w:sz w:val="22"/>
          <w:szCs w:val="21"/>
          <w:lang w:val="es-CO"/>
        </w:rPr>
        <w:t>.</w:t>
      </w:r>
    </w:p>
    <w:p w:rsidR="00E91EEB" w:rsidRPr="00A21B5C" w:rsidRDefault="00E91EEB" w:rsidP="00A21B5C">
      <w:pPr>
        <w:spacing w:after="200"/>
        <w:contextualSpacing/>
        <w:jc w:val="both"/>
        <w:rPr>
          <w:rFonts w:ascii="Arial" w:hAnsi="Arial" w:cs="Arial"/>
          <w:color w:val="000000"/>
          <w:sz w:val="22"/>
          <w:szCs w:val="21"/>
          <w:lang w:val="es-CO"/>
        </w:rPr>
      </w:pPr>
    </w:p>
    <w:p w:rsidR="008C2E4A" w:rsidRPr="00A21B5C" w:rsidRDefault="008C2E4A" w:rsidP="00A21B5C">
      <w:pPr>
        <w:contextualSpacing/>
        <w:jc w:val="both"/>
        <w:rPr>
          <w:rFonts w:ascii="Arial" w:eastAsia="Times New Roman" w:hAnsi="Arial" w:cs="Arial"/>
          <w:sz w:val="22"/>
          <w:szCs w:val="22"/>
        </w:rPr>
      </w:pPr>
      <w:r w:rsidRPr="00A21B5C">
        <w:rPr>
          <w:rFonts w:ascii="Arial" w:eastAsia="Times New Roman" w:hAnsi="Arial" w:cs="Arial"/>
          <w:sz w:val="22"/>
          <w:szCs w:val="22"/>
        </w:rPr>
        <w:t xml:space="preserve">Así, en revisión al Contrato de Administración suscrito entre el Municipio de Dibulla - La Guajira y el Resguardo Indígena </w:t>
      </w:r>
      <w:r w:rsidRPr="00A21B5C">
        <w:rPr>
          <w:rFonts w:ascii="Arial" w:eastAsia="Times New Roman" w:hAnsi="Arial" w:cs="Arial"/>
          <w:iCs/>
          <w:sz w:val="22"/>
          <w:szCs w:val="22"/>
        </w:rPr>
        <w:t>Kogui – Malayo - Arhuaco</w:t>
      </w:r>
      <w:r w:rsidRPr="00A21B5C">
        <w:rPr>
          <w:rFonts w:ascii="Arial" w:eastAsia="Times New Roman" w:hAnsi="Arial" w:cs="Arial"/>
          <w:sz w:val="22"/>
          <w:szCs w:val="22"/>
        </w:rPr>
        <w:t xml:space="preserve"> para las vigencias 2016, 2017 y 2018, esta Dirección conoció que el Resguardo Indígena programó la totalidad de los recursos disponibles para cada una de las vigencias, priorizando proyectos de inversión en Sectores como </w:t>
      </w:r>
      <w:r w:rsidRPr="00A21B5C">
        <w:rPr>
          <w:rFonts w:ascii="Arial" w:hAnsi="Arial" w:cs="Arial"/>
          <w:sz w:val="22"/>
          <w:szCs w:val="22"/>
          <w:lang w:val="es-CO"/>
        </w:rPr>
        <w:t>como Educación, Cultura, Salud e Infraestructura.</w:t>
      </w:r>
    </w:p>
    <w:p w:rsidR="008C2E4A" w:rsidRPr="00A21B5C" w:rsidRDefault="008C2E4A" w:rsidP="00A21B5C">
      <w:pPr>
        <w:contextualSpacing/>
        <w:jc w:val="both"/>
        <w:rPr>
          <w:rFonts w:ascii="Arial" w:eastAsia="Calibri" w:hAnsi="Arial" w:cs="Arial"/>
          <w:sz w:val="22"/>
          <w:szCs w:val="22"/>
          <w:lang w:val="es-CO" w:eastAsia="en-US"/>
        </w:rPr>
      </w:pPr>
    </w:p>
    <w:p w:rsidR="008C2E4A" w:rsidRPr="00A21B5C" w:rsidRDefault="008C2E4A" w:rsidP="00A21B5C">
      <w:pPr>
        <w:contextualSpacing/>
        <w:jc w:val="both"/>
        <w:rPr>
          <w:rFonts w:ascii="Arial" w:eastAsia="Calibri" w:hAnsi="Arial" w:cs="Arial"/>
          <w:sz w:val="22"/>
          <w:szCs w:val="22"/>
          <w:lang w:val="es-CO" w:eastAsia="en-US"/>
        </w:rPr>
      </w:pPr>
      <w:r w:rsidRPr="00A21B5C">
        <w:rPr>
          <w:rFonts w:ascii="Arial" w:eastAsia="Calibri" w:hAnsi="Arial" w:cs="Arial"/>
          <w:sz w:val="22"/>
          <w:szCs w:val="22"/>
          <w:lang w:val="es-CO" w:eastAsia="en-US"/>
        </w:rPr>
        <w:t>Al respecto, a partir de la información presupuestal compartida por la Entidad Territorial en los documentos de las Ejecuciones Presupuestales de Ingresos y Gastos, se identificó que durante las vigencias</w:t>
      </w:r>
      <w:r w:rsidR="00C0151E" w:rsidRPr="00A21B5C">
        <w:rPr>
          <w:rFonts w:ascii="Arial" w:eastAsia="Calibri" w:hAnsi="Arial" w:cs="Arial"/>
          <w:sz w:val="22"/>
          <w:szCs w:val="22"/>
          <w:lang w:val="es-CO" w:eastAsia="en-US"/>
        </w:rPr>
        <w:t xml:space="preserve"> analizadas</w:t>
      </w:r>
      <w:r w:rsidRPr="00A21B5C">
        <w:rPr>
          <w:rFonts w:ascii="Arial" w:eastAsia="Calibri" w:hAnsi="Arial" w:cs="Arial"/>
          <w:sz w:val="22"/>
          <w:szCs w:val="22"/>
          <w:lang w:val="es-CO" w:eastAsia="en-US"/>
        </w:rPr>
        <w:t xml:space="preserve"> los recursos de la AESGPRI no sobrepasan el </w:t>
      </w:r>
      <w:r w:rsidR="00C0151E" w:rsidRPr="00A21B5C">
        <w:rPr>
          <w:rFonts w:ascii="Arial" w:eastAsia="Calibri" w:hAnsi="Arial" w:cs="Arial"/>
          <w:sz w:val="22"/>
          <w:szCs w:val="22"/>
          <w:lang w:val="es-CO" w:eastAsia="en-US"/>
        </w:rPr>
        <w:t>6</w:t>
      </w:r>
      <w:r w:rsidRPr="00A21B5C">
        <w:rPr>
          <w:rFonts w:ascii="Arial" w:eastAsia="Calibri" w:hAnsi="Arial" w:cs="Arial"/>
          <w:sz w:val="22"/>
          <w:szCs w:val="22"/>
          <w:lang w:val="es-CO" w:eastAsia="en-US"/>
        </w:rPr>
        <w:t>0</w:t>
      </w:r>
      <w:r w:rsidR="00570FBE" w:rsidRPr="00A21B5C">
        <w:rPr>
          <w:rFonts w:ascii="Arial" w:eastAsia="Calibri" w:hAnsi="Arial" w:cs="Arial"/>
          <w:sz w:val="22"/>
          <w:szCs w:val="22"/>
          <w:lang w:val="es-CO" w:eastAsia="en-US"/>
        </w:rPr>
        <w:t xml:space="preserve"> </w:t>
      </w:r>
      <w:r w:rsidRPr="00A21B5C">
        <w:rPr>
          <w:rFonts w:ascii="Arial" w:eastAsia="Calibri" w:hAnsi="Arial" w:cs="Arial"/>
          <w:sz w:val="22"/>
          <w:szCs w:val="22"/>
          <w:lang w:val="es-CO" w:eastAsia="en-US"/>
        </w:rPr>
        <w:t xml:space="preserve">% en la ejecución de los recursos, destacándose </w:t>
      </w:r>
      <w:r w:rsidR="00613441" w:rsidRPr="00A21B5C">
        <w:rPr>
          <w:rFonts w:ascii="Arial" w:eastAsia="Calibri" w:hAnsi="Arial" w:cs="Arial"/>
          <w:sz w:val="22"/>
          <w:szCs w:val="22"/>
          <w:lang w:val="es-CO" w:eastAsia="en-US"/>
        </w:rPr>
        <w:t xml:space="preserve">la </w:t>
      </w:r>
      <w:r w:rsidRPr="00A21B5C">
        <w:rPr>
          <w:rFonts w:ascii="Arial" w:eastAsia="Calibri" w:hAnsi="Arial" w:cs="Arial"/>
          <w:sz w:val="22"/>
          <w:szCs w:val="22"/>
          <w:lang w:val="es-CO" w:eastAsia="en-US"/>
        </w:rPr>
        <w:t>vigencia fiscal 2018 en la cual se ejecutó solo el 8</w:t>
      </w:r>
      <w:r w:rsidR="00570FBE" w:rsidRPr="00A21B5C">
        <w:rPr>
          <w:rFonts w:ascii="Arial" w:eastAsia="Calibri" w:hAnsi="Arial" w:cs="Arial"/>
          <w:sz w:val="22"/>
          <w:szCs w:val="22"/>
          <w:lang w:val="es-CO" w:eastAsia="en-US"/>
        </w:rPr>
        <w:t xml:space="preserve"> </w:t>
      </w:r>
      <w:r w:rsidRPr="00A21B5C">
        <w:rPr>
          <w:rFonts w:ascii="Arial" w:eastAsia="Calibri" w:hAnsi="Arial" w:cs="Arial"/>
          <w:sz w:val="22"/>
          <w:szCs w:val="22"/>
          <w:lang w:val="es-CO" w:eastAsia="en-US"/>
        </w:rPr>
        <w:t xml:space="preserve">% de los mismos.  </w:t>
      </w:r>
    </w:p>
    <w:p w:rsidR="008C2E4A" w:rsidRPr="00A21B5C" w:rsidRDefault="008C2E4A" w:rsidP="00A21B5C">
      <w:pPr>
        <w:contextualSpacing/>
        <w:jc w:val="both"/>
        <w:rPr>
          <w:rFonts w:ascii="Arial" w:eastAsia="Calibri" w:hAnsi="Arial" w:cs="Arial"/>
          <w:sz w:val="22"/>
          <w:szCs w:val="22"/>
          <w:lang w:val="es-CO" w:eastAsia="en-US"/>
        </w:rPr>
      </w:pPr>
    </w:p>
    <w:tbl>
      <w:tblPr>
        <w:tblW w:w="8828" w:type="dxa"/>
        <w:jc w:val="center"/>
        <w:tblCellMar>
          <w:left w:w="70" w:type="dxa"/>
          <w:right w:w="70" w:type="dxa"/>
        </w:tblCellMar>
        <w:tblLook w:val="04A0" w:firstRow="1" w:lastRow="0" w:firstColumn="1" w:lastColumn="0" w:noHBand="0" w:noVBand="1"/>
      </w:tblPr>
      <w:tblGrid>
        <w:gridCol w:w="3040"/>
        <w:gridCol w:w="1480"/>
        <w:gridCol w:w="1480"/>
        <w:gridCol w:w="1480"/>
        <w:gridCol w:w="1348"/>
      </w:tblGrid>
      <w:tr w:rsidR="00C0151E" w:rsidRPr="00A21B5C" w:rsidTr="00613441">
        <w:trPr>
          <w:trHeight w:val="300"/>
          <w:jc w:val="center"/>
        </w:trPr>
        <w:tc>
          <w:tcPr>
            <w:tcW w:w="3040" w:type="dxa"/>
            <w:tcBorders>
              <w:top w:val="single" w:sz="4" w:space="0" w:color="auto"/>
              <w:left w:val="dashSmallGap" w:sz="4" w:space="0" w:color="A6A6A6" w:themeColor="background1" w:themeShade="A6"/>
              <w:bottom w:val="single" w:sz="4" w:space="0" w:color="auto"/>
              <w:right w:val="dashSmallGap" w:sz="4" w:space="0" w:color="A6A6A6" w:themeColor="background1" w:themeShade="A6"/>
            </w:tcBorders>
            <w:shd w:val="clear" w:color="auto" w:fill="215868" w:themeFill="accent5" w:themeFillShade="80"/>
            <w:noWrap/>
            <w:vAlign w:val="center"/>
            <w:hideMark/>
          </w:tcPr>
          <w:p w:rsidR="00C0151E" w:rsidRPr="00A21B5C" w:rsidRDefault="00C0151E" w:rsidP="00A21B5C">
            <w:pPr>
              <w:contextualSpacing/>
              <w:jc w:val="center"/>
              <w:rPr>
                <w:rFonts w:ascii="Arial" w:eastAsia="Times New Roman" w:hAnsi="Arial" w:cs="Arial"/>
                <w:b/>
                <w:color w:val="FFFFFF" w:themeColor="background1"/>
                <w:sz w:val="22"/>
                <w:szCs w:val="22"/>
                <w:lang w:val="es-CO" w:eastAsia="es-CO"/>
              </w:rPr>
            </w:pPr>
            <w:r w:rsidRPr="00A21B5C">
              <w:rPr>
                <w:rFonts w:ascii="Arial" w:eastAsia="Times New Roman" w:hAnsi="Arial" w:cs="Arial"/>
                <w:b/>
                <w:color w:val="FFFFFF" w:themeColor="background1"/>
                <w:sz w:val="22"/>
                <w:szCs w:val="22"/>
                <w:lang w:val="es-CO" w:eastAsia="es-CO"/>
              </w:rPr>
              <w:t>Recursos</w:t>
            </w:r>
          </w:p>
        </w:tc>
        <w:tc>
          <w:tcPr>
            <w:tcW w:w="1480" w:type="dxa"/>
            <w:tcBorders>
              <w:top w:val="single" w:sz="4" w:space="0" w:color="auto"/>
              <w:left w:val="dashSmallGap" w:sz="4" w:space="0" w:color="A6A6A6" w:themeColor="background1" w:themeShade="A6"/>
              <w:bottom w:val="single" w:sz="4" w:space="0" w:color="auto"/>
              <w:right w:val="dashSmallGap" w:sz="4" w:space="0" w:color="A6A6A6" w:themeColor="background1" w:themeShade="A6"/>
            </w:tcBorders>
            <w:shd w:val="clear" w:color="auto" w:fill="215868" w:themeFill="accent5" w:themeFillShade="80"/>
            <w:noWrap/>
            <w:vAlign w:val="center"/>
            <w:hideMark/>
          </w:tcPr>
          <w:p w:rsidR="00C0151E" w:rsidRPr="00A21B5C" w:rsidRDefault="00C0151E" w:rsidP="00A21B5C">
            <w:pPr>
              <w:contextualSpacing/>
              <w:jc w:val="center"/>
              <w:rPr>
                <w:rFonts w:ascii="Arial" w:eastAsia="Times New Roman" w:hAnsi="Arial" w:cs="Arial"/>
                <w:b/>
                <w:bCs/>
                <w:color w:val="FFFFFF" w:themeColor="background1"/>
                <w:sz w:val="22"/>
                <w:szCs w:val="22"/>
                <w:lang w:val="es-CO" w:eastAsia="es-CO"/>
              </w:rPr>
            </w:pPr>
            <w:r w:rsidRPr="00A21B5C">
              <w:rPr>
                <w:rFonts w:ascii="Arial" w:eastAsia="Times New Roman" w:hAnsi="Arial" w:cs="Arial"/>
                <w:b/>
                <w:bCs/>
                <w:color w:val="FFFFFF" w:themeColor="background1"/>
                <w:sz w:val="22"/>
                <w:szCs w:val="22"/>
                <w:lang w:val="es-CO" w:eastAsia="es-CO"/>
              </w:rPr>
              <w:t>2016</w:t>
            </w:r>
          </w:p>
        </w:tc>
        <w:tc>
          <w:tcPr>
            <w:tcW w:w="1480" w:type="dxa"/>
            <w:tcBorders>
              <w:top w:val="single" w:sz="4" w:space="0" w:color="auto"/>
              <w:left w:val="dashSmallGap" w:sz="4" w:space="0" w:color="A6A6A6" w:themeColor="background1" w:themeShade="A6"/>
              <w:bottom w:val="single" w:sz="4" w:space="0" w:color="auto"/>
              <w:right w:val="dashSmallGap" w:sz="4" w:space="0" w:color="A6A6A6" w:themeColor="background1" w:themeShade="A6"/>
            </w:tcBorders>
            <w:shd w:val="clear" w:color="auto" w:fill="215868" w:themeFill="accent5" w:themeFillShade="80"/>
            <w:noWrap/>
            <w:vAlign w:val="center"/>
            <w:hideMark/>
          </w:tcPr>
          <w:p w:rsidR="00C0151E" w:rsidRPr="00A21B5C" w:rsidRDefault="00C0151E" w:rsidP="00A21B5C">
            <w:pPr>
              <w:contextualSpacing/>
              <w:jc w:val="center"/>
              <w:rPr>
                <w:rFonts w:ascii="Arial" w:eastAsia="Times New Roman" w:hAnsi="Arial" w:cs="Arial"/>
                <w:b/>
                <w:bCs/>
                <w:color w:val="FFFFFF" w:themeColor="background1"/>
                <w:sz w:val="22"/>
                <w:szCs w:val="22"/>
                <w:lang w:val="es-CO" w:eastAsia="es-CO"/>
              </w:rPr>
            </w:pPr>
            <w:r w:rsidRPr="00A21B5C">
              <w:rPr>
                <w:rFonts w:ascii="Arial" w:eastAsia="Times New Roman" w:hAnsi="Arial" w:cs="Arial"/>
                <w:b/>
                <w:bCs/>
                <w:color w:val="FFFFFF" w:themeColor="background1"/>
                <w:sz w:val="22"/>
                <w:szCs w:val="22"/>
                <w:lang w:val="es-CO" w:eastAsia="es-CO"/>
              </w:rPr>
              <w:t>2017</w:t>
            </w:r>
          </w:p>
        </w:tc>
        <w:tc>
          <w:tcPr>
            <w:tcW w:w="1480" w:type="dxa"/>
            <w:tcBorders>
              <w:top w:val="single" w:sz="4" w:space="0" w:color="auto"/>
              <w:left w:val="dashSmallGap" w:sz="4" w:space="0" w:color="A6A6A6" w:themeColor="background1" w:themeShade="A6"/>
              <w:bottom w:val="single" w:sz="4" w:space="0" w:color="auto"/>
              <w:right w:val="dashSmallGap" w:sz="4" w:space="0" w:color="A6A6A6" w:themeColor="background1" w:themeShade="A6"/>
            </w:tcBorders>
            <w:shd w:val="clear" w:color="auto" w:fill="215868" w:themeFill="accent5" w:themeFillShade="80"/>
            <w:noWrap/>
            <w:vAlign w:val="center"/>
            <w:hideMark/>
          </w:tcPr>
          <w:p w:rsidR="00C0151E" w:rsidRPr="00A21B5C" w:rsidRDefault="00C0151E" w:rsidP="00A21B5C">
            <w:pPr>
              <w:contextualSpacing/>
              <w:jc w:val="center"/>
              <w:rPr>
                <w:rFonts w:ascii="Arial" w:eastAsia="Times New Roman" w:hAnsi="Arial" w:cs="Arial"/>
                <w:b/>
                <w:bCs/>
                <w:color w:val="FFFFFF" w:themeColor="background1"/>
                <w:sz w:val="22"/>
                <w:szCs w:val="22"/>
                <w:lang w:val="es-CO" w:eastAsia="es-CO"/>
              </w:rPr>
            </w:pPr>
            <w:r w:rsidRPr="00A21B5C">
              <w:rPr>
                <w:rFonts w:ascii="Arial" w:eastAsia="Times New Roman" w:hAnsi="Arial" w:cs="Arial"/>
                <w:b/>
                <w:bCs/>
                <w:color w:val="FFFFFF" w:themeColor="background1"/>
                <w:sz w:val="22"/>
                <w:szCs w:val="22"/>
                <w:lang w:val="es-CO" w:eastAsia="es-CO"/>
              </w:rPr>
              <w:t>2018</w:t>
            </w:r>
          </w:p>
        </w:tc>
        <w:tc>
          <w:tcPr>
            <w:tcW w:w="1348" w:type="dxa"/>
            <w:tcBorders>
              <w:top w:val="single" w:sz="4" w:space="0" w:color="auto"/>
              <w:left w:val="dashSmallGap" w:sz="4" w:space="0" w:color="A6A6A6" w:themeColor="background1" w:themeShade="A6"/>
              <w:bottom w:val="single" w:sz="4" w:space="0" w:color="auto"/>
              <w:right w:val="dashSmallGap" w:sz="4" w:space="0" w:color="A6A6A6" w:themeColor="background1" w:themeShade="A6"/>
            </w:tcBorders>
            <w:shd w:val="clear" w:color="auto" w:fill="215868" w:themeFill="accent5" w:themeFillShade="80"/>
          </w:tcPr>
          <w:p w:rsidR="00C0151E" w:rsidRPr="00A21B5C" w:rsidRDefault="00C0151E" w:rsidP="00A21B5C">
            <w:pPr>
              <w:contextualSpacing/>
              <w:jc w:val="center"/>
              <w:rPr>
                <w:rFonts w:ascii="Arial" w:eastAsia="Times New Roman" w:hAnsi="Arial" w:cs="Arial"/>
                <w:b/>
                <w:bCs/>
                <w:color w:val="FFFFFF" w:themeColor="background1"/>
                <w:sz w:val="22"/>
                <w:szCs w:val="22"/>
                <w:lang w:val="es-CO" w:eastAsia="es-CO"/>
              </w:rPr>
            </w:pPr>
            <w:r w:rsidRPr="00A21B5C">
              <w:rPr>
                <w:rFonts w:ascii="Arial" w:eastAsia="Times New Roman" w:hAnsi="Arial" w:cs="Arial"/>
                <w:b/>
                <w:bCs/>
                <w:color w:val="FFFFFF" w:themeColor="background1"/>
                <w:sz w:val="22"/>
                <w:szCs w:val="22"/>
                <w:lang w:val="es-CO" w:eastAsia="es-CO"/>
              </w:rPr>
              <w:t>2019</w:t>
            </w:r>
          </w:p>
        </w:tc>
      </w:tr>
      <w:tr w:rsidR="00C0151E" w:rsidRPr="00A21B5C" w:rsidTr="00613441">
        <w:trPr>
          <w:trHeight w:val="300"/>
          <w:jc w:val="center"/>
        </w:trPr>
        <w:tc>
          <w:tcPr>
            <w:tcW w:w="3040"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hideMark/>
          </w:tcPr>
          <w:p w:rsidR="00C0151E" w:rsidRPr="00A21B5C" w:rsidRDefault="00C0151E" w:rsidP="00A21B5C">
            <w:pPr>
              <w:contextualSpacing/>
              <w:rPr>
                <w:rFonts w:ascii="Arial" w:eastAsia="Times New Roman" w:hAnsi="Arial" w:cs="Arial"/>
                <w:color w:val="000000"/>
                <w:sz w:val="22"/>
                <w:szCs w:val="22"/>
                <w:lang w:val="es-CO" w:eastAsia="es-CO"/>
              </w:rPr>
            </w:pPr>
            <w:r w:rsidRPr="00A21B5C">
              <w:rPr>
                <w:rFonts w:ascii="Arial" w:eastAsia="Times New Roman" w:hAnsi="Arial" w:cs="Arial"/>
                <w:color w:val="000000"/>
                <w:sz w:val="22"/>
                <w:szCs w:val="22"/>
                <w:lang w:val="es-CO" w:eastAsia="es-CO"/>
              </w:rPr>
              <w:t>Programados y presupuestados</w:t>
            </w:r>
          </w:p>
        </w:tc>
        <w:tc>
          <w:tcPr>
            <w:tcW w:w="1480"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hideMark/>
          </w:tcPr>
          <w:p w:rsidR="00C0151E" w:rsidRPr="00A21B5C" w:rsidRDefault="00C0151E" w:rsidP="00A21B5C">
            <w:pPr>
              <w:contextualSpacing/>
              <w:jc w:val="right"/>
              <w:rPr>
                <w:rFonts w:ascii="Arial" w:eastAsia="Times New Roman" w:hAnsi="Arial" w:cs="Arial"/>
                <w:bCs/>
                <w:color w:val="000000"/>
                <w:sz w:val="22"/>
                <w:szCs w:val="22"/>
                <w:lang w:val="es-CO" w:eastAsia="es-CO"/>
              </w:rPr>
            </w:pPr>
            <w:r w:rsidRPr="00A21B5C">
              <w:rPr>
                <w:rFonts w:ascii="Arial" w:eastAsia="Times New Roman" w:hAnsi="Arial" w:cs="Arial"/>
                <w:bCs/>
                <w:color w:val="000000"/>
                <w:sz w:val="22"/>
                <w:szCs w:val="22"/>
                <w:lang w:val="es-CO" w:eastAsia="es-CO"/>
              </w:rPr>
              <w:t>$4.623</w:t>
            </w:r>
          </w:p>
        </w:tc>
        <w:tc>
          <w:tcPr>
            <w:tcW w:w="1480"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hideMark/>
          </w:tcPr>
          <w:p w:rsidR="00C0151E" w:rsidRPr="00A21B5C" w:rsidRDefault="00C0151E" w:rsidP="00A21B5C">
            <w:pPr>
              <w:contextualSpacing/>
              <w:jc w:val="right"/>
              <w:rPr>
                <w:rFonts w:ascii="Arial" w:eastAsia="Times New Roman" w:hAnsi="Arial" w:cs="Arial"/>
                <w:bCs/>
                <w:color w:val="000000"/>
                <w:sz w:val="22"/>
                <w:szCs w:val="22"/>
                <w:lang w:val="es-CO" w:eastAsia="es-CO"/>
              </w:rPr>
            </w:pPr>
            <w:r w:rsidRPr="00A21B5C">
              <w:rPr>
                <w:rFonts w:ascii="Arial" w:eastAsia="Times New Roman" w:hAnsi="Arial" w:cs="Arial"/>
                <w:bCs/>
                <w:color w:val="000000"/>
                <w:sz w:val="22"/>
                <w:szCs w:val="22"/>
                <w:lang w:val="es-CO" w:eastAsia="es-CO"/>
              </w:rPr>
              <w:t>$4.261</w:t>
            </w:r>
          </w:p>
        </w:tc>
        <w:tc>
          <w:tcPr>
            <w:tcW w:w="1480"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hideMark/>
          </w:tcPr>
          <w:p w:rsidR="00C0151E" w:rsidRPr="00A21B5C" w:rsidRDefault="00C0151E" w:rsidP="00A21B5C">
            <w:pPr>
              <w:contextualSpacing/>
              <w:jc w:val="right"/>
              <w:rPr>
                <w:rFonts w:ascii="Arial" w:eastAsia="Times New Roman" w:hAnsi="Arial" w:cs="Arial"/>
                <w:bCs/>
                <w:color w:val="000000"/>
                <w:sz w:val="22"/>
                <w:szCs w:val="22"/>
                <w:lang w:val="es-CO" w:eastAsia="es-CO"/>
              </w:rPr>
            </w:pPr>
            <w:r w:rsidRPr="00A21B5C">
              <w:rPr>
                <w:rFonts w:ascii="Arial" w:eastAsia="Times New Roman" w:hAnsi="Arial" w:cs="Arial"/>
                <w:bCs/>
                <w:color w:val="000000"/>
                <w:sz w:val="22"/>
                <w:szCs w:val="22"/>
                <w:lang w:val="es-CO" w:eastAsia="es-CO"/>
              </w:rPr>
              <w:t>$4.448</w:t>
            </w:r>
          </w:p>
        </w:tc>
        <w:tc>
          <w:tcPr>
            <w:tcW w:w="1348" w:type="dxa"/>
            <w:tcBorders>
              <w:top w:val="nil"/>
              <w:left w:val="dashSmallGap" w:sz="4" w:space="0" w:color="A6A6A6" w:themeColor="background1" w:themeShade="A6"/>
              <w:bottom w:val="single" w:sz="4" w:space="0" w:color="auto"/>
              <w:right w:val="dashSmallGap" w:sz="4" w:space="0" w:color="A6A6A6" w:themeColor="background1" w:themeShade="A6"/>
            </w:tcBorders>
          </w:tcPr>
          <w:p w:rsidR="00C0151E" w:rsidRPr="00A21B5C" w:rsidRDefault="00C0151E" w:rsidP="00A21B5C">
            <w:pPr>
              <w:contextualSpacing/>
              <w:jc w:val="right"/>
              <w:rPr>
                <w:rFonts w:ascii="Arial" w:eastAsia="Times New Roman" w:hAnsi="Arial" w:cs="Arial"/>
                <w:bCs/>
                <w:color w:val="000000"/>
                <w:sz w:val="22"/>
                <w:szCs w:val="22"/>
                <w:lang w:val="es-CO" w:eastAsia="es-CO"/>
              </w:rPr>
            </w:pPr>
            <w:r w:rsidRPr="00A21B5C">
              <w:rPr>
                <w:rFonts w:ascii="Arial" w:eastAsia="Times New Roman" w:hAnsi="Arial" w:cs="Arial"/>
                <w:bCs/>
                <w:color w:val="000000"/>
                <w:sz w:val="22"/>
                <w:szCs w:val="22"/>
                <w:lang w:val="es-CO" w:eastAsia="es-CO"/>
              </w:rPr>
              <w:t>$6.281</w:t>
            </w:r>
          </w:p>
        </w:tc>
      </w:tr>
      <w:tr w:rsidR="00C0151E" w:rsidRPr="00A21B5C" w:rsidTr="00613441">
        <w:trPr>
          <w:trHeight w:val="300"/>
          <w:jc w:val="center"/>
        </w:trPr>
        <w:tc>
          <w:tcPr>
            <w:tcW w:w="3040"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hideMark/>
          </w:tcPr>
          <w:p w:rsidR="00C0151E" w:rsidRPr="00A21B5C" w:rsidRDefault="00C0151E" w:rsidP="00A21B5C">
            <w:pPr>
              <w:contextualSpacing/>
              <w:rPr>
                <w:rFonts w:ascii="Arial" w:eastAsia="Times New Roman" w:hAnsi="Arial" w:cs="Arial"/>
                <w:color w:val="000000"/>
                <w:sz w:val="22"/>
                <w:szCs w:val="22"/>
                <w:lang w:val="es-CO" w:eastAsia="es-CO"/>
              </w:rPr>
            </w:pPr>
            <w:r w:rsidRPr="00A21B5C">
              <w:rPr>
                <w:rFonts w:ascii="Arial" w:eastAsia="Times New Roman" w:hAnsi="Arial" w:cs="Arial"/>
                <w:color w:val="000000"/>
                <w:sz w:val="22"/>
                <w:szCs w:val="22"/>
                <w:lang w:val="es-CO" w:eastAsia="es-CO"/>
              </w:rPr>
              <w:t>Ejecutados</w:t>
            </w:r>
          </w:p>
        </w:tc>
        <w:tc>
          <w:tcPr>
            <w:tcW w:w="1480"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hideMark/>
          </w:tcPr>
          <w:p w:rsidR="00C0151E" w:rsidRPr="00A21B5C" w:rsidRDefault="00C0151E" w:rsidP="00A21B5C">
            <w:pPr>
              <w:contextualSpacing/>
              <w:jc w:val="right"/>
              <w:rPr>
                <w:rFonts w:ascii="Arial" w:eastAsia="Times New Roman" w:hAnsi="Arial" w:cs="Arial"/>
                <w:color w:val="000000"/>
                <w:sz w:val="22"/>
                <w:szCs w:val="22"/>
                <w:lang w:val="es-CO" w:eastAsia="es-CO"/>
              </w:rPr>
            </w:pPr>
            <w:r w:rsidRPr="00A21B5C">
              <w:rPr>
                <w:rFonts w:ascii="Arial" w:eastAsia="Times New Roman" w:hAnsi="Arial" w:cs="Arial"/>
                <w:color w:val="000000"/>
                <w:sz w:val="22"/>
                <w:szCs w:val="22"/>
                <w:lang w:val="es-CO" w:eastAsia="es-CO"/>
              </w:rPr>
              <w:t>$2.220</w:t>
            </w:r>
          </w:p>
        </w:tc>
        <w:tc>
          <w:tcPr>
            <w:tcW w:w="1480"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hideMark/>
          </w:tcPr>
          <w:p w:rsidR="00C0151E" w:rsidRPr="00A21B5C" w:rsidRDefault="00C0151E" w:rsidP="00A21B5C">
            <w:pPr>
              <w:contextualSpacing/>
              <w:jc w:val="right"/>
              <w:rPr>
                <w:rFonts w:ascii="Arial" w:eastAsia="Times New Roman" w:hAnsi="Arial" w:cs="Arial"/>
                <w:color w:val="000000"/>
                <w:sz w:val="22"/>
                <w:szCs w:val="22"/>
                <w:lang w:val="es-CO" w:eastAsia="es-CO"/>
              </w:rPr>
            </w:pPr>
            <w:r w:rsidRPr="00A21B5C">
              <w:rPr>
                <w:rFonts w:ascii="Arial" w:eastAsia="Times New Roman" w:hAnsi="Arial" w:cs="Arial"/>
                <w:color w:val="000000"/>
                <w:sz w:val="22"/>
                <w:szCs w:val="22"/>
                <w:lang w:val="es-CO" w:eastAsia="es-CO"/>
              </w:rPr>
              <w:t>$1.725</w:t>
            </w:r>
          </w:p>
        </w:tc>
        <w:tc>
          <w:tcPr>
            <w:tcW w:w="1480"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hideMark/>
          </w:tcPr>
          <w:p w:rsidR="00C0151E" w:rsidRPr="00A21B5C" w:rsidRDefault="00C0151E" w:rsidP="00A21B5C">
            <w:pPr>
              <w:contextualSpacing/>
              <w:jc w:val="right"/>
              <w:rPr>
                <w:rFonts w:ascii="Arial" w:eastAsia="Times New Roman" w:hAnsi="Arial" w:cs="Arial"/>
                <w:color w:val="000000"/>
                <w:sz w:val="22"/>
                <w:szCs w:val="22"/>
                <w:lang w:val="es-CO" w:eastAsia="es-CO"/>
              </w:rPr>
            </w:pPr>
            <w:r w:rsidRPr="00A21B5C">
              <w:rPr>
                <w:rFonts w:ascii="Arial" w:eastAsia="Times New Roman" w:hAnsi="Arial" w:cs="Arial"/>
                <w:color w:val="000000"/>
                <w:sz w:val="22"/>
                <w:szCs w:val="22"/>
                <w:lang w:val="es-CO" w:eastAsia="es-CO"/>
              </w:rPr>
              <w:t>$353</w:t>
            </w:r>
          </w:p>
        </w:tc>
        <w:tc>
          <w:tcPr>
            <w:tcW w:w="1348" w:type="dxa"/>
            <w:tcBorders>
              <w:top w:val="nil"/>
              <w:left w:val="dashSmallGap" w:sz="4" w:space="0" w:color="A6A6A6" w:themeColor="background1" w:themeShade="A6"/>
              <w:bottom w:val="single" w:sz="4" w:space="0" w:color="auto"/>
              <w:right w:val="dashSmallGap" w:sz="4" w:space="0" w:color="A6A6A6" w:themeColor="background1" w:themeShade="A6"/>
            </w:tcBorders>
          </w:tcPr>
          <w:p w:rsidR="00C0151E" w:rsidRPr="00A21B5C" w:rsidRDefault="00C0151E" w:rsidP="00A21B5C">
            <w:pPr>
              <w:contextualSpacing/>
              <w:jc w:val="right"/>
              <w:rPr>
                <w:rFonts w:ascii="Arial" w:eastAsia="Times New Roman" w:hAnsi="Arial" w:cs="Arial"/>
                <w:color w:val="000000"/>
                <w:sz w:val="22"/>
                <w:szCs w:val="22"/>
                <w:lang w:val="es-CO" w:eastAsia="es-CO"/>
              </w:rPr>
            </w:pPr>
            <w:r w:rsidRPr="00A21B5C">
              <w:rPr>
                <w:rFonts w:ascii="Arial" w:eastAsia="Times New Roman" w:hAnsi="Arial" w:cs="Arial"/>
                <w:color w:val="000000"/>
                <w:sz w:val="22"/>
                <w:szCs w:val="22"/>
                <w:lang w:val="es-CO" w:eastAsia="es-CO"/>
              </w:rPr>
              <w:t>$3.728</w:t>
            </w:r>
          </w:p>
        </w:tc>
      </w:tr>
      <w:tr w:rsidR="00C0151E" w:rsidRPr="00A21B5C" w:rsidTr="00613441">
        <w:trPr>
          <w:trHeight w:val="300"/>
          <w:jc w:val="center"/>
        </w:trPr>
        <w:tc>
          <w:tcPr>
            <w:tcW w:w="3040"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hideMark/>
          </w:tcPr>
          <w:p w:rsidR="00C0151E" w:rsidRPr="00A21B5C" w:rsidRDefault="00C0151E" w:rsidP="00A21B5C">
            <w:pPr>
              <w:contextualSpacing/>
              <w:rPr>
                <w:rFonts w:ascii="Arial" w:eastAsia="Times New Roman" w:hAnsi="Arial" w:cs="Arial"/>
                <w:color w:val="000000"/>
                <w:sz w:val="22"/>
                <w:szCs w:val="22"/>
                <w:lang w:val="es-CO" w:eastAsia="es-CO"/>
              </w:rPr>
            </w:pPr>
            <w:r w:rsidRPr="00A21B5C">
              <w:rPr>
                <w:rFonts w:ascii="Arial" w:eastAsia="Times New Roman" w:hAnsi="Arial" w:cs="Arial"/>
                <w:color w:val="000000"/>
                <w:sz w:val="22"/>
                <w:szCs w:val="22"/>
                <w:lang w:val="es-CO" w:eastAsia="es-CO"/>
              </w:rPr>
              <w:t>Sin ejecutar</w:t>
            </w:r>
          </w:p>
        </w:tc>
        <w:tc>
          <w:tcPr>
            <w:tcW w:w="1480"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hideMark/>
          </w:tcPr>
          <w:p w:rsidR="00C0151E" w:rsidRPr="00A21B5C" w:rsidRDefault="00C0151E" w:rsidP="00A21B5C">
            <w:pPr>
              <w:contextualSpacing/>
              <w:jc w:val="right"/>
              <w:rPr>
                <w:rFonts w:ascii="Arial" w:eastAsia="Times New Roman" w:hAnsi="Arial" w:cs="Arial"/>
                <w:color w:val="000000"/>
                <w:sz w:val="22"/>
                <w:szCs w:val="22"/>
                <w:lang w:val="es-CO" w:eastAsia="es-CO"/>
              </w:rPr>
            </w:pPr>
            <w:r w:rsidRPr="00A21B5C">
              <w:rPr>
                <w:rFonts w:ascii="Arial" w:eastAsia="Times New Roman" w:hAnsi="Arial" w:cs="Arial"/>
                <w:color w:val="000000"/>
                <w:sz w:val="22"/>
                <w:szCs w:val="22"/>
                <w:lang w:val="es-CO" w:eastAsia="es-CO"/>
              </w:rPr>
              <w:t>$2.403</w:t>
            </w:r>
          </w:p>
        </w:tc>
        <w:tc>
          <w:tcPr>
            <w:tcW w:w="1480"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hideMark/>
          </w:tcPr>
          <w:p w:rsidR="00C0151E" w:rsidRPr="00A21B5C" w:rsidRDefault="00C0151E" w:rsidP="00A21B5C">
            <w:pPr>
              <w:contextualSpacing/>
              <w:jc w:val="right"/>
              <w:rPr>
                <w:rFonts w:ascii="Arial" w:eastAsia="Times New Roman" w:hAnsi="Arial" w:cs="Arial"/>
                <w:color w:val="000000"/>
                <w:sz w:val="22"/>
                <w:szCs w:val="22"/>
                <w:lang w:val="es-CO" w:eastAsia="es-CO"/>
              </w:rPr>
            </w:pPr>
            <w:r w:rsidRPr="00A21B5C">
              <w:rPr>
                <w:rFonts w:ascii="Arial" w:eastAsia="Times New Roman" w:hAnsi="Arial" w:cs="Arial"/>
                <w:color w:val="000000"/>
                <w:sz w:val="22"/>
                <w:szCs w:val="22"/>
                <w:lang w:val="es-CO" w:eastAsia="es-CO"/>
              </w:rPr>
              <w:t>$2.536</w:t>
            </w:r>
          </w:p>
        </w:tc>
        <w:tc>
          <w:tcPr>
            <w:tcW w:w="1480" w:type="dxa"/>
            <w:tcBorders>
              <w:top w:val="nil"/>
              <w:left w:val="dashSmallGap" w:sz="4" w:space="0" w:color="A6A6A6" w:themeColor="background1" w:themeShade="A6"/>
              <w:bottom w:val="single" w:sz="4" w:space="0" w:color="auto"/>
              <w:right w:val="dashSmallGap" w:sz="4" w:space="0" w:color="A6A6A6" w:themeColor="background1" w:themeShade="A6"/>
            </w:tcBorders>
            <w:noWrap/>
            <w:vAlign w:val="center"/>
            <w:hideMark/>
          </w:tcPr>
          <w:p w:rsidR="00C0151E" w:rsidRPr="00A21B5C" w:rsidRDefault="00C0151E" w:rsidP="00A21B5C">
            <w:pPr>
              <w:contextualSpacing/>
              <w:jc w:val="right"/>
              <w:rPr>
                <w:rFonts w:ascii="Arial" w:eastAsia="Times New Roman" w:hAnsi="Arial" w:cs="Arial"/>
                <w:color w:val="000000"/>
                <w:sz w:val="22"/>
                <w:szCs w:val="22"/>
                <w:lang w:val="es-CO" w:eastAsia="es-CO"/>
              </w:rPr>
            </w:pPr>
            <w:r w:rsidRPr="00A21B5C">
              <w:rPr>
                <w:rFonts w:ascii="Arial" w:eastAsia="Times New Roman" w:hAnsi="Arial" w:cs="Arial"/>
                <w:color w:val="000000"/>
                <w:sz w:val="22"/>
                <w:szCs w:val="22"/>
                <w:lang w:val="es-CO" w:eastAsia="es-CO"/>
              </w:rPr>
              <w:t>$4.095</w:t>
            </w:r>
          </w:p>
        </w:tc>
        <w:tc>
          <w:tcPr>
            <w:tcW w:w="1348" w:type="dxa"/>
            <w:tcBorders>
              <w:top w:val="nil"/>
              <w:left w:val="dashSmallGap" w:sz="4" w:space="0" w:color="A6A6A6" w:themeColor="background1" w:themeShade="A6"/>
              <w:bottom w:val="single" w:sz="4" w:space="0" w:color="auto"/>
              <w:right w:val="dashSmallGap" w:sz="4" w:space="0" w:color="A6A6A6" w:themeColor="background1" w:themeShade="A6"/>
            </w:tcBorders>
          </w:tcPr>
          <w:p w:rsidR="00C0151E" w:rsidRPr="00A21B5C" w:rsidRDefault="00C0151E" w:rsidP="00A21B5C">
            <w:pPr>
              <w:contextualSpacing/>
              <w:jc w:val="right"/>
              <w:rPr>
                <w:rFonts w:ascii="Arial" w:eastAsia="Times New Roman" w:hAnsi="Arial" w:cs="Arial"/>
                <w:color w:val="000000"/>
                <w:sz w:val="22"/>
                <w:szCs w:val="22"/>
                <w:lang w:val="es-CO" w:eastAsia="es-CO"/>
              </w:rPr>
            </w:pPr>
            <w:r w:rsidRPr="00A21B5C">
              <w:rPr>
                <w:rFonts w:ascii="Arial" w:eastAsia="Times New Roman" w:hAnsi="Arial" w:cs="Arial"/>
                <w:color w:val="000000"/>
                <w:sz w:val="22"/>
                <w:szCs w:val="22"/>
                <w:lang w:val="es-CO" w:eastAsia="es-CO"/>
              </w:rPr>
              <w:t>$2.553</w:t>
            </w:r>
          </w:p>
        </w:tc>
      </w:tr>
      <w:tr w:rsidR="00C0151E" w:rsidRPr="00A21B5C" w:rsidTr="00613441">
        <w:trPr>
          <w:trHeight w:val="300"/>
          <w:jc w:val="center"/>
        </w:trPr>
        <w:tc>
          <w:tcPr>
            <w:tcW w:w="3040" w:type="dxa"/>
            <w:tcBorders>
              <w:top w:val="nil"/>
              <w:left w:val="dashSmallGap" w:sz="4" w:space="0" w:color="A6A6A6" w:themeColor="background1" w:themeShade="A6"/>
              <w:bottom w:val="single" w:sz="4" w:space="0" w:color="auto"/>
              <w:right w:val="dashSmallGap" w:sz="4" w:space="0" w:color="A6A6A6" w:themeColor="background1" w:themeShade="A6"/>
            </w:tcBorders>
            <w:shd w:val="clear" w:color="auto" w:fill="DBE5F1" w:themeFill="accent1" w:themeFillTint="33"/>
            <w:noWrap/>
            <w:vAlign w:val="center"/>
            <w:hideMark/>
          </w:tcPr>
          <w:p w:rsidR="00C0151E" w:rsidRPr="00A21B5C" w:rsidRDefault="00C0151E" w:rsidP="00A21B5C">
            <w:pPr>
              <w:contextualSpacing/>
              <w:rPr>
                <w:rFonts w:ascii="Arial" w:eastAsia="Times New Roman" w:hAnsi="Arial" w:cs="Arial"/>
                <w:b/>
                <w:color w:val="000000"/>
                <w:sz w:val="22"/>
                <w:szCs w:val="22"/>
                <w:lang w:val="es-CO" w:eastAsia="es-CO"/>
              </w:rPr>
            </w:pPr>
            <w:r w:rsidRPr="00A21B5C">
              <w:rPr>
                <w:rFonts w:ascii="Arial" w:eastAsia="Times New Roman" w:hAnsi="Arial" w:cs="Arial"/>
                <w:b/>
                <w:color w:val="000000"/>
                <w:sz w:val="22"/>
                <w:szCs w:val="22"/>
                <w:lang w:val="es-CO" w:eastAsia="es-CO"/>
              </w:rPr>
              <w:t>% ejecución</w:t>
            </w:r>
          </w:p>
        </w:tc>
        <w:tc>
          <w:tcPr>
            <w:tcW w:w="1480" w:type="dxa"/>
            <w:tcBorders>
              <w:top w:val="nil"/>
              <w:left w:val="dashSmallGap" w:sz="4" w:space="0" w:color="A6A6A6" w:themeColor="background1" w:themeShade="A6"/>
              <w:bottom w:val="single" w:sz="4" w:space="0" w:color="auto"/>
              <w:right w:val="dashSmallGap" w:sz="4" w:space="0" w:color="A6A6A6" w:themeColor="background1" w:themeShade="A6"/>
            </w:tcBorders>
            <w:shd w:val="clear" w:color="auto" w:fill="DBE5F1" w:themeFill="accent1" w:themeFillTint="33"/>
            <w:noWrap/>
            <w:vAlign w:val="center"/>
            <w:hideMark/>
          </w:tcPr>
          <w:p w:rsidR="00C0151E" w:rsidRPr="00A21B5C" w:rsidRDefault="00C0151E" w:rsidP="00A21B5C">
            <w:pPr>
              <w:contextualSpacing/>
              <w:jc w:val="right"/>
              <w:rPr>
                <w:rFonts w:ascii="Arial" w:eastAsia="Times New Roman" w:hAnsi="Arial" w:cs="Arial"/>
                <w:b/>
                <w:color w:val="000000"/>
                <w:sz w:val="22"/>
                <w:szCs w:val="22"/>
                <w:lang w:val="es-CO" w:eastAsia="es-CO"/>
              </w:rPr>
            </w:pPr>
            <w:r w:rsidRPr="00A21B5C">
              <w:rPr>
                <w:rFonts w:ascii="Arial" w:eastAsia="Times New Roman" w:hAnsi="Arial" w:cs="Arial"/>
                <w:b/>
                <w:color w:val="000000"/>
                <w:sz w:val="22"/>
                <w:szCs w:val="22"/>
                <w:lang w:val="es-CO" w:eastAsia="es-CO"/>
              </w:rPr>
              <w:t>48</w:t>
            </w:r>
            <w:r w:rsidR="00570FBE" w:rsidRPr="00A21B5C">
              <w:rPr>
                <w:rFonts w:ascii="Arial" w:eastAsia="Times New Roman" w:hAnsi="Arial" w:cs="Arial"/>
                <w:b/>
                <w:color w:val="000000"/>
                <w:sz w:val="22"/>
                <w:szCs w:val="22"/>
                <w:lang w:val="es-CO" w:eastAsia="es-CO"/>
              </w:rPr>
              <w:t xml:space="preserve"> </w:t>
            </w:r>
            <w:r w:rsidRPr="00A21B5C">
              <w:rPr>
                <w:rFonts w:ascii="Arial" w:eastAsia="Times New Roman" w:hAnsi="Arial" w:cs="Arial"/>
                <w:b/>
                <w:color w:val="000000"/>
                <w:sz w:val="22"/>
                <w:szCs w:val="22"/>
                <w:lang w:val="es-CO" w:eastAsia="es-CO"/>
              </w:rPr>
              <w:t>%</w:t>
            </w:r>
          </w:p>
        </w:tc>
        <w:tc>
          <w:tcPr>
            <w:tcW w:w="1480" w:type="dxa"/>
            <w:tcBorders>
              <w:top w:val="nil"/>
              <w:left w:val="dashSmallGap" w:sz="4" w:space="0" w:color="A6A6A6" w:themeColor="background1" w:themeShade="A6"/>
              <w:bottom w:val="single" w:sz="4" w:space="0" w:color="auto"/>
              <w:right w:val="dashSmallGap" w:sz="4" w:space="0" w:color="A6A6A6" w:themeColor="background1" w:themeShade="A6"/>
            </w:tcBorders>
            <w:shd w:val="clear" w:color="auto" w:fill="DBE5F1" w:themeFill="accent1" w:themeFillTint="33"/>
            <w:noWrap/>
            <w:vAlign w:val="center"/>
            <w:hideMark/>
          </w:tcPr>
          <w:p w:rsidR="00C0151E" w:rsidRPr="00A21B5C" w:rsidRDefault="00C0151E" w:rsidP="00A21B5C">
            <w:pPr>
              <w:contextualSpacing/>
              <w:jc w:val="right"/>
              <w:rPr>
                <w:rFonts w:ascii="Arial" w:eastAsia="Times New Roman" w:hAnsi="Arial" w:cs="Arial"/>
                <w:b/>
                <w:color w:val="000000"/>
                <w:sz w:val="22"/>
                <w:szCs w:val="22"/>
                <w:lang w:val="es-CO" w:eastAsia="es-CO"/>
              </w:rPr>
            </w:pPr>
            <w:r w:rsidRPr="00A21B5C">
              <w:rPr>
                <w:rFonts w:ascii="Arial" w:eastAsia="Times New Roman" w:hAnsi="Arial" w:cs="Arial"/>
                <w:b/>
                <w:color w:val="000000"/>
                <w:sz w:val="22"/>
                <w:szCs w:val="22"/>
                <w:lang w:val="es-CO" w:eastAsia="es-CO"/>
              </w:rPr>
              <w:t>40</w:t>
            </w:r>
            <w:r w:rsidR="00570FBE" w:rsidRPr="00A21B5C">
              <w:rPr>
                <w:rFonts w:ascii="Arial" w:eastAsia="Times New Roman" w:hAnsi="Arial" w:cs="Arial"/>
                <w:b/>
                <w:color w:val="000000"/>
                <w:sz w:val="22"/>
                <w:szCs w:val="22"/>
                <w:lang w:val="es-CO" w:eastAsia="es-CO"/>
              </w:rPr>
              <w:t xml:space="preserve"> </w:t>
            </w:r>
            <w:r w:rsidRPr="00A21B5C">
              <w:rPr>
                <w:rFonts w:ascii="Arial" w:eastAsia="Times New Roman" w:hAnsi="Arial" w:cs="Arial"/>
                <w:b/>
                <w:color w:val="000000"/>
                <w:sz w:val="22"/>
                <w:szCs w:val="22"/>
                <w:lang w:val="es-CO" w:eastAsia="es-CO"/>
              </w:rPr>
              <w:t>%</w:t>
            </w:r>
          </w:p>
        </w:tc>
        <w:tc>
          <w:tcPr>
            <w:tcW w:w="1480" w:type="dxa"/>
            <w:tcBorders>
              <w:top w:val="nil"/>
              <w:left w:val="dashSmallGap" w:sz="4" w:space="0" w:color="A6A6A6" w:themeColor="background1" w:themeShade="A6"/>
              <w:bottom w:val="single" w:sz="4" w:space="0" w:color="auto"/>
              <w:right w:val="dashSmallGap" w:sz="4" w:space="0" w:color="A6A6A6" w:themeColor="background1" w:themeShade="A6"/>
            </w:tcBorders>
            <w:shd w:val="clear" w:color="auto" w:fill="DBE5F1" w:themeFill="accent1" w:themeFillTint="33"/>
            <w:noWrap/>
            <w:vAlign w:val="center"/>
            <w:hideMark/>
          </w:tcPr>
          <w:p w:rsidR="00C0151E" w:rsidRPr="00A21B5C" w:rsidRDefault="00C0151E" w:rsidP="00A21B5C">
            <w:pPr>
              <w:contextualSpacing/>
              <w:jc w:val="right"/>
              <w:rPr>
                <w:rFonts w:ascii="Arial" w:eastAsia="Times New Roman" w:hAnsi="Arial" w:cs="Arial"/>
                <w:b/>
                <w:color w:val="000000"/>
                <w:sz w:val="22"/>
                <w:szCs w:val="22"/>
                <w:lang w:val="es-CO" w:eastAsia="es-CO"/>
              </w:rPr>
            </w:pPr>
            <w:r w:rsidRPr="00A21B5C">
              <w:rPr>
                <w:rFonts w:ascii="Arial" w:eastAsia="Times New Roman" w:hAnsi="Arial" w:cs="Arial"/>
                <w:b/>
                <w:color w:val="000000"/>
                <w:sz w:val="22"/>
                <w:szCs w:val="22"/>
                <w:lang w:val="es-CO" w:eastAsia="es-CO"/>
              </w:rPr>
              <w:t>8</w:t>
            </w:r>
            <w:r w:rsidR="00570FBE" w:rsidRPr="00A21B5C">
              <w:rPr>
                <w:rFonts w:ascii="Arial" w:eastAsia="Times New Roman" w:hAnsi="Arial" w:cs="Arial"/>
                <w:b/>
                <w:color w:val="000000"/>
                <w:sz w:val="22"/>
                <w:szCs w:val="22"/>
                <w:lang w:val="es-CO" w:eastAsia="es-CO"/>
              </w:rPr>
              <w:t xml:space="preserve"> </w:t>
            </w:r>
            <w:r w:rsidRPr="00A21B5C">
              <w:rPr>
                <w:rFonts w:ascii="Arial" w:eastAsia="Times New Roman" w:hAnsi="Arial" w:cs="Arial"/>
                <w:b/>
                <w:color w:val="000000"/>
                <w:sz w:val="22"/>
                <w:szCs w:val="22"/>
                <w:lang w:val="es-CO" w:eastAsia="es-CO"/>
              </w:rPr>
              <w:t>%</w:t>
            </w:r>
          </w:p>
        </w:tc>
        <w:tc>
          <w:tcPr>
            <w:tcW w:w="1348" w:type="dxa"/>
            <w:tcBorders>
              <w:top w:val="nil"/>
              <w:left w:val="dashSmallGap" w:sz="4" w:space="0" w:color="A6A6A6" w:themeColor="background1" w:themeShade="A6"/>
              <w:bottom w:val="single" w:sz="4" w:space="0" w:color="auto"/>
              <w:right w:val="dashSmallGap" w:sz="4" w:space="0" w:color="A6A6A6" w:themeColor="background1" w:themeShade="A6"/>
            </w:tcBorders>
            <w:shd w:val="clear" w:color="auto" w:fill="DBE5F1" w:themeFill="accent1" w:themeFillTint="33"/>
          </w:tcPr>
          <w:p w:rsidR="00C0151E" w:rsidRPr="00A21B5C" w:rsidRDefault="00C0151E" w:rsidP="00A21B5C">
            <w:pPr>
              <w:contextualSpacing/>
              <w:jc w:val="right"/>
              <w:rPr>
                <w:rFonts w:ascii="Arial" w:eastAsia="Times New Roman" w:hAnsi="Arial" w:cs="Arial"/>
                <w:b/>
                <w:color w:val="000000"/>
                <w:sz w:val="22"/>
                <w:szCs w:val="22"/>
                <w:lang w:val="es-CO" w:eastAsia="es-CO"/>
              </w:rPr>
            </w:pPr>
            <w:r w:rsidRPr="00A21B5C">
              <w:rPr>
                <w:rFonts w:ascii="Arial" w:eastAsia="Times New Roman" w:hAnsi="Arial" w:cs="Arial"/>
                <w:b/>
                <w:color w:val="000000"/>
                <w:sz w:val="22"/>
                <w:szCs w:val="22"/>
                <w:lang w:val="es-CO" w:eastAsia="es-CO"/>
              </w:rPr>
              <w:t>59</w:t>
            </w:r>
            <w:r w:rsidR="00570FBE" w:rsidRPr="00A21B5C">
              <w:rPr>
                <w:rFonts w:ascii="Arial" w:eastAsia="Times New Roman" w:hAnsi="Arial" w:cs="Arial"/>
                <w:b/>
                <w:color w:val="000000"/>
                <w:sz w:val="22"/>
                <w:szCs w:val="22"/>
                <w:lang w:val="es-CO" w:eastAsia="es-CO"/>
              </w:rPr>
              <w:t xml:space="preserve"> </w:t>
            </w:r>
            <w:r w:rsidRPr="00A21B5C">
              <w:rPr>
                <w:rFonts w:ascii="Arial" w:eastAsia="Times New Roman" w:hAnsi="Arial" w:cs="Arial"/>
                <w:b/>
                <w:color w:val="000000"/>
                <w:sz w:val="22"/>
                <w:szCs w:val="22"/>
                <w:lang w:val="es-CO" w:eastAsia="es-CO"/>
              </w:rPr>
              <w:t>%</w:t>
            </w:r>
          </w:p>
        </w:tc>
      </w:tr>
    </w:tbl>
    <w:p w:rsidR="008C2E4A" w:rsidRPr="00A21B5C" w:rsidRDefault="008C2E4A" w:rsidP="00A21B5C">
      <w:pPr>
        <w:contextualSpacing/>
        <w:jc w:val="center"/>
        <w:rPr>
          <w:rFonts w:ascii="Arial" w:eastAsia="Calibri" w:hAnsi="Arial" w:cs="Arial"/>
          <w:i/>
          <w:sz w:val="20"/>
          <w:szCs w:val="22"/>
          <w:lang w:val="es-CO" w:eastAsia="en-US"/>
        </w:rPr>
      </w:pPr>
      <w:r w:rsidRPr="00A21B5C">
        <w:rPr>
          <w:rFonts w:ascii="Arial" w:eastAsia="Calibri" w:hAnsi="Arial" w:cs="Arial"/>
          <w:b/>
          <w:i/>
          <w:sz w:val="20"/>
          <w:szCs w:val="22"/>
          <w:lang w:val="es-CO" w:eastAsia="en-US"/>
        </w:rPr>
        <w:t>Fuente:</w:t>
      </w:r>
      <w:r w:rsidRPr="00A21B5C">
        <w:rPr>
          <w:rFonts w:ascii="Arial" w:eastAsia="Calibri" w:hAnsi="Arial" w:cs="Arial"/>
          <w:i/>
          <w:sz w:val="20"/>
          <w:szCs w:val="22"/>
          <w:lang w:val="es-CO" w:eastAsia="en-US"/>
        </w:rPr>
        <w:t xml:space="preserve"> Ejecuciones presupuestales y Contratos de Administración. Vigencias 2016 a 201</w:t>
      </w:r>
      <w:r w:rsidR="00C0151E" w:rsidRPr="00A21B5C">
        <w:rPr>
          <w:rFonts w:ascii="Arial" w:eastAsia="Calibri" w:hAnsi="Arial" w:cs="Arial"/>
          <w:i/>
          <w:sz w:val="20"/>
          <w:szCs w:val="22"/>
          <w:lang w:val="es-CO" w:eastAsia="en-US"/>
        </w:rPr>
        <w:t>9</w:t>
      </w:r>
      <w:r w:rsidRPr="00A21B5C">
        <w:rPr>
          <w:rFonts w:ascii="Arial" w:eastAsia="Calibri" w:hAnsi="Arial" w:cs="Arial"/>
          <w:i/>
          <w:sz w:val="20"/>
          <w:szCs w:val="22"/>
          <w:lang w:val="es-CO" w:eastAsia="en-US"/>
        </w:rPr>
        <w:t>.</w:t>
      </w:r>
    </w:p>
    <w:p w:rsidR="008C2E4A" w:rsidRPr="00A21B5C" w:rsidRDefault="008C2E4A" w:rsidP="00A21B5C">
      <w:pPr>
        <w:contextualSpacing/>
        <w:jc w:val="both"/>
        <w:rPr>
          <w:rFonts w:ascii="Arial" w:eastAsia="Times New Roman" w:hAnsi="Arial" w:cs="Arial"/>
          <w:sz w:val="22"/>
          <w:szCs w:val="22"/>
        </w:rPr>
      </w:pPr>
    </w:p>
    <w:p w:rsidR="008C2E4A" w:rsidRPr="00A21B5C" w:rsidRDefault="008C2E4A" w:rsidP="00A21B5C">
      <w:pPr>
        <w:contextualSpacing/>
        <w:jc w:val="both"/>
        <w:rPr>
          <w:rFonts w:ascii="Arial" w:hAnsi="Arial" w:cs="Arial"/>
          <w:sz w:val="22"/>
          <w:szCs w:val="22"/>
          <w:lang w:val="es-CO"/>
        </w:rPr>
      </w:pPr>
      <w:r w:rsidRPr="00A21B5C">
        <w:rPr>
          <w:rFonts w:ascii="Arial" w:hAnsi="Arial" w:cs="Arial"/>
          <w:sz w:val="22"/>
          <w:szCs w:val="22"/>
          <w:lang w:val="es-CO"/>
        </w:rPr>
        <w:t xml:space="preserve">Así mismo, a partir de los objetos contractuales conocidos en revisión a las minutas contractuales compartidas por la Entidad Territorial, se evidenció que </w:t>
      </w:r>
      <w:r w:rsidR="00B24974" w:rsidRPr="00A21B5C">
        <w:rPr>
          <w:rFonts w:ascii="Arial" w:hAnsi="Arial" w:cs="Arial"/>
          <w:sz w:val="22"/>
          <w:szCs w:val="22"/>
          <w:lang w:val="es-CO"/>
        </w:rPr>
        <w:t>en las</w:t>
      </w:r>
      <w:r w:rsidRPr="00A21B5C">
        <w:rPr>
          <w:rFonts w:ascii="Arial" w:hAnsi="Arial" w:cs="Arial"/>
          <w:sz w:val="22"/>
          <w:szCs w:val="22"/>
          <w:lang w:val="es-CO"/>
        </w:rPr>
        <w:t xml:space="preserve"> vigencias 2017 y 2018, se </w:t>
      </w:r>
      <w:r w:rsidR="00B24974" w:rsidRPr="00A21B5C">
        <w:rPr>
          <w:rFonts w:ascii="Arial" w:hAnsi="Arial" w:cs="Arial"/>
          <w:sz w:val="22"/>
          <w:szCs w:val="22"/>
          <w:lang w:val="es-CO"/>
        </w:rPr>
        <w:t>dio</w:t>
      </w:r>
      <w:r w:rsidRPr="00A21B5C">
        <w:rPr>
          <w:rFonts w:ascii="Arial" w:hAnsi="Arial" w:cs="Arial"/>
          <w:sz w:val="22"/>
          <w:szCs w:val="22"/>
          <w:lang w:val="es-CO"/>
        </w:rPr>
        <w:t xml:space="preserve"> prelaci</w:t>
      </w:r>
      <w:r w:rsidR="00B24974" w:rsidRPr="00A21B5C">
        <w:rPr>
          <w:rFonts w:ascii="Arial" w:hAnsi="Arial" w:cs="Arial"/>
          <w:sz w:val="22"/>
          <w:szCs w:val="22"/>
          <w:lang w:val="es-CO"/>
        </w:rPr>
        <w:t xml:space="preserve">ón </w:t>
      </w:r>
      <w:r w:rsidRPr="00A21B5C">
        <w:rPr>
          <w:rFonts w:ascii="Arial" w:hAnsi="Arial" w:cs="Arial"/>
          <w:sz w:val="22"/>
          <w:szCs w:val="22"/>
          <w:lang w:val="es-CO"/>
        </w:rPr>
        <w:t xml:space="preserve">a la ejecución del proyecto de inversión de </w:t>
      </w:r>
      <w:r w:rsidRPr="00A21B5C">
        <w:rPr>
          <w:rFonts w:ascii="Arial" w:hAnsi="Arial" w:cs="Arial"/>
          <w:i/>
          <w:sz w:val="22"/>
          <w:szCs w:val="22"/>
          <w:lang w:val="es-CO"/>
        </w:rPr>
        <w:t xml:space="preserve">“Ampliación y </w:t>
      </w:r>
      <w:r w:rsidRPr="00A21B5C">
        <w:rPr>
          <w:rFonts w:ascii="Arial" w:hAnsi="Arial" w:cs="Arial"/>
          <w:i/>
          <w:sz w:val="22"/>
          <w:szCs w:val="22"/>
          <w:lang w:val="es-CO"/>
        </w:rPr>
        <w:lastRenderedPageBreak/>
        <w:t>saneamiento del Resguardo Indígena”</w:t>
      </w:r>
      <w:r w:rsidRPr="00A21B5C">
        <w:rPr>
          <w:rFonts w:ascii="Arial" w:hAnsi="Arial" w:cs="Arial"/>
          <w:sz w:val="22"/>
          <w:szCs w:val="22"/>
          <w:lang w:val="es-CO"/>
        </w:rPr>
        <w:t xml:space="preserve"> asociado al </w:t>
      </w:r>
      <w:r w:rsidR="00570FBE" w:rsidRPr="00A21B5C">
        <w:rPr>
          <w:rFonts w:ascii="Arial" w:hAnsi="Arial" w:cs="Arial"/>
          <w:sz w:val="22"/>
          <w:szCs w:val="22"/>
          <w:lang w:val="es-CO"/>
        </w:rPr>
        <w:t>S</w:t>
      </w:r>
      <w:r w:rsidRPr="00A21B5C">
        <w:rPr>
          <w:rFonts w:ascii="Arial" w:hAnsi="Arial" w:cs="Arial"/>
          <w:sz w:val="22"/>
          <w:szCs w:val="22"/>
          <w:lang w:val="es-CO"/>
        </w:rPr>
        <w:t xml:space="preserve">ector de Desarrollo Agropecuario, aun cuando en los </w:t>
      </w:r>
      <w:r w:rsidR="00570FBE" w:rsidRPr="00A21B5C">
        <w:rPr>
          <w:rFonts w:ascii="Arial" w:hAnsi="Arial" w:cs="Arial"/>
          <w:sz w:val="22"/>
          <w:szCs w:val="22"/>
          <w:lang w:val="es-CO"/>
        </w:rPr>
        <w:t xml:space="preserve">Convenios </w:t>
      </w:r>
      <w:r w:rsidRPr="00A21B5C">
        <w:rPr>
          <w:rFonts w:ascii="Arial" w:hAnsi="Arial" w:cs="Arial"/>
          <w:sz w:val="22"/>
          <w:szCs w:val="22"/>
          <w:lang w:val="es-CO"/>
        </w:rPr>
        <w:t xml:space="preserve">de Administración de estas vigencias, fueron priorizados proyectos en otros </w:t>
      </w:r>
      <w:r w:rsidR="00570FBE" w:rsidRPr="00A21B5C">
        <w:rPr>
          <w:rFonts w:ascii="Arial" w:hAnsi="Arial" w:cs="Arial"/>
          <w:sz w:val="22"/>
          <w:szCs w:val="22"/>
          <w:lang w:val="es-CO"/>
        </w:rPr>
        <w:t>S</w:t>
      </w:r>
      <w:r w:rsidRPr="00A21B5C">
        <w:rPr>
          <w:rFonts w:ascii="Arial" w:hAnsi="Arial" w:cs="Arial"/>
          <w:sz w:val="22"/>
          <w:szCs w:val="22"/>
          <w:lang w:val="es-CO"/>
        </w:rPr>
        <w:t xml:space="preserve">ectores como Educación, Cultura, Salud e Infraestructura. Particularmente, para la vigencia 2017 fueron priorizados 21 proyectos de inversión, de los cuales fueron ejecutados solamente 3 durante toda la vigencia fiscal, asociados al Sector Infraestructura, Educación y Desarrollo Agropecuario; mientras que, para la vigencia 2018 solo fue ejecutado 1 de los 15 proyectos priorizados, asociado al </w:t>
      </w:r>
      <w:r w:rsidR="00570FBE" w:rsidRPr="00A21B5C">
        <w:rPr>
          <w:rFonts w:ascii="Arial" w:hAnsi="Arial" w:cs="Arial"/>
          <w:sz w:val="22"/>
          <w:szCs w:val="22"/>
          <w:lang w:val="es-CO"/>
        </w:rPr>
        <w:t>S</w:t>
      </w:r>
      <w:r w:rsidRPr="00A21B5C">
        <w:rPr>
          <w:rFonts w:ascii="Arial" w:hAnsi="Arial" w:cs="Arial"/>
          <w:sz w:val="22"/>
          <w:szCs w:val="22"/>
          <w:lang w:val="es-CO"/>
        </w:rPr>
        <w:t xml:space="preserve">ector de Desarrollo Agropecuario, específicamente a la </w:t>
      </w:r>
      <w:r w:rsidRPr="00A21B5C">
        <w:rPr>
          <w:rFonts w:ascii="Arial" w:hAnsi="Arial" w:cs="Arial"/>
          <w:i/>
          <w:sz w:val="22"/>
          <w:szCs w:val="22"/>
          <w:lang w:val="es-CO"/>
        </w:rPr>
        <w:t>“Ampliación y saneamiento del Resguardo Indígena”</w:t>
      </w:r>
      <w:r w:rsidRPr="00A21B5C">
        <w:rPr>
          <w:rFonts w:ascii="Arial" w:hAnsi="Arial" w:cs="Arial"/>
          <w:sz w:val="22"/>
          <w:szCs w:val="22"/>
          <w:lang w:val="es-CO"/>
        </w:rPr>
        <w:t xml:space="preserve">. Esta misma situación </w:t>
      </w:r>
      <w:r w:rsidR="00B24974" w:rsidRPr="00A21B5C">
        <w:rPr>
          <w:rFonts w:ascii="Arial" w:hAnsi="Arial" w:cs="Arial"/>
          <w:sz w:val="22"/>
          <w:szCs w:val="22"/>
          <w:lang w:val="es-CO"/>
        </w:rPr>
        <w:t xml:space="preserve">sigue </w:t>
      </w:r>
      <w:r w:rsidRPr="00A21B5C">
        <w:rPr>
          <w:rFonts w:ascii="Arial" w:hAnsi="Arial" w:cs="Arial"/>
          <w:sz w:val="22"/>
          <w:szCs w:val="22"/>
          <w:lang w:val="es-CO"/>
        </w:rPr>
        <w:t xml:space="preserve">siendo tendencial sobre el primer trimestre de 2019, en donde se evidencia que a este corte han sido suscritos cinco (5) Contratos de Ejecución en la administración de los recursos AESGPRI, todos ellos asociados a la </w:t>
      </w:r>
      <w:r w:rsidRPr="00A21B5C">
        <w:rPr>
          <w:rFonts w:ascii="Arial" w:hAnsi="Arial" w:cs="Arial"/>
          <w:i/>
          <w:sz w:val="22"/>
          <w:szCs w:val="22"/>
          <w:lang w:val="es-CO"/>
        </w:rPr>
        <w:t>“Ampliación y saneamiento del Resguardo”.</w:t>
      </w:r>
    </w:p>
    <w:p w:rsidR="008C2E4A" w:rsidRPr="00A21B5C" w:rsidRDefault="008C2E4A" w:rsidP="00A21B5C">
      <w:pPr>
        <w:pStyle w:val="Formatolibre"/>
        <w:contextualSpacing/>
        <w:rPr>
          <w:rFonts w:ascii="Arial" w:eastAsia="Times New Roman" w:hAnsi="Arial" w:cs="Arial"/>
          <w:color w:val="auto"/>
          <w:sz w:val="22"/>
          <w:szCs w:val="22"/>
          <w:vertAlign w:val="subscript"/>
          <w:lang w:bidi="x-none"/>
        </w:rPr>
      </w:pPr>
    </w:p>
    <w:p w:rsidR="008C2E4A" w:rsidRPr="00A21B5C" w:rsidRDefault="008C2E4A" w:rsidP="00A21B5C">
      <w:pPr>
        <w:contextualSpacing/>
        <w:jc w:val="both"/>
        <w:rPr>
          <w:rFonts w:ascii="Arial" w:eastAsia="Times New Roman" w:hAnsi="Arial" w:cs="Arial"/>
          <w:sz w:val="22"/>
          <w:szCs w:val="22"/>
        </w:rPr>
      </w:pPr>
      <w:r w:rsidRPr="00A21B5C">
        <w:rPr>
          <w:rFonts w:ascii="Arial" w:eastAsia="Times New Roman" w:hAnsi="Arial" w:cs="Arial"/>
          <w:sz w:val="22"/>
          <w:szCs w:val="22"/>
        </w:rPr>
        <w:t xml:space="preserve">Así, la no ejecución de cada uno de los proyectos de inversión priorizados por el Resguardo Indígena </w:t>
      </w:r>
      <w:r w:rsidRPr="00A21B5C">
        <w:rPr>
          <w:rFonts w:ascii="Arial" w:eastAsia="Times New Roman" w:hAnsi="Arial" w:cs="Arial"/>
          <w:iCs/>
          <w:sz w:val="22"/>
          <w:szCs w:val="22"/>
        </w:rPr>
        <w:t>Kogui Malayo Arhuaco, pone de manifiesto el incumplimiento por parte del Municipio de Dibulla – La Guajira de lo pactado en los Contratos de Administración suscritos en línea con lo establecido en el artículo 83 de la Ley 715 de 2001 y en el Decreto 1953 de 2014. De igual forma, en consideración de que la finalidad misma de los recursos de la AESGPRI es la de mejorar la calidad de vida de la población indígena, como bien se establece en el artículo 27 del Decreto 1953 de 2014; los bajos niveles de ejecución de los recursos AESPGRI por parte del Municipio de Dibulla – La Guajira durante las últimas vigencias, obstaculiza el cumplimiento de dicha finalidad sobre la población del Resguardo Indígena Kogui – Malayo – Arhuac</w:t>
      </w:r>
      <w:r w:rsidRPr="00A21B5C">
        <w:rPr>
          <w:rFonts w:ascii="Arial" w:eastAsia="Times New Roman" w:hAnsi="Arial" w:cs="Arial"/>
          <w:i/>
          <w:sz w:val="22"/>
          <w:szCs w:val="22"/>
        </w:rPr>
        <w:t>o</w:t>
      </w:r>
      <w:r w:rsidRPr="00A21B5C">
        <w:rPr>
          <w:rFonts w:ascii="Arial" w:eastAsia="Times New Roman" w:hAnsi="Arial" w:cs="Arial"/>
          <w:sz w:val="22"/>
          <w:szCs w:val="22"/>
        </w:rPr>
        <w:t xml:space="preserve"> asentado en su jurisdicción.</w:t>
      </w:r>
    </w:p>
    <w:p w:rsidR="00570FBE" w:rsidRPr="00A21B5C" w:rsidRDefault="00570FBE" w:rsidP="00A21B5C">
      <w:pPr>
        <w:contextualSpacing/>
        <w:jc w:val="both"/>
        <w:rPr>
          <w:rFonts w:ascii="Arial" w:eastAsia="Times New Roman" w:hAnsi="Arial" w:cs="Arial"/>
          <w:sz w:val="22"/>
          <w:szCs w:val="22"/>
        </w:rPr>
      </w:pPr>
    </w:p>
    <w:p w:rsidR="008C2E4A" w:rsidRPr="00A21B5C" w:rsidRDefault="00300855" w:rsidP="00A21B5C">
      <w:pPr>
        <w:pStyle w:val="Textoindependiente2"/>
        <w:contextualSpacing/>
        <w:rPr>
          <w:rFonts w:cs="Arial"/>
          <w:b/>
          <w:bCs/>
          <w:sz w:val="22"/>
          <w:szCs w:val="22"/>
          <w:lang w:val="es-CO"/>
        </w:rPr>
      </w:pPr>
      <w:r w:rsidRPr="00A21B5C">
        <w:rPr>
          <w:rFonts w:cs="Arial"/>
          <w:b/>
          <w:bCs/>
          <w:sz w:val="22"/>
          <w:szCs w:val="22"/>
          <w:lang w:val="es-CO"/>
        </w:rPr>
        <w:t>Recomendación:</w:t>
      </w:r>
    </w:p>
    <w:p w:rsidR="00300855" w:rsidRPr="00A21B5C" w:rsidRDefault="00300855" w:rsidP="00A21B5C">
      <w:pPr>
        <w:pStyle w:val="Textoindependiente2"/>
        <w:contextualSpacing/>
        <w:rPr>
          <w:rFonts w:cs="Arial"/>
          <w:sz w:val="22"/>
          <w:szCs w:val="22"/>
          <w:lang w:val="es-CO"/>
        </w:rPr>
      </w:pPr>
    </w:p>
    <w:p w:rsidR="00300855" w:rsidRPr="00A21B5C" w:rsidRDefault="00CA3174" w:rsidP="00A21B5C">
      <w:pPr>
        <w:pStyle w:val="Textoindependiente2"/>
        <w:contextualSpacing/>
        <w:rPr>
          <w:rFonts w:cs="Arial"/>
          <w:sz w:val="22"/>
          <w:szCs w:val="22"/>
          <w:lang w:val="es-CO"/>
        </w:rPr>
      </w:pPr>
      <w:r w:rsidRPr="00A21B5C">
        <w:rPr>
          <w:rFonts w:cs="Arial"/>
          <w:sz w:val="22"/>
          <w:szCs w:val="22"/>
          <w:lang w:val="es-CO"/>
        </w:rPr>
        <w:t xml:space="preserve">Con el objetivo de </w:t>
      </w:r>
      <w:r w:rsidR="009E6197" w:rsidRPr="00A21B5C">
        <w:rPr>
          <w:rFonts w:cs="Arial"/>
          <w:sz w:val="22"/>
          <w:szCs w:val="22"/>
          <w:lang w:val="es-CO"/>
        </w:rPr>
        <w:t>solventar</w:t>
      </w:r>
      <w:r w:rsidRPr="00A21B5C">
        <w:rPr>
          <w:rFonts w:cs="Arial"/>
          <w:sz w:val="22"/>
          <w:szCs w:val="22"/>
          <w:lang w:val="es-CO"/>
        </w:rPr>
        <w:t xml:space="preserve"> esta situación de riesgo identificada</w:t>
      </w:r>
      <w:r w:rsidR="00DA70C7" w:rsidRPr="00A21B5C">
        <w:rPr>
          <w:rFonts w:cs="Arial"/>
          <w:sz w:val="22"/>
          <w:szCs w:val="22"/>
          <w:lang w:val="es-CO"/>
        </w:rPr>
        <w:t>,</w:t>
      </w:r>
      <w:r w:rsidRPr="00A21B5C">
        <w:rPr>
          <w:rFonts w:cs="Arial"/>
          <w:sz w:val="22"/>
          <w:szCs w:val="22"/>
          <w:lang w:val="es-CO"/>
        </w:rPr>
        <w:t xml:space="preserve"> se recomienda la </w:t>
      </w:r>
      <w:r w:rsidR="00613441" w:rsidRPr="00A21B5C">
        <w:rPr>
          <w:rFonts w:cs="Arial"/>
          <w:sz w:val="22"/>
          <w:szCs w:val="22"/>
          <w:lang w:val="es-CO"/>
        </w:rPr>
        <w:t xml:space="preserve">realización </w:t>
      </w:r>
      <w:r w:rsidRPr="00A21B5C">
        <w:rPr>
          <w:rFonts w:cs="Arial"/>
          <w:sz w:val="22"/>
          <w:szCs w:val="22"/>
          <w:lang w:val="es-CO"/>
        </w:rPr>
        <w:t>de un comité con los miembros de la Administración Municipal que estén involucrados con el proceso de ejecución de los recursos de la AESGPRI</w:t>
      </w:r>
      <w:r w:rsidR="00613441" w:rsidRPr="00A21B5C">
        <w:rPr>
          <w:rFonts w:cs="Arial"/>
          <w:sz w:val="22"/>
          <w:szCs w:val="22"/>
          <w:lang w:val="es-CO"/>
        </w:rPr>
        <w:t>,</w:t>
      </w:r>
      <w:r w:rsidRPr="00A21B5C">
        <w:rPr>
          <w:rFonts w:cs="Arial"/>
          <w:sz w:val="22"/>
          <w:szCs w:val="22"/>
          <w:lang w:val="es-CO"/>
        </w:rPr>
        <w:t xml:space="preserve"> </w:t>
      </w:r>
      <w:r w:rsidR="00745957" w:rsidRPr="00A21B5C">
        <w:rPr>
          <w:rFonts w:cs="Arial"/>
          <w:sz w:val="22"/>
          <w:szCs w:val="22"/>
          <w:lang w:val="es-CO"/>
        </w:rPr>
        <w:t>con el fin de i</w:t>
      </w:r>
      <w:r w:rsidR="007F574E" w:rsidRPr="00A21B5C">
        <w:rPr>
          <w:rFonts w:cs="Arial"/>
          <w:sz w:val="22"/>
          <w:szCs w:val="22"/>
          <w:lang w:val="es-CO"/>
        </w:rPr>
        <w:t xml:space="preserve">dentificar </w:t>
      </w:r>
      <w:r w:rsidR="005E1A08" w:rsidRPr="00A21B5C">
        <w:rPr>
          <w:rFonts w:cs="Arial"/>
          <w:sz w:val="22"/>
          <w:szCs w:val="22"/>
          <w:lang w:val="es-CO"/>
        </w:rPr>
        <w:t xml:space="preserve">las causas que han generado la baja ejecución de los </w:t>
      </w:r>
      <w:r w:rsidR="004D6021" w:rsidRPr="00A21B5C">
        <w:rPr>
          <w:rFonts w:cs="Arial"/>
          <w:sz w:val="22"/>
          <w:szCs w:val="22"/>
          <w:lang w:val="es-CO"/>
        </w:rPr>
        <w:t>recursos</w:t>
      </w:r>
      <w:r w:rsidR="00745957" w:rsidRPr="00A21B5C">
        <w:rPr>
          <w:rFonts w:cs="Arial"/>
          <w:sz w:val="22"/>
          <w:szCs w:val="22"/>
          <w:lang w:val="es-CO"/>
        </w:rPr>
        <w:t xml:space="preserve">, </w:t>
      </w:r>
      <w:r w:rsidR="0064333F" w:rsidRPr="00A21B5C">
        <w:rPr>
          <w:rFonts w:cs="Arial"/>
          <w:sz w:val="22"/>
          <w:szCs w:val="22"/>
          <w:lang w:val="es-CO"/>
        </w:rPr>
        <w:t xml:space="preserve">establecer </w:t>
      </w:r>
      <w:r w:rsidR="00D73C7B" w:rsidRPr="00A21B5C">
        <w:rPr>
          <w:rFonts w:cs="Arial"/>
          <w:sz w:val="22"/>
          <w:szCs w:val="22"/>
          <w:lang w:val="es-CO"/>
        </w:rPr>
        <w:t>actividades</w:t>
      </w:r>
      <w:r w:rsidR="0064333F" w:rsidRPr="00A21B5C">
        <w:rPr>
          <w:rFonts w:cs="Arial"/>
          <w:sz w:val="22"/>
          <w:szCs w:val="22"/>
          <w:lang w:val="es-CO"/>
        </w:rPr>
        <w:t xml:space="preserve"> que den solución a dichas causas </w:t>
      </w:r>
      <w:r w:rsidR="00D73C7B" w:rsidRPr="00A21B5C">
        <w:rPr>
          <w:rFonts w:cs="Arial"/>
          <w:sz w:val="22"/>
          <w:szCs w:val="22"/>
          <w:lang w:val="es-CO"/>
        </w:rPr>
        <w:t xml:space="preserve">y establecer un procedimiento de seguimiento </w:t>
      </w:r>
      <w:r w:rsidR="0064333F" w:rsidRPr="00A21B5C">
        <w:rPr>
          <w:rFonts w:cs="Arial"/>
          <w:sz w:val="22"/>
          <w:szCs w:val="22"/>
          <w:lang w:val="es-CO"/>
        </w:rPr>
        <w:t xml:space="preserve">a las mismas, de modo que </w:t>
      </w:r>
      <w:r w:rsidR="00A55F00" w:rsidRPr="00A21B5C">
        <w:rPr>
          <w:rFonts w:cs="Arial"/>
          <w:sz w:val="22"/>
          <w:szCs w:val="22"/>
          <w:lang w:val="es-CO"/>
        </w:rPr>
        <w:t xml:space="preserve">los obstáculos o problemáticas identificadas </w:t>
      </w:r>
      <w:r w:rsidR="009E6197" w:rsidRPr="00A21B5C">
        <w:rPr>
          <w:rFonts w:cs="Arial"/>
          <w:sz w:val="22"/>
          <w:szCs w:val="22"/>
          <w:lang w:val="es-CO"/>
        </w:rPr>
        <w:t>e</w:t>
      </w:r>
      <w:r w:rsidR="005D222E" w:rsidRPr="00A21B5C">
        <w:rPr>
          <w:rFonts w:cs="Arial"/>
          <w:sz w:val="22"/>
          <w:szCs w:val="22"/>
          <w:lang w:val="es-CO"/>
        </w:rPr>
        <w:t>fectivamente se mitiguen el mediano plazo.</w:t>
      </w:r>
    </w:p>
    <w:p w:rsidR="00300855" w:rsidRPr="00A21B5C" w:rsidRDefault="00300855" w:rsidP="00A21B5C">
      <w:pPr>
        <w:pStyle w:val="Textoindependiente2"/>
        <w:contextualSpacing/>
        <w:rPr>
          <w:rFonts w:cs="Arial"/>
          <w:sz w:val="22"/>
          <w:szCs w:val="22"/>
          <w:lang w:val="es-CO"/>
        </w:rPr>
      </w:pPr>
    </w:p>
    <w:p w:rsidR="00300855" w:rsidRPr="00A21B5C" w:rsidRDefault="00805D9E" w:rsidP="00A21B5C">
      <w:pPr>
        <w:pStyle w:val="Textoindependiente2"/>
        <w:contextualSpacing/>
        <w:rPr>
          <w:rFonts w:cs="Arial"/>
          <w:sz w:val="22"/>
          <w:szCs w:val="22"/>
          <w:lang w:val="es-CO"/>
        </w:rPr>
      </w:pPr>
      <w:r w:rsidRPr="00A21B5C">
        <w:rPr>
          <w:rFonts w:cs="Arial"/>
          <w:sz w:val="22"/>
          <w:szCs w:val="22"/>
          <w:lang w:val="es-CO"/>
        </w:rPr>
        <w:t xml:space="preserve">Sin </w:t>
      </w:r>
      <w:r w:rsidR="005703C4" w:rsidRPr="00A21B5C">
        <w:rPr>
          <w:rFonts w:cs="Arial"/>
          <w:sz w:val="22"/>
          <w:szCs w:val="22"/>
          <w:lang w:val="es-CO"/>
        </w:rPr>
        <w:t>más</w:t>
      </w:r>
      <w:r w:rsidRPr="00A21B5C">
        <w:rPr>
          <w:rFonts w:cs="Arial"/>
          <w:sz w:val="22"/>
          <w:szCs w:val="22"/>
          <w:lang w:val="es-CO"/>
        </w:rPr>
        <w:t xml:space="preserve"> comentarios, </w:t>
      </w:r>
      <w:r w:rsidR="00570FBE" w:rsidRPr="00A21B5C">
        <w:rPr>
          <w:rFonts w:cs="Arial"/>
          <w:sz w:val="22"/>
          <w:szCs w:val="22"/>
          <w:lang w:val="es-CO"/>
        </w:rPr>
        <w:t>esta Dirección</w:t>
      </w:r>
      <w:r w:rsidR="005703C4" w:rsidRPr="00A21B5C">
        <w:rPr>
          <w:rFonts w:cs="Arial"/>
          <w:sz w:val="22"/>
          <w:szCs w:val="22"/>
          <w:lang w:val="es-CO"/>
        </w:rPr>
        <w:t xml:space="preserve"> </w:t>
      </w:r>
      <w:r w:rsidR="00C716B5" w:rsidRPr="00A21B5C">
        <w:rPr>
          <w:rFonts w:cs="Arial"/>
          <w:sz w:val="22"/>
          <w:szCs w:val="22"/>
          <w:lang w:val="es-CO"/>
        </w:rPr>
        <w:t>en el marco de las actividades de seguimiento y control al uso de los recursos del Sistema General de Participaciones</w:t>
      </w:r>
      <w:r w:rsidR="00613441" w:rsidRPr="00A21B5C">
        <w:rPr>
          <w:rFonts w:cs="Arial"/>
          <w:sz w:val="22"/>
          <w:szCs w:val="22"/>
          <w:lang w:val="es-CO"/>
        </w:rPr>
        <w:t>,</w:t>
      </w:r>
      <w:r w:rsidR="00C716B5" w:rsidRPr="00A21B5C">
        <w:rPr>
          <w:rFonts w:cs="Arial"/>
          <w:sz w:val="22"/>
          <w:szCs w:val="22"/>
          <w:lang w:val="es-CO"/>
        </w:rPr>
        <w:t xml:space="preserve"> </w:t>
      </w:r>
      <w:r w:rsidR="005703C4" w:rsidRPr="00A21B5C">
        <w:rPr>
          <w:rFonts w:cs="Arial"/>
          <w:sz w:val="22"/>
          <w:szCs w:val="22"/>
          <w:lang w:val="es-CO"/>
        </w:rPr>
        <w:t xml:space="preserve">se </w:t>
      </w:r>
      <w:r w:rsidRPr="00A21B5C">
        <w:rPr>
          <w:rFonts w:cs="Arial"/>
          <w:sz w:val="22"/>
          <w:szCs w:val="22"/>
          <w:lang w:val="es-CO"/>
        </w:rPr>
        <w:t>permit</w:t>
      </w:r>
      <w:r w:rsidR="005703C4" w:rsidRPr="00A21B5C">
        <w:rPr>
          <w:rFonts w:cs="Arial"/>
          <w:sz w:val="22"/>
          <w:szCs w:val="22"/>
          <w:lang w:val="es-CO"/>
        </w:rPr>
        <w:t>e</w:t>
      </w:r>
      <w:r w:rsidRPr="00A21B5C">
        <w:rPr>
          <w:rFonts w:cs="Arial"/>
          <w:sz w:val="22"/>
          <w:szCs w:val="22"/>
          <w:lang w:val="es-CO"/>
        </w:rPr>
        <w:t xml:space="preserve"> instar al Municipio de Dibulla – La Guajira </w:t>
      </w:r>
      <w:r w:rsidR="00C735BF" w:rsidRPr="00A21B5C">
        <w:rPr>
          <w:rFonts w:cs="Arial"/>
          <w:sz w:val="22"/>
          <w:szCs w:val="22"/>
          <w:lang w:val="es-CO"/>
        </w:rPr>
        <w:t xml:space="preserve">a seguir las recomendaciones aquí consignadas con el fin de </w:t>
      </w:r>
      <w:r w:rsidR="005D51E7" w:rsidRPr="00A21B5C">
        <w:rPr>
          <w:rFonts w:cs="Arial"/>
          <w:sz w:val="22"/>
          <w:szCs w:val="22"/>
          <w:lang w:val="es-CO"/>
        </w:rPr>
        <w:t xml:space="preserve">optimizar los procesos asociados a la administración de los recursos de la AESGPRI </w:t>
      </w:r>
      <w:r w:rsidR="00C90148" w:rsidRPr="00A21B5C">
        <w:rPr>
          <w:rFonts w:cs="Arial"/>
          <w:sz w:val="22"/>
          <w:szCs w:val="22"/>
          <w:lang w:val="es-CO"/>
        </w:rPr>
        <w:t>de la cual son beneficiarios los habitantes d</w:t>
      </w:r>
      <w:r w:rsidR="005D51E7" w:rsidRPr="00A21B5C">
        <w:rPr>
          <w:rFonts w:cs="Arial"/>
          <w:sz w:val="22"/>
          <w:szCs w:val="22"/>
          <w:lang w:val="es-CO"/>
        </w:rPr>
        <w:t>el Resguardo Indígena Kogui – Malayo – Arhuaco</w:t>
      </w:r>
      <w:r w:rsidR="00043C59" w:rsidRPr="00A21B5C">
        <w:rPr>
          <w:rFonts w:cs="Arial"/>
          <w:sz w:val="22"/>
          <w:szCs w:val="22"/>
          <w:lang w:val="es-CO"/>
        </w:rPr>
        <w:t>.</w:t>
      </w:r>
      <w:r w:rsidR="00EA55BF" w:rsidRPr="00A21B5C">
        <w:rPr>
          <w:rFonts w:cs="Arial"/>
          <w:sz w:val="22"/>
          <w:szCs w:val="22"/>
          <w:lang w:val="es-CO"/>
        </w:rPr>
        <w:t xml:space="preserve"> </w:t>
      </w:r>
      <w:r w:rsidR="00613441" w:rsidRPr="00A21B5C">
        <w:rPr>
          <w:rFonts w:cs="Arial"/>
          <w:sz w:val="22"/>
          <w:szCs w:val="22"/>
          <w:lang w:val="es-CO"/>
        </w:rPr>
        <w:t>La Administración Municipal debe tener</w:t>
      </w:r>
      <w:r w:rsidR="00EA55BF" w:rsidRPr="00A21B5C">
        <w:rPr>
          <w:rFonts w:cs="Arial"/>
          <w:sz w:val="22"/>
          <w:szCs w:val="22"/>
          <w:lang w:val="es-CO"/>
        </w:rPr>
        <w:t xml:space="preserve"> en cuenta que </w:t>
      </w:r>
      <w:r w:rsidR="00570FBE" w:rsidRPr="00A21B5C">
        <w:rPr>
          <w:rFonts w:cs="Arial"/>
          <w:sz w:val="22"/>
          <w:szCs w:val="22"/>
          <w:lang w:val="es-CO"/>
        </w:rPr>
        <w:t>esta Dirección</w:t>
      </w:r>
      <w:r w:rsidR="00613441" w:rsidRPr="00A21B5C">
        <w:rPr>
          <w:rFonts w:cs="Arial"/>
          <w:sz w:val="22"/>
          <w:szCs w:val="22"/>
          <w:lang w:val="es-CO"/>
        </w:rPr>
        <w:t>,</w:t>
      </w:r>
      <w:r w:rsidR="00EA55BF" w:rsidRPr="00A21B5C">
        <w:rPr>
          <w:rFonts w:cs="Arial"/>
          <w:sz w:val="22"/>
          <w:szCs w:val="22"/>
          <w:lang w:val="es-CO"/>
        </w:rPr>
        <w:t xml:space="preserve"> en el marco de las actividades de seguimiento al uso de los recursos del Sistema General de Participaciones, podrá solicitar en cualquier momento al Municipio de Dibulla – La Guajira información asociada a la ejecución de los recursos de la AESGPRI que administra la Entidad Territorial. </w:t>
      </w:r>
    </w:p>
    <w:p w:rsidR="00300855" w:rsidRPr="00A21B5C" w:rsidRDefault="00300855" w:rsidP="00A21B5C">
      <w:pPr>
        <w:pStyle w:val="Textoindependiente2"/>
        <w:spacing w:after="120"/>
        <w:contextualSpacing/>
        <w:rPr>
          <w:rFonts w:cs="Arial"/>
          <w:b/>
          <w:bCs/>
          <w:sz w:val="22"/>
          <w:szCs w:val="22"/>
          <w:lang w:val="es-CO"/>
        </w:rPr>
      </w:pPr>
    </w:p>
    <w:p w:rsidR="002511D5" w:rsidRPr="00A21B5C" w:rsidRDefault="002511D5" w:rsidP="00A21B5C">
      <w:pPr>
        <w:contextualSpacing/>
        <w:rPr>
          <w:rFonts w:ascii="Arial" w:hAnsi="Arial" w:cs="Arial"/>
          <w:sz w:val="18"/>
          <w:szCs w:val="18"/>
          <w:lang w:val="es-CO"/>
        </w:rPr>
      </w:pPr>
      <w:r w:rsidRPr="00A21B5C">
        <w:rPr>
          <w:rFonts w:ascii="Arial" w:hAnsi="Arial" w:cs="Arial"/>
          <w:b/>
          <w:sz w:val="18"/>
          <w:szCs w:val="18"/>
          <w:lang w:val="es-CO"/>
        </w:rPr>
        <w:t>Aprobó:</w:t>
      </w:r>
      <w:r w:rsidRPr="00A21B5C">
        <w:rPr>
          <w:rFonts w:ascii="Arial" w:hAnsi="Arial" w:cs="Arial"/>
          <w:sz w:val="18"/>
          <w:szCs w:val="18"/>
          <w:lang w:val="es-CO"/>
        </w:rPr>
        <w:t xml:space="preserve"> Fernando Olivera</w:t>
      </w:r>
    </w:p>
    <w:p w:rsidR="002511D5" w:rsidRPr="00A21B5C" w:rsidRDefault="008C2E4A" w:rsidP="00A21B5C">
      <w:pPr>
        <w:contextualSpacing/>
        <w:rPr>
          <w:rFonts w:ascii="Arial" w:hAnsi="Arial" w:cs="Arial"/>
          <w:sz w:val="18"/>
          <w:szCs w:val="18"/>
          <w:lang w:val="es-CO"/>
        </w:rPr>
      </w:pPr>
      <w:r w:rsidRPr="00A21B5C">
        <w:rPr>
          <w:rFonts w:ascii="Arial" w:hAnsi="Arial" w:cs="Arial"/>
          <w:b/>
          <w:color w:val="000000" w:themeColor="text1"/>
          <w:sz w:val="18"/>
          <w:szCs w:val="18"/>
          <w:lang w:val="es-CO"/>
        </w:rPr>
        <w:t xml:space="preserve">Revisión Jurídica: </w:t>
      </w:r>
      <w:r w:rsidRPr="00A21B5C">
        <w:rPr>
          <w:rFonts w:ascii="Arial" w:hAnsi="Arial" w:cs="Arial"/>
          <w:color w:val="000000" w:themeColor="text1"/>
          <w:sz w:val="18"/>
          <w:szCs w:val="18"/>
          <w:lang w:val="es-CO"/>
        </w:rPr>
        <w:t>Carlos Barona</w:t>
      </w:r>
      <w:r w:rsidR="002511D5" w:rsidRPr="00A21B5C">
        <w:rPr>
          <w:rFonts w:ascii="Arial" w:hAnsi="Arial" w:cs="Arial"/>
          <w:b/>
          <w:sz w:val="18"/>
          <w:szCs w:val="18"/>
          <w:lang w:val="es-CO"/>
        </w:rPr>
        <w:t xml:space="preserve"> </w:t>
      </w:r>
    </w:p>
    <w:p w:rsidR="002511D5" w:rsidRPr="00A21B5C" w:rsidRDefault="002511D5" w:rsidP="00A21B5C">
      <w:pPr>
        <w:tabs>
          <w:tab w:val="left" w:pos="1515"/>
        </w:tabs>
        <w:contextualSpacing/>
        <w:jc w:val="both"/>
        <w:rPr>
          <w:rFonts w:ascii="Arial" w:hAnsi="Arial" w:cs="Arial"/>
          <w:b/>
          <w:sz w:val="18"/>
          <w:szCs w:val="18"/>
          <w:lang w:val="es-CO"/>
        </w:rPr>
      </w:pPr>
      <w:r w:rsidRPr="00A21B5C">
        <w:rPr>
          <w:rFonts w:ascii="Arial" w:hAnsi="Arial" w:cs="Arial"/>
          <w:b/>
          <w:sz w:val="18"/>
          <w:szCs w:val="18"/>
          <w:lang w:val="es-CO"/>
        </w:rPr>
        <w:t>Revisión Técnica:</w:t>
      </w:r>
      <w:r w:rsidRPr="00A21B5C">
        <w:rPr>
          <w:rFonts w:ascii="Arial" w:hAnsi="Arial" w:cs="Arial"/>
          <w:sz w:val="18"/>
          <w:szCs w:val="18"/>
          <w:lang w:val="es-CO"/>
        </w:rPr>
        <w:t xml:space="preserve"> Carlos Mendoza</w:t>
      </w:r>
      <w:r w:rsidRPr="00A21B5C">
        <w:rPr>
          <w:rFonts w:ascii="Arial" w:hAnsi="Arial" w:cs="Arial"/>
          <w:b/>
          <w:sz w:val="18"/>
          <w:szCs w:val="18"/>
          <w:lang w:val="es-CO"/>
        </w:rPr>
        <w:t xml:space="preserve"> </w:t>
      </w:r>
    </w:p>
    <w:p w:rsidR="00370540" w:rsidRPr="00A21B5C" w:rsidRDefault="002511D5" w:rsidP="00A21B5C">
      <w:pPr>
        <w:tabs>
          <w:tab w:val="left" w:pos="1515"/>
        </w:tabs>
        <w:contextualSpacing/>
        <w:jc w:val="both"/>
        <w:rPr>
          <w:rFonts w:ascii="Arial" w:hAnsi="Arial" w:cs="Arial"/>
        </w:rPr>
      </w:pPr>
      <w:r w:rsidRPr="00A21B5C">
        <w:rPr>
          <w:rFonts w:ascii="Arial" w:hAnsi="Arial" w:cs="Arial"/>
          <w:b/>
          <w:sz w:val="18"/>
          <w:szCs w:val="18"/>
          <w:lang w:val="es-CO"/>
        </w:rPr>
        <w:t>Elaboró:</w:t>
      </w:r>
      <w:r w:rsidRPr="00A21B5C">
        <w:rPr>
          <w:rFonts w:ascii="Arial" w:hAnsi="Arial" w:cs="Arial"/>
          <w:sz w:val="18"/>
          <w:szCs w:val="18"/>
          <w:lang w:val="es-CO"/>
        </w:rPr>
        <w:t xml:space="preserve"> Lady Rodríguez/Debbe Osorio</w:t>
      </w:r>
    </w:p>
    <w:sectPr w:rsidR="00370540" w:rsidRPr="00A21B5C" w:rsidSect="00C538F2">
      <w:headerReference w:type="default" r:id="rId31"/>
      <w:footerReference w:type="default" r:id="rId32"/>
      <w:headerReference w:type="first" r:id="rId33"/>
      <w:footerReference w:type="first" r:id="rId34"/>
      <w:pgSz w:w="12240" w:h="15840" w:code="1"/>
      <w:pgMar w:top="1702" w:right="1701" w:bottom="1701" w:left="1701"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6DF" w:rsidRDefault="00B056DF" w:rsidP="00F71345">
      <w:r>
        <w:separator/>
      </w:r>
    </w:p>
  </w:endnote>
  <w:endnote w:type="continuationSeparator" w:id="0">
    <w:p w:rsidR="00B056DF" w:rsidRDefault="00B056DF" w:rsidP="00F71345">
      <w:r>
        <w:continuationSeparator/>
      </w:r>
    </w:p>
  </w:endnote>
  <w:endnote w:type="continuationNotice" w:id="1">
    <w:p w:rsidR="00B056DF" w:rsidRDefault="00B056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altName w:val="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Yu Gothic UI"/>
    <w:charset w:val="80"/>
    <w:family w:val="swiss"/>
    <w:pitch w:val="variable"/>
    <w:sig w:usb0="E00002FF" w:usb1="7AC7FFFF" w:usb2="00000012" w:usb3="00000000" w:csb0="0002000D" w:csb1="00000000"/>
  </w:font>
  <w:font w:name="Arabic Typesetting">
    <w:charset w:val="B2"/>
    <w:family w:val="script"/>
    <w:pitch w:val="variable"/>
    <w:sig w:usb0="80002007" w:usb1="80000000" w:usb2="00000008" w:usb3="00000000" w:csb0="000000D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B5C" w:rsidRPr="00FE4097" w:rsidRDefault="00A21B5C" w:rsidP="00F01F75">
    <w:pPr>
      <w:pStyle w:val="Piedepgina"/>
      <w:jc w:val="center"/>
      <w:rPr>
        <w:rFonts w:ascii="Arial" w:hAnsi="Arial" w:cs="Arial"/>
        <w:b/>
        <w:sz w:val="20"/>
        <w:szCs w:val="20"/>
      </w:rPr>
    </w:pPr>
    <w:r>
      <w:rPr>
        <w:rFonts w:ascii="Arial" w:hAnsi="Arial" w:cs="Arial"/>
        <w:b/>
        <w:sz w:val="20"/>
        <w:szCs w:val="20"/>
      </w:rPr>
      <w:t xml:space="preserve">Carrera 8. </w:t>
    </w:r>
    <w:r w:rsidRPr="00FE4097">
      <w:rPr>
        <w:rFonts w:ascii="Arial" w:hAnsi="Arial" w:cs="Arial"/>
        <w:b/>
        <w:sz w:val="20"/>
        <w:szCs w:val="20"/>
      </w:rPr>
      <w:t>No. 6 C 38 Bogotá D.C. Colombia</w:t>
    </w:r>
  </w:p>
  <w:p w:rsidR="00A21B5C" w:rsidRPr="00FE4097" w:rsidRDefault="00A21B5C" w:rsidP="00F01F75">
    <w:pPr>
      <w:pStyle w:val="Piedepgina"/>
      <w:jc w:val="center"/>
      <w:rPr>
        <w:rFonts w:ascii="Arial" w:hAnsi="Arial" w:cs="Arial"/>
        <w:sz w:val="16"/>
        <w:szCs w:val="16"/>
      </w:rPr>
    </w:pPr>
    <w:r w:rsidRPr="00FE4097">
      <w:rPr>
        <w:rFonts w:ascii="Arial" w:hAnsi="Arial" w:cs="Arial"/>
        <w:sz w:val="16"/>
        <w:szCs w:val="16"/>
      </w:rPr>
      <w:t>Código Postal 111711</w:t>
    </w:r>
  </w:p>
  <w:p w:rsidR="00A21B5C" w:rsidRPr="00FE4097" w:rsidRDefault="00A21B5C" w:rsidP="00F01F75">
    <w:pPr>
      <w:pStyle w:val="Piedepgina"/>
      <w:jc w:val="center"/>
      <w:rPr>
        <w:rFonts w:ascii="Arial" w:hAnsi="Arial" w:cs="Arial"/>
        <w:sz w:val="16"/>
        <w:szCs w:val="16"/>
      </w:rPr>
    </w:pPr>
    <w:r w:rsidRPr="00FE4097">
      <w:rPr>
        <w:rFonts w:ascii="Arial" w:hAnsi="Arial" w:cs="Arial"/>
        <w:sz w:val="16"/>
        <w:szCs w:val="16"/>
      </w:rPr>
      <w:t>Conmutador (57 1) 381 1700 Fuera de Bogotá 01-8000-910071</w:t>
    </w:r>
  </w:p>
  <w:p w:rsidR="00A21B5C" w:rsidRPr="00FE4097" w:rsidRDefault="00A21B5C" w:rsidP="00F01F75">
    <w:pPr>
      <w:pStyle w:val="Piedepgina"/>
      <w:jc w:val="center"/>
      <w:rPr>
        <w:rFonts w:ascii="Arial" w:hAnsi="Arial" w:cs="Arial"/>
        <w:sz w:val="16"/>
        <w:szCs w:val="16"/>
      </w:rPr>
    </w:pPr>
    <w:r w:rsidRPr="00FE4097">
      <w:rPr>
        <w:rFonts w:ascii="Arial" w:hAnsi="Arial" w:cs="Arial"/>
        <w:sz w:val="16"/>
        <w:szCs w:val="16"/>
      </w:rPr>
      <w:t>atencioncliente@minhacienda.gov.co</w:t>
    </w:r>
  </w:p>
  <w:p w:rsidR="00A21B5C" w:rsidRPr="00FE4097" w:rsidRDefault="00A21B5C" w:rsidP="00F01F75">
    <w:pPr>
      <w:jc w:val="center"/>
      <w:rPr>
        <w:sz w:val="16"/>
        <w:szCs w:val="16"/>
      </w:rPr>
    </w:pPr>
    <w:r w:rsidRPr="00FE4097">
      <w:rPr>
        <w:rFonts w:ascii="Arial" w:hAnsi="Arial" w:cs="Arial"/>
        <w:sz w:val="16"/>
        <w:szCs w:val="16"/>
      </w:rPr>
      <w:t>www.minhacienda.gov.co</w:t>
    </w:r>
  </w:p>
  <w:p w:rsidR="00A21B5C" w:rsidRPr="00F01F75" w:rsidRDefault="00A21B5C" w:rsidP="00F01F7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B5C" w:rsidRPr="00FE4097" w:rsidRDefault="00A21B5C" w:rsidP="00F01F75">
    <w:pPr>
      <w:pStyle w:val="Piedepgina"/>
      <w:jc w:val="center"/>
      <w:rPr>
        <w:rFonts w:ascii="Arial" w:hAnsi="Arial" w:cs="Arial"/>
        <w:b/>
        <w:sz w:val="20"/>
        <w:szCs w:val="20"/>
      </w:rPr>
    </w:pPr>
    <w:r>
      <w:rPr>
        <w:rFonts w:ascii="Arial" w:hAnsi="Arial" w:cs="Arial"/>
        <w:b/>
        <w:sz w:val="20"/>
        <w:szCs w:val="20"/>
      </w:rPr>
      <w:t>Carrera 8.</w:t>
    </w:r>
    <w:r w:rsidRPr="00FE4097">
      <w:rPr>
        <w:rFonts w:ascii="Arial" w:hAnsi="Arial" w:cs="Arial"/>
        <w:b/>
        <w:sz w:val="20"/>
        <w:szCs w:val="20"/>
      </w:rPr>
      <w:t xml:space="preserve"> No. 6 C 38 Bogotá D.C. Colombia</w:t>
    </w:r>
  </w:p>
  <w:p w:rsidR="00A21B5C" w:rsidRPr="00FE4097" w:rsidRDefault="00A21B5C" w:rsidP="00F01F75">
    <w:pPr>
      <w:pStyle w:val="Piedepgina"/>
      <w:jc w:val="center"/>
      <w:rPr>
        <w:rFonts w:ascii="Arial" w:hAnsi="Arial" w:cs="Arial"/>
        <w:sz w:val="16"/>
        <w:szCs w:val="16"/>
      </w:rPr>
    </w:pPr>
    <w:r w:rsidRPr="00FE4097">
      <w:rPr>
        <w:rFonts w:ascii="Arial" w:hAnsi="Arial" w:cs="Arial"/>
        <w:sz w:val="16"/>
        <w:szCs w:val="16"/>
      </w:rPr>
      <w:t>Código Postal 111711</w:t>
    </w:r>
  </w:p>
  <w:p w:rsidR="00A21B5C" w:rsidRPr="00FE4097" w:rsidRDefault="00A21B5C" w:rsidP="00F01F75">
    <w:pPr>
      <w:pStyle w:val="Piedepgina"/>
      <w:jc w:val="center"/>
      <w:rPr>
        <w:rFonts w:ascii="Arial" w:hAnsi="Arial" w:cs="Arial"/>
        <w:sz w:val="16"/>
        <w:szCs w:val="16"/>
      </w:rPr>
    </w:pPr>
    <w:r w:rsidRPr="00FE4097">
      <w:rPr>
        <w:rFonts w:ascii="Arial" w:hAnsi="Arial" w:cs="Arial"/>
        <w:sz w:val="16"/>
        <w:szCs w:val="16"/>
      </w:rPr>
      <w:t>Conmutador (57 1) 381 1700 Fuera de Bogotá 01-8000-910071</w:t>
    </w:r>
  </w:p>
  <w:p w:rsidR="00A21B5C" w:rsidRPr="00FE4097" w:rsidRDefault="00A21B5C" w:rsidP="00F01F75">
    <w:pPr>
      <w:pStyle w:val="Piedepgina"/>
      <w:jc w:val="center"/>
      <w:rPr>
        <w:rFonts w:ascii="Arial" w:hAnsi="Arial" w:cs="Arial"/>
        <w:sz w:val="16"/>
        <w:szCs w:val="16"/>
      </w:rPr>
    </w:pPr>
    <w:r w:rsidRPr="00FE4097">
      <w:rPr>
        <w:rFonts w:ascii="Arial" w:hAnsi="Arial" w:cs="Arial"/>
        <w:sz w:val="16"/>
        <w:szCs w:val="16"/>
      </w:rPr>
      <w:t>atencioncliente@minhacienda.gov.co</w:t>
    </w:r>
  </w:p>
  <w:p w:rsidR="00A21B5C" w:rsidRPr="00FE4097" w:rsidRDefault="00A21B5C" w:rsidP="00F01F75">
    <w:pPr>
      <w:jc w:val="center"/>
      <w:rPr>
        <w:sz w:val="16"/>
        <w:szCs w:val="16"/>
      </w:rPr>
    </w:pPr>
    <w:r w:rsidRPr="00FE4097">
      <w:rPr>
        <w:rFonts w:ascii="Arial" w:hAnsi="Arial" w:cs="Arial"/>
        <w:sz w:val="16"/>
        <w:szCs w:val="16"/>
      </w:rPr>
      <w:t>www.minhacienda.gov.co</w:t>
    </w:r>
  </w:p>
  <w:p w:rsidR="00A21B5C" w:rsidRPr="00F01F75" w:rsidRDefault="00A21B5C" w:rsidP="00F01F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6DF" w:rsidRDefault="00B056DF" w:rsidP="00F71345">
      <w:r>
        <w:separator/>
      </w:r>
    </w:p>
  </w:footnote>
  <w:footnote w:type="continuationSeparator" w:id="0">
    <w:p w:rsidR="00B056DF" w:rsidRDefault="00B056DF" w:rsidP="00F71345">
      <w:r>
        <w:continuationSeparator/>
      </w:r>
    </w:p>
  </w:footnote>
  <w:footnote w:type="continuationNotice" w:id="1">
    <w:p w:rsidR="00B056DF" w:rsidRDefault="00B056DF"/>
  </w:footnote>
  <w:footnote w:id="2">
    <w:p w:rsidR="00A21B5C" w:rsidRPr="00A96D69" w:rsidRDefault="00A21B5C" w:rsidP="008C2E4A">
      <w:pPr>
        <w:pStyle w:val="Textonotapie"/>
        <w:jc w:val="both"/>
        <w:rPr>
          <w:rFonts w:ascii="Arial Narrow" w:hAnsi="Arial Narrow"/>
          <w:sz w:val="18"/>
          <w:szCs w:val="18"/>
          <w:lang w:val="es-CO"/>
        </w:rPr>
      </w:pPr>
      <w:r w:rsidRPr="00A96D69">
        <w:rPr>
          <w:rStyle w:val="Refdenotaalpie"/>
          <w:rFonts w:ascii="Arial Narrow" w:hAnsi="Arial Narrow"/>
          <w:sz w:val="18"/>
          <w:szCs w:val="18"/>
        </w:rPr>
        <w:footnoteRef/>
      </w:r>
      <w:r w:rsidRPr="00A96D69">
        <w:rPr>
          <w:rFonts w:ascii="Arial Narrow" w:hAnsi="Arial Narrow"/>
          <w:sz w:val="18"/>
          <w:szCs w:val="18"/>
        </w:rPr>
        <w:t xml:space="preserve"> </w:t>
      </w:r>
      <w:r w:rsidRPr="005357F8">
        <w:rPr>
          <w:rFonts w:ascii="Arial Narrow" w:hAnsi="Arial Narrow"/>
          <w:color w:val="000000" w:themeColor="text1"/>
          <w:sz w:val="18"/>
          <w:szCs w:val="18"/>
        </w:rPr>
        <w:t xml:space="preserve">Documentos de distribución </w:t>
      </w:r>
      <w:r w:rsidRPr="005357F8">
        <w:rPr>
          <w:rFonts w:ascii="Arial Narrow" w:hAnsi="Arial Narrow" w:cs="Arial"/>
          <w:sz w:val="18"/>
          <w:szCs w:val="18"/>
        </w:rPr>
        <w:t>SGP-04-2015</w:t>
      </w:r>
      <w:r>
        <w:rPr>
          <w:rFonts w:ascii="Arial Narrow" w:hAnsi="Arial Narrow" w:cs="Arial"/>
          <w:sz w:val="18"/>
          <w:szCs w:val="18"/>
        </w:rPr>
        <w:t>,</w:t>
      </w:r>
      <w:r w:rsidRPr="005357F8">
        <w:rPr>
          <w:rFonts w:ascii="Arial Narrow" w:hAnsi="Arial Narrow" w:cs="Arial"/>
          <w:sz w:val="18"/>
          <w:szCs w:val="18"/>
        </w:rPr>
        <w:t xml:space="preserve"> SGP-06-2016, </w:t>
      </w:r>
      <w:r w:rsidRPr="005357F8">
        <w:rPr>
          <w:rFonts w:ascii="Arial Narrow" w:hAnsi="Arial Narrow"/>
          <w:sz w:val="18"/>
          <w:szCs w:val="18"/>
        </w:rPr>
        <w:t>SGP</w:t>
      </w:r>
      <w:r>
        <w:rPr>
          <w:rFonts w:ascii="Arial Narrow" w:hAnsi="Arial Narrow"/>
          <w:sz w:val="18"/>
          <w:szCs w:val="18"/>
        </w:rPr>
        <w:t>-</w:t>
      </w:r>
      <w:r w:rsidRPr="005357F8">
        <w:rPr>
          <w:rFonts w:ascii="Arial Narrow" w:hAnsi="Arial Narrow"/>
          <w:sz w:val="18"/>
          <w:szCs w:val="18"/>
        </w:rPr>
        <w:t xml:space="preserve">13-2016, </w:t>
      </w:r>
      <w:r>
        <w:rPr>
          <w:rFonts w:ascii="Arial Narrow" w:hAnsi="Arial Narrow"/>
          <w:sz w:val="18"/>
          <w:szCs w:val="18"/>
        </w:rPr>
        <w:t xml:space="preserve">SGP-15-2017, </w:t>
      </w:r>
      <w:r w:rsidRPr="005357F8">
        <w:rPr>
          <w:rFonts w:ascii="Arial Narrow" w:hAnsi="Arial Narrow"/>
          <w:sz w:val="18"/>
          <w:szCs w:val="18"/>
        </w:rPr>
        <w:t>SGP</w:t>
      </w:r>
      <w:r>
        <w:rPr>
          <w:rFonts w:ascii="Arial Narrow" w:hAnsi="Arial Narrow"/>
          <w:sz w:val="18"/>
          <w:szCs w:val="18"/>
        </w:rPr>
        <w:t>-</w:t>
      </w:r>
      <w:r w:rsidRPr="005357F8">
        <w:rPr>
          <w:rFonts w:ascii="Arial Narrow" w:hAnsi="Arial Narrow"/>
          <w:sz w:val="18"/>
          <w:szCs w:val="18"/>
        </w:rPr>
        <w:t>23-2017</w:t>
      </w:r>
      <w:r>
        <w:rPr>
          <w:rFonts w:ascii="Arial Narrow" w:hAnsi="Arial Narrow"/>
          <w:sz w:val="18"/>
          <w:szCs w:val="18"/>
        </w:rPr>
        <w:t xml:space="preserve">, SGP-26-2018, </w:t>
      </w:r>
      <w:r w:rsidRPr="005357F8">
        <w:rPr>
          <w:rFonts w:ascii="Arial Narrow" w:hAnsi="Arial Narrow"/>
          <w:sz w:val="18"/>
          <w:szCs w:val="18"/>
        </w:rPr>
        <w:t>SGP</w:t>
      </w:r>
      <w:r>
        <w:rPr>
          <w:rFonts w:ascii="Arial Narrow" w:hAnsi="Arial Narrow"/>
          <w:sz w:val="18"/>
          <w:szCs w:val="18"/>
        </w:rPr>
        <w:t>-</w:t>
      </w:r>
      <w:r w:rsidRPr="005357F8">
        <w:rPr>
          <w:rFonts w:ascii="Arial Narrow" w:hAnsi="Arial Narrow"/>
          <w:sz w:val="18"/>
          <w:szCs w:val="18"/>
        </w:rPr>
        <w:t>32-2018</w:t>
      </w:r>
      <w:r>
        <w:rPr>
          <w:rFonts w:ascii="Arial Narrow" w:hAnsi="Arial Narrow"/>
          <w:sz w:val="18"/>
          <w:szCs w:val="18"/>
        </w:rPr>
        <w:t xml:space="preserve"> y SGP-36-2019.</w:t>
      </w:r>
    </w:p>
  </w:footnote>
  <w:footnote w:id="3">
    <w:p w:rsidR="00A21B5C" w:rsidRPr="005357F8" w:rsidRDefault="00A21B5C" w:rsidP="008C2E4A">
      <w:pPr>
        <w:pStyle w:val="Textonotapie"/>
        <w:jc w:val="both"/>
        <w:rPr>
          <w:rFonts w:ascii="Arial Narrow" w:hAnsi="Arial Narrow"/>
          <w:sz w:val="18"/>
          <w:szCs w:val="18"/>
          <w:lang w:val="es-CO"/>
        </w:rPr>
      </w:pPr>
      <w:r w:rsidRPr="00A96D69">
        <w:rPr>
          <w:rStyle w:val="Refdenotaalpie"/>
          <w:rFonts w:ascii="Arial Narrow" w:hAnsi="Arial Narrow"/>
          <w:sz w:val="18"/>
          <w:szCs w:val="18"/>
        </w:rPr>
        <w:footnoteRef/>
      </w:r>
      <w:r w:rsidRPr="00A96D69">
        <w:rPr>
          <w:rFonts w:ascii="Arial Narrow" w:hAnsi="Arial Narrow"/>
          <w:sz w:val="18"/>
          <w:szCs w:val="18"/>
        </w:rPr>
        <w:t xml:space="preserve"> </w:t>
      </w:r>
      <w:r w:rsidRPr="00AA5A6B">
        <w:rPr>
          <w:rFonts w:ascii="Arial Narrow" w:hAnsi="Arial Narrow"/>
          <w:sz w:val="18"/>
          <w:szCs w:val="18"/>
        </w:rPr>
        <w:t xml:space="preserve">Documentos </w:t>
      </w:r>
      <w:r w:rsidRPr="00AA5A6B">
        <w:rPr>
          <w:rFonts w:ascii="Arial Narrow" w:eastAsia="Calibri" w:hAnsi="Arial Narrow"/>
          <w:i/>
          <w:sz w:val="18"/>
          <w:szCs w:val="18"/>
          <w:lang w:val="es-CO" w:eastAsia="en-US"/>
        </w:rPr>
        <w:t>“Ejecución Presupuestal de Gastos – 2015”, “Ejecución Presupuestal de Gastos – 2016”,  “Informe</w:t>
      </w:r>
      <w:r w:rsidRPr="005357F8">
        <w:rPr>
          <w:rFonts w:ascii="Arial Narrow" w:eastAsia="Calibri" w:hAnsi="Arial Narrow"/>
          <w:i/>
          <w:sz w:val="18"/>
          <w:szCs w:val="18"/>
          <w:lang w:val="es-CO" w:eastAsia="en-US"/>
        </w:rPr>
        <w:t xml:space="preserve"> de Cierre Presupuestal Vigencia 2017</w:t>
      </w:r>
      <w:r>
        <w:rPr>
          <w:rFonts w:ascii="Arial Narrow" w:eastAsia="Calibri" w:hAnsi="Arial Narrow"/>
          <w:i/>
          <w:sz w:val="18"/>
          <w:szCs w:val="18"/>
          <w:lang w:val="es-CO" w:eastAsia="en-US"/>
        </w:rPr>
        <w:t>” e</w:t>
      </w:r>
      <w:r w:rsidRPr="005357F8">
        <w:rPr>
          <w:rFonts w:ascii="Arial Narrow" w:eastAsia="Calibri" w:hAnsi="Arial Narrow"/>
          <w:i/>
          <w:sz w:val="18"/>
          <w:szCs w:val="18"/>
          <w:lang w:val="es-CO" w:eastAsia="en-US"/>
        </w:rPr>
        <w:t xml:space="preserve"> </w:t>
      </w:r>
      <w:r w:rsidRPr="005357F8">
        <w:rPr>
          <w:rFonts w:ascii="Arial Narrow" w:hAnsi="Arial Narrow"/>
          <w:i/>
          <w:sz w:val="18"/>
          <w:szCs w:val="18"/>
        </w:rPr>
        <w:t>“Informe de Cie</w:t>
      </w:r>
      <w:r>
        <w:rPr>
          <w:rFonts w:ascii="Arial Narrow" w:hAnsi="Arial Narrow"/>
          <w:i/>
          <w:sz w:val="18"/>
          <w:szCs w:val="18"/>
        </w:rPr>
        <w:t xml:space="preserve">rre Presupuestal Vigencia 2018 </w:t>
      </w:r>
      <w:r w:rsidRPr="005357F8">
        <w:rPr>
          <w:rFonts w:ascii="Arial Narrow" w:eastAsia="Calibri" w:hAnsi="Arial Narrow"/>
          <w:i/>
          <w:sz w:val="18"/>
          <w:szCs w:val="18"/>
          <w:lang w:val="es-CO" w:eastAsia="en-US"/>
        </w:rPr>
        <w:t>– Recursos para la participación especial Sistema General de Participaciones del Resguardo Indígena Kogui – Malayo – Arhuaco”</w:t>
      </w:r>
      <w:r w:rsidRPr="005357F8">
        <w:rPr>
          <w:rFonts w:ascii="Arial Narrow" w:eastAsia="Calibri" w:hAnsi="Arial Narrow"/>
          <w:sz w:val="18"/>
          <w:szCs w:val="18"/>
          <w:lang w:val="es-CO" w:eastAsia="en-US"/>
        </w:rPr>
        <w:t>.</w:t>
      </w:r>
    </w:p>
  </w:footnote>
  <w:footnote w:id="4">
    <w:p w:rsidR="00A21B5C" w:rsidRPr="00A96D69" w:rsidRDefault="00A21B5C" w:rsidP="008C2E4A">
      <w:pPr>
        <w:pStyle w:val="Textonotapie"/>
        <w:jc w:val="both"/>
        <w:rPr>
          <w:rFonts w:ascii="Arial Narrow" w:hAnsi="Arial Narrow"/>
          <w:sz w:val="18"/>
          <w:szCs w:val="18"/>
          <w:lang w:val="es-CO"/>
        </w:rPr>
      </w:pPr>
      <w:r w:rsidRPr="00A96D69">
        <w:rPr>
          <w:rStyle w:val="Refdenotaalpie"/>
          <w:rFonts w:ascii="Arial Narrow" w:hAnsi="Arial Narrow"/>
          <w:sz w:val="18"/>
          <w:szCs w:val="18"/>
        </w:rPr>
        <w:footnoteRef/>
      </w:r>
      <w:r w:rsidRPr="00A96D69">
        <w:rPr>
          <w:rFonts w:ascii="Arial Narrow" w:hAnsi="Arial Narrow"/>
          <w:sz w:val="18"/>
          <w:szCs w:val="18"/>
        </w:rPr>
        <w:t xml:space="preserve"> </w:t>
      </w:r>
      <w:r w:rsidRPr="005357F8">
        <w:rPr>
          <w:rFonts w:ascii="Arial Narrow" w:hAnsi="Arial Narrow"/>
          <w:sz w:val="18"/>
          <w:szCs w:val="18"/>
        </w:rPr>
        <w:t>Información de los extractos bancarios mensuales de</w:t>
      </w:r>
      <w:r>
        <w:rPr>
          <w:rFonts w:ascii="Arial Narrow" w:hAnsi="Arial Narrow"/>
          <w:sz w:val="18"/>
          <w:szCs w:val="18"/>
        </w:rPr>
        <w:t xml:space="preserve"> los </w:t>
      </w:r>
      <w:r w:rsidRPr="005357F8">
        <w:rPr>
          <w:rFonts w:ascii="Arial Narrow" w:hAnsi="Arial Narrow"/>
          <w:sz w:val="18"/>
          <w:szCs w:val="18"/>
        </w:rPr>
        <w:t>año</w:t>
      </w:r>
      <w:r>
        <w:rPr>
          <w:rFonts w:ascii="Arial Narrow" w:hAnsi="Arial Narrow"/>
          <w:sz w:val="18"/>
          <w:szCs w:val="18"/>
        </w:rPr>
        <w:t>s 2015,</w:t>
      </w:r>
      <w:r w:rsidRPr="005357F8">
        <w:rPr>
          <w:rFonts w:ascii="Arial Narrow" w:hAnsi="Arial Narrow"/>
          <w:sz w:val="18"/>
          <w:szCs w:val="18"/>
        </w:rPr>
        <w:t xml:space="preserve"> 2016 y 2017. Cuenta bancaria corriente 5300567</w:t>
      </w:r>
      <w:r>
        <w:rPr>
          <w:rFonts w:ascii="Arial Narrow" w:hAnsi="Arial Narrow"/>
          <w:sz w:val="18"/>
          <w:szCs w:val="18"/>
        </w:rPr>
        <w:t>6</w:t>
      </w:r>
      <w:r w:rsidRPr="005357F8">
        <w:rPr>
          <w:rFonts w:ascii="Arial Narrow" w:hAnsi="Arial Narrow"/>
          <w:sz w:val="18"/>
          <w:szCs w:val="18"/>
        </w:rPr>
        <w:t>-1 del Banco Bogotá del Resguardo Kogui – Malayo – Arhuaco.</w:t>
      </w:r>
    </w:p>
  </w:footnote>
  <w:footnote w:id="5">
    <w:p w:rsidR="00A21B5C" w:rsidRPr="00A96D69" w:rsidRDefault="00A21B5C" w:rsidP="008C2E4A">
      <w:pPr>
        <w:pStyle w:val="Textonotapie"/>
        <w:jc w:val="both"/>
        <w:rPr>
          <w:rFonts w:ascii="Arial Narrow" w:hAnsi="Arial Narrow"/>
          <w:sz w:val="18"/>
          <w:szCs w:val="18"/>
          <w:lang w:val="es-CO"/>
        </w:rPr>
      </w:pPr>
      <w:r w:rsidRPr="00A96D69">
        <w:rPr>
          <w:rStyle w:val="Refdenotaalpie"/>
          <w:rFonts w:ascii="Arial Narrow" w:hAnsi="Arial Narrow"/>
          <w:sz w:val="18"/>
          <w:szCs w:val="18"/>
        </w:rPr>
        <w:footnoteRef/>
      </w:r>
      <w:r w:rsidRPr="00A96D69">
        <w:rPr>
          <w:rFonts w:ascii="Arial Narrow" w:hAnsi="Arial Narrow"/>
          <w:sz w:val="18"/>
          <w:szCs w:val="18"/>
        </w:rPr>
        <w:t xml:space="preserve"> </w:t>
      </w:r>
      <w:r w:rsidRPr="005357F8">
        <w:rPr>
          <w:rFonts w:ascii="Arial Narrow" w:eastAsia="Calibri" w:hAnsi="Arial Narrow"/>
          <w:sz w:val="18"/>
          <w:szCs w:val="18"/>
          <w:lang w:val="es-CO" w:eastAsia="en-US"/>
        </w:rPr>
        <w:t>Fueron adelantados los siguientes contratos: 9 para la vigencia 2016, 8 para la vigencia 2017 y 1 para la vigencia 2018. Detalle en el apartado contractual de este documento.</w:t>
      </w:r>
    </w:p>
  </w:footnote>
  <w:footnote w:id="6">
    <w:p w:rsidR="00A21B5C" w:rsidRPr="00A96D69" w:rsidRDefault="00A21B5C" w:rsidP="008C2E4A">
      <w:pPr>
        <w:pStyle w:val="Textonotapie"/>
        <w:jc w:val="both"/>
        <w:rPr>
          <w:rFonts w:ascii="Arial Narrow" w:hAnsi="Arial Narrow"/>
          <w:lang w:val="es-CO"/>
        </w:rPr>
      </w:pPr>
      <w:r w:rsidRPr="00A96D69">
        <w:rPr>
          <w:rStyle w:val="Refdenotaalpie"/>
          <w:rFonts w:ascii="Arial Narrow" w:hAnsi="Arial Narrow"/>
          <w:sz w:val="18"/>
          <w:szCs w:val="18"/>
        </w:rPr>
        <w:footnoteRef/>
      </w:r>
      <w:r w:rsidRPr="00A96D69">
        <w:rPr>
          <w:rFonts w:ascii="Arial Narrow" w:hAnsi="Arial Narrow"/>
          <w:sz w:val="18"/>
          <w:szCs w:val="18"/>
        </w:rPr>
        <w:t xml:space="preserve"> </w:t>
      </w:r>
      <w:r w:rsidRPr="005357F8">
        <w:rPr>
          <w:rFonts w:ascii="Arial Narrow" w:hAnsi="Arial Narrow"/>
          <w:sz w:val="18"/>
          <w:szCs w:val="18"/>
        </w:rPr>
        <w:t xml:space="preserve">Documentos </w:t>
      </w:r>
      <w:r w:rsidRPr="005357F8">
        <w:rPr>
          <w:rFonts w:ascii="Arial Narrow" w:hAnsi="Arial Narrow"/>
          <w:i/>
          <w:sz w:val="18"/>
          <w:szCs w:val="18"/>
        </w:rPr>
        <w:t xml:space="preserve">“Informe de Cierre Presupuestal Vigencia 2017” </w:t>
      </w:r>
      <w:r>
        <w:rPr>
          <w:rFonts w:ascii="Arial Narrow" w:hAnsi="Arial Narrow"/>
          <w:i/>
          <w:sz w:val="18"/>
          <w:szCs w:val="18"/>
        </w:rPr>
        <w:t>e</w:t>
      </w:r>
      <w:r w:rsidRPr="005357F8">
        <w:rPr>
          <w:rFonts w:ascii="Arial Narrow" w:hAnsi="Arial Narrow"/>
          <w:i/>
          <w:sz w:val="18"/>
          <w:szCs w:val="18"/>
        </w:rPr>
        <w:t xml:space="preserve"> “Informe de Cierre Presupuestal Vigencia 2018 – Recursos para la participación especial Sistema General de Participaciones del Resguardo Indígena Kogui – Malayo – Arhuaco”</w:t>
      </w:r>
    </w:p>
  </w:footnote>
  <w:footnote w:id="7">
    <w:p w:rsidR="00A21B5C" w:rsidRPr="00A96D69" w:rsidRDefault="00A21B5C" w:rsidP="008C2E4A">
      <w:pPr>
        <w:pStyle w:val="Textonotapie"/>
        <w:jc w:val="both"/>
        <w:rPr>
          <w:rFonts w:ascii="Arial Narrow" w:hAnsi="Arial Narrow"/>
          <w:sz w:val="18"/>
          <w:szCs w:val="18"/>
          <w:lang w:val="es-CO"/>
        </w:rPr>
      </w:pPr>
      <w:r w:rsidRPr="00A96D69">
        <w:rPr>
          <w:rStyle w:val="Refdenotaalpie"/>
          <w:rFonts w:ascii="Arial Narrow" w:hAnsi="Arial Narrow"/>
          <w:sz w:val="18"/>
          <w:szCs w:val="18"/>
        </w:rPr>
        <w:footnoteRef/>
      </w:r>
      <w:r w:rsidRPr="00A96D69">
        <w:rPr>
          <w:rFonts w:ascii="Arial Narrow" w:hAnsi="Arial Narrow"/>
          <w:sz w:val="18"/>
          <w:szCs w:val="18"/>
        </w:rPr>
        <w:t xml:space="preserve"> </w:t>
      </w:r>
      <w:r w:rsidRPr="007D52A7">
        <w:rPr>
          <w:rFonts w:ascii="Arial Narrow" w:hAnsi="Arial Narrow"/>
          <w:sz w:val="18"/>
          <w:szCs w:val="18"/>
        </w:rPr>
        <w:t xml:space="preserve">Decreto 014 de 2017 y </w:t>
      </w:r>
      <w:r w:rsidRPr="00A25494">
        <w:rPr>
          <w:rFonts w:ascii="Arial Narrow" w:hAnsi="Arial Narrow"/>
          <w:sz w:val="18"/>
          <w:szCs w:val="18"/>
        </w:rPr>
        <w:t xml:space="preserve">Decreto 009 de 2018. </w:t>
      </w:r>
      <w:r w:rsidRPr="00A25494">
        <w:rPr>
          <w:rFonts w:ascii="Arial Narrow" w:hAnsi="Arial Narrow"/>
          <w:i/>
          <w:sz w:val="18"/>
          <w:szCs w:val="18"/>
        </w:rPr>
        <w:t>“Por medio del cual se constituyen los valores correspondientes a reservas presupuestales de la vigencia fiscal 2016 del Resguardo Kogui-Malayo-Arhuaco”</w:t>
      </w:r>
    </w:p>
  </w:footnote>
  <w:footnote w:id="8">
    <w:p w:rsidR="00A21B5C" w:rsidRPr="00A96D69" w:rsidRDefault="00A21B5C" w:rsidP="00E90DC5">
      <w:pPr>
        <w:pStyle w:val="Textonotapie"/>
        <w:jc w:val="both"/>
        <w:rPr>
          <w:rFonts w:ascii="Arial Narrow" w:hAnsi="Arial Narrow"/>
          <w:sz w:val="18"/>
          <w:szCs w:val="18"/>
          <w:lang w:val="es-CO"/>
        </w:rPr>
      </w:pPr>
      <w:r w:rsidRPr="00A96D69">
        <w:rPr>
          <w:rStyle w:val="Refdenotaalpie"/>
          <w:rFonts w:ascii="Arial Narrow" w:hAnsi="Arial Narrow"/>
          <w:sz w:val="18"/>
          <w:szCs w:val="18"/>
        </w:rPr>
        <w:footnoteRef/>
      </w:r>
      <w:r w:rsidRPr="00A96D69">
        <w:rPr>
          <w:rFonts w:ascii="Arial Narrow" w:hAnsi="Arial Narrow"/>
          <w:sz w:val="18"/>
          <w:szCs w:val="18"/>
        </w:rPr>
        <w:t xml:space="preserve"> </w:t>
      </w:r>
      <w:r w:rsidRPr="00E90DC5">
        <w:rPr>
          <w:rFonts w:ascii="Arial Narrow" w:hAnsi="Arial Narrow"/>
          <w:sz w:val="18"/>
          <w:szCs w:val="18"/>
        </w:rPr>
        <w:t>De acuerdo con el documento de cierre de tesorería “Listado saldo de bancos sin compromiso a 31 de diciembre de 2016” y Decreto 009 de 2018.</w:t>
      </w:r>
    </w:p>
  </w:footnote>
  <w:footnote w:id="9">
    <w:p w:rsidR="00A21B5C" w:rsidRDefault="00A21B5C" w:rsidP="00C35F86">
      <w:pPr>
        <w:pStyle w:val="Textonotapie"/>
      </w:pPr>
      <w:r w:rsidRPr="00F41061">
        <w:rPr>
          <w:rStyle w:val="Refdenotaalpie"/>
          <w:rFonts w:ascii="Arial Narrow" w:hAnsi="Arial Narrow"/>
          <w:sz w:val="18"/>
          <w:szCs w:val="18"/>
        </w:rPr>
        <w:footnoteRef/>
      </w:r>
      <w:r w:rsidRPr="00F41061">
        <w:rPr>
          <w:rStyle w:val="Refdenotaalpie"/>
          <w:rFonts w:ascii="Arial Narrow" w:hAnsi="Arial Narrow"/>
          <w:sz w:val="18"/>
          <w:szCs w:val="18"/>
        </w:rPr>
        <w:t xml:space="preserve"> </w:t>
      </w:r>
      <w:r>
        <w:rPr>
          <w:rFonts w:ascii="Arial Narrow" w:hAnsi="Arial Narrow"/>
          <w:sz w:val="18"/>
          <w:szCs w:val="18"/>
        </w:rPr>
        <w:t>“</w:t>
      </w:r>
      <w:r w:rsidRPr="00F41061">
        <w:rPr>
          <w:rFonts w:ascii="Arial Narrow" w:hAnsi="Arial Narrow" w:cs="Arial"/>
          <w:i/>
          <w:iCs/>
          <w:sz w:val="18"/>
          <w:szCs w:val="18"/>
          <w:lang w:val="es-CO"/>
        </w:rPr>
        <w:t>Las reservas presupuestales corresponderán a la diferencia entre los compromisos y las obligaciones, y las cuentas por pagar a la diferencia entre las obligaciones y los pagos</w:t>
      </w:r>
      <w:r>
        <w:rPr>
          <w:rFonts w:ascii="Arial Narrow" w:hAnsi="Arial Narrow" w:cs="Arial"/>
          <w:sz w:val="18"/>
          <w:szCs w:val="18"/>
          <w:lang w:val="es-CO"/>
        </w:rPr>
        <w:t xml:space="preserve">”, </w:t>
      </w:r>
      <w:r w:rsidRPr="009A3FC7">
        <w:rPr>
          <w:rFonts w:ascii="Arial Narrow" w:hAnsi="Arial Narrow"/>
          <w:bCs/>
          <w:sz w:val="18"/>
          <w:szCs w:val="18"/>
          <w:lang w:val="es-CO"/>
        </w:rPr>
        <w:t>Artículo 2.8.1.7.3.1 del Decreto 1068 de 2015.</w:t>
      </w:r>
    </w:p>
  </w:footnote>
  <w:footnote w:id="10">
    <w:p w:rsidR="00A21B5C" w:rsidRDefault="00A21B5C" w:rsidP="00FD5538">
      <w:pPr>
        <w:pStyle w:val="Textonotapie"/>
      </w:pPr>
      <w:r w:rsidRPr="00F41061">
        <w:rPr>
          <w:rStyle w:val="Refdenotaalpie"/>
          <w:rFonts w:ascii="Arial Narrow" w:hAnsi="Arial Narrow"/>
          <w:sz w:val="18"/>
          <w:szCs w:val="18"/>
        </w:rPr>
        <w:footnoteRef/>
      </w:r>
      <w:r w:rsidRPr="00F41061">
        <w:rPr>
          <w:rStyle w:val="Refdenotaalpie"/>
          <w:rFonts w:ascii="Arial Narrow" w:hAnsi="Arial Narrow"/>
          <w:sz w:val="18"/>
          <w:szCs w:val="18"/>
        </w:rPr>
        <w:t xml:space="preserve"> </w:t>
      </w:r>
      <w:r w:rsidRPr="00F41061">
        <w:rPr>
          <w:rFonts w:ascii="Arial Narrow" w:hAnsi="Arial Narrow" w:cs="Arial"/>
          <w:sz w:val="18"/>
          <w:szCs w:val="18"/>
          <w:lang w:val="es-CO"/>
        </w:rPr>
        <w:t>Ministerio de Hacienda y Crédito Público. Dirección General del Presupuesto Público Nacional – Aspectos Generales del Proceso Presupuestal Colombiano, Ministerio de Hacienda -2ª. Ed – Bogotá, 2001, pág. 111.</w:t>
      </w:r>
    </w:p>
  </w:footnote>
  <w:footnote w:id="11">
    <w:p w:rsidR="00A21B5C" w:rsidRPr="00EB7B9F" w:rsidRDefault="00A21B5C" w:rsidP="003A6B50">
      <w:pPr>
        <w:pStyle w:val="Textonotapie"/>
        <w:jc w:val="both"/>
        <w:rPr>
          <w:rFonts w:ascii="Arial Narrow" w:hAnsi="Arial Narrow"/>
          <w:sz w:val="18"/>
          <w:szCs w:val="18"/>
          <w:lang w:val="es-CO"/>
        </w:rPr>
      </w:pPr>
      <w:r w:rsidRPr="00EB7B9F">
        <w:rPr>
          <w:rStyle w:val="Refdenotaalpie"/>
          <w:rFonts w:ascii="Arial Narrow" w:hAnsi="Arial Narrow"/>
          <w:sz w:val="18"/>
          <w:szCs w:val="18"/>
        </w:rPr>
        <w:footnoteRef/>
      </w:r>
      <w:r w:rsidRPr="00EB7B9F">
        <w:rPr>
          <w:rFonts w:ascii="Arial Narrow" w:hAnsi="Arial Narrow"/>
          <w:sz w:val="18"/>
          <w:szCs w:val="18"/>
        </w:rPr>
        <w:t xml:space="preserve"> </w:t>
      </w:r>
      <w:r w:rsidRPr="00E90DC5">
        <w:rPr>
          <w:rFonts w:ascii="Arial Narrow" w:hAnsi="Arial Narrow" w:cs="Arial"/>
          <w:sz w:val="18"/>
          <w:szCs w:val="18"/>
          <w:lang w:val="es-CO"/>
        </w:rPr>
        <w:t>Contrato</w:t>
      </w:r>
      <w:r w:rsidRPr="009A3FC7">
        <w:rPr>
          <w:rFonts w:ascii="Arial Narrow" w:hAnsi="Arial Narrow" w:cs="Arial"/>
          <w:sz w:val="18"/>
          <w:szCs w:val="18"/>
          <w:lang w:val="es-CO"/>
        </w:rPr>
        <w:t xml:space="preserve"> de compraventa 015 de 2017 para adquisición de un bien inmueble por $400.000.000, los cuales se obligaban con la entrega del bien y la firma de la escritura pública. De allí, y en inspección al expediente contractual, se conoció que este cumplimiento se dio el 27 de diciembre de 2017, por lo que, presupuestalmente, dentro de la vigencia quedaba causado como obligación todo el valor comprometido. (Detalle en el apartado III. Ejecución y Contratación en este documento)</w:t>
      </w:r>
    </w:p>
  </w:footnote>
  <w:footnote w:id="12">
    <w:p w:rsidR="00A21B5C" w:rsidRPr="00EB7B9F" w:rsidRDefault="00A21B5C" w:rsidP="003A6B50">
      <w:pPr>
        <w:pStyle w:val="Textonotapie"/>
        <w:jc w:val="both"/>
        <w:rPr>
          <w:rFonts w:ascii="Arial Narrow" w:hAnsi="Arial Narrow"/>
          <w:sz w:val="18"/>
          <w:szCs w:val="18"/>
          <w:lang w:val="es-CO"/>
        </w:rPr>
      </w:pPr>
      <w:r w:rsidRPr="00EB7B9F">
        <w:rPr>
          <w:rStyle w:val="Refdenotaalpie"/>
          <w:rFonts w:ascii="Arial Narrow" w:hAnsi="Arial Narrow"/>
          <w:sz w:val="18"/>
          <w:szCs w:val="18"/>
        </w:rPr>
        <w:footnoteRef/>
      </w:r>
      <w:r w:rsidRPr="00EB7B9F">
        <w:rPr>
          <w:rFonts w:ascii="Arial Narrow" w:hAnsi="Arial Narrow"/>
          <w:sz w:val="18"/>
          <w:szCs w:val="18"/>
        </w:rPr>
        <w:t xml:space="preserve"> </w:t>
      </w:r>
      <w:r w:rsidRPr="009A3FC7">
        <w:rPr>
          <w:rFonts w:ascii="Arial Narrow" w:hAnsi="Arial Narrow" w:cs="Arial"/>
          <w:sz w:val="18"/>
          <w:szCs w:val="18"/>
          <w:lang w:val="es-CO"/>
        </w:rPr>
        <w:t>Correspondientes a la ejecución de dos contractos: 1). Contrato de obra 004 de 2017 para el mantenimiento y construcción de dos estructuras (puentes colgantes), sobre el cual se conoció, en inspección al expediente contractual, que dicho contrato continuó en ejecución durante la vigencia siguiente 2018; y 2) Otro sí modificatorio en 2017 al Contrato 004 de 2016 para la construcción de dos bodegas y una oficina. (Detalle en el apartado III. Ejecución y Contratación en este documento)</w:t>
      </w:r>
    </w:p>
  </w:footnote>
  <w:footnote w:id="13">
    <w:p w:rsidR="00A21B5C" w:rsidRPr="00A96D69" w:rsidRDefault="00A21B5C" w:rsidP="008C2E4A">
      <w:pPr>
        <w:pStyle w:val="Textonotapie"/>
        <w:jc w:val="both"/>
        <w:rPr>
          <w:rFonts w:ascii="Arial Narrow" w:hAnsi="Arial Narrow"/>
          <w:sz w:val="18"/>
          <w:szCs w:val="18"/>
          <w:lang w:val="es-CO"/>
        </w:rPr>
      </w:pPr>
      <w:r w:rsidRPr="00A96D69">
        <w:rPr>
          <w:rStyle w:val="Refdenotaalpie"/>
          <w:rFonts w:ascii="Arial Narrow" w:hAnsi="Arial Narrow"/>
          <w:sz w:val="18"/>
          <w:szCs w:val="18"/>
        </w:rPr>
        <w:footnoteRef/>
      </w:r>
      <w:r w:rsidRPr="00A96D69">
        <w:rPr>
          <w:rFonts w:ascii="Arial Narrow" w:hAnsi="Arial Narrow"/>
          <w:sz w:val="18"/>
          <w:szCs w:val="18"/>
        </w:rPr>
        <w:t xml:space="preserve"> </w:t>
      </w:r>
      <w:r w:rsidRPr="009A3FC7">
        <w:rPr>
          <w:rFonts w:ascii="Arial Narrow" w:hAnsi="Arial Narrow"/>
          <w:bCs/>
          <w:sz w:val="18"/>
          <w:szCs w:val="18"/>
          <w:lang w:val="es-CO"/>
        </w:rPr>
        <w:t>Artículo 2.8.1.7.3.1 del Decreto 1068 de 2015.</w:t>
      </w:r>
    </w:p>
  </w:footnote>
  <w:footnote w:id="14">
    <w:p w:rsidR="00A21B5C" w:rsidRDefault="00A21B5C" w:rsidP="008C2E4A">
      <w:pPr>
        <w:pStyle w:val="Textonotapie"/>
        <w:jc w:val="both"/>
        <w:rPr>
          <w:rFonts w:ascii="Arial Narrow" w:hAnsi="Arial Narrow" w:cs="Arial"/>
          <w:sz w:val="18"/>
          <w:szCs w:val="18"/>
          <w:lang w:val="es-CO"/>
        </w:rPr>
      </w:pPr>
      <w:r w:rsidRPr="00A96D69">
        <w:rPr>
          <w:rStyle w:val="Refdenotaalpie"/>
          <w:rFonts w:ascii="Arial Narrow" w:hAnsi="Arial Narrow"/>
          <w:sz w:val="18"/>
          <w:szCs w:val="18"/>
        </w:rPr>
        <w:footnoteRef/>
      </w:r>
      <w:r w:rsidRPr="00A96D69">
        <w:rPr>
          <w:rFonts w:ascii="Arial Narrow" w:hAnsi="Arial Narrow"/>
          <w:sz w:val="18"/>
          <w:szCs w:val="18"/>
        </w:rPr>
        <w:t xml:space="preserve"> </w:t>
      </w:r>
      <w:r w:rsidRPr="009A3FC7">
        <w:rPr>
          <w:rFonts w:ascii="Arial Narrow" w:hAnsi="Arial Narrow" w:cs="Arial"/>
          <w:sz w:val="18"/>
          <w:szCs w:val="18"/>
          <w:lang w:val="es-CO"/>
        </w:rPr>
        <w:t>Decreto 014 de 2017 “Por medio del cual se constituyen los valores correspondientes a reservas presupuestales de la vigencia fiscal 2016 del Resguardo Kogui-Malayo-Arhuaco”</w:t>
      </w:r>
    </w:p>
  </w:footnote>
  <w:footnote w:id="15">
    <w:p w:rsidR="00A21B5C" w:rsidRPr="00A96D69" w:rsidRDefault="00A21B5C" w:rsidP="008C2E4A">
      <w:pPr>
        <w:pStyle w:val="Textonotapie"/>
        <w:rPr>
          <w:rFonts w:ascii="Arial Narrow" w:hAnsi="Arial Narrow"/>
          <w:sz w:val="18"/>
          <w:szCs w:val="18"/>
          <w:lang w:val="es-CO"/>
        </w:rPr>
      </w:pPr>
      <w:r w:rsidRPr="00A96D69">
        <w:rPr>
          <w:rStyle w:val="Refdenotaalpie"/>
          <w:rFonts w:ascii="Arial Narrow" w:hAnsi="Arial Narrow"/>
          <w:sz w:val="18"/>
          <w:szCs w:val="18"/>
        </w:rPr>
        <w:footnoteRef/>
      </w:r>
      <w:r w:rsidRPr="00A96D69">
        <w:rPr>
          <w:rFonts w:ascii="Arial Narrow" w:hAnsi="Arial Narrow"/>
          <w:sz w:val="18"/>
          <w:szCs w:val="18"/>
        </w:rPr>
        <w:t xml:space="preserve"> $ </w:t>
      </w:r>
      <w:r w:rsidRPr="00A96D69">
        <w:rPr>
          <w:rFonts w:ascii="Arial Narrow" w:hAnsi="Arial Narrow"/>
          <w:bCs/>
          <w:sz w:val="18"/>
          <w:szCs w:val="18"/>
          <w:lang w:val="es-CO"/>
        </w:rPr>
        <w:t>3.711.</w:t>
      </w:r>
      <w:r w:rsidRPr="00A530E2">
        <w:rPr>
          <w:rFonts w:ascii="Arial Narrow" w:hAnsi="Arial Narrow"/>
          <w:bCs/>
          <w:sz w:val="18"/>
          <w:szCs w:val="18"/>
          <w:lang w:val="es-CO"/>
        </w:rPr>
        <w:t>882 para obligar y pagar el Contrato de Obra 004 de 2016 para la construcción de 2 bodegas y 1 oficina; y $1.912.834 para obligar y pagar del Contrato de Interventoría</w:t>
      </w:r>
      <w:r w:rsidRPr="00A96D69">
        <w:rPr>
          <w:rFonts w:ascii="Arial Narrow" w:hAnsi="Arial Narrow"/>
          <w:sz w:val="18"/>
          <w:szCs w:val="18"/>
          <w:lang w:val="es-CO"/>
        </w:rPr>
        <w:t xml:space="preserve"> </w:t>
      </w:r>
      <w:r w:rsidRPr="0044720C">
        <w:rPr>
          <w:rFonts w:ascii="Arial Narrow" w:eastAsia="Times New Roman" w:hAnsi="Arial Narrow" w:cs="Calibri"/>
          <w:color w:val="000000"/>
          <w:sz w:val="18"/>
          <w:szCs w:val="18"/>
          <w:lang w:val="es-CO" w:eastAsia="es-CO"/>
        </w:rPr>
        <w:t>N° 003 de 2016.</w:t>
      </w:r>
    </w:p>
  </w:footnote>
  <w:footnote w:id="16">
    <w:p w:rsidR="00A21B5C" w:rsidRPr="00A530E2" w:rsidRDefault="00A21B5C" w:rsidP="00A55783">
      <w:pPr>
        <w:pStyle w:val="Textonotapie"/>
        <w:rPr>
          <w:rFonts w:ascii="Arial Narrow" w:hAnsi="Arial Narrow"/>
          <w:sz w:val="18"/>
          <w:szCs w:val="18"/>
          <w:lang w:val="es-CO"/>
        </w:rPr>
      </w:pPr>
      <w:r w:rsidRPr="00A530E2">
        <w:rPr>
          <w:rStyle w:val="Refdenotaalpie"/>
          <w:rFonts w:ascii="Arial Narrow" w:hAnsi="Arial Narrow"/>
          <w:sz w:val="18"/>
          <w:szCs w:val="18"/>
        </w:rPr>
        <w:footnoteRef/>
      </w:r>
      <w:r w:rsidRPr="00A530E2">
        <w:rPr>
          <w:rFonts w:ascii="Arial Narrow" w:hAnsi="Arial Narrow"/>
          <w:sz w:val="18"/>
          <w:szCs w:val="18"/>
        </w:rPr>
        <w:t xml:space="preserve"> </w:t>
      </w:r>
      <w:r w:rsidRPr="00A530E2">
        <w:rPr>
          <w:rFonts w:ascii="Arial Narrow" w:hAnsi="Arial Narrow" w:cs="Arial"/>
          <w:sz w:val="18"/>
          <w:szCs w:val="18"/>
          <w:lang w:val="es-CO"/>
        </w:rPr>
        <w:t>Contrato Interadministrativo N° 010 y el Convenio 032 realizados en 2016.</w:t>
      </w:r>
    </w:p>
  </w:footnote>
  <w:footnote w:id="17">
    <w:p w:rsidR="00A21B5C" w:rsidRPr="00A96D69" w:rsidRDefault="00A21B5C" w:rsidP="008C2E4A">
      <w:pPr>
        <w:pStyle w:val="Textonotapie"/>
        <w:jc w:val="both"/>
        <w:rPr>
          <w:rFonts w:ascii="Arial Narrow" w:hAnsi="Arial Narrow"/>
          <w:sz w:val="18"/>
          <w:szCs w:val="18"/>
          <w:lang w:val="es-CO"/>
        </w:rPr>
      </w:pPr>
      <w:r w:rsidRPr="00A96D69">
        <w:rPr>
          <w:rStyle w:val="Refdenotaalpie"/>
          <w:rFonts w:ascii="Arial Narrow" w:hAnsi="Arial Narrow"/>
          <w:sz w:val="18"/>
          <w:szCs w:val="18"/>
        </w:rPr>
        <w:footnoteRef/>
      </w:r>
      <w:r w:rsidRPr="00A96D69">
        <w:rPr>
          <w:rFonts w:ascii="Arial Narrow" w:hAnsi="Arial Narrow"/>
          <w:sz w:val="18"/>
          <w:szCs w:val="18"/>
        </w:rPr>
        <w:t xml:space="preserve"> </w:t>
      </w:r>
      <w:r w:rsidRPr="0044720C">
        <w:rPr>
          <w:rFonts w:ascii="Arial Narrow" w:hAnsi="Arial Narrow"/>
          <w:sz w:val="18"/>
          <w:szCs w:val="18"/>
        </w:rPr>
        <w:t>En la ejecución presupuestal el rubro es denominado “Gastos de funcionamiento”. No obstante, en visita de reconocimiento institucional e</w:t>
      </w:r>
      <w:r w:rsidRPr="003D50C8">
        <w:rPr>
          <w:rFonts w:ascii="Arial Narrow" w:hAnsi="Arial Narrow"/>
          <w:sz w:val="18"/>
          <w:szCs w:val="18"/>
        </w:rPr>
        <w:t>l Jefe de Presupuesto aclaró que el monto allí presentado correspondía a Reservas Presupuestales, informando así de un problema en la parametrización del software</w:t>
      </w:r>
      <w:r w:rsidRPr="00A96D69">
        <w:rPr>
          <w:rFonts w:ascii="Arial Narrow" w:hAnsi="Arial Narrow"/>
          <w:sz w:val="18"/>
          <w:szCs w:val="18"/>
        </w:rPr>
        <w:t>.</w:t>
      </w:r>
    </w:p>
  </w:footnote>
  <w:footnote w:id="18">
    <w:p w:rsidR="00A21B5C" w:rsidRDefault="00A21B5C" w:rsidP="008C2E4A">
      <w:pPr>
        <w:pStyle w:val="Textonotapie"/>
        <w:rPr>
          <w:lang w:val="es-CO"/>
        </w:rPr>
      </w:pPr>
      <w:r w:rsidRPr="00A96D69">
        <w:rPr>
          <w:rStyle w:val="Refdenotaalpie"/>
          <w:rFonts w:ascii="Arial Narrow" w:hAnsi="Arial Narrow"/>
          <w:sz w:val="18"/>
          <w:szCs w:val="18"/>
        </w:rPr>
        <w:footnoteRef/>
      </w:r>
      <w:r w:rsidRPr="00A96D69">
        <w:rPr>
          <w:rFonts w:ascii="Arial Narrow" w:hAnsi="Arial Narrow"/>
          <w:sz w:val="18"/>
          <w:szCs w:val="18"/>
        </w:rPr>
        <w:t xml:space="preserve"> </w:t>
      </w:r>
      <w:r w:rsidRPr="00A530E2">
        <w:rPr>
          <w:rFonts w:ascii="Arial Narrow" w:hAnsi="Arial Narrow"/>
          <w:bCs/>
          <w:sz w:val="18"/>
          <w:szCs w:val="18"/>
          <w:lang w:val="es-CO"/>
        </w:rPr>
        <w:t>Para obligar y pagar el Contrato de Obra 004 de 2016 para la construcción de 2 bodegas y 1 oficina.</w:t>
      </w:r>
    </w:p>
  </w:footnote>
  <w:footnote w:id="19">
    <w:p w:rsidR="00A21B5C" w:rsidRPr="00A96D69" w:rsidRDefault="00A21B5C" w:rsidP="008C2E4A">
      <w:pPr>
        <w:pStyle w:val="Textonotapie"/>
        <w:rPr>
          <w:rFonts w:ascii="Arial Narrow" w:hAnsi="Arial Narrow"/>
          <w:sz w:val="18"/>
          <w:szCs w:val="18"/>
          <w:lang w:val="es-CO"/>
        </w:rPr>
      </w:pPr>
      <w:r w:rsidRPr="00A96D69">
        <w:rPr>
          <w:rStyle w:val="Refdenotaalpie"/>
          <w:rFonts w:ascii="Arial Narrow" w:hAnsi="Arial Narrow"/>
          <w:sz w:val="18"/>
          <w:szCs w:val="18"/>
        </w:rPr>
        <w:footnoteRef/>
      </w:r>
      <w:r w:rsidRPr="00A96D69">
        <w:rPr>
          <w:rFonts w:ascii="Arial Narrow" w:hAnsi="Arial Narrow"/>
          <w:sz w:val="18"/>
          <w:szCs w:val="18"/>
        </w:rPr>
        <w:t xml:space="preserve"> </w:t>
      </w:r>
      <w:r w:rsidRPr="00832BDC">
        <w:rPr>
          <w:rFonts w:ascii="Arial Narrow" w:hAnsi="Arial Narrow"/>
          <w:bCs/>
          <w:sz w:val="18"/>
          <w:szCs w:val="18"/>
          <w:lang w:val="es-CO"/>
        </w:rPr>
        <w:t>Artículo 2.8.1.7.1. del Decreto 1068 de 2015.</w:t>
      </w:r>
    </w:p>
  </w:footnote>
  <w:footnote w:id="20">
    <w:p w:rsidR="00A21B5C" w:rsidRPr="00F715BE" w:rsidRDefault="00A21B5C" w:rsidP="008C2E4A">
      <w:pPr>
        <w:pStyle w:val="Textonotapie"/>
        <w:rPr>
          <w:rFonts w:ascii="Arial Narrow" w:hAnsi="Arial Narrow"/>
          <w:sz w:val="18"/>
          <w:szCs w:val="18"/>
          <w:lang w:val="es-CO"/>
        </w:rPr>
      </w:pPr>
      <w:r w:rsidRPr="00832BDC">
        <w:rPr>
          <w:rStyle w:val="Refdenotaalpie"/>
          <w:rFonts w:ascii="Arial Narrow" w:hAnsi="Arial Narrow"/>
          <w:sz w:val="18"/>
          <w:szCs w:val="18"/>
        </w:rPr>
        <w:footnoteRef/>
      </w:r>
      <w:r w:rsidRPr="00832BDC">
        <w:rPr>
          <w:rFonts w:ascii="Arial Narrow" w:hAnsi="Arial Narrow"/>
          <w:sz w:val="18"/>
          <w:szCs w:val="18"/>
        </w:rPr>
        <w:t xml:space="preserve"> </w:t>
      </w:r>
      <w:r w:rsidRPr="00832BDC">
        <w:rPr>
          <w:rFonts w:ascii="Arial Narrow" w:hAnsi="Arial Narrow"/>
          <w:bCs/>
          <w:sz w:val="18"/>
          <w:szCs w:val="18"/>
          <w:lang w:val="es-CO"/>
        </w:rPr>
        <w:t>Artículo 2.8.1.7.3. del Decreto 1068 de 2015.</w:t>
      </w:r>
    </w:p>
  </w:footnote>
  <w:footnote w:id="21">
    <w:p w:rsidR="00A21B5C" w:rsidRDefault="00A21B5C" w:rsidP="008C2E4A">
      <w:pPr>
        <w:pStyle w:val="Textonotapie"/>
        <w:rPr>
          <w:lang w:val="es-CO"/>
        </w:rPr>
      </w:pPr>
      <w:r w:rsidRPr="00A96D69">
        <w:rPr>
          <w:rStyle w:val="Refdenotaalpie"/>
          <w:rFonts w:ascii="Arial Narrow" w:hAnsi="Arial Narrow"/>
          <w:sz w:val="18"/>
          <w:szCs w:val="18"/>
        </w:rPr>
        <w:footnoteRef/>
      </w:r>
      <w:r>
        <w:t xml:space="preserve"> </w:t>
      </w:r>
      <w:r>
        <w:rPr>
          <w:rFonts w:ascii="Arial Narrow" w:hAnsi="Arial Narrow"/>
          <w:bCs/>
          <w:sz w:val="18"/>
          <w:szCs w:val="18"/>
          <w:lang w:val="es-CO"/>
        </w:rPr>
        <w:t>Detalle de los CDPs y RPs evidenciados en el archivo de Excel “Relación CDPs y RPs” en la carpeta “Diagnóstico general y aplicación de la medida”.</w:t>
      </w:r>
    </w:p>
  </w:footnote>
  <w:footnote w:id="22">
    <w:p w:rsidR="00A21B5C" w:rsidRPr="00A96D69" w:rsidRDefault="00A21B5C">
      <w:pPr>
        <w:pStyle w:val="Textonotapie"/>
        <w:rPr>
          <w:rFonts w:ascii="Arial Narrow" w:hAnsi="Arial Narrow"/>
          <w:sz w:val="18"/>
          <w:szCs w:val="18"/>
        </w:rPr>
      </w:pPr>
      <w:r w:rsidRPr="00A96D69">
        <w:rPr>
          <w:rStyle w:val="Refdenotaalpie"/>
          <w:rFonts w:ascii="Arial Narrow" w:hAnsi="Arial Narrow"/>
          <w:sz w:val="18"/>
          <w:szCs w:val="18"/>
        </w:rPr>
        <w:footnoteRef/>
      </w:r>
      <w:r w:rsidRPr="00A96D69">
        <w:rPr>
          <w:rFonts w:ascii="Arial Narrow" w:hAnsi="Arial Narrow"/>
          <w:sz w:val="18"/>
          <w:szCs w:val="18"/>
        </w:rPr>
        <w:t xml:space="preserve"> Orientaciones para la Programación, Administración y Ejecución de los recursos de la Asignación Especial del Sistema General de Participaciones para los Resguardos Indígenas (AESGPRI). Departamento Nacional de Planeación. 2012.</w:t>
      </w:r>
      <w:r>
        <w:rPr>
          <w:rFonts w:ascii="Arial Narrow" w:hAnsi="Arial Narrow"/>
          <w:sz w:val="18"/>
          <w:szCs w:val="18"/>
        </w:rPr>
        <w:t xml:space="preserve"> Pág. 49.</w:t>
      </w:r>
    </w:p>
  </w:footnote>
  <w:footnote w:id="23">
    <w:p w:rsidR="00A21B5C" w:rsidRDefault="00A21B5C" w:rsidP="008C2E4A">
      <w:pPr>
        <w:pStyle w:val="Textonotapie"/>
        <w:jc w:val="both"/>
        <w:rPr>
          <w:rFonts w:ascii="Arial Narrow" w:hAnsi="Arial Narrow"/>
          <w:sz w:val="18"/>
          <w:szCs w:val="18"/>
          <w:lang w:val="es-CO"/>
        </w:rPr>
      </w:pPr>
      <w:r>
        <w:rPr>
          <w:rStyle w:val="Refdenotaalpie"/>
        </w:rPr>
        <w:footnoteRef/>
      </w:r>
      <w:r>
        <w:t xml:space="preserve"> </w:t>
      </w:r>
      <w:r>
        <w:rPr>
          <w:rFonts w:ascii="Arial Narrow" w:hAnsi="Arial Narrow"/>
          <w:sz w:val="18"/>
          <w:szCs w:val="18"/>
        </w:rPr>
        <w:t>“</w:t>
      </w:r>
      <w:r>
        <w:rPr>
          <w:rFonts w:ascii="Arial Narrow" w:hAnsi="Arial Narrow"/>
          <w:i/>
          <w:sz w:val="18"/>
          <w:szCs w:val="18"/>
          <w:lang w:val="es-CO"/>
        </w:rPr>
        <w:t>Devengo: Los hechos económicos se reconocen en el momento en que suceden, con independencia del instante en que se produce el flujo de efectivo o equivalentes al efectivo que se deriva de estos, es decir, el reconocimiento se efectúa cuando surgen los derechos y obligaciones, o cuando la transacción u operación originada por el hecho incide en los resultados del periodo”.</w:t>
      </w:r>
      <w:r>
        <w:rPr>
          <w:rFonts w:ascii="Arial Narrow" w:hAnsi="Arial Narrow"/>
          <w:sz w:val="18"/>
          <w:szCs w:val="18"/>
          <w:lang w:val="es-CO"/>
        </w:rPr>
        <w:t xml:space="preserve"> Marco Conceptual para la preparación y presentación de Información Financiera de las Entidades de Gobierno. Contaduría General de la Nación. Pág. 7. </w:t>
      </w:r>
    </w:p>
  </w:footnote>
  <w:footnote w:id="24">
    <w:p w:rsidR="00A21B5C" w:rsidRDefault="00A21B5C" w:rsidP="008C2E4A">
      <w:pPr>
        <w:pStyle w:val="Textonotapie"/>
        <w:jc w:val="both"/>
        <w:rPr>
          <w:lang w:val="es-CO"/>
        </w:rPr>
      </w:pPr>
      <w:r>
        <w:rPr>
          <w:rStyle w:val="Refdenotaalpie"/>
        </w:rPr>
        <w:footnoteRef/>
      </w:r>
      <w:r>
        <w:t xml:space="preserve"> </w:t>
      </w:r>
      <w:r>
        <w:rPr>
          <w:rFonts w:ascii="Arial Narrow" w:hAnsi="Arial Narrow"/>
          <w:sz w:val="18"/>
          <w:lang w:val="es-CO"/>
        </w:rPr>
        <w:t>Catálogo General de Cuentas para Entidades de Gobierno. Resolución 620 de 2015, y sus modificatorios.</w:t>
      </w:r>
    </w:p>
  </w:footnote>
  <w:footnote w:id="25">
    <w:p w:rsidR="00A21B5C" w:rsidRDefault="00A21B5C" w:rsidP="008C2E4A">
      <w:pPr>
        <w:pStyle w:val="Textonotapie"/>
        <w:jc w:val="both"/>
        <w:rPr>
          <w:lang w:val="es-CO"/>
        </w:rPr>
      </w:pPr>
      <w:r>
        <w:rPr>
          <w:rStyle w:val="Refdenotaalpie"/>
        </w:rPr>
        <w:footnoteRef/>
      </w:r>
      <w:r>
        <w:t xml:space="preserve"> </w:t>
      </w:r>
      <w:r>
        <w:rPr>
          <w:rFonts w:ascii="Arial Narrow" w:hAnsi="Arial Narrow"/>
          <w:sz w:val="18"/>
          <w:szCs w:val="18"/>
          <w:lang w:val="es-CO"/>
        </w:rPr>
        <w:t>Características cualitativas de la Información Financiera.</w:t>
      </w:r>
      <w:r>
        <w:rPr>
          <w:lang w:val="es-CO"/>
        </w:rPr>
        <w:t xml:space="preserve"> </w:t>
      </w:r>
      <w:r>
        <w:rPr>
          <w:rFonts w:ascii="Arial Narrow" w:hAnsi="Arial Narrow"/>
          <w:sz w:val="18"/>
          <w:szCs w:val="18"/>
          <w:lang w:val="es-CO"/>
        </w:rPr>
        <w:t>Marco Conceptual para la preparación y presentación de Información Financiera de las Entidades de Gobierno. Contaduría General de la Nación. Pág. 4.</w:t>
      </w:r>
    </w:p>
  </w:footnote>
  <w:footnote w:id="26">
    <w:p w:rsidR="00A21B5C" w:rsidRDefault="00A21B5C" w:rsidP="008C2E4A">
      <w:pPr>
        <w:pStyle w:val="Textonotapie"/>
        <w:rPr>
          <w:lang w:val="es-CO"/>
        </w:rPr>
      </w:pPr>
      <w:r>
        <w:rPr>
          <w:rStyle w:val="Refdenotaalpie"/>
        </w:rPr>
        <w:footnoteRef/>
      </w:r>
      <w:r>
        <w:t xml:space="preserve"> </w:t>
      </w:r>
      <w:r>
        <w:rPr>
          <w:rFonts w:ascii="Arial Narrow" w:hAnsi="Arial Narrow"/>
          <w:sz w:val="18"/>
          <w:szCs w:val="18"/>
          <w:lang w:val="es-CO"/>
        </w:rPr>
        <w:t>Principios de la Contabilidad Pública.</w:t>
      </w:r>
      <w:r>
        <w:rPr>
          <w:lang w:val="es-CO"/>
        </w:rPr>
        <w:t xml:space="preserve"> </w:t>
      </w:r>
      <w:r>
        <w:rPr>
          <w:rFonts w:ascii="Arial Narrow" w:hAnsi="Arial Narrow"/>
          <w:sz w:val="18"/>
          <w:szCs w:val="18"/>
          <w:lang w:val="es-CO"/>
        </w:rPr>
        <w:t>Marco Conceptual para la preparación y presentación de Información Financiera de las Entidades de Gobierno. Contaduría General de la Nación. Pág. 6.</w:t>
      </w:r>
    </w:p>
  </w:footnote>
  <w:footnote w:id="27">
    <w:p w:rsidR="00A21B5C" w:rsidRPr="00A96D69" w:rsidRDefault="00A21B5C" w:rsidP="00A96D69">
      <w:pPr>
        <w:pStyle w:val="Textonotapie"/>
        <w:jc w:val="both"/>
        <w:rPr>
          <w:rFonts w:ascii="Arial Narrow" w:hAnsi="Arial Narrow"/>
          <w:sz w:val="18"/>
          <w:szCs w:val="18"/>
          <w:lang w:val="es-CO"/>
        </w:rPr>
      </w:pPr>
      <w:r w:rsidRPr="00A96D69">
        <w:rPr>
          <w:rStyle w:val="Refdenotaalpie"/>
          <w:rFonts w:ascii="Arial Narrow" w:hAnsi="Arial Narrow"/>
          <w:sz w:val="18"/>
          <w:szCs w:val="18"/>
        </w:rPr>
        <w:footnoteRef/>
      </w:r>
      <w:r>
        <w:rPr>
          <w:rFonts w:ascii="Arial Narrow" w:hAnsi="Arial Narrow"/>
          <w:sz w:val="18"/>
          <w:szCs w:val="18"/>
          <w:lang w:val="es-CO"/>
        </w:rPr>
        <w:t xml:space="preserve"> </w:t>
      </w:r>
      <w:r w:rsidRPr="00425BF6">
        <w:rPr>
          <w:rFonts w:ascii="Arial Narrow" w:hAnsi="Arial Narrow"/>
          <w:sz w:val="18"/>
          <w:szCs w:val="18"/>
          <w:lang w:val="es-CO"/>
        </w:rPr>
        <w:t>Información tomada de los archivos PDF</w:t>
      </w:r>
      <w:r w:rsidRPr="00A96D69">
        <w:rPr>
          <w:rFonts w:ascii="Arial Narrow" w:hAnsi="Arial Narrow"/>
          <w:sz w:val="18"/>
          <w:szCs w:val="18"/>
          <w:lang w:val="es-CO"/>
        </w:rPr>
        <w:t xml:space="preserve"> “</w:t>
      </w:r>
      <w:r w:rsidRPr="00A96D69">
        <w:rPr>
          <w:rFonts w:ascii="Arial Narrow" w:hAnsi="Arial Narrow"/>
          <w:i/>
          <w:iCs/>
          <w:sz w:val="18"/>
          <w:szCs w:val="18"/>
          <w:lang w:val="es-CO"/>
        </w:rPr>
        <w:t>CONTRATO Nº 001 DE 2016</w:t>
      </w:r>
      <w:r w:rsidRPr="00A96D69">
        <w:rPr>
          <w:rFonts w:ascii="Arial Narrow" w:hAnsi="Arial Narrow"/>
          <w:sz w:val="18"/>
          <w:szCs w:val="18"/>
          <w:lang w:val="es-CO"/>
        </w:rPr>
        <w:t>”,</w:t>
      </w:r>
      <w:r w:rsidRPr="00425BF6">
        <w:rPr>
          <w:rFonts w:ascii="Arial Narrow" w:hAnsi="Arial Narrow"/>
          <w:sz w:val="18"/>
          <w:szCs w:val="18"/>
          <w:lang w:val="es-CO"/>
        </w:rPr>
        <w:t xml:space="preserve"> “</w:t>
      </w:r>
      <w:r w:rsidRPr="00A96D69">
        <w:rPr>
          <w:rFonts w:ascii="Arial Narrow" w:hAnsi="Arial Narrow"/>
          <w:i/>
          <w:iCs/>
          <w:sz w:val="18"/>
          <w:szCs w:val="18"/>
          <w:lang w:val="es-CO"/>
        </w:rPr>
        <w:t>CONTRATO Nº</w:t>
      </w:r>
      <w:r w:rsidRPr="00A96D69" w:rsidDel="00425BF6">
        <w:rPr>
          <w:rFonts w:ascii="Arial Narrow" w:hAnsi="Arial Narrow"/>
          <w:i/>
          <w:iCs/>
          <w:sz w:val="18"/>
          <w:szCs w:val="18"/>
          <w:lang w:val="es-CO"/>
        </w:rPr>
        <w:t xml:space="preserve"> </w:t>
      </w:r>
      <w:r w:rsidRPr="00A96D69">
        <w:rPr>
          <w:rFonts w:ascii="Arial Narrow" w:hAnsi="Arial Narrow"/>
          <w:i/>
          <w:iCs/>
          <w:sz w:val="18"/>
          <w:szCs w:val="18"/>
          <w:lang w:val="es-CO"/>
        </w:rPr>
        <w:t>001 DE 2017</w:t>
      </w:r>
      <w:r w:rsidRPr="00425BF6">
        <w:rPr>
          <w:rFonts w:ascii="Arial Narrow" w:hAnsi="Arial Narrow"/>
          <w:sz w:val="18"/>
          <w:szCs w:val="18"/>
          <w:lang w:val="es-CO"/>
        </w:rPr>
        <w:t>”,</w:t>
      </w:r>
      <w:r>
        <w:rPr>
          <w:rFonts w:ascii="Arial Narrow" w:hAnsi="Arial Narrow"/>
          <w:sz w:val="18"/>
          <w:szCs w:val="18"/>
          <w:lang w:val="es-CO"/>
        </w:rPr>
        <w:t xml:space="preserve"> “</w:t>
      </w:r>
      <w:r w:rsidRPr="00A96D69">
        <w:rPr>
          <w:rFonts w:ascii="Arial Narrow" w:hAnsi="Arial Narrow"/>
          <w:i/>
          <w:iCs/>
          <w:sz w:val="18"/>
          <w:szCs w:val="18"/>
          <w:lang w:val="es-CO"/>
        </w:rPr>
        <w:t>CONTRATO MODIFICATORIO Nº 1 AL CONTRATO 001 DE 2017</w:t>
      </w:r>
      <w:r>
        <w:rPr>
          <w:rFonts w:ascii="Arial Narrow" w:hAnsi="Arial Narrow"/>
          <w:sz w:val="18"/>
          <w:szCs w:val="18"/>
          <w:lang w:val="es-CO"/>
        </w:rPr>
        <w:t>”, “</w:t>
      </w:r>
      <w:r w:rsidRPr="004A491E">
        <w:rPr>
          <w:rFonts w:ascii="Arial Narrow" w:hAnsi="Arial Narrow"/>
          <w:i/>
          <w:iCs/>
          <w:sz w:val="18"/>
          <w:szCs w:val="18"/>
          <w:lang w:val="es-CO"/>
        </w:rPr>
        <w:t xml:space="preserve">CONTRATO MODIFICATORIO Nº </w:t>
      </w:r>
      <w:r>
        <w:rPr>
          <w:rFonts w:ascii="Arial Narrow" w:hAnsi="Arial Narrow"/>
          <w:i/>
          <w:iCs/>
          <w:sz w:val="18"/>
          <w:szCs w:val="18"/>
          <w:lang w:val="es-CO"/>
        </w:rPr>
        <w:t>2</w:t>
      </w:r>
      <w:r w:rsidRPr="004A491E">
        <w:rPr>
          <w:rFonts w:ascii="Arial Narrow" w:hAnsi="Arial Narrow"/>
          <w:i/>
          <w:iCs/>
          <w:sz w:val="18"/>
          <w:szCs w:val="18"/>
          <w:lang w:val="es-CO"/>
        </w:rPr>
        <w:t xml:space="preserve"> AL CONTRATO 001 DE 201</w:t>
      </w:r>
      <w:r>
        <w:rPr>
          <w:rFonts w:ascii="Arial Narrow" w:hAnsi="Arial Narrow"/>
          <w:i/>
          <w:iCs/>
          <w:sz w:val="18"/>
          <w:szCs w:val="18"/>
          <w:lang w:val="es-CO"/>
        </w:rPr>
        <w:t>7”,</w:t>
      </w:r>
      <w:r>
        <w:rPr>
          <w:rFonts w:ascii="Arial Narrow" w:hAnsi="Arial Narrow"/>
          <w:sz w:val="18"/>
          <w:szCs w:val="18"/>
          <w:lang w:val="es-CO"/>
        </w:rPr>
        <w:t xml:space="preserve"> </w:t>
      </w:r>
      <w:r w:rsidRPr="00425BF6">
        <w:rPr>
          <w:rFonts w:ascii="Arial Narrow" w:hAnsi="Arial Narrow"/>
          <w:sz w:val="18"/>
          <w:szCs w:val="18"/>
          <w:lang w:val="es-CO"/>
        </w:rPr>
        <w:t>“</w:t>
      </w:r>
      <w:r w:rsidRPr="00A96D69">
        <w:rPr>
          <w:rFonts w:ascii="Arial Narrow" w:hAnsi="Arial Narrow"/>
          <w:i/>
          <w:iCs/>
          <w:sz w:val="18"/>
          <w:szCs w:val="18"/>
          <w:lang w:val="es-CO"/>
        </w:rPr>
        <w:t>CONTRATO DE Nº 001 DE 2018</w:t>
      </w:r>
      <w:r w:rsidRPr="00425BF6">
        <w:rPr>
          <w:rFonts w:ascii="Arial Narrow" w:hAnsi="Arial Narrow"/>
          <w:sz w:val="18"/>
          <w:szCs w:val="18"/>
          <w:lang w:val="es-CO"/>
        </w:rPr>
        <w:t>”</w:t>
      </w:r>
      <w:r>
        <w:rPr>
          <w:rFonts w:ascii="Arial Narrow" w:hAnsi="Arial Narrow"/>
          <w:sz w:val="18"/>
          <w:szCs w:val="18"/>
          <w:lang w:val="es-CO"/>
        </w:rPr>
        <w:t>,</w:t>
      </w:r>
      <w:r w:rsidRPr="00425BF6">
        <w:rPr>
          <w:rFonts w:ascii="Arial Narrow" w:hAnsi="Arial Narrow"/>
          <w:sz w:val="18"/>
          <w:szCs w:val="18"/>
          <w:lang w:val="es-CO"/>
        </w:rPr>
        <w:t xml:space="preserve"> “</w:t>
      </w:r>
      <w:r w:rsidRPr="00A96D69">
        <w:rPr>
          <w:rFonts w:ascii="Arial Narrow" w:hAnsi="Arial Narrow"/>
          <w:i/>
          <w:iCs/>
          <w:sz w:val="18"/>
          <w:szCs w:val="18"/>
          <w:lang w:val="es-CO"/>
        </w:rPr>
        <w:t>CONTRATO Nº</w:t>
      </w:r>
      <w:r w:rsidRPr="00A96D69" w:rsidDel="006C1F55">
        <w:rPr>
          <w:rFonts w:ascii="Arial Narrow" w:hAnsi="Arial Narrow"/>
          <w:i/>
          <w:iCs/>
          <w:sz w:val="18"/>
          <w:szCs w:val="18"/>
          <w:lang w:val="es-CO"/>
        </w:rPr>
        <w:t xml:space="preserve"> </w:t>
      </w:r>
      <w:r w:rsidRPr="00A96D69">
        <w:rPr>
          <w:rFonts w:ascii="Arial Narrow" w:hAnsi="Arial Narrow"/>
          <w:i/>
          <w:iCs/>
          <w:sz w:val="18"/>
          <w:szCs w:val="18"/>
          <w:lang w:val="es-CO"/>
        </w:rPr>
        <w:t>001 DE 2019</w:t>
      </w:r>
      <w:r w:rsidRPr="006C1F55">
        <w:rPr>
          <w:rFonts w:ascii="Arial Narrow" w:hAnsi="Arial Narrow"/>
          <w:sz w:val="18"/>
          <w:szCs w:val="18"/>
          <w:lang w:val="es-CO"/>
        </w:rPr>
        <w:t>”</w:t>
      </w:r>
      <w:r>
        <w:rPr>
          <w:rFonts w:ascii="Arial Narrow" w:hAnsi="Arial Narrow"/>
          <w:sz w:val="18"/>
          <w:szCs w:val="18"/>
          <w:lang w:val="es-CO"/>
        </w:rPr>
        <w:t xml:space="preserve"> y “</w:t>
      </w:r>
      <w:r w:rsidRPr="00A96D69">
        <w:rPr>
          <w:rFonts w:ascii="Arial Narrow" w:hAnsi="Arial Narrow"/>
          <w:i/>
          <w:iCs/>
          <w:sz w:val="18"/>
          <w:szCs w:val="18"/>
          <w:lang w:val="es-CO"/>
        </w:rPr>
        <w:t>OTRO SI MODIFICATORIO AL CONTRATO 001 DE 2019</w:t>
      </w:r>
      <w:r>
        <w:rPr>
          <w:rFonts w:ascii="Arial Narrow" w:hAnsi="Arial Narrow"/>
          <w:sz w:val="18"/>
          <w:szCs w:val="18"/>
          <w:lang w:val="es-CO"/>
        </w:rPr>
        <w:t>” para la administración de los recursos de la Asignación Especial del Sistema General de Participaciones para los Resguardos Indígenas celebrados entre el Municipio de Dibulla y El Resguardo Indígena Kogui-Malayo- Arhuaco</w:t>
      </w:r>
    </w:p>
  </w:footnote>
  <w:footnote w:id="28">
    <w:p w:rsidR="00A21B5C" w:rsidRPr="00B63BFB" w:rsidRDefault="00A21B5C" w:rsidP="00102A62">
      <w:pPr>
        <w:pStyle w:val="Textonotapie"/>
        <w:rPr>
          <w:rFonts w:ascii="Arial Narrow" w:hAnsi="Arial Narrow"/>
          <w:sz w:val="18"/>
          <w:szCs w:val="18"/>
        </w:rPr>
      </w:pPr>
      <w:r w:rsidRPr="00A96D69">
        <w:rPr>
          <w:rStyle w:val="Refdenotaalpie"/>
          <w:rFonts w:ascii="Arial Narrow" w:hAnsi="Arial Narrow"/>
          <w:sz w:val="18"/>
          <w:szCs w:val="18"/>
        </w:rPr>
        <w:footnoteRef/>
      </w:r>
      <w:r w:rsidRPr="00A96D69">
        <w:rPr>
          <w:rFonts w:ascii="Arial Narrow" w:hAnsi="Arial Narrow"/>
          <w:sz w:val="18"/>
          <w:szCs w:val="18"/>
        </w:rPr>
        <w:t xml:space="preserve"> </w:t>
      </w:r>
      <w:r w:rsidRPr="00102A62">
        <w:rPr>
          <w:rFonts w:ascii="Arial Narrow" w:hAnsi="Arial Narrow"/>
          <w:sz w:val="18"/>
          <w:szCs w:val="18"/>
        </w:rPr>
        <w:t>N</w:t>
      </w:r>
      <w:r w:rsidRPr="00B63BFB">
        <w:rPr>
          <w:rFonts w:ascii="Arial Narrow" w:hAnsi="Arial Narrow"/>
          <w:sz w:val="18"/>
          <w:szCs w:val="18"/>
        </w:rPr>
        <w:t>o se obtuvo la información de las Actas de concertación ni los perfiles de proyecto de la vigencia 2016.</w:t>
      </w:r>
    </w:p>
  </w:footnote>
  <w:footnote w:id="29">
    <w:p w:rsidR="00A21B5C" w:rsidRPr="007B516A" w:rsidRDefault="00A21B5C" w:rsidP="00A96D69">
      <w:pPr>
        <w:pStyle w:val="Textonotapie"/>
        <w:jc w:val="both"/>
        <w:rPr>
          <w:rFonts w:ascii="Arial Narrow" w:hAnsi="Arial Narrow"/>
          <w:sz w:val="18"/>
          <w:szCs w:val="18"/>
          <w:lang w:val="es-CO"/>
        </w:rPr>
      </w:pPr>
      <w:r w:rsidRPr="004A491E">
        <w:rPr>
          <w:rStyle w:val="Refdenotaalpie"/>
          <w:rFonts w:ascii="Arial Narrow" w:hAnsi="Arial Narrow"/>
          <w:sz w:val="18"/>
          <w:szCs w:val="18"/>
        </w:rPr>
        <w:footnoteRef/>
      </w:r>
      <w:r w:rsidRPr="004A491E">
        <w:rPr>
          <w:rFonts w:ascii="Arial Narrow" w:hAnsi="Arial Narrow"/>
          <w:sz w:val="18"/>
          <w:szCs w:val="18"/>
        </w:rPr>
        <w:t xml:space="preserve"> </w:t>
      </w:r>
      <w:r w:rsidRPr="008E7EB7">
        <w:rPr>
          <w:rFonts w:ascii="Arial Narrow" w:hAnsi="Arial Narrow"/>
          <w:sz w:val="18"/>
          <w:szCs w:val="18"/>
          <w:lang w:val="es-CO"/>
        </w:rPr>
        <w:t>Documentos “</w:t>
      </w:r>
      <w:r w:rsidRPr="004A491E">
        <w:rPr>
          <w:rFonts w:ascii="Arial Narrow" w:hAnsi="Arial Narrow"/>
          <w:i/>
          <w:iCs/>
          <w:sz w:val="18"/>
          <w:szCs w:val="18"/>
          <w:lang w:val="es-CO"/>
        </w:rPr>
        <w:t>Acta de concertación Kogui – 2017</w:t>
      </w:r>
      <w:r w:rsidRPr="008E7EB7">
        <w:rPr>
          <w:rFonts w:ascii="Arial Narrow" w:hAnsi="Arial Narrow"/>
          <w:sz w:val="18"/>
          <w:szCs w:val="18"/>
          <w:lang w:val="es-CO"/>
        </w:rPr>
        <w:t>” del día 21 de enero de 2017</w:t>
      </w:r>
      <w:r>
        <w:rPr>
          <w:rFonts w:ascii="Arial Narrow" w:hAnsi="Arial Narrow"/>
          <w:sz w:val="18"/>
          <w:szCs w:val="18"/>
          <w:lang w:val="es-CO"/>
        </w:rPr>
        <w:t>,</w:t>
      </w:r>
      <w:r w:rsidRPr="003D749A">
        <w:rPr>
          <w:rFonts w:ascii="Arial Narrow" w:hAnsi="Arial Narrow"/>
          <w:sz w:val="18"/>
          <w:szCs w:val="18"/>
          <w:lang w:val="es-CO"/>
        </w:rPr>
        <w:t xml:space="preserve"> </w:t>
      </w:r>
      <w:r>
        <w:rPr>
          <w:rFonts w:ascii="Arial Narrow" w:hAnsi="Arial Narrow"/>
          <w:sz w:val="18"/>
          <w:szCs w:val="18"/>
          <w:lang w:val="es-CO"/>
        </w:rPr>
        <w:t>“</w:t>
      </w:r>
      <w:r>
        <w:rPr>
          <w:rFonts w:ascii="Arial Narrow" w:hAnsi="Arial Narrow"/>
          <w:i/>
          <w:iCs/>
          <w:sz w:val="18"/>
          <w:szCs w:val="18"/>
          <w:lang w:val="es-CO"/>
        </w:rPr>
        <w:t xml:space="preserve">Modificación al acta de concertación SGP-2017” </w:t>
      </w:r>
      <w:r>
        <w:rPr>
          <w:rFonts w:ascii="Arial Narrow" w:hAnsi="Arial Narrow"/>
          <w:sz w:val="18"/>
          <w:szCs w:val="18"/>
          <w:lang w:val="es-CO"/>
        </w:rPr>
        <w:t>del día 24 de marzo de 2017, “</w:t>
      </w:r>
      <w:r>
        <w:rPr>
          <w:rFonts w:ascii="Arial Narrow" w:hAnsi="Arial Narrow"/>
          <w:i/>
          <w:iCs/>
          <w:sz w:val="18"/>
          <w:szCs w:val="18"/>
          <w:lang w:val="es-CO"/>
        </w:rPr>
        <w:t xml:space="preserve">Modificación Nº 2 al acta de concertación SGP-2017” </w:t>
      </w:r>
      <w:r>
        <w:rPr>
          <w:rFonts w:ascii="Arial Narrow" w:hAnsi="Arial Narrow"/>
          <w:sz w:val="18"/>
          <w:szCs w:val="18"/>
          <w:lang w:val="es-CO"/>
        </w:rPr>
        <w:t xml:space="preserve">del 28 de julio de 2017, </w:t>
      </w:r>
      <w:r w:rsidRPr="003D749A">
        <w:rPr>
          <w:rFonts w:ascii="Arial Narrow" w:hAnsi="Arial Narrow"/>
          <w:sz w:val="18"/>
          <w:szCs w:val="18"/>
          <w:lang w:val="es-CO"/>
        </w:rPr>
        <w:t>“</w:t>
      </w:r>
      <w:r w:rsidRPr="004A491E">
        <w:rPr>
          <w:rFonts w:ascii="Arial Narrow" w:hAnsi="Arial Narrow"/>
          <w:i/>
          <w:iCs/>
          <w:sz w:val="18"/>
          <w:szCs w:val="18"/>
          <w:lang w:val="es-CO"/>
        </w:rPr>
        <w:t>Acta de concertación Kogui – 2018</w:t>
      </w:r>
      <w:r w:rsidRPr="00E46358">
        <w:rPr>
          <w:rFonts w:ascii="Arial Narrow" w:hAnsi="Arial Narrow"/>
          <w:sz w:val="18"/>
          <w:szCs w:val="18"/>
          <w:lang w:val="es-CO"/>
        </w:rPr>
        <w:t>” del día 12 de enero de 2018</w:t>
      </w:r>
      <w:r>
        <w:rPr>
          <w:rFonts w:ascii="Arial Narrow" w:hAnsi="Arial Narrow"/>
          <w:sz w:val="18"/>
          <w:szCs w:val="18"/>
          <w:lang w:val="es-CO"/>
        </w:rPr>
        <w:t>, “</w:t>
      </w:r>
      <w:r w:rsidRPr="004A491E">
        <w:rPr>
          <w:rFonts w:ascii="Arial Narrow" w:hAnsi="Arial Narrow"/>
          <w:i/>
          <w:iCs/>
          <w:sz w:val="18"/>
          <w:szCs w:val="18"/>
          <w:lang w:val="es-CO"/>
        </w:rPr>
        <w:t>Acta de concertación Kogui – 2019</w:t>
      </w:r>
      <w:r>
        <w:rPr>
          <w:rFonts w:ascii="Arial Narrow" w:hAnsi="Arial Narrow"/>
          <w:sz w:val="18"/>
          <w:szCs w:val="18"/>
          <w:lang w:val="es-CO"/>
        </w:rPr>
        <w:t>” del día 21 de diciembre de 2018 y “</w:t>
      </w:r>
      <w:r>
        <w:rPr>
          <w:rFonts w:ascii="Arial Narrow" w:hAnsi="Arial Narrow"/>
          <w:i/>
          <w:iCs/>
          <w:sz w:val="18"/>
          <w:szCs w:val="18"/>
          <w:lang w:val="es-CO"/>
        </w:rPr>
        <w:t xml:space="preserve">Acta de concertación - SGP - Arhuaco 2019” </w:t>
      </w:r>
      <w:r>
        <w:rPr>
          <w:rFonts w:ascii="Arial Narrow" w:hAnsi="Arial Narrow"/>
          <w:sz w:val="18"/>
          <w:szCs w:val="18"/>
          <w:lang w:val="es-CO"/>
        </w:rPr>
        <w:t>del 22 de enero de 2019.</w:t>
      </w:r>
    </w:p>
  </w:footnote>
  <w:footnote w:id="30">
    <w:p w:rsidR="00A21B5C" w:rsidRPr="004A491E" w:rsidRDefault="00A21B5C" w:rsidP="00C066EA">
      <w:pPr>
        <w:pStyle w:val="Textonotapie"/>
        <w:rPr>
          <w:rFonts w:ascii="Arial Narrow" w:hAnsi="Arial Narrow"/>
          <w:sz w:val="18"/>
          <w:szCs w:val="18"/>
          <w:lang w:val="es-CO"/>
        </w:rPr>
      </w:pPr>
      <w:r w:rsidRPr="004A491E">
        <w:rPr>
          <w:rStyle w:val="Refdenotaalpie"/>
          <w:rFonts w:ascii="Arial Narrow" w:hAnsi="Arial Narrow"/>
          <w:sz w:val="18"/>
          <w:szCs w:val="18"/>
        </w:rPr>
        <w:footnoteRef/>
      </w:r>
      <w:r w:rsidRPr="004A491E">
        <w:rPr>
          <w:rFonts w:ascii="Arial Narrow" w:hAnsi="Arial Narrow"/>
          <w:sz w:val="18"/>
          <w:szCs w:val="18"/>
        </w:rPr>
        <w:t xml:space="preserve"> </w:t>
      </w:r>
      <w:r w:rsidRPr="008E7EB7">
        <w:rPr>
          <w:rFonts w:ascii="Arial Narrow" w:hAnsi="Arial Narrow" w:cs="Arial"/>
          <w:sz w:val="18"/>
          <w:szCs w:val="18"/>
          <w:lang w:val="es-CO"/>
        </w:rPr>
        <w:t>Orientaciones para la Programación, Administración y Ejecución de los recursos de la Asignación Especial del Sistema General de Participaciones para los Resguardos Indígenas (AESGPRI). De</w:t>
      </w:r>
      <w:r w:rsidRPr="00E46358">
        <w:rPr>
          <w:rFonts w:ascii="Arial Narrow" w:hAnsi="Arial Narrow" w:cs="Arial"/>
          <w:sz w:val="18"/>
          <w:szCs w:val="18"/>
          <w:lang w:val="es-CO"/>
        </w:rPr>
        <w:t>partamento Nacional de Planeación. 2012.</w:t>
      </w:r>
    </w:p>
  </w:footnote>
  <w:footnote w:id="31">
    <w:p w:rsidR="00A21B5C" w:rsidRPr="00A96D69" w:rsidRDefault="00A21B5C" w:rsidP="008C2E4A">
      <w:pPr>
        <w:pStyle w:val="Textonotapie"/>
        <w:jc w:val="both"/>
        <w:rPr>
          <w:rFonts w:ascii="Arial Narrow" w:hAnsi="Arial Narrow"/>
          <w:i/>
          <w:sz w:val="18"/>
          <w:szCs w:val="18"/>
          <w:lang w:val="es-CO"/>
        </w:rPr>
      </w:pPr>
      <w:r w:rsidRPr="00A96D69">
        <w:rPr>
          <w:rStyle w:val="Refdenotaalpie"/>
          <w:rFonts w:ascii="Arial Narrow" w:hAnsi="Arial Narrow"/>
          <w:sz w:val="18"/>
          <w:szCs w:val="18"/>
        </w:rPr>
        <w:footnoteRef/>
      </w:r>
      <w:r w:rsidRPr="00A96D69">
        <w:rPr>
          <w:rFonts w:ascii="Arial Narrow" w:hAnsi="Arial Narrow"/>
          <w:sz w:val="18"/>
          <w:szCs w:val="18"/>
        </w:rPr>
        <w:t xml:space="preserve"> Circular Externa 12 del 29 de octubre de 2012: </w:t>
      </w:r>
      <w:r w:rsidRPr="000709F9">
        <w:rPr>
          <w:rFonts w:ascii="Arial Narrow" w:hAnsi="Arial Narrow"/>
          <w:sz w:val="18"/>
          <w:szCs w:val="18"/>
          <w:lang w:val="es-CO"/>
        </w:rPr>
        <w:t>Actualización Circular Externa CIR10</w:t>
      </w:r>
      <w:r>
        <w:rPr>
          <w:rFonts w:ascii="Arial Narrow" w:hAnsi="Arial Narrow"/>
          <w:sz w:val="18"/>
          <w:szCs w:val="18"/>
          <w:lang w:val="es-CO"/>
        </w:rPr>
        <w:t>-1</w:t>
      </w:r>
      <w:r w:rsidRPr="000709F9">
        <w:rPr>
          <w:rFonts w:ascii="Arial Narrow" w:hAnsi="Arial Narrow"/>
          <w:sz w:val="18"/>
          <w:szCs w:val="18"/>
          <w:lang w:val="es-CO"/>
        </w:rPr>
        <w:t>44</w:t>
      </w:r>
      <w:r>
        <w:rPr>
          <w:rFonts w:ascii="Arial Narrow" w:hAnsi="Arial Narrow"/>
          <w:sz w:val="18"/>
          <w:szCs w:val="18"/>
          <w:lang w:val="es-CO"/>
        </w:rPr>
        <w:t>-</w:t>
      </w:r>
      <w:r w:rsidRPr="000709F9">
        <w:rPr>
          <w:rFonts w:ascii="Arial Narrow" w:hAnsi="Arial Narrow"/>
          <w:sz w:val="18"/>
          <w:szCs w:val="18"/>
          <w:lang w:val="es-CO"/>
        </w:rPr>
        <w:t>DA</w:t>
      </w:r>
      <w:r>
        <w:rPr>
          <w:rFonts w:ascii="Arial Narrow" w:hAnsi="Arial Narrow"/>
          <w:sz w:val="18"/>
          <w:szCs w:val="18"/>
          <w:lang w:val="es-CO"/>
        </w:rPr>
        <w:t>-</w:t>
      </w:r>
      <w:r w:rsidRPr="000709F9">
        <w:rPr>
          <w:rFonts w:ascii="Arial Narrow" w:hAnsi="Arial Narrow"/>
          <w:sz w:val="18"/>
          <w:szCs w:val="18"/>
          <w:lang w:val="es-CO"/>
        </w:rPr>
        <w:t xml:space="preserve">0220 </w:t>
      </w:r>
      <w:r w:rsidRPr="000709F9">
        <w:rPr>
          <w:rFonts w:ascii="Arial Narrow" w:hAnsi="Arial Narrow"/>
          <w:i/>
          <w:sz w:val="18"/>
          <w:szCs w:val="18"/>
          <w:lang w:val="es-CO"/>
        </w:rPr>
        <w:t xml:space="preserve">“Orientaciones para la presentación y radicación de los Contratos de Administración de la Asignación Especial del Sistema General de Participaciones para Resguardos Indígenas”. </w:t>
      </w:r>
      <w:r w:rsidRPr="00A96D69">
        <w:rPr>
          <w:rFonts w:ascii="Arial Narrow" w:hAnsi="Arial Narrow"/>
          <w:iCs/>
          <w:sz w:val="18"/>
          <w:szCs w:val="18"/>
          <w:lang w:val="es-CO"/>
        </w:rPr>
        <w:t>Dirección de Asuntos Indígenas, Rom y Minorías del Ministerio del Interior. Pág. 10</w:t>
      </w:r>
      <w:r>
        <w:rPr>
          <w:rFonts w:ascii="Arial Narrow" w:hAnsi="Arial Narrow"/>
          <w:iCs/>
          <w:sz w:val="18"/>
          <w:szCs w:val="18"/>
          <w:lang w:val="es-CO"/>
        </w:rPr>
        <w:t>, 13.</w:t>
      </w:r>
    </w:p>
  </w:footnote>
  <w:footnote w:id="32">
    <w:p w:rsidR="00A21B5C" w:rsidRPr="00A96D69" w:rsidRDefault="00A21B5C" w:rsidP="004B0244">
      <w:pPr>
        <w:pStyle w:val="Textonotapie"/>
        <w:jc w:val="both"/>
        <w:rPr>
          <w:rFonts w:ascii="Arial Narrow" w:hAnsi="Arial Narrow"/>
          <w:sz w:val="18"/>
          <w:szCs w:val="18"/>
          <w:lang w:val="es-CO"/>
        </w:rPr>
      </w:pPr>
      <w:r w:rsidRPr="00A96D69">
        <w:rPr>
          <w:rStyle w:val="Refdenotaalpie"/>
          <w:rFonts w:ascii="Arial Narrow" w:hAnsi="Arial Narrow"/>
          <w:sz w:val="18"/>
          <w:szCs w:val="18"/>
        </w:rPr>
        <w:footnoteRef/>
      </w:r>
      <w:r w:rsidRPr="00A96D69">
        <w:rPr>
          <w:rFonts w:ascii="Arial Narrow" w:hAnsi="Arial Narrow"/>
          <w:sz w:val="18"/>
          <w:szCs w:val="18"/>
        </w:rPr>
        <w:t xml:space="preserve"> </w:t>
      </w:r>
      <w:r w:rsidRPr="000709F9">
        <w:rPr>
          <w:rFonts w:ascii="Arial Narrow" w:hAnsi="Arial Narrow"/>
          <w:sz w:val="18"/>
          <w:szCs w:val="18"/>
          <w:lang w:val="es-CO"/>
        </w:rPr>
        <w:t>Se revisaron los contratos adelantados a marzo de 2019, dado que fue el momento en el que se realizó la visita de reconocimiento institucional.</w:t>
      </w:r>
    </w:p>
  </w:footnote>
  <w:footnote w:id="33">
    <w:p w:rsidR="00A21B5C" w:rsidRDefault="00A21B5C" w:rsidP="008C2E4A">
      <w:pPr>
        <w:pStyle w:val="Textonotapie"/>
        <w:jc w:val="both"/>
        <w:rPr>
          <w:rFonts w:ascii="Arial Narrow" w:hAnsi="Arial Narrow"/>
          <w:sz w:val="18"/>
          <w:lang w:val="es-CO"/>
        </w:rPr>
      </w:pPr>
      <w:r w:rsidRPr="00A96D69">
        <w:rPr>
          <w:rStyle w:val="Refdenotaalpie"/>
          <w:rFonts w:ascii="Arial Narrow" w:hAnsi="Arial Narrow"/>
          <w:sz w:val="18"/>
          <w:szCs w:val="18"/>
        </w:rPr>
        <w:footnoteRef/>
      </w:r>
      <w:r w:rsidRPr="00A96D69">
        <w:rPr>
          <w:rFonts w:ascii="Arial Narrow" w:hAnsi="Arial Narrow"/>
          <w:sz w:val="18"/>
          <w:szCs w:val="18"/>
        </w:rPr>
        <w:t xml:space="preserve"> </w:t>
      </w:r>
      <w:r w:rsidRPr="000709F9">
        <w:rPr>
          <w:rFonts w:ascii="Arial Narrow" w:hAnsi="Arial Narrow"/>
          <w:sz w:val="18"/>
          <w:szCs w:val="18"/>
          <w:lang w:val="es-CO"/>
        </w:rPr>
        <w:t>Carpeta Información Contractual en el expediente creado para el Municipio de Dibulla – La Guajira.</w:t>
      </w:r>
    </w:p>
  </w:footnote>
  <w:footnote w:id="34">
    <w:p w:rsidR="00A21B5C" w:rsidRDefault="00A21B5C" w:rsidP="00A96D69">
      <w:pPr>
        <w:pStyle w:val="Textonotapie"/>
        <w:jc w:val="both"/>
        <w:rPr>
          <w:lang w:val="es-CO"/>
        </w:rPr>
      </w:pPr>
      <w:r>
        <w:rPr>
          <w:rStyle w:val="Refdenotaalpie"/>
        </w:rPr>
        <w:footnoteRef/>
      </w:r>
      <w:r>
        <w:t xml:space="preserve"> </w:t>
      </w:r>
      <w:r>
        <w:rPr>
          <w:rFonts w:ascii="Arial Narrow" w:hAnsi="Arial Narrow"/>
          <w:szCs w:val="22"/>
          <w:lang w:val="es-CO"/>
        </w:rPr>
        <w:t>Consta en Acta de visita de reconocimiento a la Entidad Territorial, los días 7 al 10 de mayo, suscrita por el Municipio de Dibulla – La Guajira.</w:t>
      </w:r>
    </w:p>
  </w:footnote>
  <w:footnote w:id="35">
    <w:p w:rsidR="00A21B5C" w:rsidRPr="00FB4A9B" w:rsidRDefault="00A21B5C" w:rsidP="00202861">
      <w:pPr>
        <w:pStyle w:val="Textonotapie"/>
        <w:jc w:val="both"/>
        <w:rPr>
          <w:rFonts w:ascii="Arial Narrow" w:hAnsi="Arial Narrow"/>
          <w:lang w:val="es-CO"/>
        </w:rPr>
      </w:pPr>
      <w:r w:rsidRPr="00A96D69">
        <w:rPr>
          <w:rStyle w:val="Refdenotaalpie"/>
          <w:rFonts w:ascii="Arial Narrow" w:hAnsi="Arial Narrow"/>
        </w:rPr>
        <w:footnoteRef/>
      </w:r>
      <w:r w:rsidRPr="002B3A1D">
        <w:t xml:space="preserve"> </w:t>
      </w:r>
      <w:r w:rsidRPr="00A96D69">
        <w:rPr>
          <w:rFonts w:ascii="Arial Narrow" w:hAnsi="Arial Narrow"/>
          <w:sz w:val="18"/>
          <w:szCs w:val="18"/>
          <w:lang w:val="es-CO"/>
        </w:rPr>
        <w:t xml:space="preserve">Mejora </w:t>
      </w:r>
      <w:r w:rsidRPr="00A96D69">
        <w:rPr>
          <w:rFonts w:ascii="Arial Narrow" w:hAnsi="Arial Narrow"/>
          <w:i/>
          <w:sz w:val="18"/>
          <w:szCs w:val="18"/>
          <w:lang w:val="es-CO"/>
        </w:rPr>
        <w:t xml:space="preserve">“El Guasimito” </w:t>
      </w:r>
      <w:r w:rsidRPr="00A96D69">
        <w:rPr>
          <w:rFonts w:ascii="Arial Narrow" w:hAnsi="Arial Narrow"/>
          <w:sz w:val="18"/>
          <w:szCs w:val="18"/>
          <w:lang w:val="es-CO"/>
        </w:rPr>
        <w:t xml:space="preserve">y el predio </w:t>
      </w:r>
      <w:r w:rsidRPr="00A96D69">
        <w:rPr>
          <w:rFonts w:ascii="Arial Narrow" w:hAnsi="Arial Narrow"/>
          <w:i/>
          <w:sz w:val="18"/>
          <w:szCs w:val="18"/>
          <w:lang w:val="es-CO"/>
        </w:rPr>
        <w:t xml:space="preserve">“La Estrella” </w:t>
      </w:r>
      <w:r w:rsidRPr="00A96D69">
        <w:rPr>
          <w:rFonts w:ascii="Arial Narrow" w:hAnsi="Arial Narrow"/>
          <w:sz w:val="18"/>
          <w:szCs w:val="18"/>
          <w:lang w:val="es-CO"/>
        </w:rPr>
        <w:t xml:space="preserve">visita del 22 de julio e informe del 27 de julio de 2017.  Predio </w:t>
      </w:r>
      <w:r w:rsidRPr="00A96D69">
        <w:rPr>
          <w:rFonts w:ascii="Arial Narrow" w:hAnsi="Arial Narrow"/>
          <w:i/>
          <w:sz w:val="18"/>
          <w:szCs w:val="18"/>
          <w:lang w:val="es-CO"/>
        </w:rPr>
        <w:t>“Jerusalén II”</w:t>
      </w:r>
      <w:r w:rsidRPr="00A96D69">
        <w:rPr>
          <w:rFonts w:ascii="Arial Narrow" w:hAnsi="Arial Narrow"/>
          <w:sz w:val="18"/>
          <w:szCs w:val="18"/>
          <w:lang w:val="es-CO"/>
        </w:rPr>
        <w:t xml:space="preserve">: visita al predio del 18 de julio y emisión de informe del 25 de octubre de 2017.  Predio </w:t>
      </w:r>
      <w:r w:rsidRPr="00A96D69">
        <w:rPr>
          <w:rFonts w:ascii="Arial Narrow" w:hAnsi="Arial Narrow"/>
          <w:i/>
          <w:sz w:val="18"/>
          <w:szCs w:val="18"/>
          <w:lang w:val="es-CO"/>
        </w:rPr>
        <w:t xml:space="preserve">“El Paujil”: </w:t>
      </w:r>
      <w:r w:rsidRPr="00A96D69">
        <w:rPr>
          <w:rFonts w:ascii="Arial Narrow" w:hAnsi="Arial Narrow"/>
          <w:sz w:val="18"/>
          <w:szCs w:val="18"/>
          <w:lang w:val="es-CO"/>
        </w:rPr>
        <w:t>visita al predio del 18 de diciembre y emisión de informe del 26 de diciembre de 2017. Mejora “</w:t>
      </w:r>
      <w:r w:rsidRPr="00A96D69">
        <w:rPr>
          <w:rFonts w:ascii="Arial Narrow" w:hAnsi="Arial Narrow"/>
          <w:i/>
          <w:iCs/>
          <w:sz w:val="18"/>
          <w:szCs w:val="18"/>
          <w:lang w:val="es-CO"/>
        </w:rPr>
        <w:t xml:space="preserve">Jerusalén I”: </w:t>
      </w:r>
      <w:r w:rsidRPr="00A96D69">
        <w:rPr>
          <w:rFonts w:ascii="Arial Narrow" w:hAnsi="Arial Narrow"/>
          <w:sz w:val="18"/>
          <w:szCs w:val="18"/>
          <w:lang w:val="es-CO"/>
        </w:rPr>
        <w:t>visita al predio del 29 de abril de 2017 y emisión de informe del 15 de mayo de 2017.</w:t>
      </w:r>
    </w:p>
    <w:p w:rsidR="00A21B5C" w:rsidRDefault="00A21B5C" w:rsidP="00202861">
      <w:pPr>
        <w:pStyle w:val="Textonotapie"/>
        <w:rPr>
          <w:lang w:val="es-CO"/>
        </w:rPr>
      </w:pPr>
    </w:p>
  </w:footnote>
  <w:footnote w:id="36">
    <w:p w:rsidR="00A21B5C" w:rsidRPr="00A96D69" w:rsidRDefault="00A21B5C" w:rsidP="00202861">
      <w:pPr>
        <w:pStyle w:val="Textonotapie"/>
        <w:rPr>
          <w:rFonts w:ascii="Arial Narrow" w:hAnsi="Arial Narrow"/>
          <w:lang w:val="es-CO"/>
        </w:rPr>
      </w:pPr>
      <w:r w:rsidRPr="00A96D69">
        <w:rPr>
          <w:rStyle w:val="Refdenotaalpie"/>
          <w:rFonts w:ascii="Arial Narrow" w:hAnsi="Arial Narrow"/>
        </w:rPr>
        <w:footnoteRef/>
      </w:r>
      <w:r w:rsidRPr="00A96D69">
        <w:rPr>
          <w:rFonts w:ascii="Arial Narrow" w:hAnsi="Arial Narrow"/>
        </w:rPr>
        <w:t xml:space="preserve"> </w:t>
      </w:r>
      <w:r w:rsidRPr="005265D1">
        <w:rPr>
          <w:rFonts w:ascii="Arial Narrow" w:hAnsi="Arial Narrow"/>
          <w:sz w:val="18"/>
          <w:lang w:val="es-CO"/>
        </w:rPr>
        <w:t>Vendedor de la mejora Jerusalén I mediante Contrato de Compraventa N° 004 de 2017.</w:t>
      </w:r>
    </w:p>
  </w:footnote>
  <w:footnote w:id="37">
    <w:p w:rsidR="00A21B5C" w:rsidRPr="00A96D69" w:rsidRDefault="00A21B5C" w:rsidP="00202861">
      <w:pPr>
        <w:pStyle w:val="Textonotapie"/>
        <w:rPr>
          <w:rFonts w:ascii="Arial Narrow" w:hAnsi="Arial Narrow"/>
          <w:lang w:val="es-CO"/>
        </w:rPr>
      </w:pPr>
      <w:r w:rsidRPr="00A96D69">
        <w:rPr>
          <w:rStyle w:val="Refdenotaalpie"/>
          <w:rFonts w:ascii="Arial Narrow" w:hAnsi="Arial Narrow"/>
        </w:rPr>
        <w:footnoteRef/>
      </w:r>
      <w:r w:rsidRPr="00A96D69">
        <w:rPr>
          <w:rFonts w:ascii="Arial Narrow" w:hAnsi="Arial Narrow"/>
        </w:rPr>
        <w:t xml:space="preserve"> </w:t>
      </w:r>
      <w:r w:rsidRPr="002006AB">
        <w:rPr>
          <w:rFonts w:ascii="Arial Narrow" w:hAnsi="Arial Narrow"/>
          <w:sz w:val="18"/>
          <w:szCs w:val="18"/>
          <w:lang w:val="es-CO"/>
        </w:rPr>
        <w:t>Vendedor de la mejora Jerusalén I mediante Contrato de Compraventa N° 004 de 2017</w:t>
      </w:r>
      <w:r w:rsidRPr="00A96D69">
        <w:rPr>
          <w:rFonts w:ascii="Arial Narrow" w:hAnsi="Arial Narrow"/>
          <w:lang w:val="es-CO"/>
        </w:rPr>
        <w:t>.</w:t>
      </w:r>
    </w:p>
  </w:footnote>
  <w:footnote w:id="38">
    <w:p w:rsidR="00A21B5C" w:rsidRPr="00A96D69" w:rsidRDefault="00A21B5C" w:rsidP="00202861">
      <w:pPr>
        <w:pStyle w:val="Textonotapie"/>
        <w:jc w:val="both"/>
        <w:rPr>
          <w:sz w:val="18"/>
          <w:szCs w:val="18"/>
          <w:lang w:val="es-CO"/>
        </w:rPr>
      </w:pPr>
      <w:r w:rsidRPr="00A96D69">
        <w:rPr>
          <w:rStyle w:val="Refdenotaalpie"/>
          <w:rFonts w:ascii="Arial Narrow" w:hAnsi="Arial Narrow"/>
        </w:rPr>
        <w:footnoteRef/>
      </w:r>
      <w:r w:rsidRPr="00A96D69">
        <w:rPr>
          <w:rFonts w:ascii="Arial Narrow" w:hAnsi="Arial Narrow"/>
        </w:rPr>
        <w:t xml:space="preserve"> </w:t>
      </w:r>
      <w:r w:rsidRPr="00A96D69">
        <w:rPr>
          <w:rFonts w:ascii="Arial Narrow" w:hAnsi="Arial Narrow"/>
          <w:sz w:val="18"/>
          <w:szCs w:val="18"/>
          <w:lang w:val="es-CO"/>
        </w:rPr>
        <w:t>Por la cual se aclara la Resolución 029 del 19 de julio de 1994, emanada por la Junta Directiva del Instituto Colombiano de la Reforma Agraria, INCORA, y se amplía con baldíos nacionales, predios adquiridos por la comunidad y predios del Fondo Nacional Agrario, el Resguardo Indígena KOGUI – MALAYO – ARHUACO, en la parte norte, jurisdicción del Municipio de Dibulla, Departamento de la Guajira.</w:t>
      </w:r>
    </w:p>
  </w:footnote>
  <w:footnote w:id="39">
    <w:p w:rsidR="00A21B5C" w:rsidRDefault="00A21B5C" w:rsidP="00202861">
      <w:pPr>
        <w:pStyle w:val="Textonotapie"/>
        <w:rPr>
          <w:lang w:val="es-CO"/>
        </w:rPr>
      </w:pPr>
      <w:r>
        <w:rPr>
          <w:rStyle w:val="Refdenotaalpie"/>
        </w:rPr>
        <w:footnoteRef/>
      </w:r>
      <w:r>
        <w:t xml:space="preserve"> </w:t>
      </w:r>
      <w:hyperlink r:id="rId1" w:history="1">
        <w:r>
          <w:rPr>
            <w:rStyle w:val="Hipervnculo"/>
            <w:rFonts w:ascii="Arial Narrow" w:hAnsi="Arial Narrow"/>
          </w:rPr>
          <w:t>https://muisca.dian.gov.co/WebRutMuisca/DefConsultaEstadoRUT.faces</w:t>
        </w:r>
      </w:hyperlink>
    </w:p>
  </w:footnote>
  <w:footnote w:id="40">
    <w:p w:rsidR="00A21B5C" w:rsidRPr="00A96D69" w:rsidRDefault="00A21B5C" w:rsidP="00202861">
      <w:pPr>
        <w:pStyle w:val="Textonotapie"/>
        <w:jc w:val="both"/>
        <w:rPr>
          <w:rFonts w:ascii="Arial Narrow" w:hAnsi="Arial Narrow" w:cs="Arabic Typesetting"/>
          <w:i/>
          <w:lang w:val="es-CO"/>
        </w:rPr>
      </w:pPr>
      <w:r w:rsidRPr="00A96D69">
        <w:rPr>
          <w:rStyle w:val="Refdenotaalpie"/>
          <w:rFonts w:ascii="Arial Narrow" w:hAnsi="Arial Narrow"/>
        </w:rPr>
        <w:footnoteRef/>
      </w:r>
      <w:r>
        <w:t xml:space="preserve"> </w:t>
      </w:r>
      <w:r>
        <w:rPr>
          <w:rFonts w:ascii="Arial Narrow" w:hAnsi="Arial Narrow"/>
          <w:lang w:val="es-CO"/>
        </w:rPr>
        <w:t>“</w:t>
      </w:r>
      <w:r>
        <w:rPr>
          <w:rFonts w:ascii="Arial Narrow" w:hAnsi="Arial Narrow"/>
          <w:i/>
          <w:lang w:val="es-CO"/>
        </w:rPr>
        <w:t>El trámite de solicitud se iniciará de oficio por el INCODER, o a solicitud del Ministerio del Interior, de otra entidad pública o de la comunidad indígena interesada a través de su cabildo o autoridad tradicional o de una organización indígena</w:t>
      </w:r>
      <w:r w:rsidRPr="00D36CE6">
        <w:rPr>
          <w:rFonts w:ascii="Arial Narrow" w:hAnsi="Arial Narrow" w:cs="Arabic Typesetting"/>
          <w:i/>
          <w:lang w:val="es-CO"/>
        </w:rPr>
        <w:t>”</w:t>
      </w:r>
    </w:p>
  </w:footnote>
  <w:footnote w:id="41">
    <w:p w:rsidR="00A21B5C" w:rsidRDefault="00A21B5C" w:rsidP="00A96D69">
      <w:pPr>
        <w:pStyle w:val="Textonotapie"/>
        <w:jc w:val="both"/>
        <w:rPr>
          <w:lang w:val="es-CO"/>
        </w:rPr>
      </w:pPr>
      <w:r w:rsidRPr="00A96D69">
        <w:rPr>
          <w:rStyle w:val="Refdenotaalpie"/>
          <w:rFonts w:ascii="Arial Narrow" w:hAnsi="Arial Narrow" w:cs="Arabic Typesetting"/>
        </w:rPr>
        <w:footnoteRef/>
      </w:r>
      <w:r w:rsidRPr="00A96D69">
        <w:rPr>
          <w:rFonts w:ascii="Arial Narrow" w:hAnsi="Arial Narrow" w:cs="Arabic Typesetting"/>
        </w:rPr>
        <w:t xml:space="preserve"> </w:t>
      </w:r>
      <w:r>
        <w:rPr>
          <w:rFonts w:ascii="Arial Narrow" w:hAnsi="Arial Narrow"/>
          <w:lang w:val="es-CO"/>
        </w:rPr>
        <w:t>Primer testigo en el Acto de Posesión del Señor Alcalde del Municipio de Dibulla para el período 2016 y 2019, según Acta de Posesión del 29 de diciembre de 2015.</w:t>
      </w:r>
    </w:p>
  </w:footnote>
  <w:footnote w:id="42">
    <w:p w:rsidR="00A21B5C" w:rsidRDefault="00A21B5C" w:rsidP="008C2E4A">
      <w:pPr>
        <w:pStyle w:val="Textonotapie"/>
        <w:rPr>
          <w:lang w:val="es-CO"/>
        </w:rPr>
      </w:pPr>
      <w:r>
        <w:rPr>
          <w:rStyle w:val="Refdenotaalpie"/>
        </w:rPr>
        <w:footnoteRef/>
      </w:r>
      <w:r>
        <w:t xml:space="preserve"> </w:t>
      </w:r>
      <w:r>
        <w:rPr>
          <w:rFonts w:ascii="Arial Narrow" w:hAnsi="Arial Narrow"/>
          <w:sz w:val="18"/>
          <w:lang w:val="es-CO"/>
        </w:rPr>
        <w:t>La información de este expediente contractual fue obtenida de la Plataforma SECOP.</w:t>
      </w:r>
    </w:p>
  </w:footnote>
  <w:footnote w:id="43">
    <w:p w:rsidR="00A21B5C" w:rsidRDefault="00A21B5C" w:rsidP="008C2E4A">
      <w:pPr>
        <w:pStyle w:val="Textonotapie"/>
        <w:rPr>
          <w:lang w:val="es-CO"/>
        </w:rPr>
      </w:pPr>
      <w:r>
        <w:rPr>
          <w:rStyle w:val="Refdenotaalpie"/>
        </w:rPr>
        <w:footnoteRef/>
      </w:r>
      <w:r>
        <w:t xml:space="preserve"> </w:t>
      </w:r>
      <w:hyperlink r:id="rId2" w:history="1">
        <w:r>
          <w:rPr>
            <w:rStyle w:val="Hipervnculo"/>
            <w:rFonts w:ascii="Arial Narrow" w:hAnsi="Arial Narrow"/>
          </w:rPr>
          <w:t>https://sintesis.colombiacompra.gov.co/sintesis/1-etapa-precontractual-principios-de-la contrataci%C3%B3n-estatal</w:t>
        </w:r>
      </w:hyperlink>
    </w:p>
  </w:footnote>
  <w:footnote w:id="44">
    <w:p w:rsidR="00A21B5C" w:rsidRPr="00A21B5C" w:rsidRDefault="00A21B5C" w:rsidP="008C2E4A">
      <w:pPr>
        <w:pStyle w:val="Textonotapie"/>
        <w:rPr>
          <w:rFonts w:ascii="Arial" w:hAnsi="Arial" w:cs="Arial"/>
          <w:sz w:val="18"/>
          <w:szCs w:val="18"/>
          <w:lang w:val="es-CO"/>
        </w:rPr>
      </w:pPr>
      <w:r w:rsidRPr="00A21B5C">
        <w:rPr>
          <w:rStyle w:val="Refdenotaalpie"/>
          <w:rFonts w:ascii="Arial" w:hAnsi="Arial" w:cs="Arial"/>
          <w:sz w:val="18"/>
          <w:szCs w:val="18"/>
        </w:rPr>
        <w:footnoteRef/>
      </w:r>
      <w:r w:rsidRPr="00A21B5C">
        <w:rPr>
          <w:rFonts w:ascii="Arial" w:hAnsi="Arial" w:cs="Arial"/>
          <w:sz w:val="18"/>
          <w:szCs w:val="18"/>
        </w:rPr>
        <w:t xml:space="preserve"> </w:t>
      </w:r>
      <w:hyperlink r:id="rId3" w:history="1">
        <w:r w:rsidRPr="00A21B5C">
          <w:rPr>
            <w:rStyle w:val="Hipervnculo"/>
            <w:rFonts w:ascii="Arial" w:hAnsi="Arial" w:cs="Arial"/>
            <w:sz w:val="18"/>
            <w:szCs w:val="18"/>
          </w:rPr>
          <w:t>https://sintesis.colombiacompra.gov.co/sintesis/3-etapa-contractual-equilibrio-econ%C3%B3mico</w:t>
        </w:r>
      </w:hyperlink>
    </w:p>
  </w:footnote>
  <w:footnote w:id="45">
    <w:p w:rsidR="00A21B5C" w:rsidRPr="00A96D69" w:rsidRDefault="00A21B5C" w:rsidP="008C2E4A">
      <w:pPr>
        <w:pStyle w:val="Textonotapie"/>
        <w:jc w:val="both"/>
        <w:rPr>
          <w:rFonts w:ascii="Arial Narrow" w:eastAsia="Times New Roman" w:hAnsi="Arial Narrow" w:cs="Calibri"/>
          <w:sz w:val="18"/>
          <w:szCs w:val="18"/>
          <w:lang w:eastAsia="es-CO"/>
        </w:rPr>
      </w:pPr>
      <w:r w:rsidRPr="00A96D69">
        <w:rPr>
          <w:rStyle w:val="Refdenotaalpie"/>
          <w:rFonts w:ascii="Arial Narrow" w:hAnsi="Arial Narrow"/>
        </w:rPr>
        <w:footnoteRef/>
      </w:r>
      <w:r>
        <w:t xml:space="preserve"> </w:t>
      </w:r>
      <w:r w:rsidRPr="00A96D69">
        <w:rPr>
          <w:rFonts w:ascii="Arial Narrow" w:hAnsi="Arial Narrow"/>
          <w:sz w:val="18"/>
          <w:szCs w:val="18"/>
        </w:rPr>
        <w:t>Ver detalle en el</w:t>
      </w:r>
      <w:r w:rsidRPr="00A96D69">
        <w:rPr>
          <w:sz w:val="18"/>
          <w:szCs w:val="18"/>
        </w:rPr>
        <w:t xml:space="preserve"> </w:t>
      </w:r>
      <w:r w:rsidRPr="00A96D69">
        <w:rPr>
          <w:rFonts w:ascii="Arial Narrow" w:hAnsi="Arial Narrow"/>
          <w:sz w:val="18"/>
          <w:szCs w:val="18"/>
        </w:rPr>
        <w:t xml:space="preserve">Apartado 2 del documento </w:t>
      </w:r>
      <w:r w:rsidRPr="00A96D69">
        <w:rPr>
          <w:rFonts w:ascii="Arial Narrow" w:eastAsia="Times New Roman" w:hAnsi="Arial Narrow" w:cs="Calibri"/>
          <w:i/>
          <w:sz w:val="18"/>
          <w:szCs w:val="18"/>
          <w:lang w:eastAsia="es-CO"/>
        </w:rPr>
        <w:t xml:space="preserve">Estudios Previos y documentos previos” </w:t>
      </w:r>
      <w:r w:rsidRPr="00A96D69">
        <w:rPr>
          <w:rFonts w:ascii="Arial Narrow" w:eastAsia="Times New Roman" w:hAnsi="Arial Narrow" w:cs="Calibri"/>
          <w:sz w:val="18"/>
          <w:szCs w:val="18"/>
          <w:lang w:eastAsia="es-CO"/>
        </w:rPr>
        <w:t>del expediente contractual del Contrato de Compraventa N° 017 de 2017</w:t>
      </w:r>
    </w:p>
  </w:footnote>
  <w:footnote w:id="46">
    <w:p w:rsidR="00A21B5C" w:rsidRDefault="00A21B5C" w:rsidP="008C2E4A">
      <w:pPr>
        <w:pStyle w:val="Sinespaciado"/>
        <w:jc w:val="both"/>
        <w:rPr>
          <w:rFonts w:ascii="Arial" w:eastAsia="Times New Roman" w:hAnsi="Arial" w:cs="Arial"/>
          <w:lang w:val="es-ES"/>
        </w:rPr>
      </w:pPr>
      <w:r w:rsidRPr="00A96D69">
        <w:rPr>
          <w:rStyle w:val="Refdenotaalpie"/>
          <w:rFonts w:ascii="Arial Narrow" w:hAnsi="Arial Narrow"/>
        </w:rPr>
        <w:footnoteRef/>
      </w:r>
      <w:r>
        <w:t xml:space="preserve"> </w:t>
      </w:r>
      <w:r w:rsidRPr="00A96D69">
        <w:rPr>
          <w:rFonts w:ascii="Arial Narrow" w:hAnsi="Arial Narrow"/>
          <w:i/>
          <w:sz w:val="18"/>
          <w:szCs w:val="18"/>
        </w:rPr>
        <w:t xml:space="preserve">“La Entidad Estatal debe entender la dinámica del mercado en lo que corresponde a la cadena de producción o distribución o suministro del bien, … Por ejemplo, el proveedor que necesita la Entidad Estatal puede ser proveedor de materias primas, fabricante, importador, ensamblador, distribuidor mayorista, distribuidor minorista, intermediario, transportador, etc.” </w:t>
      </w:r>
      <w:r w:rsidRPr="00A96D69">
        <w:rPr>
          <w:rFonts w:ascii="Arial Narrow" w:hAnsi="Arial Narrow"/>
          <w:sz w:val="18"/>
          <w:szCs w:val="18"/>
        </w:rPr>
        <w:t xml:space="preserve">Colombia Compra Eficiente. </w:t>
      </w:r>
      <w:hyperlink r:id="rId4" w:history="1">
        <w:r w:rsidRPr="00A96D69">
          <w:rPr>
            <w:rStyle w:val="Hipervnculo"/>
            <w:rFonts w:ascii="Arial Narrow" w:hAnsi="Arial Narrow"/>
            <w:sz w:val="18"/>
            <w:szCs w:val="18"/>
          </w:rPr>
          <w:t>https://www.colombiacompra.gov.co/sites/default/files/manuales/cce_guia_estudio_sector_web.pdf</w:t>
        </w:r>
      </w:hyperlink>
    </w:p>
  </w:footnote>
  <w:footnote w:id="47">
    <w:p w:rsidR="00A21B5C" w:rsidRPr="00A96D69" w:rsidRDefault="00A21B5C" w:rsidP="008C2E4A">
      <w:pPr>
        <w:pStyle w:val="Textonotapie"/>
        <w:jc w:val="both"/>
        <w:rPr>
          <w:rFonts w:ascii="Arial Narrow" w:hAnsi="Arial Narrow"/>
          <w:lang w:val="es-CO"/>
        </w:rPr>
      </w:pPr>
      <w:r w:rsidRPr="00A96D69">
        <w:rPr>
          <w:rStyle w:val="Refdenotaalpie"/>
          <w:rFonts w:ascii="Arial Narrow" w:hAnsi="Arial Narrow"/>
        </w:rPr>
        <w:footnoteRef/>
      </w:r>
      <w:r w:rsidRPr="00A96D69">
        <w:rPr>
          <w:rFonts w:ascii="Arial Narrow" w:hAnsi="Arial Narrow"/>
        </w:rPr>
        <w:t xml:space="preserve"> </w:t>
      </w:r>
      <w:r w:rsidRPr="00A96D69">
        <w:rPr>
          <w:rFonts w:ascii="Arial Narrow" w:hAnsi="Arial Narrow" w:cs="Arial"/>
          <w:i/>
          <w:color w:val="000000" w:themeColor="text1"/>
          <w:sz w:val="18"/>
          <w:szCs w:val="18"/>
        </w:rPr>
        <w:t xml:space="preserve">“Actividades de asociaciones ncp” </w:t>
      </w:r>
      <w:r w:rsidRPr="00A96D69">
        <w:rPr>
          <w:rFonts w:ascii="Arial Narrow" w:hAnsi="Arial Narrow" w:cs="Arial"/>
          <w:color w:val="000000" w:themeColor="text1"/>
          <w:sz w:val="18"/>
          <w:szCs w:val="18"/>
        </w:rPr>
        <w:t xml:space="preserve">la cual  se relaciona con </w:t>
      </w:r>
      <w:r w:rsidRPr="00A96D69">
        <w:rPr>
          <w:rFonts w:ascii="Arial Narrow" w:hAnsi="Arial Narrow"/>
          <w:i/>
          <w:color w:val="000000" w:themeColor="text1"/>
          <w:sz w:val="18"/>
          <w:szCs w:val="18"/>
          <w:shd w:val="clear" w:color="auto" w:fill="FFFFFF"/>
        </w:rPr>
        <w:t>“actividades de asociaciones que no están directamente afiliadas a un partido político, que promueven una causa o temática pública mediante campañas de educación al público …</w:t>
      </w:r>
      <w:r w:rsidRPr="00A96D69">
        <w:rPr>
          <w:rFonts w:ascii="Arial Narrow" w:hAnsi="Arial Narrow"/>
          <w:color w:val="333333"/>
          <w:sz w:val="18"/>
          <w:szCs w:val="18"/>
          <w:shd w:val="clear" w:color="auto" w:fill="FFFFFF"/>
        </w:rPr>
        <w:t xml:space="preserve"> </w:t>
      </w:r>
      <w:r w:rsidRPr="00A96D69">
        <w:rPr>
          <w:rFonts w:ascii="Arial Narrow" w:hAnsi="Arial Narrow"/>
          <w:i/>
          <w:color w:val="000000" w:themeColor="text1"/>
          <w:sz w:val="18"/>
          <w:szCs w:val="18"/>
          <w:shd w:val="clear" w:color="auto" w:fill="FFFFFF"/>
        </w:rPr>
        <w:t>Asociaciones para la protección y el mejoramiento de grupos especiales, por ejemplo, grupos étnicos y grupos minoritarios</w:t>
      </w:r>
      <w:r w:rsidRPr="00A96D69">
        <w:rPr>
          <w:rFonts w:ascii="Arial Narrow" w:hAnsi="Arial Narrow"/>
          <w:sz w:val="18"/>
          <w:szCs w:val="18"/>
        </w:rPr>
        <w:t xml:space="preserve">” </w:t>
      </w:r>
      <w:hyperlink r:id="rId5" w:history="1">
        <w:r w:rsidRPr="00A96D69">
          <w:rPr>
            <w:rStyle w:val="Hipervnculo"/>
            <w:rFonts w:ascii="Arial Narrow" w:hAnsi="Arial Narrow"/>
            <w:sz w:val="18"/>
            <w:szCs w:val="18"/>
          </w:rPr>
          <w:t>http://linea.ccb.org.co/descripcionciiu/</w:t>
        </w:r>
      </w:hyperlink>
    </w:p>
  </w:footnote>
  <w:footnote w:id="48">
    <w:p w:rsidR="00A21B5C" w:rsidRPr="00A96D69" w:rsidRDefault="00A21B5C" w:rsidP="008C2E4A">
      <w:pPr>
        <w:pStyle w:val="Textonotapie"/>
        <w:rPr>
          <w:rFonts w:ascii="Arial Narrow" w:hAnsi="Arial Narrow"/>
          <w:lang w:val="es-CO"/>
        </w:rPr>
      </w:pPr>
      <w:r w:rsidRPr="00A96D69">
        <w:rPr>
          <w:rStyle w:val="Refdenotaalpie"/>
          <w:rFonts w:ascii="Arial Narrow" w:hAnsi="Arial Narrow"/>
        </w:rPr>
        <w:footnoteRef/>
      </w:r>
      <w:r w:rsidRPr="00A96D69">
        <w:rPr>
          <w:rFonts w:ascii="Arial Narrow" w:hAnsi="Arial Narrow"/>
        </w:rPr>
        <w:t xml:space="preserve"> </w:t>
      </w:r>
      <w:hyperlink r:id="rId6" w:history="1">
        <w:r w:rsidRPr="00A96D69">
          <w:rPr>
            <w:rStyle w:val="Hipervnculo"/>
            <w:rFonts w:ascii="Arial Narrow" w:eastAsiaTheme="minorHAnsi" w:hAnsi="Arial Narrow" w:cstheme="minorBidi"/>
            <w:sz w:val="18"/>
            <w:szCs w:val="18"/>
            <w:lang w:val="es-CO" w:eastAsia="en-US"/>
          </w:rPr>
          <w:t>https://www.rues.org.co/ESAL</w:t>
        </w:r>
      </w:hyperlink>
    </w:p>
  </w:footnote>
  <w:footnote w:id="49">
    <w:p w:rsidR="00A21B5C" w:rsidRDefault="00A21B5C" w:rsidP="008C2E4A">
      <w:pPr>
        <w:pStyle w:val="Textonotapie"/>
        <w:rPr>
          <w:lang w:val="es-CO"/>
        </w:rPr>
      </w:pPr>
      <w:r w:rsidRPr="00A96D69">
        <w:rPr>
          <w:rStyle w:val="Refdenotaalpie"/>
          <w:rFonts w:ascii="Arial Narrow" w:hAnsi="Arial Narrow"/>
        </w:rPr>
        <w:footnoteRef/>
      </w:r>
      <w:r w:rsidRPr="00A96D69">
        <w:rPr>
          <w:rStyle w:val="Hipervnculo"/>
          <w:rFonts w:ascii="Arial Narrow" w:eastAsiaTheme="minorHAnsi" w:hAnsi="Arial Narrow" w:cstheme="minorBidi"/>
          <w:sz w:val="18"/>
          <w:szCs w:val="18"/>
          <w:lang w:val="es-CO" w:eastAsia="en-US"/>
        </w:rPr>
        <w:t xml:space="preserve"> </w:t>
      </w:r>
      <w:hyperlink r:id="rId7" w:history="1">
        <w:r w:rsidRPr="00A96D69">
          <w:rPr>
            <w:rStyle w:val="Hipervnculo"/>
            <w:rFonts w:ascii="Arial Narrow" w:eastAsiaTheme="minorHAnsi" w:hAnsi="Arial Narrow" w:cstheme="minorBidi"/>
            <w:sz w:val="18"/>
            <w:szCs w:val="18"/>
            <w:lang w:val="es-CO" w:eastAsia="en-US"/>
          </w:rPr>
          <w:t>https://www.rues.org.co/ESAL</w:t>
        </w:r>
      </w:hyperlink>
    </w:p>
  </w:footnote>
  <w:footnote w:id="50">
    <w:p w:rsidR="00A21B5C" w:rsidRDefault="00A21B5C" w:rsidP="008C2E4A">
      <w:pPr>
        <w:pStyle w:val="Textonotapie"/>
        <w:rPr>
          <w:lang w:val="es-CO"/>
        </w:rPr>
      </w:pPr>
      <w:r w:rsidRPr="00A96D69">
        <w:rPr>
          <w:rStyle w:val="Refdenotaalpie"/>
          <w:rFonts w:ascii="Arial Narrow" w:hAnsi="Arial Narrow"/>
        </w:rPr>
        <w:footnoteRef/>
      </w:r>
      <w:r>
        <w:t xml:space="preserve"> </w:t>
      </w:r>
      <w:r w:rsidRPr="00A96D69">
        <w:rPr>
          <w:rFonts w:ascii="Arial Narrow" w:hAnsi="Arial Narrow"/>
          <w:sz w:val="18"/>
          <w:szCs w:val="18"/>
          <w:lang w:val="es-CO"/>
        </w:rPr>
        <w:t>Artículo 3 y 4 del Decreto 092 de 2017</w:t>
      </w:r>
      <w:r>
        <w:rPr>
          <w:rFonts w:ascii="Arial Narrow" w:hAnsi="Arial Narrow"/>
          <w:lang w:val="es-CO"/>
        </w:rPr>
        <w:t>.</w:t>
      </w:r>
    </w:p>
  </w:footnote>
  <w:footnote w:id="51">
    <w:p w:rsidR="00A21B5C" w:rsidRPr="00A96D69" w:rsidRDefault="00A21B5C" w:rsidP="008C2E4A">
      <w:pPr>
        <w:pStyle w:val="Textonotapie"/>
        <w:rPr>
          <w:rFonts w:ascii="Arial Narrow" w:hAnsi="Arial Narrow"/>
          <w:lang w:val="es-CO"/>
        </w:rPr>
      </w:pPr>
      <w:r w:rsidRPr="00A96D69">
        <w:rPr>
          <w:rStyle w:val="Refdenotaalpie"/>
          <w:rFonts w:ascii="Arial Narrow" w:hAnsi="Arial Narrow"/>
        </w:rPr>
        <w:footnoteRef/>
      </w:r>
      <w:r w:rsidRPr="00A96D69">
        <w:rPr>
          <w:rFonts w:ascii="Arial Narrow" w:hAnsi="Arial Narrow"/>
        </w:rPr>
        <w:t xml:space="preserve"> </w:t>
      </w:r>
      <w:r w:rsidRPr="00A96D69">
        <w:rPr>
          <w:rFonts w:ascii="Arial Narrow" w:hAnsi="Arial Narrow"/>
          <w:sz w:val="18"/>
          <w:szCs w:val="18"/>
          <w:lang w:val="es-CO"/>
        </w:rPr>
        <w:t>Cuenta del Banco de Occidente N° 870069150</w:t>
      </w:r>
      <w:r>
        <w:rPr>
          <w:rFonts w:ascii="Arial Narrow" w:hAnsi="Arial Narrow"/>
          <w:sz w:val="18"/>
          <w:szCs w:val="18"/>
          <w:lang w:val="es-CO"/>
        </w:rPr>
        <w:t>.</w:t>
      </w:r>
    </w:p>
  </w:footnote>
  <w:footnote w:id="52">
    <w:p w:rsidR="00A21B5C" w:rsidRPr="00A96D69" w:rsidRDefault="00A21B5C" w:rsidP="008C2E4A">
      <w:pPr>
        <w:pStyle w:val="Textonotapie"/>
        <w:rPr>
          <w:rFonts w:ascii="Arial Narrow" w:hAnsi="Arial Narrow"/>
          <w:lang w:val="es-CO"/>
        </w:rPr>
      </w:pPr>
      <w:r w:rsidRPr="00A96D69">
        <w:rPr>
          <w:rStyle w:val="Refdenotaalpie"/>
          <w:rFonts w:ascii="Arial Narrow" w:hAnsi="Arial Narrow"/>
        </w:rPr>
        <w:footnoteRef/>
      </w:r>
      <w:r w:rsidRPr="00A96D69">
        <w:rPr>
          <w:rFonts w:ascii="Arial Narrow" w:hAnsi="Arial Narrow"/>
        </w:rPr>
        <w:t xml:space="preserve"> </w:t>
      </w:r>
      <w:r w:rsidRPr="00A96D69">
        <w:rPr>
          <w:rFonts w:ascii="Arial Narrow" w:hAnsi="Arial Narrow"/>
          <w:sz w:val="18"/>
          <w:szCs w:val="18"/>
          <w:lang w:val="es-CO"/>
        </w:rPr>
        <w:t>La cuenta de cobro final presentaba la suma de treinta millones de pesos en letras y de $50.000.000 en números.</w:t>
      </w:r>
    </w:p>
  </w:footnote>
  <w:footnote w:id="53">
    <w:p w:rsidR="00A21B5C" w:rsidRPr="00A96D69" w:rsidRDefault="00A21B5C" w:rsidP="008C2E4A">
      <w:pPr>
        <w:pStyle w:val="Textonotapie"/>
        <w:rPr>
          <w:rFonts w:ascii="Arial Narrow" w:hAnsi="Arial Narrow"/>
          <w:sz w:val="18"/>
          <w:szCs w:val="18"/>
          <w:lang w:val="es-CO"/>
        </w:rPr>
      </w:pPr>
      <w:r w:rsidRPr="00A96D69">
        <w:rPr>
          <w:rStyle w:val="Refdenotaalpie"/>
          <w:rFonts w:ascii="Arial Narrow" w:hAnsi="Arial Narrow"/>
        </w:rPr>
        <w:footnoteRef/>
      </w:r>
      <w:r w:rsidRPr="00A96D69">
        <w:rPr>
          <w:rFonts w:ascii="Arial Narrow" w:hAnsi="Arial Narrow"/>
        </w:rPr>
        <w:t xml:space="preserve"> </w:t>
      </w:r>
      <w:r w:rsidRPr="00A96D69">
        <w:rPr>
          <w:rFonts w:ascii="Arial Narrow" w:hAnsi="Arial Narrow"/>
          <w:sz w:val="18"/>
          <w:szCs w:val="18"/>
          <w:lang w:val="es-CO"/>
        </w:rPr>
        <w:t>Cuenta del Banco de Occidente N° 870069150</w:t>
      </w:r>
      <w:r w:rsidRPr="00A96D69">
        <w:rPr>
          <w:rFonts w:ascii="Arial Narrow" w:hAnsi="Arial Narrow"/>
          <w:sz w:val="18"/>
          <w:szCs w:val="18"/>
        </w:rPr>
        <w:t>.</w:t>
      </w:r>
    </w:p>
  </w:footnote>
  <w:footnote w:id="54">
    <w:p w:rsidR="00A21B5C" w:rsidRPr="00282C7A" w:rsidRDefault="00A21B5C" w:rsidP="008C2E4A">
      <w:pPr>
        <w:pStyle w:val="Textonotapie"/>
        <w:jc w:val="both"/>
        <w:rPr>
          <w:rFonts w:ascii="Arial Narrow" w:hAnsi="Arial Narrow" w:cs="Arial"/>
          <w:szCs w:val="22"/>
          <w:lang w:val="es-CO"/>
        </w:rPr>
      </w:pPr>
      <w:r w:rsidRPr="00A96D69">
        <w:rPr>
          <w:rStyle w:val="Refdenotaalpie"/>
          <w:rFonts w:ascii="Arial Narrow" w:hAnsi="Arial Narrow"/>
        </w:rPr>
        <w:footnoteRef/>
      </w:r>
      <w:r w:rsidRPr="00A96D69">
        <w:rPr>
          <w:rFonts w:ascii="Arial Narrow" w:hAnsi="Arial Narrow"/>
        </w:rPr>
        <w:t xml:space="preserve"> </w:t>
      </w:r>
      <w:r w:rsidRPr="00282C7A">
        <w:rPr>
          <w:rFonts w:ascii="Arial Narrow" w:hAnsi="Arial Narrow" w:cs="Arial"/>
          <w:szCs w:val="22"/>
          <w:lang w:val="es-CO"/>
        </w:rPr>
        <w:t>El Resguardo Indígena acordó realizar el proceso de programación y formulación de proyectos por comunidad indígena, estipulando internamente la distribución de los recursos de la siguiente manera: 10% para la comunidad Arhuaco, 20% para la comunidad Wiwa y 70% restantes de la asignación para la Comunidad Kogui. Estos acuerdos, en acompañamiento del Ministerio del Interior. (Detalle en el apartado II del documento)</w:t>
      </w:r>
    </w:p>
  </w:footnote>
  <w:footnote w:id="55">
    <w:p w:rsidR="00A21B5C" w:rsidRPr="00613441" w:rsidRDefault="00A21B5C">
      <w:pPr>
        <w:pStyle w:val="Textonotapie"/>
        <w:rPr>
          <w:rFonts w:ascii="Arial Narrow" w:hAnsi="Arial Narrow"/>
          <w:lang w:val="es-CO"/>
        </w:rPr>
      </w:pPr>
      <w:r w:rsidRPr="00613441">
        <w:rPr>
          <w:rStyle w:val="Refdenotaalpie"/>
          <w:rFonts w:ascii="Arial Narrow" w:hAnsi="Arial Narrow"/>
        </w:rPr>
        <w:footnoteRef/>
      </w:r>
      <w:r w:rsidRPr="00613441">
        <w:rPr>
          <w:rFonts w:ascii="Arial Narrow" w:hAnsi="Arial Narrow"/>
        </w:rPr>
        <w:t xml:space="preserve"> </w:t>
      </w:r>
      <w:r w:rsidRPr="00F729CC">
        <w:rPr>
          <w:rFonts w:ascii="Arial Narrow" w:hAnsi="Arial Narrow"/>
          <w:lang w:val="es-CO"/>
        </w:rPr>
        <w:t>No se</w:t>
      </w:r>
      <w:r w:rsidRPr="00613441">
        <w:rPr>
          <w:rFonts w:ascii="Arial Narrow" w:hAnsi="Arial Narrow"/>
          <w:lang w:val="es-CO"/>
        </w:rPr>
        <w:t xml:space="preserve"> incluye la vigencia 2019</w:t>
      </w:r>
      <w:r>
        <w:rPr>
          <w:rFonts w:ascii="Arial Narrow" w:hAnsi="Arial Narrow"/>
          <w:lang w:val="es-CO"/>
        </w:rPr>
        <w:t xml:space="preserve">, dado que la información presupuestal reportada en la Categoría FUT Resguardos 1 no se encuentra discriminada por pueblo. </w:t>
      </w:r>
    </w:p>
  </w:footnote>
  <w:footnote w:id="56">
    <w:p w:rsidR="00A21B5C" w:rsidRDefault="00A21B5C" w:rsidP="008C2E4A">
      <w:pPr>
        <w:pStyle w:val="Textonotapie"/>
        <w:jc w:val="both"/>
        <w:rPr>
          <w:rFonts w:ascii="Arial Narrow" w:hAnsi="Arial Narrow"/>
          <w:sz w:val="18"/>
          <w:szCs w:val="18"/>
          <w:lang w:val="es-CO"/>
        </w:rPr>
      </w:pPr>
      <w:r>
        <w:rPr>
          <w:rStyle w:val="Refdenotaalpie"/>
        </w:rPr>
        <w:footnoteRef/>
      </w:r>
      <w:r>
        <w:t xml:space="preserve"> </w:t>
      </w:r>
      <w:r>
        <w:rPr>
          <w:rFonts w:ascii="Arial Narrow" w:hAnsi="Arial Narrow"/>
          <w:sz w:val="18"/>
          <w:szCs w:val="18"/>
        </w:rPr>
        <w:t>“</w:t>
      </w:r>
      <w:r>
        <w:rPr>
          <w:rFonts w:ascii="Arial Narrow" w:hAnsi="Arial Narrow"/>
          <w:i/>
          <w:sz w:val="18"/>
          <w:szCs w:val="18"/>
          <w:lang w:val="es-CO"/>
        </w:rPr>
        <w:t>Devengo: Los hechos económicos se reconocen en el momento en que suceden, con independencia del instante en que se produce el flujo de efectivo o equivalentes al efectivo que se deriva de estos, es decir, el reconocimiento se efectúa cuando surgen los derechos y obligaciones, o cuando la transacción u operación originada por el hecho incide en los resultados del periodo”.</w:t>
      </w:r>
      <w:r>
        <w:rPr>
          <w:rFonts w:ascii="Arial Narrow" w:hAnsi="Arial Narrow"/>
          <w:sz w:val="18"/>
          <w:szCs w:val="18"/>
          <w:lang w:val="es-CO"/>
        </w:rPr>
        <w:t xml:space="preserve"> Marco Conceptual para la preparación y presentación de Información Financiera de las Entidades de Gobierno. Contaduría General de la Nación. Pág. 7. </w:t>
      </w:r>
    </w:p>
  </w:footnote>
  <w:footnote w:id="57">
    <w:p w:rsidR="00A21B5C" w:rsidRPr="00A96D69" w:rsidRDefault="00A21B5C" w:rsidP="008C2E4A">
      <w:pPr>
        <w:pStyle w:val="Textonotapie"/>
        <w:jc w:val="both"/>
        <w:rPr>
          <w:rFonts w:ascii="Arial Narrow" w:hAnsi="Arial Narrow"/>
          <w:lang w:val="es-CO"/>
        </w:rPr>
      </w:pPr>
      <w:r w:rsidRPr="00A96D69">
        <w:rPr>
          <w:rStyle w:val="Refdenotaalpie"/>
          <w:rFonts w:ascii="Arial Narrow" w:hAnsi="Arial Narrow"/>
        </w:rPr>
        <w:footnoteRef/>
      </w:r>
      <w:r w:rsidRPr="00A96D69">
        <w:rPr>
          <w:rFonts w:ascii="Arial Narrow" w:hAnsi="Arial Narrow"/>
        </w:rPr>
        <w:t xml:space="preserve"> </w:t>
      </w:r>
      <w:r w:rsidRPr="00BE2BE9">
        <w:rPr>
          <w:rFonts w:ascii="Arial Narrow" w:hAnsi="Arial Narrow"/>
          <w:sz w:val="18"/>
          <w:szCs w:val="18"/>
          <w:lang w:val="es-CO"/>
        </w:rPr>
        <w:t>Características cualitativas de la Información Financiera.</w:t>
      </w:r>
      <w:r w:rsidRPr="00A96D69">
        <w:rPr>
          <w:rFonts w:ascii="Arial Narrow" w:hAnsi="Arial Narrow"/>
          <w:lang w:val="es-CO"/>
        </w:rPr>
        <w:t xml:space="preserve"> </w:t>
      </w:r>
      <w:r w:rsidRPr="00BE2BE9">
        <w:rPr>
          <w:rFonts w:ascii="Arial Narrow" w:hAnsi="Arial Narrow"/>
          <w:sz w:val="18"/>
          <w:szCs w:val="18"/>
          <w:lang w:val="es-CO"/>
        </w:rPr>
        <w:t>Marco Conceptual para la preparación y presentación de Información Financiera de las Entidades de Gobierno. Contaduría General de la Nación. Pág. 4.</w:t>
      </w:r>
    </w:p>
  </w:footnote>
  <w:footnote w:id="58">
    <w:p w:rsidR="00A21B5C" w:rsidRPr="00A96D69" w:rsidRDefault="00A21B5C" w:rsidP="008C2E4A">
      <w:pPr>
        <w:pStyle w:val="Textonotapie"/>
        <w:jc w:val="both"/>
        <w:rPr>
          <w:rFonts w:ascii="Arial Narrow" w:hAnsi="Arial Narrow" w:cs="Arial"/>
          <w:i/>
          <w:sz w:val="18"/>
        </w:rPr>
      </w:pPr>
      <w:r w:rsidRPr="00A96D69">
        <w:rPr>
          <w:rStyle w:val="Refdenotaalpie"/>
          <w:rFonts w:ascii="Arial Narrow" w:hAnsi="Arial Narrow"/>
        </w:rPr>
        <w:footnoteRef/>
      </w:r>
      <w:r w:rsidRPr="00A96D69">
        <w:rPr>
          <w:rFonts w:ascii="Arial Narrow" w:hAnsi="Arial Narrow"/>
        </w:rPr>
        <w:t xml:space="preserve"> </w:t>
      </w:r>
      <w:r w:rsidRPr="00A96D69">
        <w:rPr>
          <w:rFonts w:ascii="Arial Narrow" w:hAnsi="Arial Narrow" w:cs="Arial"/>
          <w:sz w:val="18"/>
        </w:rPr>
        <w:t>Ley 1712 de 2014 “</w:t>
      </w:r>
      <w:r w:rsidRPr="00A96D69">
        <w:rPr>
          <w:rFonts w:ascii="Arial Narrow" w:hAnsi="Arial Narrow" w:cs="Arial"/>
          <w:i/>
          <w:sz w:val="18"/>
        </w:rPr>
        <w:t>artículo 11. Información mínima obligatoria respecto a servicios, procedimientos y funcionamiento del sujeto obligado. Todo sujeto obligado deberá publicar la siguiente información mínima obligatoria de manera proactiva:</w:t>
      </w:r>
    </w:p>
    <w:p w:rsidR="00A21B5C" w:rsidRPr="00A96D69" w:rsidRDefault="00A21B5C" w:rsidP="008C2E4A">
      <w:pPr>
        <w:pStyle w:val="Textonotapie"/>
        <w:jc w:val="both"/>
        <w:rPr>
          <w:rFonts w:ascii="Arial Narrow" w:hAnsi="Arial Narrow" w:cs="Arial"/>
          <w:i/>
          <w:sz w:val="6"/>
          <w:szCs w:val="6"/>
        </w:rPr>
      </w:pPr>
    </w:p>
    <w:p w:rsidR="00A21B5C" w:rsidRPr="00A96D69" w:rsidRDefault="00A21B5C" w:rsidP="008C2E4A">
      <w:pPr>
        <w:pStyle w:val="Textonotapie"/>
        <w:jc w:val="both"/>
        <w:rPr>
          <w:rFonts w:ascii="Arial Narrow" w:hAnsi="Arial Narrow" w:cs="Arial"/>
          <w:i/>
          <w:sz w:val="18"/>
        </w:rPr>
      </w:pPr>
      <w:r w:rsidRPr="00A96D69">
        <w:rPr>
          <w:rFonts w:ascii="Arial Narrow" w:hAnsi="Arial Narrow" w:cs="Arial"/>
          <w:i/>
          <w:sz w:val="18"/>
        </w:rPr>
        <w:t>[…]</w:t>
      </w:r>
    </w:p>
    <w:p w:rsidR="00A21B5C" w:rsidRPr="00A96D69" w:rsidRDefault="00A21B5C" w:rsidP="008C2E4A">
      <w:pPr>
        <w:pStyle w:val="Textonotapie"/>
        <w:jc w:val="both"/>
        <w:rPr>
          <w:rFonts w:ascii="Arial Narrow" w:hAnsi="Arial Narrow" w:cs="Arial"/>
          <w:i/>
          <w:sz w:val="6"/>
          <w:szCs w:val="6"/>
        </w:rPr>
      </w:pPr>
    </w:p>
    <w:p w:rsidR="00A21B5C" w:rsidRDefault="00A21B5C" w:rsidP="008C2E4A">
      <w:pPr>
        <w:pStyle w:val="Textonotapie"/>
        <w:jc w:val="both"/>
      </w:pPr>
      <w:r w:rsidRPr="00A96D69">
        <w:rPr>
          <w:rFonts w:ascii="Arial Narrow" w:hAnsi="Arial Narrow" w:cs="Arial"/>
          <w:i/>
          <w:sz w:val="18"/>
        </w:rPr>
        <w:t>g) Sus procedimientos, lineamientos, políticas en materia de adquisiciones y compras, así como todos los datos de adjudicación y ejecución de contratos, incluidos concursos y licitaciones</w:t>
      </w:r>
      <w:r w:rsidRPr="00A96D69">
        <w:rPr>
          <w:rFonts w:ascii="Arial Narrow" w:hAnsi="Arial Narrow" w:cs="Arial"/>
          <w:sz w:val="18"/>
        </w:rPr>
        <w:t>”.</w:t>
      </w:r>
    </w:p>
  </w:footnote>
  <w:footnote w:id="59">
    <w:p w:rsidR="00A21B5C" w:rsidRPr="00930C1A" w:rsidRDefault="00A21B5C" w:rsidP="002E6D00">
      <w:pPr>
        <w:pStyle w:val="Textonotapie"/>
        <w:rPr>
          <w:lang w:val="es-CO"/>
        </w:rPr>
      </w:pPr>
      <w:r w:rsidRPr="00930C1A">
        <w:rPr>
          <w:rStyle w:val="Refdenotaalpie"/>
          <w:rFonts w:ascii="Arial Narrow" w:hAnsi="Arial Narrow"/>
          <w:sz w:val="18"/>
          <w:szCs w:val="18"/>
        </w:rPr>
        <w:footnoteRef/>
      </w:r>
      <w:r w:rsidRPr="00930C1A">
        <w:rPr>
          <w:rFonts w:ascii="Arial Narrow" w:hAnsi="Arial Narrow"/>
          <w:sz w:val="18"/>
          <w:szCs w:val="18"/>
        </w:rPr>
        <w:t xml:space="preserve"> Procedimiento para construir, reestructurar, ampliar y sanear resguardos Indígenas</w:t>
      </w:r>
    </w:p>
  </w:footnote>
  <w:footnote w:id="60">
    <w:p w:rsidR="00A21B5C" w:rsidRPr="00613441" w:rsidRDefault="00A21B5C">
      <w:pPr>
        <w:pStyle w:val="Textonotapie"/>
        <w:rPr>
          <w:rFonts w:ascii="Arial Narrow" w:hAnsi="Arial Narrow"/>
          <w:sz w:val="18"/>
          <w:szCs w:val="18"/>
          <w:lang w:val="es-CO"/>
        </w:rPr>
      </w:pPr>
      <w:r w:rsidRPr="00613441">
        <w:rPr>
          <w:rStyle w:val="Refdenotaalpie"/>
          <w:rFonts w:ascii="Arial Narrow" w:hAnsi="Arial Narrow"/>
          <w:sz w:val="18"/>
          <w:szCs w:val="18"/>
        </w:rPr>
        <w:footnoteRef/>
      </w:r>
      <w:r w:rsidRPr="00613441">
        <w:rPr>
          <w:rFonts w:ascii="Arial Narrow" w:hAnsi="Arial Narrow"/>
          <w:sz w:val="18"/>
          <w:szCs w:val="18"/>
        </w:rPr>
        <w:t xml:space="preserve"> </w:t>
      </w:r>
      <w:r w:rsidRPr="00510B4D">
        <w:rPr>
          <w:rFonts w:ascii="Arial Narrow" w:hAnsi="Arial Narrow"/>
          <w:sz w:val="18"/>
          <w:szCs w:val="18"/>
          <w:lang w:val="es-CO"/>
        </w:rPr>
        <w:t>Artículo</w:t>
      </w:r>
      <w:r w:rsidRPr="00613441">
        <w:rPr>
          <w:rFonts w:ascii="Arial Narrow" w:hAnsi="Arial Narrow"/>
          <w:sz w:val="18"/>
          <w:szCs w:val="18"/>
          <w:lang w:val="es-CO"/>
        </w:rPr>
        <w:t xml:space="preserve"> 25 del </w:t>
      </w:r>
      <w:r w:rsidRPr="00510B4D">
        <w:rPr>
          <w:rFonts w:ascii="Arial Narrow" w:hAnsi="Arial Narrow"/>
          <w:sz w:val="18"/>
          <w:szCs w:val="18"/>
          <w:lang w:val="es-CO"/>
        </w:rPr>
        <w:t>Decreto</w:t>
      </w:r>
      <w:r w:rsidRPr="00613441">
        <w:rPr>
          <w:rFonts w:ascii="Arial Narrow" w:hAnsi="Arial Narrow"/>
          <w:sz w:val="18"/>
          <w:szCs w:val="18"/>
          <w:lang w:val="es-CO"/>
        </w:rPr>
        <w:t xml:space="preserve"> 1953 de 2014</w:t>
      </w:r>
    </w:p>
  </w:footnote>
  <w:footnote w:id="61">
    <w:p w:rsidR="00A21B5C" w:rsidRDefault="00A21B5C" w:rsidP="008C2E4A">
      <w:pPr>
        <w:pStyle w:val="Textonotapie"/>
        <w:rPr>
          <w:lang w:val="es-CO"/>
        </w:rPr>
      </w:pPr>
      <w:r>
        <w:rPr>
          <w:rStyle w:val="Refdenotaalpie"/>
        </w:rPr>
        <w:footnoteRef/>
      </w:r>
      <w:r>
        <w:t xml:space="preserve"> </w:t>
      </w:r>
      <w:hyperlink r:id="rId8" w:history="1">
        <w:r>
          <w:rPr>
            <w:rStyle w:val="Hipervnculo"/>
            <w:rFonts w:ascii="Arial Narrow" w:hAnsi="Arial Narrow"/>
            <w:sz w:val="18"/>
          </w:rPr>
          <w:t>https://www.colombiacompra.gov.co/sites/cce_public/files/cce_documents/cce_guia_obra_publica.pdf</w:t>
        </w:r>
      </w:hyperlink>
    </w:p>
  </w:footnote>
  <w:footnote w:id="62">
    <w:p w:rsidR="00A21B5C" w:rsidRPr="00613441" w:rsidRDefault="00A21B5C" w:rsidP="008C2E4A">
      <w:pPr>
        <w:pStyle w:val="Textonotapie"/>
        <w:rPr>
          <w:rFonts w:ascii="Arial Narrow" w:hAnsi="Arial Narrow"/>
          <w:lang w:val="es-CO"/>
        </w:rPr>
      </w:pPr>
      <w:r w:rsidRPr="00613441">
        <w:rPr>
          <w:rStyle w:val="Refdenotaalpie"/>
          <w:rFonts w:ascii="Arial Narrow" w:hAnsi="Arial Narrow"/>
        </w:rPr>
        <w:footnoteRef/>
      </w:r>
      <w:r w:rsidRPr="00613441">
        <w:rPr>
          <w:rFonts w:ascii="Arial Narrow" w:hAnsi="Arial Narrow"/>
        </w:rPr>
        <w:t xml:space="preserve"> </w:t>
      </w:r>
      <w:r w:rsidRPr="00613441">
        <w:rPr>
          <w:rStyle w:val="Hipervnculo"/>
          <w:sz w:val="18"/>
        </w:rPr>
        <w:t>https://sintesis.colombiacompra.gov.co/sintesis/s%C3%ADntesis-contrataci%C3%B3n-estatal-etapa-precontractual</w:t>
      </w:r>
    </w:p>
  </w:footnote>
  <w:footnote w:id="63">
    <w:p w:rsidR="00A21B5C" w:rsidRDefault="00A21B5C" w:rsidP="008C2E4A">
      <w:pPr>
        <w:pStyle w:val="Textonotapie"/>
        <w:rPr>
          <w:lang w:val="es-CO"/>
        </w:rPr>
      </w:pPr>
      <w:r w:rsidRPr="00613441">
        <w:rPr>
          <w:rStyle w:val="Refdenotaalpie"/>
          <w:rFonts w:ascii="Arial Narrow" w:hAnsi="Arial Narrow"/>
        </w:rPr>
        <w:footnoteRef/>
      </w:r>
      <w:r w:rsidRPr="00613441">
        <w:rPr>
          <w:rFonts w:ascii="Arial Narrow" w:hAnsi="Arial Narrow"/>
        </w:rPr>
        <w:t xml:space="preserve"> </w:t>
      </w:r>
      <w:hyperlink r:id="rId9" w:history="1">
        <w:r w:rsidRPr="005A3393">
          <w:rPr>
            <w:rStyle w:val="Hipervnculo"/>
            <w:rFonts w:ascii="Arial Narrow" w:hAnsi="Arial Narrow"/>
          </w:rPr>
          <w:t>https://sintesis.colombiacompra.gov.co/sintesis/3-etapa-contractual-equilibrio-econ%C3%B3mico</w:t>
        </w:r>
      </w:hyperlink>
    </w:p>
  </w:footnote>
  <w:footnote w:id="64">
    <w:p w:rsidR="00A21B5C" w:rsidRPr="00A96D69" w:rsidRDefault="00A21B5C">
      <w:pPr>
        <w:pStyle w:val="Textonotapie"/>
        <w:rPr>
          <w:rFonts w:ascii="Arial Narrow" w:hAnsi="Arial Narrow"/>
          <w:sz w:val="18"/>
          <w:szCs w:val="18"/>
        </w:rPr>
      </w:pPr>
      <w:r w:rsidRPr="00A96D69">
        <w:rPr>
          <w:rStyle w:val="Refdenotaalpie"/>
          <w:rFonts w:ascii="Arial Narrow" w:hAnsi="Arial Narrow"/>
          <w:sz w:val="18"/>
          <w:szCs w:val="18"/>
        </w:rPr>
        <w:footnoteRef/>
      </w:r>
      <w:r w:rsidRPr="00A96D69">
        <w:rPr>
          <w:rFonts w:ascii="Arial Narrow" w:hAnsi="Arial Narrow"/>
          <w:sz w:val="18"/>
          <w:szCs w:val="18"/>
        </w:rPr>
        <w:t xml:space="preserve"> https://www.colombiacompra.gov.co/sites/default/files/manuales/cce_guia_estudio_sector_web.pdf</w:t>
      </w:r>
    </w:p>
  </w:footnote>
  <w:footnote w:id="65">
    <w:p w:rsidR="00A21B5C" w:rsidRPr="00A96D69" w:rsidRDefault="00A21B5C">
      <w:pPr>
        <w:pStyle w:val="Textonotapie"/>
        <w:rPr>
          <w:rFonts w:ascii="Arial Narrow" w:hAnsi="Arial Narrow"/>
          <w:sz w:val="18"/>
          <w:szCs w:val="18"/>
        </w:rPr>
      </w:pPr>
      <w:r w:rsidRPr="00A96D69">
        <w:rPr>
          <w:rStyle w:val="Refdenotaalpie"/>
          <w:rFonts w:ascii="Arial Narrow" w:hAnsi="Arial Narrow"/>
          <w:sz w:val="18"/>
          <w:szCs w:val="18"/>
        </w:rPr>
        <w:footnoteRef/>
      </w:r>
      <w:r w:rsidRPr="00A96D69">
        <w:rPr>
          <w:rFonts w:ascii="Arial Narrow" w:hAnsi="Arial Narrow"/>
          <w:sz w:val="18"/>
          <w:szCs w:val="18"/>
        </w:rPr>
        <w:t xml:space="preserve"> https://www.colombiacompra.gov.co/sites/default/files/manuales/20140901_manual_requisitos_habilitantes_4_web.pdf</w:t>
      </w:r>
    </w:p>
  </w:footnote>
  <w:footnote w:id="66">
    <w:p w:rsidR="00A21B5C" w:rsidRDefault="00A21B5C">
      <w:pPr>
        <w:pStyle w:val="Textonotapie"/>
      </w:pPr>
      <w:r w:rsidRPr="00A96D69">
        <w:rPr>
          <w:rStyle w:val="Refdenotaalpie"/>
          <w:rFonts w:ascii="Arial Narrow" w:hAnsi="Arial Narrow"/>
          <w:sz w:val="18"/>
          <w:szCs w:val="18"/>
        </w:rPr>
        <w:footnoteRef/>
      </w:r>
      <w:r w:rsidRPr="00A96D69">
        <w:rPr>
          <w:rFonts w:ascii="Arial Narrow" w:hAnsi="Arial Narrow"/>
          <w:sz w:val="18"/>
          <w:szCs w:val="18"/>
        </w:rPr>
        <w:t xml:space="preserve"> https://www.colombiacompra.gov.co/sites/cce_public/files/cce_documents/cce_guia_obra_publica.pdf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B5C" w:rsidRPr="00F01F75" w:rsidRDefault="00A21B5C" w:rsidP="00E17914">
    <w:pPr>
      <w:rPr>
        <w:rFonts w:ascii="Arial" w:hAnsi="Arial" w:cs="Arial"/>
        <w:sz w:val="16"/>
        <w:szCs w:val="16"/>
      </w:rPr>
    </w:pPr>
    <w:r>
      <w:rPr>
        <w:noProof/>
        <w:lang w:val="es-CO" w:eastAsia="es-CO"/>
      </w:rPr>
      <w:drawing>
        <wp:anchor distT="0" distB="0" distL="114300" distR="114300" simplePos="0" relativeHeight="251658241" behindDoc="0" locked="0" layoutInCell="1" allowOverlap="1">
          <wp:simplePos x="0" y="0"/>
          <wp:positionH relativeFrom="column">
            <wp:posOffset>-13335</wp:posOffset>
          </wp:positionH>
          <wp:positionV relativeFrom="paragraph">
            <wp:posOffset>6350</wp:posOffset>
          </wp:positionV>
          <wp:extent cx="3286125" cy="666750"/>
          <wp:effectExtent l="0" t="0" r="9525" b="0"/>
          <wp:wrapTopAndBottom/>
          <wp:docPr id="20" name="Imagen 20"/>
          <wp:cNvGraphicFramePr/>
          <a:graphic xmlns:a="http://schemas.openxmlformats.org/drawingml/2006/main">
            <a:graphicData uri="http://schemas.openxmlformats.org/drawingml/2006/picture">
              <pic:pic xmlns:pic="http://schemas.openxmlformats.org/drawingml/2006/picture">
                <pic:nvPicPr>
                  <pic:cNvPr id="34" name="Imagen 34"/>
                  <pic:cNvPicPr/>
                </pic:nvPicPr>
                <pic:blipFill>
                  <a:blip r:embed="rId1">
                    <a:extLst>
                      <a:ext uri="{28A0092B-C50C-407E-A947-70E740481C1C}">
                        <a14:useLocalDpi xmlns:a14="http://schemas.microsoft.com/office/drawing/2010/main" val="0"/>
                      </a:ext>
                    </a:extLst>
                  </a:blip>
                  <a:stretch>
                    <a:fillRect/>
                  </a:stretch>
                </pic:blipFill>
                <pic:spPr>
                  <a:xfrm>
                    <a:off x="0" y="0"/>
                    <a:ext cx="3286125" cy="6667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B5C" w:rsidRPr="00E17914" w:rsidRDefault="00A21B5C" w:rsidP="00E17914">
    <w:pPr>
      <w:pStyle w:val="Encabezado"/>
    </w:pPr>
    <w:r>
      <w:rPr>
        <w:noProof/>
        <w:lang w:eastAsia="es-CO"/>
      </w:rPr>
      <w:drawing>
        <wp:anchor distT="0" distB="0" distL="114300" distR="114300" simplePos="0" relativeHeight="251658240" behindDoc="0" locked="0" layoutInCell="1" allowOverlap="1">
          <wp:simplePos x="0" y="0"/>
          <wp:positionH relativeFrom="column">
            <wp:posOffset>-280035</wp:posOffset>
          </wp:positionH>
          <wp:positionV relativeFrom="paragraph">
            <wp:posOffset>-69850</wp:posOffset>
          </wp:positionV>
          <wp:extent cx="3286125" cy="666750"/>
          <wp:effectExtent l="0" t="0" r="9525" b="0"/>
          <wp:wrapTopAndBottom/>
          <wp:docPr id="25" name="Imagen 25"/>
          <wp:cNvGraphicFramePr/>
          <a:graphic xmlns:a="http://schemas.openxmlformats.org/drawingml/2006/main">
            <a:graphicData uri="http://schemas.openxmlformats.org/drawingml/2006/picture">
              <pic:pic xmlns:pic="http://schemas.openxmlformats.org/drawingml/2006/picture">
                <pic:nvPicPr>
                  <pic:cNvPr id="34" name="Imagen 34"/>
                  <pic:cNvPicPr/>
                </pic:nvPicPr>
                <pic:blipFill>
                  <a:blip r:embed="rId1">
                    <a:extLst>
                      <a:ext uri="{28A0092B-C50C-407E-A947-70E740481C1C}">
                        <a14:useLocalDpi xmlns:a14="http://schemas.microsoft.com/office/drawing/2010/main" val="0"/>
                      </a:ext>
                    </a:extLst>
                  </a:blip>
                  <a:stretch>
                    <a:fillRect/>
                  </a:stretch>
                </pic:blipFill>
                <pic:spPr>
                  <a:xfrm>
                    <a:off x="0" y="0"/>
                    <a:ext cx="3286125" cy="6667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00A06"/>
    <w:multiLevelType w:val="hybridMultilevel"/>
    <w:tmpl w:val="7DA49834"/>
    <w:lvl w:ilvl="0" w:tplc="88826730">
      <w:start w:val="1"/>
      <w:numFmt w:val="decimal"/>
      <w:lvlText w:val="(%1)"/>
      <w:lvlJc w:val="left"/>
      <w:pPr>
        <w:ind w:left="720" w:hanging="360"/>
      </w:pPr>
      <w:rPr>
        <w:rFonts w:ascii="Arial Narrow" w:hAnsi="Arial Narrow" w:hint="default"/>
        <w:b/>
        <w:i w:val="0"/>
        <w:iCs w:val="0"/>
        <w:color w:val="C00000"/>
        <w:sz w:val="22"/>
        <w:szCs w:val="22"/>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 w15:restartNumberingAfterBreak="0">
    <w:nsid w:val="05070463"/>
    <w:multiLevelType w:val="hybridMultilevel"/>
    <w:tmpl w:val="91285202"/>
    <w:lvl w:ilvl="0" w:tplc="86CA6668">
      <w:start w:val="1"/>
      <w:numFmt w:val="bullet"/>
      <w:lvlText w:val="→"/>
      <w:lvlJc w:val="left"/>
      <w:pPr>
        <w:ind w:left="1440" w:hanging="360"/>
      </w:pPr>
      <w:rPr>
        <w:rFonts w:ascii="Courier New" w:hAnsi="Courier New"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2" w15:restartNumberingAfterBreak="0">
    <w:nsid w:val="082E706E"/>
    <w:multiLevelType w:val="hybridMultilevel"/>
    <w:tmpl w:val="611E2288"/>
    <w:lvl w:ilvl="0" w:tplc="09D487AC">
      <w:start w:val="1"/>
      <w:numFmt w:val="decimal"/>
      <w:lvlText w:val="%1."/>
      <w:lvlJc w:val="left"/>
      <w:pPr>
        <w:ind w:left="720" w:hanging="360"/>
      </w:pPr>
      <w:rPr>
        <w:i/>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08FF5B26"/>
    <w:multiLevelType w:val="hybridMultilevel"/>
    <w:tmpl w:val="1880345A"/>
    <w:lvl w:ilvl="0" w:tplc="DBEA496A">
      <w:start w:val="2017"/>
      <w:numFmt w:val="bullet"/>
      <w:lvlText w:val="-"/>
      <w:lvlJc w:val="left"/>
      <w:pPr>
        <w:ind w:left="1428" w:hanging="360"/>
      </w:pPr>
      <w:rPr>
        <w:rFonts w:ascii="Times New Roman" w:eastAsia="MS Mincho" w:hAnsi="Times New Roman" w:cs="Times New Roman" w:hint="default"/>
      </w:rPr>
    </w:lvl>
    <w:lvl w:ilvl="1" w:tplc="240A0003">
      <w:start w:val="1"/>
      <w:numFmt w:val="bullet"/>
      <w:lvlText w:val="o"/>
      <w:lvlJc w:val="left"/>
      <w:pPr>
        <w:ind w:left="2148" w:hanging="360"/>
      </w:pPr>
      <w:rPr>
        <w:rFonts w:ascii="Courier New" w:hAnsi="Courier New" w:cs="Courier New" w:hint="default"/>
      </w:rPr>
    </w:lvl>
    <w:lvl w:ilvl="2" w:tplc="240A0005">
      <w:start w:val="1"/>
      <w:numFmt w:val="bullet"/>
      <w:lvlText w:val=""/>
      <w:lvlJc w:val="left"/>
      <w:pPr>
        <w:ind w:left="2868" w:hanging="360"/>
      </w:pPr>
      <w:rPr>
        <w:rFonts w:ascii="Wingdings" w:hAnsi="Wingdings" w:hint="default"/>
      </w:rPr>
    </w:lvl>
    <w:lvl w:ilvl="3" w:tplc="240A0001">
      <w:start w:val="1"/>
      <w:numFmt w:val="bullet"/>
      <w:lvlText w:val=""/>
      <w:lvlJc w:val="left"/>
      <w:pPr>
        <w:ind w:left="3588" w:hanging="360"/>
      </w:pPr>
      <w:rPr>
        <w:rFonts w:ascii="Symbol" w:hAnsi="Symbol" w:hint="default"/>
      </w:rPr>
    </w:lvl>
    <w:lvl w:ilvl="4" w:tplc="240A0003">
      <w:start w:val="1"/>
      <w:numFmt w:val="bullet"/>
      <w:lvlText w:val="o"/>
      <w:lvlJc w:val="left"/>
      <w:pPr>
        <w:ind w:left="4308" w:hanging="360"/>
      </w:pPr>
      <w:rPr>
        <w:rFonts w:ascii="Courier New" w:hAnsi="Courier New" w:cs="Courier New" w:hint="default"/>
      </w:rPr>
    </w:lvl>
    <w:lvl w:ilvl="5" w:tplc="240A0005">
      <w:start w:val="1"/>
      <w:numFmt w:val="bullet"/>
      <w:lvlText w:val=""/>
      <w:lvlJc w:val="left"/>
      <w:pPr>
        <w:ind w:left="5028" w:hanging="360"/>
      </w:pPr>
      <w:rPr>
        <w:rFonts w:ascii="Wingdings" w:hAnsi="Wingdings" w:hint="default"/>
      </w:rPr>
    </w:lvl>
    <w:lvl w:ilvl="6" w:tplc="240A0001">
      <w:start w:val="1"/>
      <w:numFmt w:val="bullet"/>
      <w:lvlText w:val=""/>
      <w:lvlJc w:val="left"/>
      <w:pPr>
        <w:ind w:left="5748" w:hanging="360"/>
      </w:pPr>
      <w:rPr>
        <w:rFonts w:ascii="Symbol" w:hAnsi="Symbol" w:hint="default"/>
      </w:rPr>
    </w:lvl>
    <w:lvl w:ilvl="7" w:tplc="240A0003">
      <w:start w:val="1"/>
      <w:numFmt w:val="bullet"/>
      <w:lvlText w:val="o"/>
      <w:lvlJc w:val="left"/>
      <w:pPr>
        <w:ind w:left="6468" w:hanging="360"/>
      </w:pPr>
      <w:rPr>
        <w:rFonts w:ascii="Courier New" w:hAnsi="Courier New" w:cs="Courier New" w:hint="default"/>
      </w:rPr>
    </w:lvl>
    <w:lvl w:ilvl="8" w:tplc="240A0005">
      <w:start w:val="1"/>
      <w:numFmt w:val="bullet"/>
      <w:lvlText w:val=""/>
      <w:lvlJc w:val="left"/>
      <w:pPr>
        <w:ind w:left="7188" w:hanging="360"/>
      </w:pPr>
      <w:rPr>
        <w:rFonts w:ascii="Wingdings" w:hAnsi="Wingdings" w:hint="default"/>
      </w:rPr>
    </w:lvl>
  </w:abstractNum>
  <w:abstractNum w:abstractNumId="4" w15:restartNumberingAfterBreak="0">
    <w:nsid w:val="0F2D5BCF"/>
    <w:multiLevelType w:val="hybridMultilevel"/>
    <w:tmpl w:val="FACE4976"/>
    <w:lvl w:ilvl="0" w:tplc="86CA6668">
      <w:start w:val="1"/>
      <w:numFmt w:val="bullet"/>
      <w:lvlText w:val="→"/>
      <w:lvlJc w:val="left"/>
      <w:pPr>
        <w:ind w:left="720" w:hanging="360"/>
      </w:pPr>
      <w:rPr>
        <w:rFonts w:ascii="Courier New" w:hAnsi="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0F82122"/>
    <w:multiLevelType w:val="hybridMultilevel"/>
    <w:tmpl w:val="19448C0C"/>
    <w:lvl w:ilvl="0" w:tplc="A44C6D4E">
      <w:start w:val="1"/>
      <w:numFmt w:val="decimal"/>
      <w:lvlText w:val="%1."/>
      <w:lvlJc w:val="left"/>
      <w:pPr>
        <w:ind w:left="720" w:hanging="360"/>
      </w:pPr>
      <w:rPr>
        <w:rFonts w:ascii="Arial Narrow" w:eastAsia="MS Mincho" w:hAnsi="Arial Narrow" w:cs="Arial"/>
        <w:b/>
        <w:i w:val="0"/>
        <w:sz w:val="22"/>
        <w:szCs w:val="22"/>
      </w:rPr>
    </w:lvl>
    <w:lvl w:ilvl="1" w:tplc="46B6310E">
      <w:start w:val="1"/>
      <w:numFmt w:val="decimal"/>
      <w:lvlText w:val="%2."/>
      <w:lvlJc w:val="left"/>
      <w:pPr>
        <w:ind w:left="1440" w:hanging="360"/>
      </w:pPr>
      <w:rPr>
        <w:rFonts w:ascii="Arial Narrow" w:eastAsia="MS Mincho" w:hAnsi="Arial Narrow" w:cs="Times New Roman"/>
        <w:b/>
        <w:bCs/>
        <w:i w:val="0"/>
      </w:r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11047557"/>
    <w:multiLevelType w:val="hybridMultilevel"/>
    <w:tmpl w:val="FDEAB38A"/>
    <w:lvl w:ilvl="0" w:tplc="B9C2EAA2">
      <w:start w:val="4"/>
      <w:numFmt w:val="upperRoman"/>
      <w:lvlText w:val="%1."/>
      <w:lvlJc w:val="left"/>
      <w:pPr>
        <w:ind w:left="1004" w:hanging="720"/>
      </w:pPr>
      <w:rPr>
        <w:rFonts w:hint="default"/>
      </w:rPr>
    </w:lvl>
    <w:lvl w:ilvl="1" w:tplc="6C1CE13E">
      <w:start w:val="1"/>
      <w:numFmt w:val="decimal"/>
      <w:lvlText w:val="%2."/>
      <w:lvlJc w:val="left"/>
      <w:pPr>
        <w:ind w:left="1364" w:hanging="360"/>
      </w:pPr>
      <w:rPr>
        <w:b/>
        <w:bCs/>
      </w:rPr>
    </w:lvl>
    <w:lvl w:ilvl="2" w:tplc="240A000F">
      <w:start w:val="1"/>
      <w:numFmt w:val="decimal"/>
      <w:lvlText w:val="%3."/>
      <w:lvlJc w:val="lef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7" w15:restartNumberingAfterBreak="0">
    <w:nsid w:val="12F27E99"/>
    <w:multiLevelType w:val="hybridMultilevel"/>
    <w:tmpl w:val="03182060"/>
    <w:lvl w:ilvl="0" w:tplc="86CA6668">
      <w:start w:val="1"/>
      <w:numFmt w:val="bullet"/>
      <w:lvlText w:val="→"/>
      <w:lvlJc w:val="left"/>
      <w:pPr>
        <w:ind w:left="672" w:hanging="360"/>
      </w:pPr>
      <w:rPr>
        <w:rFonts w:ascii="Courier New" w:hAnsi="Courier New" w:hint="default"/>
      </w:rPr>
    </w:lvl>
    <w:lvl w:ilvl="1" w:tplc="86CA6668">
      <w:start w:val="1"/>
      <w:numFmt w:val="bullet"/>
      <w:lvlText w:val="→"/>
      <w:lvlJc w:val="left"/>
      <w:pPr>
        <w:ind w:left="1392" w:hanging="360"/>
      </w:pPr>
      <w:rPr>
        <w:rFonts w:ascii="Courier New" w:hAnsi="Courier New" w:hint="default"/>
      </w:rPr>
    </w:lvl>
    <w:lvl w:ilvl="2" w:tplc="240A0005">
      <w:start w:val="1"/>
      <w:numFmt w:val="bullet"/>
      <w:lvlText w:val=""/>
      <w:lvlJc w:val="left"/>
      <w:pPr>
        <w:ind w:left="2112" w:hanging="360"/>
      </w:pPr>
      <w:rPr>
        <w:rFonts w:ascii="Wingdings" w:hAnsi="Wingdings" w:hint="default"/>
      </w:rPr>
    </w:lvl>
    <w:lvl w:ilvl="3" w:tplc="240A0001">
      <w:start w:val="1"/>
      <w:numFmt w:val="bullet"/>
      <w:lvlText w:val=""/>
      <w:lvlJc w:val="left"/>
      <w:pPr>
        <w:ind w:left="2832" w:hanging="360"/>
      </w:pPr>
      <w:rPr>
        <w:rFonts w:ascii="Symbol" w:hAnsi="Symbol" w:hint="default"/>
      </w:rPr>
    </w:lvl>
    <w:lvl w:ilvl="4" w:tplc="240A0003">
      <w:start w:val="1"/>
      <w:numFmt w:val="bullet"/>
      <w:lvlText w:val="o"/>
      <w:lvlJc w:val="left"/>
      <w:pPr>
        <w:ind w:left="3552" w:hanging="360"/>
      </w:pPr>
      <w:rPr>
        <w:rFonts w:ascii="Courier New" w:hAnsi="Courier New" w:cs="Courier New" w:hint="default"/>
      </w:rPr>
    </w:lvl>
    <w:lvl w:ilvl="5" w:tplc="240A0005">
      <w:start w:val="1"/>
      <w:numFmt w:val="bullet"/>
      <w:lvlText w:val=""/>
      <w:lvlJc w:val="left"/>
      <w:pPr>
        <w:ind w:left="4272" w:hanging="360"/>
      </w:pPr>
      <w:rPr>
        <w:rFonts w:ascii="Wingdings" w:hAnsi="Wingdings" w:hint="default"/>
      </w:rPr>
    </w:lvl>
    <w:lvl w:ilvl="6" w:tplc="240A0001">
      <w:start w:val="1"/>
      <w:numFmt w:val="bullet"/>
      <w:lvlText w:val=""/>
      <w:lvlJc w:val="left"/>
      <w:pPr>
        <w:ind w:left="4992" w:hanging="360"/>
      </w:pPr>
      <w:rPr>
        <w:rFonts w:ascii="Symbol" w:hAnsi="Symbol" w:hint="default"/>
      </w:rPr>
    </w:lvl>
    <w:lvl w:ilvl="7" w:tplc="240A0003">
      <w:start w:val="1"/>
      <w:numFmt w:val="bullet"/>
      <w:lvlText w:val="o"/>
      <w:lvlJc w:val="left"/>
      <w:pPr>
        <w:ind w:left="5712" w:hanging="360"/>
      </w:pPr>
      <w:rPr>
        <w:rFonts w:ascii="Courier New" w:hAnsi="Courier New" w:cs="Courier New" w:hint="default"/>
      </w:rPr>
    </w:lvl>
    <w:lvl w:ilvl="8" w:tplc="240A0005">
      <w:start w:val="1"/>
      <w:numFmt w:val="bullet"/>
      <w:lvlText w:val=""/>
      <w:lvlJc w:val="left"/>
      <w:pPr>
        <w:ind w:left="6432" w:hanging="360"/>
      </w:pPr>
      <w:rPr>
        <w:rFonts w:ascii="Wingdings" w:hAnsi="Wingdings" w:hint="default"/>
      </w:rPr>
    </w:lvl>
  </w:abstractNum>
  <w:abstractNum w:abstractNumId="8" w15:restartNumberingAfterBreak="0">
    <w:nsid w:val="190347D9"/>
    <w:multiLevelType w:val="hybridMultilevel"/>
    <w:tmpl w:val="F47CCE4E"/>
    <w:lvl w:ilvl="0" w:tplc="86CA6668">
      <w:start w:val="1"/>
      <w:numFmt w:val="bullet"/>
      <w:lvlText w:val="→"/>
      <w:lvlJc w:val="left"/>
      <w:pPr>
        <w:ind w:left="720" w:hanging="360"/>
      </w:pPr>
      <w:rPr>
        <w:rFonts w:ascii="Courier New" w:hAnsi="Courier New"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9" w15:restartNumberingAfterBreak="0">
    <w:nsid w:val="19EA4E81"/>
    <w:multiLevelType w:val="hybridMultilevel"/>
    <w:tmpl w:val="CA0241E6"/>
    <w:lvl w:ilvl="0" w:tplc="86CA6668">
      <w:start w:val="1"/>
      <w:numFmt w:val="bullet"/>
      <w:lvlText w:val="→"/>
      <w:lvlJc w:val="left"/>
      <w:pPr>
        <w:ind w:left="720" w:hanging="360"/>
      </w:pPr>
      <w:rPr>
        <w:rFonts w:ascii="Courier New" w:hAnsi="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AD62B31"/>
    <w:multiLevelType w:val="hybridMultilevel"/>
    <w:tmpl w:val="A46AF89C"/>
    <w:lvl w:ilvl="0" w:tplc="86CA6668">
      <w:start w:val="1"/>
      <w:numFmt w:val="bullet"/>
      <w:lvlText w:val="→"/>
      <w:lvlJc w:val="left"/>
      <w:pPr>
        <w:ind w:left="1004" w:hanging="360"/>
      </w:pPr>
      <w:rPr>
        <w:rFonts w:ascii="Courier New" w:hAnsi="Courier New"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1" w15:restartNumberingAfterBreak="0">
    <w:nsid w:val="1EA67D93"/>
    <w:multiLevelType w:val="hybridMultilevel"/>
    <w:tmpl w:val="05A4C300"/>
    <w:lvl w:ilvl="0" w:tplc="49385ACA">
      <w:start w:val="1"/>
      <w:numFmt w:val="bullet"/>
      <w:lvlText w:val=""/>
      <w:lvlJc w:val="left"/>
      <w:pPr>
        <w:ind w:left="1004" w:hanging="360"/>
      </w:pPr>
      <w:rPr>
        <w:rFonts w:ascii="Symbol" w:hAnsi="Symbol" w:hint="default"/>
        <w:sz w:val="14"/>
        <w:szCs w:val="14"/>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2" w15:restartNumberingAfterBreak="0">
    <w:nsid w:val="20772762"/>
    <w:multiLevelType w:val="hybridMultilevel"/>
    <w:tmpl w:val="35149A6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3" w15:restartNumberingAfterBreak="0">
    <w:nsid w:val="24BD1AD2"/>
    <w:multiLevelType w:val="hybridMultilevel"/>
    <w:tmpl w:val="82FC82BC"/>
    <w:lvl w:ilvl="0" w:tplc="86CA6668">
      <w:start w:val="1"/>
      <w:numFmt w:val="bullet"/>
      <w:lvlText w:val="→"/>
      <w:lvlJc w:val="left"/>
      <w:pPr>
        <w:ind w:left="720" w:hanging="360"/>
      </w:pPr>
      <w:rPr>
        <w:rFonts w:ascii="Courier New" w:hAnsi="Courier New" w:hint="default"/>
      </w:rPr>
    </w:lvl>
    <w:lvl w:ilvl="1" w:tplc="240A000D">
      <w:start w:val="1"/>
      <w:numFmt w:val="bullet"/>
      <w:lvlText w:val=""/>
      <w:lvlJc w:val="left"/>
      <w:pPr>
        <w:ind w:left="1440" w:hanging="360"/>
      </w:pPr>
      <w:rPr>
        <w:rFonts w:ascii="Wingdings" w:hAnsi="Wingdings"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4" w15:restartNumberingAfterBreak="0">
    <w:nsid w:val="25236EE0"/>
    <w:multiLevelType w:val="hybridMultilevel"/>
    <w:tmpl w:val="D1C2AFBC"/>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5" w15:restartNumberingAfterBreak="0">
    <w:nsid w:val="2C9476F5"/>
    <w:multiLevelType w:val="hybridMultilevel"/>
    <w:tmpl w:val="D876B58A"/>
    <w:lvl w:ilvl="0" w:tplc="4EA0A902">
      <w:start w:val="2"/>
      <w:numFmt w:val="decimal"/>
      <w:lvlText w:val="%1."/>
      <w:lvlJc w:val="left"/>
      <w:pPr>
        <w:ind w:left="1364"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F5D480E"/>
    <w:multiLevelType w:val="hybridMultilevel"/>
    <w:tmpl w:val="9CFC0D7E"/>
    <w:lvl w:ilvl="0" w:tplc="FEE6554A">
      <w:start w:val="1"/>
      <w:numFmt w:val="decimal"/>
      <w:lvlText w:val="%1."/>
      <w:lvlJc w:val="right"/>
      <w:pPr>
        <w:tabs>
          <w:tab w:val="num" w:pos="2160"/>
        </w:tabs>
        <w:ind w:left="2160" w:hanging="180"/>
      </w:pPr>
      <w:rPr>
        <w:rFonts w:ascii="Arial Narrow" w:eastAsia="MS Mincho" w:hAnsi="Arial Narrow" w:cs="Arial" w:hint="default"/>
        <w:b/>
        <w:bCs/>
        <w:i w:val="0"/>
        <w:iCs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7" w15:restartNumberingAfterBreak="0">
    <w:nsid w:val="32F6538A"/>
    <w:multiLevelType w:val="hybridMultilevel"/>
    <w:tmpl w:val="65200236"/>
    <w:lvl w:ilvl="0" w:tplc="86CA6668">
      <w:start w:val="1"/>
      <w:numFmt w:val="bullet"/>
      <w:lvlText w:val="→"/>
      <w:lvlJc w:val="left"/>
      <w:pPr>
        <w:ind w:left="1056" w:hanging="360"/>
      </w:pPr>
      <w:rPr>
        <w:rFonts w:ascii="Courier New" w:hAnsi="Courier New" w:hint="default"/>
      </w:rPr>
    </w:lvl>
    <w:lvl w:ilvl="1" w:tplc="240A0003">
      <w:start w:val="1"/>
      <w:numFmt w:val="bullet"/>
      <w:lvlText w:val="o"/>
      <w:lvlJc w:val="left"/>
      <w:pPr>
        <w:ind w:left="1776" w:hanging="360"/>
      </w:pPr>
      <w:rPr>
        <w:rFonts w:ascii="Courier New" w:hAnsi="Courier New" w:cs="Courier New" w:hint="default"/>
      </w:rPr>
    </w:lvl>
    <w:lvl w:ilvl="2" w:tplc="240A0005">
      <w:start w:val="1"/>
      <w:numFmt w:val="bullet"/>
      <w:lvlText w:val=""/>
      <w:lvlJc w:val="left"/>
      <w:pPr>
        <w:ind w:left="2496" w:hanging="360"/>
      </w:pPr>
      <w:rPr>
        <w:rFonts w:ascii="Wingdings" w:hAnsi="Wingdings" w:hint="default"/>
      </w:rPr>
    </w:lvl>
    <w:lvl w:ilvl="3" w:tplc="240A0001">
      <w:start w:val="1"/>
      <w:numFmt w:val="bullet"/>
      <w:lvlText w:val=""/>
      <w:lvlJc w:val="left"/>
      <w:pPr>
        <w:ind w:left="3216" w:hanging="360"/>
      </w:pPr>
      <w:rPr>
        <w:rFonts w:ascii="Symbol" w:hAnsi="Symbol" w:hint="default"/>
      </w:rPr>
    </w:lvl>
    <w:lvl w:ilvl="4" w:tplc="240A0003">
      <w:start w:val="1"/>
      <w:numFmt w:val="bullet"/>
      <w:lvlText w:val="o"/>
      <w:lvlJc w:val="left"/>
      <w:pPr>
        <w:ind w:left="3936" w:hanging="360"/>
      </w:pPr>
      <w:rPr>
        <w:rFonts w:ascii="Courier New" w:hAnsi="Courier New" w:cs="Courier New" w:hint="default"/>
      </w:rPr>
    </w:lvl>
    <w:lvl w:ilvl="5" w:tplc="240A0005">
      <w:start w:val="1"/>
      <w:numFmt w:val="bullet"/>
      <w:lvlText w:val=""/>
      <w:lvlJc w:val="left"/>
      <w:pPr>
        <w:ind w:left="4656" w:hanging="360"/>
      </w:pPr>
      <w:rPr>
        <w:rFonts w:ascii="Wingdings" w:hAnsi="Wingdings" w:hint="default"/>
      </w:rPr>
    </w:lvl>
    <w:lvl w:ilvl="6" w:tplc="240A0001">
      <w:start w:val="1"/>
      <w:numFmt w:val="bullet"/>
      <w:lvlText w:val=""/>
      <w:lvlJc w:val="left"/>
      <w:pPr>
        <w:ind w:left="5376" w:hanging="360"/>
      </w:pPr>
      <w:rPr>
        <w:rFonts w:ascii="Symbol" w:hAnsi="Symbol" w:hint="default"/>
      </w:rPr>
    </w:lvl>
    <w:lvl w:ilvl="7" w:tplc="240A0003">
      <w:start w:val="1"/>
      <w:numFmt w:val="bullet"/>
      <w:lvlText w:val="o"/>
      <w:lvlJc w:val="left"/>
      <w:pPr>
        <w:ind w:left="6096" w:hanging="360"/>
      </w:pPr>
      <w:rPr>
        <w:rFonts w:ascii="Courier New" w:hAnsi="Courier New" w:cs="Courier New" w:hint="default"/>
      </w:rPr>
    </w:lvl>
    <w:lvl w:ilvl="8" w:tplc="240A0005">
      <w:start w:val="1"/>
      <w:numFmt w:val="bullet"/>
      <w:lvlText w:val=""/>
      <w:lvlJc w:val="left"/>
      <w:pPr>
        <w:ind w:left="6816" w:hanging="360"/>
      </w:pPr>
      <w:rPr>
        <w:rFonts w:ascii="Wingdings" w:hAnsi="Wingdings" w:hint="default"/>
      </w:rPr>
    </w:lvl>
  </w:abstractNum>
  <w:abstractNum w:abstractNumId="18" w15:restartNumberingAfterBreak="0">
    <w:nsid w:val="360807D7"/>
    <w:multiLevelType w:val="hybridMultilevel"/>
    <w:tmpl w:val="8BE65A2C"/>
    <w:lvl w:ilvl="0" w:tplc="86CA6668">
      <w:start w:val="1"/>
      <w:numFmt w:val="bullet"/>
      <w:lvlText w:val="→"/>
      <w:lvlJc w:val="left"/>
      <w:pPr>
        <w:ind w:left="720" w:hanging="360"/>
      </w:pPr>
      <w:rPr>
        <w:rFonts w:ascii="Courier New" w:hAnsi="Courier New"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9" w15:restartNumberingAfterBreak="0">
    <w:nsid w:val="37F45944"/>
    <w:multiLevelType w:val="hybridMultilevel"/>
    <w:tmpl w:val="92CACAD6"/>
    <w:lvl w:ilvl="0" w:tplc="86CA6668">
      <w:start w:val="1"/>
      <w:numFmt w:val="bullet"/>
      <w:lvlText w:val="→"/>
      <w:lvlJc w:val="left"/>
      <w:pPr>
        <w:ind w:left="720" w:hanging="360"/>
      </w:pPr>
      <w:rPr>
        <w:rFonts w:ascii="Courier New" w:hAnsi="Courier New"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0" w15:restartNumberingAfterBreak="0">
    <w:nsid w:val="3DA65B5B"/>
    <w:multiLevelType w:val="hybridMultilevel"/>
    <w:tmpl w:val="347252D8"/>
    <w:lvl w:ilvl="0" w:tplc="A20895DA">
      <w:start w:val="1"/>
      <w:numFmt w:val="upperRoman"/>
      <w:lvlText w:val="%1."/>
      <w:lvlJc w:val="left"/>
      <w:pPr>
        <w:tabs>
          <w:tab w:val="num" w:pos="840"/>
        </w:tabs>
        <w:ind w:left="840" w:hanging="720"/>
      </w:pPr>
      <w:rPr>
        <w:rFonts w:cs="Times New Roman"/>
      </w:rPr>
    </w:lvl>
    <w:lvl w:ilvl="1" w:tplc="D67E1E68">
      <w:start w:val="1"/>
      <w:numFmt w:val="decimal"/>
      <w:lvlText w:val="%2."/>
      <w:lvlJc w:val="left"/>
      <w:pPr>
        <w:tabs>
          <w:tab w:val="num" w:pos="360"/>
        </w:tabs>
        <w:ind w:left="360" w:hanging="360"/>
      </w:pPr>
      <w:rPr>
        <w:rFonts w:ascii="Arial Narrow" w:eastAsia="MS Mincho" w:hAnsi="Arial Narrow" w:cs="Arial"/>
        <w:b/>
        <w:i w:val="0"/>
        <w:sz w:val="22"/>
        <w:szCs w:val="22"/>
      </w:rPr>
    </w:lvl>
    <w:lvl w:ilvl="2" w:tplc="51302F32">
      <w:start w:val="1"/>
      <w:numFmt w:val="decimal"/>
      <w:lvlText w:val="%3."/>
      <w:lvlJc w:val="right"/>
      <w:pPr>
        <w:tabs>
          <w:tab w:val="num" w:pos="2160"/>
        </w:tabs>
        <w:ind w:left="2160" w:hanging="180"/>
      </w:pPr>
      <w:rPr>
        <w:rFonts w:ascii="Arial Narrow" w:eastAsia="MS Mincho" w:hAnsi="Arial Narrow" w:cs="Arial"/>
        <w:b w:val="0"/>
        <w:i w:val="0"/>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1" w15:restartNumberingAfterBreak="0">
    <w:nsid w:val="48524812"/>
    <w:multiLevelType w:val="hybridMultilevel"/>
    <w:tmpl w:val="98AEB3FA"/>
    <w:lvl w:ilvl="0" w:tplc="86CA6668">
      <w:start w:val="1"/>
      <w:numFmt w:val="bullet"/>
      <w:lvlText w:val="→"/>
      <w:lvlJc w:val="left"/>
      <w:pPr>
        <w:ind w:left="720" w:hanging="360"/>
      </w:pPr>
      <w:rPr>
        <w:rFonts w:ascii="Courier New" w:hAnsi="Courier New"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2" w15:restartNumberingAfterBreak="0">
    <w:nsid w:val="4B9139A5"/>
    <w:multiLevelType w:val="hybridMultilevel"/>
    <w:tmpl w:val="A314DA4E"/>
    <w:lvl w:ilvl="0" w:tplc="86CA6668">
      <w:start w:val="1"/>
      <w:numFmt w:val="bullet"/>
      <w:lvlText w:val="→"/>
      <w:lvlJc w:val="left"/>
      <w:pPr>
        <w:ind w:left="720" w:hanging="360"/>
      </w:pPr>
      <w:rPr>
        <w:rFonts w:ascii="Courier New" w:hAnsi="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EDD3246"/>
    <w:multiLevelType w:val="hybridMultilevel"/>
    <w:tmpl w:val="86AE2A82"/>
    <w:lvl w:ilvl="0" w:tplc="86CA6668">
      <w:start w:val="1"/>
      <w:numFmt w:val="bullet"/>
      <w:lvlText w:val="→"/>
      <w:lvlJc w:val="left"/>
      <w:pPr>
        <w:ind w:left="360" w:hanging="360"/>
      </w:pPr>
      <w:rPr>
        <w:rFonts w:ascii="Courier New" w:hAnsi="Courier New"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4" w15:restartNumberingAfterBreak="0">
    <w:nsid w:val="4F942BEC"/>
    <w:multiLevelType w:val="hybridMultilevel"/>
    <w:tmpl w:val="09625D04"/>
    <w:lvl w:ilvl="0" w:tplc="86CA6668">
      <w:start w:val="1"/>
      <w:numFmt w:val="bullet"/>
      <w:lvlText w:val="→"/>
      <w:lvlJc w:val="left"/>
      <w:pPr>
        <w:ind w:left="360" w:hanging="360"/>
      </w:pPr>
      <w:rPr>
        <w:rFonts w:ascii="Courier New" w:hAnsi="Courier New"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5" w15:restartNumberingAfterBreak="0">
    <w:nsid w:val="5FF572B3"/>
    <w:multiLevelType w:val="hybridMultilevel"/>
    <w:tmpl w:val="F404E7EA"/>
    <w:lvl w:ilvl="0" w:tplc="28464C62">
      <w:start w:val="1"/>
      <w:numFmt w:val="decimal"/>
      <w:lvlText w:val="%1."/>
      <w:lvlJc w:val="left"/>
      <w:pPr>
        <w:ind w:left="840" w:hanging="360"/>
      </w:pPr>
      <w:rPr>
        <w:b/>
        <w:bCs w:val="0"/>
        <w:i w:val="0"/>
      </w:rPr>
    </w:lvl>
    <w:lvl w:ilvl="1" w:tplc="240A0019">
      <w:start w:val="1"/>
      <w:numFmt w:val="lowerLetter"/>
      <w:lvlText w:val="%2."/>
      <w:lvlJc w:val="left"/>
      <w:pPr>
        <w:ind w:left="1560" w:hanging="360"/>
      </w:pPr>
    </w:lvl>
    <w:lvl w:ilvl="2" w:tplc="B6AA39CC">
      <w:start w:val="1"/>
      <w:numFmt w:val="lowerRoman"/>
      <w:lvlText w:val="%3."/>
      <w:lvlJc w:val="right"/>
      <w:pPr>
        <w:ind w:left="2280" w:hanging="180"/>
      </w:pPr>
      <w:rPr>
        <w:b/>
        <w:bCs w:val="0"/>
      </w:rPr>
    </w:lvl>
    <w:lvl w:ilvl="3" w:tplc="240A001B">
      <w:start w:val="1"/>
      <w:numFmt w:val="lowerRoman"/>
      <w:lvlText w:val="%4."/>
      <w:lvlJc w:val="right"/>
      <w:pPr>
        <w:ind w:left="3000" w:hanging="360"/>
      </w:pPr>
    </w:lvl>
    <w:lvl w:ilvl="4" w:tplc="240A0019">
      <w:start w:val="1"/>
      <w:numFmt w:val="lowerLetter"/>
      <w:lvlText w:val="%5."/>
      <w:lvlJc w:val="left"/>
      <w:pPr>
        <w:ind w:left="3720" w:hanging="360"/>
      </w:pPr>
    </w:lvl>
    <w:lvl w:ilvl="5" w:tplc="240A001B">
      <w:start w:val="1"/>
      <w:numFmt w:val="lowerRoman"/>
      <w:lvlText w:val="%6."/>
      <w:lvlJc w:val="right"/>
      <w:pPr>
        <w:ind w:left="4440" w:hanging="180"/>
      </w:pPr>
    </w:lvl>
    <w:lvl w:ilvl="6" w:tplc="240A000F">
      <w:start w:val="1"/>
      <w:numFmt w:val="decimal"/>
      <w:lvlText w:val="%7."/>
      <w:lvlJc w:val="left"/>
      <w:pPr>
        <w:ind w:left="5160" w:hanging="360"/>
      </w:pPr>
    </w:lvl>
    <w:lvl w:ilvl="7" w:tplc="240A0019">
      <w:start w:val="1"/>
      <w:numFmt w:val="lowerLetter"/>
      <w:lvlText w:val="%8."/>
      <w:lvlJc w:val="left"/>
      <w:pPr>
        <w:ind w:left="5880" w:hanging="360"/>
      </w:pPr>
    </w:lvl>
    <w:lvl w:ilvl="8" w:tplc="240A001B">
      <w:start w:val="1"/>
      <w:numFmt w:val="lowerRoman"/>
      <w:lvlText w:val="%9."/>
      <w:lvlJc w:val="right"/>
      <w:pPr>
        <w:ind w:left="6600" w:hanging="180"/>
      </w:pPr>
    </w:lvl>
  </w:abstractNum>
  <w:abstractNum w:abstractNumId="26" w15:restartNumberingAfterBreak="0">
    <w:nsid w:val="600025CF"/>
    <w:multiLevelType w:val="hybridMultilevel"/>
    <w:tmpl w:val="A6C4275C"/>
    <w:lvl w:ilvl="0" w:tplc="46D01906">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7" w15:restartNumberingAfterBreak="0">
    <w:nsid w:val="643E6491"/>
    <w:multiLevelType w:val="hybridMultilevel"/>
    <w:tmpl w:val="AC34B20E"/>
    <w:lvl w:ilvl="0" w:tplc="A44C6D4E">
      <w:start w:val="1"/>
      <w:numFmt w:val="decimal"/>
      <w:lvlText w:val="%1."/>
      <w:lvlJc w:val="left"/>
      <w:pPr>
        <w:ind w:left="720" w:hanging="360"/>
      </w:pPr>
      <w:rPr>
        <w:rFonts w:ascii="Arial Narrow" w:eastAsia="MS Mincho" w:hAnsi="Arial Narrow" w:cs="Arial"/>
        <w:b/>
        <w:i w:val="0"/>
        <w:sz w:val="22"/>
        <w:szCs w:val="22"/>
      </w:rPr>
    </w:lvl>
    <w:lvl w:ilvl="1" w:tplc="240A0003">
      <w:start w:val="1"/>
      <w:numFmt w:val="bullet"/>
      <w:lvlText w:val="o"/>
      <w:lvlJc w:val="left"/>
      <w:pPr>
        <w:ind w:left="1440" w:hanging="360"/>
      </w:pPr>
      <w:rPr>
        <w:rFonts w:ascii="Courier New" w:hAnsi="Courier New" w:cs="Courier New" w:hint="default"/>
      </w:rPr>
    </w:lvl>
    <w:lvl w:ilvl="2" w:tplc="240A0001">
      <w:start w:val="1"/>
      <w:numFmt w:val="bullet"/>
      <w:lvlText w:val=""/>
      <w:lvlJc w:val="left"/>
      <w:pPr>
        <w:ind w:left="2160" w:hanging="180"/>
      </w:pPr>
      <w:rPr>
        <w:rFonts w:ascii="Symbol" w:hAnsi="Symbol" w:hint="default"/>
      </w:r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8" w15:restartNumberingAfterBreak="0">
    <w:nsid w:val="6451492F"/>
    <w:multiLevelType w:val="hybridMultilevel"/>
    <w:tmpl w:val="EA1CF636"/>
    <w:lvl w:ilvl="0" w:tplc="F6C6B13C">
      <w:start w:val="1"/>
      <w:numFmt w:val="bullet"/>
      <w:lvlText w:val="-"/>
      <w:lvlJc w:val="left"/>
      <w:pPr>
        <w:ind w:left="720" w:hanging="360"/>
      </w:pPr>
      <w:rPr>
        <w:rFonts w:ascii="Arial" w:eastAsia="MS Mincho"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9" w15:restartNumberingAfterBreak="0">
    <w:nsid w:val="64903F58"/>
    <w:multiLevelType w:val="hybridMultilevel"/>
    <w:tmpl w:val="73F6FF88"/>
    <w:lvl w:ilvl="0" w:tplc="CB7E4860">
      <w:start w:val="1"/>
      <w:numFmt w:val="decimal"/>
      <w:lvlText w:val="%1."/>
      <w:lvlJc w:val="right"/>
      <w:pPr>
        <w:tabs>
          <w:tab w:val="num" w:pos="2160"/>
        </w:tabs>
        <w:ind w:left="2160" w:hanging="180"/>
      </w:pPr>
      <w:rPr>
        <w:rFonts w:ascii="Arial Narrow" w:eastAsia="MS Mincho" w:hAnsi="Arial Narrow" w:cs="Arial"/>
        <w:b w:val="0"/>
        <w:i/>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0" w15:restartNumberingAfterBreak="0">
    <w:nsid w:val="65A81E49"/>
    <w:multiLevelType w:val="hybridMultilevel"/>
    <w:tmpl w:val="0DE08B7C"/>
    <w:lvl w:ilvl="0" w:tplc="5A7CBF28">
      <w:start w:val="1"/>
      <w:numFmt w:val="upperLetter"/>
      <w:lvlText w:val="%1)"/>
      <w:lvlJc w:val="left"/>
      <w:pPr>
        <w:ind w:left="720" w:hanging="360"/>
      </w:pPr>
      <w:rPr>
        <w:rFonts w:hint="default"/>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6267B57"/>
    <w:multiLevelType w:val="hybridMultilevel"/>
    <w:tmpl w:val="163A07F8"/>
    <w:lvl w:ilvl="0" w:tplc="0D861788">
      <w:start w:val="1"/>
      <w:numFmt w:val="decimal"/>
      <w:lvlText w:val="%1."/>
      <w:lvlJc w:val="left"/>
      <w:pPr>
        <w:ind w:left="1080" w:hanging="360"/>
      </w:pPr>
      <w:rPr>
        <w:b/>
      </w:r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32" w15:restartNumberingAfterBreak="0">
    <w:nsid w:val="66C9088D"/>
    <w:multiLevelType w:val="hybridMultilevel"/>
    <w:tmpl w:val="802CB3C8"/>
    <w:lvl w:ilvl="0" w:tplc="86CA6668">
      <w:start w:val="1"/>
      <w:numFmt w:val="bullet"/>
      <w:lvlText w:val="→"/>
      <w:lvlJc w:val="left"/>
      <w:pPr>
        <w:ind w:left="1440" w:hanging="360"/>
      </w:pPr>
      <w:rPr>
        <w:rFonts w:ascii="Courier New" w:hAnsi="Courier New"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3" w15:restartNumberingAfterBreak="0">
    <w:nsid w:val="672D7B41"/>
    <w:multiLevelType w:val="hybridMultilevel"/>
    <w:tmpl w:val="0920909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7BC6472"/>
    <w:multiLevelType w:val="hybridMultilevel"/>
    <w:tmpl w:val="DC4C097A"/>
    <w:lvl w:ilvl="0" w:tplc="86CA6668">
      <w:start w:val="1"/>
      <w:numFmt w:val="bullet"/>
      <w:lvlText w:val="→"/>
      <w:lvlJc w:val="left"/>
      <w:pPr>
        <w:ind w:left="720" w:hanging="360"/>
      </w:pPr>
      <w:rPr>
        <w:rFonts w:ascii="Courier New" w:hAnsi="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82938DC"/>
    <w:multiLevelType w:val="hybridMultilevel"/>
    <w:tmpl w:val="ADBC97F8"/>
    <w:lvl w:ilvl="0" w:tplc="86CA6668">
      <w:start w:val="1"/>
      <w:numFmt w:val="bullet"/>
      <w:lvlText w:val="→"/>
      <w:lvlJc w:val="left"/>
      <w:pPr>
        <w:ind w:left="720" w:hanging="360"/>
      </w:pPr>
      <w:rPr>
        <w:rFonts w:ascii="Courier New" w:hAnsi="Courier New"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6" w15:restartNumberingAfterBreak="0">
    <w:nsid w:val="693A3511"/>
    <w:multiLevelType w:val="hybridMultilevel"/>
    <w:tmpl w:val="4B86BDC4"/>
    <w:lvl w:ilvl="0" w:tplc="C1A0912E">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7" w15:restartNumberingAfterBreak="0">
    <w:nsid w:val="6B9033C0"/>
    <w:multiLevelType w:val="hybridMultilevel"/>
    <w:tmpl w:val="069621B8"/>
    <w:lvl w:ilvl="0" w:tplc="86CA6668">
      <w:start w:val="1"/>
      <w:numFmt w:val="bullet"/>
      <w:lvlText w:val="→"/>
      <w:lvlJc w:val="left"/>
      <w:pPr>
        <w:ind w:left="720" w:hanging="360"/>
      </w:pPr>
      <w:rPr>
        <w:rFonts w:ascii="Courier New" w:hAnsi="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E9B7A4D"/>
    <w:multiLevelType w:val="hybridMultilevel"/>
    <w:tmpl w:val="5D586E42"/>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9" w15:restartNumberingAfterBreak="0">
    <w:nsid w:val="71CE3150"/>
    <w:multiLevelType w:val="hybridMultilevel"/>
    <w:tmpl w:val="97D672EE"/>
    <w:lvl w:ilvl="0" w:tplc="86CA6668">
      <w:start w:val="1"/>
      <w:numFmt w:val="bullet"/>
      <w:lvlText w:val="→"/>
      <w:lvlJc w:val="left"/>
      <w:pPr>
        <w:ind w:left="360" w:hanging="360"/>
      </w:pPr>
      <w:rPr>
        <w:rFonts w:ascii="Courier New" w:hAnsi="Courier New"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40" w15:restartNumberingAfterBreak="0">
    <w:nsid w:val="74110404"/>
    <w:multiLevelType w:val="hybridMultilevel"/>
    <w:tmpl w:val="611E2288"/>
    <w:lvl w:ilvl="0" w:tplc="09D487AC">
      <w:start w:val="1"/>
      <w:numFmt w:val="decimal"/>
      <w:lvlText w:val="%1."/>
      <w:lvlJc w:val="left"/>
      <w:pPr>
        <w:ind w:left="720" w:hanging="360"/>
      </w:pPr>
      <w:rPr>
        <w:i/>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35"/>
  </w:num>
  <w:num w:numId="5">
    <w:abstractNumId w:val="17"/>
  </w:num>
  <w:num w:numId="6">
    <w:abstractNumId w:val="18"/>
  </w:num>
  <w:num w:numId="7">
    <w:abstractNumId w:val="7"/>
  </w:num>
  <w:num w:numId="8">
    <w:abstractNumId w:val="23"/>
  </w:num>
  <w:num w:numId="9">
    <w:abstractNumId w:val="24"/>
  </w:num>
  <w:num w:numId="10">
    <w:abstractNumId w:val="39"/>
  </w:num>
  <w:num w:numId="11">
    <w:abstractNumId w:val="16"/>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25"/>
  </w:num>
  <w:num w:numId="18">
    <w:abstractNumId w:val="1"/>
  </w:num>
  <w:num w:numId="19">
    <w:abstractNumId w:val="13"/>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4"/>
  </w:num>
  <w:num w:numId="24">
    <w:abstractNumId w:val="8"/>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num>
  <w:num w:numId="27">
    <w:abstractNumId w:val="3"/>
  </w:num>
  <w:num w:numId="28">
    <w:abstractNumId w:val="6"/>
  </w:num>
  <w:num w:numId="29">
    <w:abstractNumId w:val="0"/>
  </w:num>
  <w:num w:numId="30">
    <w:abstractNumId w:val="4"/>
  </w:num>
  <w:num w:numId="31">
    <w:abstractNumId w:val="37"/>
  </w:num>
  <w:num w:numId="32">
    <w:abstractNumId w:val="33"/>
  </w:num>
  <w:num w:numId="33">
    <w:abstractNumId w:val="10"/>
  </w:num>
  <w:num w:numId="34">
    <w:abstractNumId w:val="16"/>
  </w:num>
  <w:num w:numId="35">
    <w:abstractNumId w:val="32"/>
  </w:num>
  <w:num w:numId="36">
    <w:abstractNumId w:val="12"/>
  </w:num>
  <w:num w:numId="37">
    <w:abstractNumId w:val="28"/>
  </w:num>
  <w:num w:numId="38">
    <w:abstractNumId w:val="22"/>
  </w:num>
  <w:num w:numId="39">
    <w:abstractNumId w:val="34"/>
  </w:num>
  <w:num w:numId="40">
    <w:abstractNumId w:val="9"/>
  </w:num>
  <w:num w:numId="41">
    <w:abstractNumId w:val="15"/>
  </w:num>
  <w:num w:numId="42">
    <w:abstractNumId w:val="11"/>
  </w:num>
  <w:num w:numId="43">
    <w:abstractNumId w:val="3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0"/>
  <w:activeWritingStyle w:appName="MSWord" w:lang="es-CO" w:vendorID="64" w:dllVersion="6" w:nlCheck="1" w:checkStyle="0"/>
  <w:activeWritingStyle w:appName="MSWord" w:lang="es-ES"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ES_tradnl" w:vendorID="64" w:dllVersion="6" w:nlCheck="1" w:checkStyle="0"/>
  <w:activeWritingStyle w:appName="MSWord" w:lang="es-CO" w:vendorID="64" w:dllVersion="131078" w:nlCheck="1" w:checkStyle="0"/>
  <w:activeWritingStyle w:appName="MSWord" w:lang="es-ES" w:vendorID="64" w:dllVersion="131078" w:nlCheck="1" w:checkStyle="0"/>
  <w:activeWritingStyle w:appName="MSWord" w:lang="es-ES_tradnl" w:vendorID="64" w:dllVersion="131078" w:nlCheck="1" w:checkStyle="0"/>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999"/>
    <w:rsid w:val="00000D04"/>
    <w:rsid w:val="00001A1D"/>
    <w:rsid w:val="000058E9"/>
    <w:rsid w:val="000067CF"/>
    <w:rsid w:val="0000721D"/>
    <w:rsid w:val="00007B28"/>
    <w:rsid w:val="000104EF"/>
    <w:rsid w:val="0001061A"/>
    <w:rsid w:val="0001123F"/>
    <w:rsid w:val="000116D6"/>
    <w:rsid w:val="000140B0"/>
    <w:rsid w:val="00015601"/>
    <w:rsid w:val="00015D8E"/>
    <w:rsid w:val="00016FA0"/>
    <w:rsid w:val="000207A8"/>
    <w:rsid w:val="00021917"/>
    <w:rsid w:val="000303CC"/>
    <w:rsid w:val="0003175F"/>
    <w:rsid w:val="00031AC8"/>
    <w:rsid w:val="000322E3"/>
    <w:rsid w:val="0003554B"/>
    <w:rsid w:val="0003591C"/>
    <w:rsid w:val="00035A46"/>
    <w:rsid w:val="00035C03"/>
    <w:rsid w:val="00037308"/>
    <w:rsid w:val="00037806"/>
    <w:rsid w:val="00040218"/>
    <w:rsid w:val="000422CA"/>
    <w:rsid w:val="000425B9"/>
    <w:rsid w:val="00042BC5"/>
    <w:rsid w:val="00042D32"/>
    <w:rsid w:val="00043BE4"/>
    <w:rsid w:val="00043C59"/>
    <w:rsid w:val="00045917"/>
    <w:rsid w:val="0004650F"/>
    <w:rsid w:val="00046765"/>
    <w:rsid w:val="000513B0"/>
    <w:rsid w:val="0005170E"/>
    <w:rsid w:val="00051EB3"/>
    <w:rsid w:val="0005275E"/>
    <w:rsid w:val="000529D2"/>
    <w:rsid w:val="00052CF3"/>
    <w:rsid w:val="00053151"/>
    <w:rsid w:val="000539EF"/>
    <w:rsid w:val="0005523D"/>
    <w:rsid w:val="00056888"/>
    <w:rsid w:val="00056B52"/>
    <w:rsid w:val="00057181"/>
    <w:rsid w:val="00057AF8"/>
    <w:rsid w:val="000614B6"/>
    <w:rsid w:val="000617B8"/>
    <w:rsid w:val="00062D08"/>
    <w:rsid w:val="0006309C"/>
    <w:rsid w:val="0006322A"/>
    <w:rsid w:val="00063329"/>
    <w:rsid w:val="0006398E"/>
    <w:rsid w:val="00063C87"/>
    <w:rsid w:val="00063E2C"/>
    <w:rsid w:val="000643E9"/>
    <w:rsid w:val="000646C6"/>
    <w:rsid w:val="00064B10"/>
    <w:rsid w:val="000658B5"/>
    <w:rsid w:val="00066D3A"/>
    <w:rsid w:val="00066D3C"/>
    <w:rsid w:val="00066F0C"/>
    <w:rsid w:val="00067AD6"/>
    <w:rsid w:val="00067BA4"/>
    <w:rsid w:val="000705CD"/>
    <w:rsid w:val="000709F9"/>
    <w:rsid w:val="000718CD"/>
    <w:rsid w:val="00073A1F"/>
    <w:rsid w:val="000743DB"/>
    <w:rsid w:val="00074ACC"/>
    <w:rsid w:val="00075AD5"/>
    <w:rsid w:val="00076487"/>
    <w:rsid w:val="00076FE4"/>
    <w:rsid w:val="00077AA2"/>
    <w:rsid w:val="00077E79"/>
    <w:rsid w:val="000816F4"/>
    <w:rsid w:val="0008210A"/>
    <w:rsid w:val="0008210D"/>
    <w:rsid w:val="00082995"/>
    <w:rsid w:val="000834F3"/>
    <w:rsid w:val="00084A72"/>
    <w:rsid w:val="00084CA5"/>
    <w:rsid w:val="0008507C"/>
    <w:rsid w:val="00085D6F"/>
    <w:rsid w:val="000862AF"/>
    <w:rsid w:val="0008672F"/>
    <w:rsid w:val="00086739"/>
    <w:rsid w:val="000877D1"/>
    <w:rsid w:val="000904FE"/>
    <w:rsid w:val="00091AAC"/>
    <w:rsid w:val="00093EB8"/>
    <w:rsid w:val="00095F43"/>
    <w:rsid w:val="000966A1"/>
    <w:rsid w:val="000A0CEB"/>
    <w:rsid w:val="000A1163"/>
    <w:rsid w:val="000A11B7"/>
    <w:rsid w:val="000A17B5"/>
    <w:rsid w:val="000A2FC8"/>
    <w:rsid w:val="000A31BA"/>
    <w:rsid w:val="000A3330"/>
    <w:rsid w:val="000A35FA"/>
    <w:rsid w:val="000A3EF5"/>
    <w:rsid w:val="000A4383"/>
    <w:rsid w:val="000A545F"/>
    <w:rsid w:val="000A563C"/>
    <w:rsid w:val="000A79C8"/>
    <w:rsid w:val="000B022E"/>
    <w:rsid w:val="000B20AE"/>
    <w:rsid w:val="000B2AC9"/>
    <w:rsid w:val="000B3D5E"/>
    <w:rsid w:val="000B4144"/>
    <w:rsid w:val="000B4EE2"/>
    <w:rsid w:val="000B52B6"/>
    <w:rsid w:val="000B5A54"/>
    <w:rsid w:val="000B6A09"/>
    <w:rsid w:val="000C0CCB"/>
    <w:rsid w:val="000C0FA6"/>
    <w:rsid w:val="000C1778"/>
    <w:rsid w:val="000C2C96"/>
    <w:rsid w:val="000C4465"/>
    <w:rsid w:val="000C6749"/>
    <w:rsid w:val="000C709C"/>
    <w:rsid w:val="000D09AB"/>
    <w:rsid w:val="000D0F9F"/>
    <w:rsid w:val="000D2D90"/>
    <w:rsid w:val="000D41C6"/>
    <w:rsid w:val="000D466B"/>
    <w:rsid w:val="000D5040"/>
    <w:rsid w:val="000D6114"/>
    <w:rsid w:val="000D64A0"/>
    <w:rsid w:val="000D66C5"/>
    <w:rsid w:val="000D6F73"/>
    <w:rsid w:val="000E0BD9"/>
    <w:rsid w:val="000E1F1D"/>
    <w:rsid w:val="000E1FB3"/>
    <w:rsid w:val="000E2F3D"/>
    <w:rsid w:val="000E362A"/>
    <w:rsid w:val="000E42D0"/>
    <w:rsid w:val="000E4714"/>
    <w:rsid w:val="000E475F"/>
    <w:rsid w:val="000E4E6B"/>
    <w:rsid w:val="000E5163"/>
    <w:rsid w:val="000E6143"/>
    <w:rsid w:val="000E643A"/>
    <w:rsid w:val="000E6513"/>
    <w:rsid w:val="000E6983"/>
    <w:rsid w:val="000F00F2"/>
    <w:rsid w:val="000F09D4"/>
    <w:rsid w:val="000F0EAD"/>
    <w:rsid w:val="000F1CBA"/>
    <w:rsid w:val="000F2D8D"/>
    <w:rsid w:val="000F2E19"/>
    <w:rsid w:val="000F3807"/>
    <w:rsid w:val="000F4CBC"/>
    <w:rsid w:val="000F6668"/>
    <w:rsid w:val="001005F2"/>
    <w:rsid w:val="00100DED"/>
    <w:rsid w:val="00100E0D"/>
    <w:rsid w:val="00101484"/>
    <w:rsid w:val="001016DF"/>
    <w:rsid w:val="00101B3B"/>
    <w:rsid w:val="00102A62"/>
    <w:rsid w:val="00102B55"/>
    <w:rsid w:val="00103AE9"/>
    <w:rsid w:val="0010497F"/>
    <w:rsid w:val="00104A85"/>
    <w:rsid w:val="00106F0E"/>
    <w:rsid w:val="001100A5"/>
    <w:rsid w:val="0011263A"/>
    <w:rsid w:val="0011350E"/>
    <w:rsid w:val="001138D7"/>
    <w:rsid w:val="00114AE3"/>
    <w:rsid w:val="00114CF3"/>
    <w:rsid w:val="0011554A"/>
    <w:rsid w:val="0011628D"/>
    <w:rsid w:val="00117013"/>
    <w:rsid w:val="00117B7B"/>
    <w:rsid w:val="0012097B"/>
    <w:rsid w:val="001209E6"/>
    <w:rsid w:val="00120CE3"/>
    <w:rsid w:val="00120EEB"/>
    <w:rsid w:val="00123AE4"/>
    <w:rsid w:val="00124FA5"/>
    <w:rsid w:val="00124FB5"/>
    <w:rsid w:val="001258D6"/>
    <w:rsid w:val="00125C5F"/>
    <w:rsid w:val="00126193"/>
    <w:rsid w:val="00126318"/>
    <w:rsid w:val="0012665C"/>
    <w:rsid w:val="00126FD3"/>
    <w:rsid w:val="001277CC"/>
    <w:rsid w:val="00127AB4"/>
    <w:rsid w:val="00131355"/>
    <w:rsid w:val="001318A8"/>
    <w:rsid w:val="00131F2B"/>
    <w:rsid w:val="0013376E"/>
    <w:rsid w:val="001339E2"/>
    <w:rsid w:val="00133DD6"/>
    <w:rsid w:val="0013472A"/>
    <w:rsid w:val="00134F45"/>
    <w:rsid w:val="00135232"/>
    <w:rsid w:val="00135665"/>
    <w:rsid w:val="001405E1"/>
    <w:rsid w:val="001407C3"/>
    <w:rsid w:val="00144055"/>
    <w:rsid w:val="00144777"/>
    <w:rsid w:val="001448E3"/>
    <w:rsid w:val="001451FA"/>
    <w:rsid w:val="00147E82"/>
    <w:rsid w:val="00150035"/>
    <w:rsid w:val="00151212"/>
    <w:rsid w:val="001515F9"/>
    <w:rsid w:val="001518F2"/>
    <w:rsid w:val="00153C65"/>
    <w:rsid w:val="00154703"/>
    <w:rsid w:val="00155230"/>
    <w:rsid w:val="00155AD6"/>
    <w:rsid w:val="00156301"/>
    <w:rsid w:val="0016135A"/>
    <w:rsid w:val="001626F0"/>
    <w:rsid w:val="00163960"/>
    <w:rsid w:val="00164CB5"/>
    <w:rsid w:val="0017111C"/>
    <w:rsid w:val="00171525"/>
    <w:rsid w:val="001733EA"/>
    <w:rsid w:val="00173926"/>
    <w:rsid w:val="00174247"/>
    <w:rsid w:val="0017545B"/>
    <w:rsid w:val="00175643"/>
    <w:rsid w:val="00175F54"/>
    <w:rsid w:val="001771FC"/>
    <w:rsid w:val="00177767"/>
    <w:rsid w:val="00180124"/>
    <w:rsid w:val="00180F87"/>
    <w:rsid w:val="001823EB"/>
    <w:rsid w:val="00182DEA"/>
    <w:rsid w:val="0018346A"/>
    <w:rsid w:val="00183819"/>
    <w:rsid w:val="00183B15"/>
    <w:rsid w:val="0018649F"/>
    <w:rsid w:val="00186BA9"/>
    <w:rsid w:val="0019035D"/>
    <w:rsid w:val="00191769"/>
    <w:rsid w:val="00191D96"/>
    <w:rsid w:val="00191E93"/>
    <w:rsid w:val="00192A49"/>
    <w:rsid w:val="00192C9E"/>
    <w:rsid w:val="00194061"/>
    <w:rsid w:val="001954E1"/>
    <w:rsid w:val="00195650"/>
    <w:rsid w:val="00196493"/>
    <w:rsid w:val="001977F7"/>
    <w:rsid w:val="001A0536"/>
    <w:rsid w:val="001A1634"/>
    <w:rsid w:val="001A1ABA"/>
    <w:rsid w:val="001A2276"/>
    <w:rsid w:val="001A30EE"/>
    <w:rsid w:val="001A650D"/>
    <w:rsid w:val="001A6907"/>
    <w:rsid w:val="001A7216"/>
    <w:rsid w:val="001A7C65"/>
    <w:rsid w:val="001B0429"/>
    <w:rsid w:val="001B0799"/>
    <w:rsid w:val="001B214B"/>
    <w:rsid w:val="001B228C"/>
    <w:rsid w:val="001B23D6"/>
    <w:rsid w:val="001B6CCE"/>
    <w:rsid w:val="001B7165"/>
    <w:rsid w:val="001C0E3D"/>
    <w:rsid w:val="001C2DEC"/>
    <w:rsid w:val="001C48AF"/>
    <w:rsid w:val="001C4979"/>
    <w:rsid w:val="001C4C04"/>
    <w:rsid w:val="001C5F0C"/>
    <w:rsid w:val="001C6CF1"/>
    <w:rsid w:val="001C7453"/>
    <w:rsid w:val="001D15AA"/>
    <w:rsid w:val="001D1CF1"/>
    <w:rsid w:val="001D1F25"/>
    <w:rsid w:val="001D2138"/>
    <w:rsid w:val="001D22DD"/>
    <w:rsid w:val="001D2889"/>
    <w:rsid w:val="001D3120"/>
    <w:rsid w:val="001D36C0"/>
    <w:rsid w:val="001D5C65"/>
    <w:rsid w:val="001D70F7"/>
    <w:rsid w:val="001D7796"/>
    <w:rsid w:val="001D7923"/>
    <w:rsid w:val="001E0F4E"/>
    <w:rsid w:val="001E2A88"/>
    <w:rsid w:val="001E316E"/>
    <w:rsid w:val="001E3E05"/>
    <w:rsid w:val="001E4019"/>
    <w:rsid w:val="001E4500"/>
    <w:rsid w:val="001E50F4"/>
    <w:rsid w:val="001E5520"/>
    <w:rsid w:val="001E60E2"/>
    <w:rsid w:val="001E663F"/>
    <w:rsid w:val="001E6F3D"/>
    <w:rsid w:val="001E732A"/>
    <w:rsid w:val="001E7C61"/>
    <w:rsid w:val="001E7E36"/>
    <w:rsid w:val="001F0127"/>
    <w:rsid w:val="001F015D"/>
    <w:rsid w:val="001F051E"/>
    <w:rsid w:val="001F0680"/>
    <w:rsid w:val="001F0B1A"/>
    <w:rsid w:val="001F19F5"/>
    <w:rsid w:val="001F1F78"/>
    <w:rsid w:val="001F2826"/>
    <w:rsid w:val="001F2C02"/>
    <w:rsid w:val="001F4D1B"/>
    <w:rsid w:val="001F4ED2"/>
    <w:rsid w:val="001F6014"/>
    <w:rsid w:val="001F6454"/>
    <w:rsid w:val="001F6873"/>
    <w:rsid w:val="001F6C2E"/>
    <w:rsid w:val="001F7009"/>
    <w:rsid w:val="001F72C4"/>
    <w:rsid w:val="0020030D"/>
    <w:rsid w:val="002006AB"/>
    <w:rsid w:val="00200A1E"/>
    <w:rsid w:val="00200AB5"/>
    <w:rsid w:val="002024E0"/>
    <w:rsid w:val="00202861"/>
    <w:rsid w:val="002047D3"/>
    <w:rsid w:val="00205026"/>
    <w:rsid w:val="00206F9C"/>
    <w:rsid w:val="0020773D"/>
    <w:rsid w:val="00207981"/>
    <w:rsid w:val="00210988"/>
    <w:rsid w:val="00211DB3"/>
    <w:rsid w:val="002122AF"/>
    <w:rsid w:val="0021375B"/>
    <w:rsid w:val="00214178"/>
    <w:rsid w:val="00214245"/>
    <w:rsid w:val="00214322"/>
    <w:rsid w:val="00214594"/>
    <w:rsid w:val="002156AE"/>
    <w:rsid w:val="0021646C"/>
    <w:rsid w:val="002166FF"/>
    <w:rsid w:val="0021673B"/>
    <w:rsid w:val="0021707E"/>
    <w:rsid w:val="002176E6"/>
    <w:rsid w:val="002211EF"/>
    <w:rsid w:val="00221750"/>
    <w:rsid w:val="00221BF7"/>
    <w:rsid w:val="00221EF1"/>
    <w:rsid w:val="0022264A"/>
    <w:rsid w:val="002240B6"/>
    <w:rsid w:val="0022580F"/>
    <w:rsid w:val="00226B16"/>
    <w:rsid w:val="00227EE7"/>
    <w:rsid w:val="002316D9"/>
    <w:rsid w:val="00232532"/>
    <w:rsid w:val="00232622"/>
    <w:rsid w:val="002330D9"/>
    <w:rsid w:val="00235C23"/>
    <w:rsid w:val="0023726B"/>
    <w:rsid w:val="00237795"/>
    <w:rsid w:val="00237DFE"/>
    <w:rsid w:val="00240022"/>
    <w:rsid w:val="002414B0"/>
    <w:rsid w:val="00243503"/>
    <w:rsid w:val="0024487B"/>
    <w:rsid w:val="00244ECC"/>
    <w:rsid w:val="00245DBB"/>
    <w:rsid w:val="0024605B"/>
    <w:rsid w:val="00250967"/>
    <w:rsid w:val="00250B30"/>
    <w:rsid w:val="00250C47"/>
    <w:rsid w:val="002511D5"/>
    <w:rsid w:val="00252558"/>
    <w:rsid w:val="00252DE9"/>
    <w:rsid w:val="0025315F"/>
    <w:rsid w:val="00253FF7"/>
    <w:rsid w:val="002557B6"/>
    <w:rsid w:val="002567A2"/>
    <w:rsid w:val="00256EA5"/>
    <w:rsid w:val="00257697"/>
    <w:rsid w:val="0025797D"/>
    <w:rsid w:val="00257E5D"/>
    <w:rsid w:val="00260193"/>
    <w:rsid w:val="00260733"/>
    <w:rsid w:val="00261EF3"/>
    <w:rsid w:val="00264A34"/>
    <w:rsid w:val="002658A7"/>
    <w:rsid w:val="00266160"/>
    <w:rsid w:val="0026772C"/>
    <w:rsid w:val="00267961"/>
    <w:rsid w:val="00271183"/>
    <w:rsid w:val="00271E28"/>
    <w:rsid w:val="00272386"/>
    <w:rsid w:val="00272EA2"/>
    <w:rsid w:val="002740FB"/>
    <w:rsid w:val="0027421A"/>
    <w:rsid w:val="00276EDF"/>
    <w:rsid w:val="00276F7B"/>
    <w:rsid w:val="00276F86"/>
    <w:rsid w:val="002777E5"/>
    <w:rsid w:val="002778BA"/>
    <w:rsid w:val="00277A5B"/>
    <w:rsid w:val="00280A31"/>
    <w:rsid w:val="00280D1C"/>
    <w:rsid w:val="002811F5"/>
    <w:rsid w:val="00281A44"/>
    <w:rsid w:val="00281D9E"/>
    <w:rsid w:val="00281F9B"/>
    <w:rsid w:val="002821BE"/>
    <w:rsid w:val="0028265D"/>
    <w:rsid w:val="00282A90"/>
    <w:rsid w:val="00282C7A"/>
    <w:rsid w:val="00283D9E"/>
    <w:rsid w:val="002850DB"/>
    <w:rsid w:val="002866A7"/>
    <w:rsid w:val="0028781E"/>
    <w:rsid w:val="0028794F"/>
    <w:rsid w:val="0029089A"/>
    <w:rsid w:val="002925C5"/>
    <w:rsid w:val="00292754"/>
    <w:rsid w:val="0029328F"/>
    <w:rsid w:val="002941F9"/>
    <w:rsid w:val="0029456C"/>
    <w:rsid w:val="00294ABF"/>
    <w:rsid w:val="002952B8"/>
    <w:rsid w:val="002A13E6"/>
    <w:rsid w:val="002A13EA"/>
    <w:rsid w:val="002A2626"/>
    <w:rsid w:val="002A4387"/>
    <w:rsid w:val="002A62FE"/>
    <w:rsid w:val="002A6351"/>
    <w:rsid w:val="002A6625"/>
    <w:rsid w:val="002B1F7D"/>
    <w:rsid w:val="002B254B"/>
    <w:rsid w:val="002B2812"/>
    <w:rsid w:val="002B2E03"/>
    <w:rsid w:val="002B33FD"/>
    <w:rsid w:val="002B3410"/>
    <w:rsid w:val="002B3A1D"/>
    <w:rsid w:val="002B42AC"/>
    <w:rsid w:val="002B4E93"/>
    <w:rsid w:val="002B5434"/>
    <w:rsid w:val="002B5902"/>
    <w:rsid w:val="002B617E"/>
    <w:rsid w:val="002B7E0C"/>
    <w:rsid w:val="002C051C"/>
    <w:rsid w:val="002C0F77"/>
    <w:rsid w:val="002C15DE"/>
    <w:rsid w:val="002C1A2C"/>
    <w:rsid w:val="002C330C"/>
    <w:rsid w:val="002C4208"/>
    <w:rsid w:val="002C45F1"/>
    <w:rsid w:val="002C64C1"/>
    <w:rsid w:val="002C6BBE"/>
    <w:rsid w:val="002C6F5B"/>
    <w:rsid w:val="002D3CF8"/>
    <w:rsid w:val="002D443A"/>
    <w:rsid w:val="002D4B66"/>
    <w:rsid w:val="002D4B67"/>
    <w:rsid w:val="002D69EE"/>
    <w:rsid w:val="002D6B11"/>
    <w:rsid w:val="002D6C5F"/>
    <w:rsid w:val="002D7053"/>
    <w:rsid w:val="002E0529"/>
    <w:rsid w:val="002E1AC9"/>
    <w:rsid w:val="002E3E8B"/>
    <w:rsid w:val="002E431C"/>
    <w:rsid w:val="002E6BE9"/>
    <w:rsid w:val="002E6D00"/>
    <w:rsid w:val="002E72FA"/>
    <w:rsid w:val="002E75C4"/>
    <w:rsid w:val="002E7640"/>
    <w:rsid w:val="002E7778"/>
    <w:rsid w:val="002E77C2"/>
    <w:rsid w:val="002F01D9"/>
    <w:rsid w:val="002F2B4B"/>
    <w:rsid w:val="002F3E8D"/>
    <w:rsid w:val="002F3F11"/>
    <w:rsid w:val="002F41E5"/>
    <w:rsid w:val="002F5255"/>
    <w:rsid w:val="002F7C9F"/>
    <w:rsid w:val="003000CD"/>
    <w:rsid w:val="00300855"/>
    <w:rsid w:val="00301846"/>
    <w:rsid w:val="00302448"/>
    <w:rsid w:val="0030295A"/>
    <w:rsid w:val="00302ABC"/>
    <w:rsid w:val="00302C12"/>
    <w:rsid w:val="0030384D"/>
    <w:rsid w:val="0030430C"/>
    <w:rsid w:val="00304BEE"/>
    <w:rsid w:val="003057C9"/>
    <w:rsid w:val="00310FD6"/>
    <w:rsid w:val="00311EBC"/>
    <w:rsid w:val="00312325"/>
    <w:rsid w:val="00312616"/>
    <w:rsid w:val="0031340E"/>
    <w:rsid w:val="00314F2A"/>
    <w:rsid w:val="0031594C"/>
    <w:rsid w:val="0031794E"/>
    <w:rsid w:val="00317C65"/>
    <w:rsid w:val="00321F91"/>
    <w:rsid w:val="003221D2"/>
    <w:rsid w:val="00322578"/>
    <w:rsid w:val="003226AB"/>
    <w:rsid w:val="0032474D"/>
    <w:rsid w:val="0032572B"/>
    <w:rsid w:val="00325955"/>
    <w:rsid w:val="00327EBB"/>
    <w:rsid w:val="003300CE"/>
    <w:rsid w:val="003305A2"/>
    <w:rsid w:val="00330AC6"/>
    <w:rsid w:val="00331FA1"/>
    <w:rsid w:val="0033289D"/>
    <w:rsid w:val="003333CF"/>
    <w:rsid w:val="003334C8"/>
    <w:rsid w:val="00333927"/>
    <w:rsid w:val="00334832"/>
    <w:rsid w:val="0033489C"/>
    <w:rsid w:val="00335B53"/>
    <w:rsid w:val="00336BAB"/>
    <w:rsid w:val="00337194"/>
    <w:rsid w:val="00340279"/>
    <w:rsid w:val="0034027A"/>
    <w:rsid w:val="003409F9"/>
    <w:rsid w:val="003413E4"/>
    <w:rsid w:val="00341877"/>
    <w:rsid w:val="0034312A"/>
    <w:rsid w:val="003474E4"/>
    <w:rsid w:val="00347762"/>
    <w:rsid w:val="00347C2A"/>
    <w:rsid w:val="003500C6"/>
    <w:rsid w:val="0035024E"/>
    <w:rsid w:val="00350B9B"/>
    <w:rsid w:val="00350C08"/>
    <w:rsid w:val="0035116E"/>
    <w:rsid w:val="00352C2C"/>
    <w:rsid w:val="0035586F"/>
    <w:rsid w:val="003560AE"/>
    <w:rsid w:val="00356BAC"/>
    <w:rsid w:val="00357235"/>
    <w:rsid w:val="0036087A"/>
    <w:rsid w:val="0036144E"/>
    <w:rsid w:val="003615CD"/>
    <w:rsid w:val="003639F6"/>
    <w:rsid w:val="00366F5A"/>
    <w:rsid w:val="00367292"/>
    <w:rsid w:val="00370540"/>
    <w:rsid w:val="0037219F"/>
    <w:rsid w:val="0037548C"/>
    <w:rsid w:val="00375BB9"/>
    <w:rsid w:val="0038265A"/>
    <w:rsid w:val="00383C7F"/>
    <w:rsid w:val="00384066"/>
    <w:rsid w:val="00384D32"/>
    <w:rsid w:val="003868CE"/>
    <w:rsid w:val="003876D0"/>
    <w:rsid w:val="00387857"/>
    <w:rsid w:val="00391021"/>
    <w:rsid w:val="00393B0C"/>
    <w:rsid w:val="00395375"/>
    <w:rsid w:val="00395FB7"/>
    <w:rsid w:val="003962F4"/>
    <w:rsid w:val="003977E9"/>
    <w:rsid w:val="003A0601"/>
    <w:rsid w:val="003A10AF"/>
    <w:rsid w:val="003A150F"/>
    <w:rsid w:val="003A1869"/>
    <w:rsid w:val="003A312A"/>
    <w:rsid w:val="003A4D61"/>
    <w:rsid w:val="003A520B"/>
    <w:rsid w:val="003A60AD"/>
    <w:rsid w:val="003A6498"/>
    <w:rsid w:val="003A6B50"/>
    <w:rsid w:val="003A7EEC"/>
    <w:rsid w:val="003B0075"/>
    <w:rsid w:val="003B15F0"/>
    <w:rsid w:val="003B198D"/>
    <w:rsid w:val="003B1D05"/>
    <w:rsid w:val="003B21D1"/>
    <w:rsid w:val="003B4026"/>
    <w:rsid w:val="003B5148"/>
    <w:rsid w:val="003B51FE"/>
    <w:rsid w:val="003B525E"/>
    <w:rsid w:val="003B6205"/>
    <w:rsid w:val="003B6740"/>
    <w:rsid w:val="003B7FE6"/>
    <w:rsid w:val="003C102D"/>
    <w:rsid w:val="003C399C"/>
    <w:rsid w:val="003C6D25"/>
    <w:rsid w:val="003C73CB"/>
    <w:rsid w:val="003C78A4"/>
    <w:rsid w:val="003D056A"/>
    <w:rsid w:val="003D14E2"/>
    <w:rsid w:val="003D2EC3"/>
    <w:rsid w:val="003D328B"/>
    <w:rsid w:val="003D3BFC"/>
    <w:rsid w:val="003D49AF"/>
    <w:rsid w:val="003D4DD3"/>
    <w:rsid w:val="003D50C8"/>
    <w:rsid w:val="003D52A8"/>
    <w:rsid w:val="003D5338"/>
    <w:rsid w:val="003D5448"/>
    <w:rsid w:val="003D5A60"/>
    <w:rsid w:val="003D6351"/>
    <w:rsid w:val="003D6956"/>
    <w:rsid w:val="003D749A"/>
    <w:rsid w:val="003D7FD2"/>
    <w:rsid w:val="003E07DE"/>
    <w:rsid w:val="003E09A2"/>
    <w:rsid w:val="003E1594"/>
    <w:rsid w:val="003E183B"/>
    <w:rsid w:val="003E1B44"/>
    <w:rsid w:val="003E31A7"/>
    <w:rsid w:val="003E3558"/>
    <w:rsid w:val="003E5629"/>
    <w:rsid w:val="003E59CF"/>
    <w:rsid w:val="003E632D"/>
    <w:rsid w:val="003E6A9B"/>
    <w:rsid w:val="003E77FC"/>
    <w:rsid w:val="003F07EB"/>
    <w:rsid w:val="003F21B6"/>
    <w:rsid w:val="003F310E"/>
    <w:rsid w:val="003F4178"/>
    <w:rsid w:val="003F48A8"/>
    <w:rsid w:val="003F5205"/>
    <w:rsid w:val="003F59D9"/>
    <w:rsid w:val="003F617A"/>
    <w:rsid w:val="003F6A30"/>
    <w:rsid w:val="003F6C20"/>
    <w:rsid w:val="003F77DF"/>
    <w:rsid w:val="003F788E"/>
    <w:rsid w:val="003F7900"/>
    <w:rsid w:val="00400851"/>
    <w:rsid w:val="004023DF"/>
    <w:rsid w:val="00404097"/>
    <w:rsid w:val="004048A5"/>
    <w:rsid w:val="004057C1"/>
    <w:rsid w:val="004073A1"/>
    <w:rsid w:val="00410C94"/>
    <w:rsid w:val="00412976"/>
    <w:rsid w:val="004135B2"/>
    <w:rsid w:val="0041494D"/>
    <w:rsid w:val="00415A52"/>
    <w:rsid w:val="00417452"/>
    <w:rsid w:val="004208C6"/>
    <w:rsid w:val="00420BC3"/>
    <w:rsid w:val="00420F7F"/>
    <w:rsid w:val="00421309"/>
    <w:rsid w:val="004220B2"/>
    <w:rsid w:val="00425BF6"/>
    <w:rsid w:val="00425E10"/>
    <w:rsid w:val="00425F8E"/>
    <w:rsid w:val="00430392"/>
    <w:rsid w:val="00430486"/>
    <w:rsid w:val="00430BC8"/>
    <w:rsid w:val="00431491"/>
    <w:rsid w:val="004315F2"/>
    <w:rsid w:val="00431DFE"/>
    <w:rsid w:val="0043447F"/>
    <w:rsid w:val="00434B41"/>
    <w:rsid w:val="00436878"/>
    <w:rsid w:val="00436F0E"/>
    <w:rsid w:val="004372AD"/>
    <w:rsid w:val="00437A6B"/>
    <w:rsid w:val="004407D8"/>
    <w:rsid w:val="00440872"/>
    <w:rsid w:val="0044105E"/>
    <w:rsid w:val="0044344C"/>
    <w:rsid w:val="00444733"/>
    <w:rsid w:val="00447006"/>
    <w:rsid w:val="0044720C"/>
    <w:rsid w:val="00447D2A"/>
    <w:rsid w:val="004509C2"/>
    <w:rsid w:val="004514CD"/>
    <w:rsid w:val="004520AD"/>
    <w:rsid w:val="0045298A"/>
    <w:rsid w:val="00453CE2"/>
    <w:rsid w:val="004545F5"/>
    <w:rsid w:val="00455505"/>
    <w:rsid w:val="00455987"/>
    <w:rsid w:val="004561A9"/>
    <w:rsid w:val="00457015"/>
    <w:rsid w:val="00457D7D"/>
    <w:rsid w:val="00460425"/>
    <w:rsid w:val="0046086C"/>
    <w:rsid w:val="0046177F"/>
    <w:rsid w:val="00467143"/>
    <w:rsid w:val="00467B34"/>
    <w:rsid w:val="004700D0"/>
    <w:rsid w:val="00471146"/>
    <w:rsid w:val="00471DAF"/>
    <w:rsid w:val="00472AD8"/>
    <w:rsid w:val="00472DB8"/>
    <w:rsid w:val="00473B82"/>
    <w:rsid w:val="00473F70"/>
    <w:rsid w:val="00474633"/>
    <w:rsid w:val="00476BFE"/>
    <w:rsid w:val="00476F24"/>
    <w:rsid w:val="00477EDC"/>
    <w:rsid w:val="00481FD1"/>
    <w:rsid w:val="00483DBB"/>
    <w:rsid w:val="00484518"/>
    <w:rsid w:val="00484C80"/>
    <w:rsid w:val="00485382"/>
    <w:rsid w:val="0048736A"/>
    <w:rsid w:val="00487B6E"/>
    <w:rsid w:val="0049010D"/>
    <w:rsid w:val="00490938"/>
    <w:rsid w:val="00491C6A"/>
    <w:rsid w:val="00493E56"/>
    <w:rsid w:val="00494347"/>
    <w:rsid w:val="0049457D"/>
    <w:rsid w:val="00494B26"/>
    <w:rsid w:val="00494DC5"/>
    <w:rsid w:val="00494EB5"/>
    <w:rsid w:val="00495116"/>
    <w:rsid w:val="00495C60"/>
    <w:rsid w:val="004970D3"/>
    <w:rsid w:val="00497C26"/>
    <w:rsid w:val="00497F3A"/>
    <w:rsid w:val="004A0763"/>
    <w:rsid w:val="004A0F4B"/>
    <w:rsid w:val="004A2763"/>
    <w:rsid w:val="004A2AFE"/>
    <w:rsid w:val="004A2BD1"/>
    <w:rsid w:val="004A2EED"/>
    <w:rsid w:val="004A4235"/>
    <w:rsid w:val="004A538E"/>
    <w:rsid w:val="004A57A1"/>
    <w:rsid w:val="004A5A04"/>
    <w:rsid w:val="004A7B72"/>
    <w:rsid w:val="004A7F0D"/>
    <w:rsid w:val="004B0244"/>
    <w:rsid w:val="004B0D2F"/>
    <w:rsid w:val="004B28C1"/>
    <w:rsid w:val="004B299B"/>
    <w:rsid w:val="004B2B29"/>
    <w:rsid w:val="004B2CB5"/>
    <w:rsid w:val="004B321C"/>
    <w:rsid w:val="004B3503"/>
    <w:rsid w:val="004B657C"/>
    <w:rsid w:val="004C10CB"/>
    <w:rsid w:val="004C1CEC"/>
    <w:rsid w:val="004C1DBB"/>
    <w:rsid w:val="004C2608"/>
    <w:rsid w:val="004C2916"/>
    <w:rsid w:val="004C3261"/>
    <w:rsid w:val="004C41B4"/>
    <w:rsid w:val="004C4C3B"/>
    <w:rsid w:val="004C4DB4"/>
    <w:rsid w:val="004C4E6E"/>
    <w:rsid w:val="004C5D14"/>
    <w:rsid w:val="004C6122"/>
    <w:rsid w:val="004C66F9"/>
    <w:rsid w:val="004C7207"/>
    <w:rsid w:val="004C75EB"/>
    <w:rsid w:val="004D0241"/>
    <w:rsid w:val="004D3963"/>
    <w:rsid w:val="004D3CFB"/>
    <w:rsid w:val="004D3DF0"/>
    <w:rsid w:val="004D3E63"/>
    <w:rsid w:val="004D5011"/>
    <w:rsid w:val="004D5AD7"/>
    <w:rsid w:val="004D6021"/>
    <w:rsid w:val="004D661E"/>
    <w:rsid w:val="004D66AD"/>
    <w:rsid w:val="004D743A"/>
    <w:rsid w:val="004E046D"/>
    <w:rsid w:val="004E1369"/>
    <w:rsid w:val="004E1C4A"/>
    <w:rsid w:val="004E1CEE"/>
    <w:rsid w:val="004E1F2B"/>
    <w:rsid w:val="004E432F"/>
    <w:rsid w:val="004E43E1"/>
    <w:rsid w:val="004E4C00"/>
    <w:rsid w:val="004E4D21"/>
    <w:rsid w:val="004E4DDC"/>
    <w:rsid w:val="004E50FB"/>
    <w:rsid w:val="004E67FB"/>
    <w:rsid w:val="004E7B18"/>
    <w:rsid w:val="004E7E20"/>
    <w:rsid w:val="004F0E22"/>
    <w:rsid w:val="004F193A"/>
    <w:rsid w:val="004F1D58"/>
    <w:rsid w:val="004F2BB0"/>
    <w:rsid w:val="004F2CF0"/>
    <w:rsid w:val="004F36DB"/>
    <w:rsid w:val="004F4893"/>
    <w:rsid w:val="004F50E4"/>
    <w:rsid w:val="004F522B"/>
    <w:rsid w:val="0050034C"/>
    <w:rsid w:val="00500BFB"/>
    <w:rsid w:val="00500C6A"/>
    <w:rsid w:val="005031D6"/>
    <w:rsid w:val="005040AC"/>
    <w:rsid w:val="005045FD"/>
    <w:rsid w:val="00506890"/>
    <w:rsid w:val="00506A17"/>
    <w:rsid w:val="00507D08"/>
    <w:rsid w:val="005102A1"/>
    <w:rsid w:val="00510B4D"/>
    <w:rsid w:val="00510BD3"/>
    <w:rsid w:val="00510D66"/>
    <w:rsid w:val="005125B0"/>
    <w:rsid w:val="005131A9"/>
    <w:rsid w:val="0051430A"/>
    <w:rsid w:val="005179CE"/>
    <w:rsid w:val="00517A8D"/>
    <w:rsid w:val="005219D5"/>
    <w:rsid w:val="00521AB2"/>
    <w:rsid w:val="00522262"/>
    <w:rsid w:val="0052323E"/>
    <w:rsid w:val="00525E80"/>
    <w:rsid w:val="005265D1"/>
    <w:rsid w:val="00527194"/>
    <w:rsid w:val="00527ADA"/>
    <w:rsid w:val="0053089E"/>
    <w:rsid w:val="00531D86"/>
    <w:rsid w:val="00533977"/>
    <w:rsid w:val="005343FA"/>
    <w:rsid w:val="00534B72"/>
    <w:rsid w:val="00535257"/>
    <w:rsid w:val="005353AF"/>
    <w:rsid w:val="005357F8"/>
    <w:rsid w:val="00536AF8"/>
    <w:rsid w:val="005376DA"/>
    <w:rsid w:val="00537794"/>
    <w:rsid w:val="0053783B"/>
    <w:rsid w:val="0053787D"/>
    <w:rsid w:val="00537AEC"/>
    <w:rsid w:val="00540C88"/>
    <w:rsid w:val="00541A79"/>
    <w:rsid w:val="00541AA2"/>
    <w:rsid w:val="005421F1"/>
    <w:rsid w:val="00542591"/>
    <w:rsid w:val="005427BF"/>
    <w:rsid w:val="00543AA1"/>
    <w:rsid w:val="005442D4"/>
    <w:rsid w:val="005445CE"/>
    <w:rsid w:val="0054491A"/>
    <w:rsid w:val="005459D0"/>
    <w:rsid w:val="00545C2F"/>
    <w:rsid w:val="00546F1F"/>
    <w:rsid w:val="00547A8E"/>
    <w:rsid w:val="00550677"/>
    <w:rsid w:val="00552AE0"/>
    <w:rsid w:val="00552F8D"/>
    <w:rsid w:val="00553C66"/>
    <w:rsid w:val="0055424A"/>
    <w:rsid w:val="005542A5"/>
    <w:rsid w:val="00555AA2"/>
    <w:rsid w:val="005565C7"/>
    <w:rsid w:val="00556C8D"/>
    <w:rsid w:val="00556D53"/>
    <w:rsid w:val="005605B9"/>
    <w:rsid w:val="00560D61"/>
    <w:rsid w:val="005610E2"/>
    <w:rsid w:val="00561235"/>
    <w:rsid w:val="00561999"/>
    <w:rsid w:val="00561D94"/>
    <w:rsid w:val="00562716"/>
    <w:rsid w:val="00562F58"/>
    <w:rsid w:val="00563DC1"/>
    <w:rsid w:val="00564348"/>
    <w:rsid w:val="005647D5"/>
    <w:rsid w:val="005649C4"/>
    <w:rsid w:val="005652AF"/>
    <w:rsid w:val="005655B2"/>
    <w:rsid w:val="005676AB"/>
    <w:rsid w:val="005703C4"/>
    <w:rsid w:val="00570FBE"/>
    <w:rsid w:val="0057117B"/>
    <w:rsid w:val="0057148A"/>
    <w:rsid w:val="00571E54"/>
    <w:rsid w:val="00571ED1"/>
    <w:rsid w:val="0057262F"/>
    <w:rsid w:val="00572A9C"/>
    <w:rsid w:val="00572D72"/>
    <w:rsid w:val="00573923"/>
    <w:rsid w:val="0057567D"/>
    <w:rsid w:val="00576F0C"/>
    <w:rsid w:val="00577720"/>
    <w:rsid w:val="00581BBB"/>
    <w:rsid w:val="005850C4"/>
    <w:rsid w:val="005852F3"/>
    <w:rsid w:val="00585DA8"/>
    <w:rsid w:val="00586067"/>
    <w:rsid w:val="00586C15"/>
    <w:rsid w:val="0059029A"/>
    <w:rsid w:val="0059076A"/>
    <w:rsid w:val="00591D32"/>
    <w:rsid w:val="00592E63"/>
    <w:rsid w:val="00593364"/>
    <w:rsid w:val="005938A8"/>
    <w:rsid w:val="00595EAA"/>
    <w:rsid w:val="00596B78"/>
    <w:rsid w:val="005A0323"/>
    <w:rsid w:val="005A1810"/>
    <w:rsid w:val="005A2107"/>
    <w:rsid w:val="005A27D0"/>
    <w:rsid w:val="005A3393"/>
    <w:rsid w:val="005A34AD"/>
    <w:rsid w:val="005A3573"/>
    <w:rsid w:val="005A3BD8"/>
    <w:rsid w:val="005A5605"/>
    <w:rsid w:val="005A66A9"/>
    <w:rsid w:val="005B0118"/>
    <w:rsid w:val="005B0AB5"/>
    <w:rsid w:val="005B2508"/>
    <w:rsid w:val="005B2E8D"/>
    <w:rsid w:val="005B3A7D"/>
    <w:rsid w:val="005B3B41"/>
    <w:rsid w:val="005B4358"/>
    <w:rsid w:val="005B4BEB"/>
    <w:rsid w:val="005B536B"/>
    <w:rsid w:val="005B7E58"/>
    <w:rsid w:val="005C2D4D"/>
    <w:rsid w:val="005C397E"/>
    <w:rsid w:val="005C50C0"/>
    <w:rsid w:val="005C5233"/>
    <w:rsid w:val="005C5308"/>
    <w:rsid w:val="005C5817"/>
    <w:rsid w:val="005C61AC"/>
    <w:rsid w:val="005C6301"/>
    <w:rsid w:val="005C7523"/>
    <w:rsid w:val="005C7A92"/>
    <w:rsid w:val="005C7AE5"/>
    <w:rsid w:val="005D0E60"/>
    <w:rsid w:val="005D1345"/>
    <w:rsid w:val="005D1561"/>
    <w:rsid w:val="005D1CB6"/>
    <w:rsid w:val="005D214D"/>
    <w:rsid w:val="005D222E"/>
    <w:rsid w:val="005D3E46"/>
    <w:rsid w:val="005D3E84"/>
    <w:rsid w:val="005D4365"/>
    <w:rsid w:val="005D4FFD"/>
    <w:rsid w:val="005D51E7"/>
    <w:rsid w:val="005D5364"/>
    <w:rsid w:val="005D5705"/>
    <w:rsid w:val="005D5C86"/>
    <w:rsid w:val="005D6560"/>
    <w:rsid w:val="005E04F5"/>
    <w:rsid w:val="005E091D"/>
    <w:rsid w:val="005E1133"/>
    <w:rsid w:val="005E1A08"/>
    <w:rsid w:val="005E50E8"/>
    <w:rsid w:val="005E51F8"/>
    <w:rsid w:val="005E551C"/>
    <w:rsid w:val="005E5D5C"/>
    <w:rsid w:val="005F1458"/>
    <w:rsid w:val="005F1B8A"/>
    <w:rsid w:val="005F245D"/>
    <w:rsid w:val="005F313F"/>
    <w:rsid w:val="005F33F8"/>
    <w:rsid w:val="005F3490"/>
    <w:rsid w:val="005F3F06"/>
    <w:rsid w:val="005F46B9"/>
    <w:rsid w:val="005F4ACF"/>
    <w:rsid w:val="005F4DF7"/>
    <w:rsid w:val="005F5516"/>
    <w:rsid w:val="005F6265"/>
    <w:rsid w:val="005F726F"/>
    <w:rsid w:val="005F74C6"/>
    <w:rsid w:val="005F77DF"/>
    <w:rsid w:val="0060069D"/>
    <w:rsid w:val="00601460"/>
    <w:rsid w:val="00601D2D"/>
    <w:rsid w:val="00604180"/>
    <w:rsid w:val="0060432E"/>
    <w:rsid w:val="0060445A"/>
    <w:rsid w:val="00604B43"/>
    <w:rsid w:val="00605557"/>
    <w:rsid w:val="00605F91"/>
    <w:rsid w:val="00610747"/>
    <w:rsid w:val="006108E8"/>
    <w:rsid w:val="00610F65"/>
    <w:rsid w:val="00611CFE"/>
    <w:rsid w:val="00613441"/>
    <w:rsid w:val="00613B55"/>
    <w:rsid w:val="00614D08"/>
    <w:rsid w:val="006155A4"/>
    <w:rsid w:val="00616130"/>
    <w:rsid w:val="00616D19"/>
    <w:rsid w:val="00617095"/>
    <w:rsid w:val="006170BA"/>
    <w:rsid w:val="006170E3"/>
    <w:rsid w:val="006205B7"/>
    <w:rsid w:val="006206EE"/>
    <w:rsid w:val="00622B9D"/>
    <w:rsid w:val="00622E51"/>
    <w:rsid w:val="00624DC5"/>
    <w:rsid w:val="006252FE"/>
    <w:rsid w:val="00625968"/>
    <w:rsid w:val="00625FC7"/>
    <w:rsid w:val="00630E4F"/>
    <w:rsid w:val="0063188F"/>
    <w:rsid w:val="00632648"/>
    <w:rsid w:val="006331D7"/>
    <w:rsid w:val="006341C5"/>
    <w:rsid w:val="006343E6"/>
    <w:rsid w:val="00634D2B"/>
    <w:rsid w:val="00635040"/>
    <w:rsid w:val="00636431"/>
    <w:rsid w:val="00636B79"/>
    <w:rsid w:val="00636E6A"/>
    <w:rsid w:val="00640270"/>
    <w:rsid w:val="00640654"/>
    <w:rsid w:val="00641046"/>
    <w:rsid w:val="00641321"/>
    <w:rsid w:val="006432BE"/>
    <w:rsid w:val="0064333F"/>
    <w:rsid w:val="006433C6"/>
    <w:rsid w:val="006439E4"/>
    <w:rsid w:val="00643AB3"/>
    <w:rsid w:val="006454C7"/>
    <w:rsid w:val="006468E7"/>
    <w:rsid w:val="00646940"/>
    <w:rsid w:val="006473B9"/>
    <w:rsid w:val="00647C4D"/>
    <w:rsid w:val="006507DB"/>
    <w:rsid w:val="00651825"/>
    <w:rsid w:val="00652F5A"/>
    <w:rsid w:val="006533C9"/>
    <w:rsid w:val="006539C6"/>
    <w:rsid w:val="00657359"/>
    <w:rsid w:val="0065737A"/>
    <w:rsid w:val="00657656"/>
    <w:rsid w:val="00657A7F"/>
    <w:rsid w:val="00660032"/>
    <w:rsid w:val="006602B1"/>
    <w:rsid w:val="00661FE9"/>
    <w:rsid w:val="0066342D"/>
    <w:rsid w:val="00664621"/>
    <w:rsid w:val="00664BCF"/>
    <w:rsid w:val="00666D68"/>
    <w:rsid w:val="006676BF"/>
    <w:rsid w:val="006703F6"/>
    <w:rsid w:val="006715D9"/>
    <w:rsid w:val="00675583"/>
    <w:rsid w:val="00675B68"/>
    <w:rsid w:val="0067662F"/>
    <w:rsid w:val="00676F05"/>
    <w:rsid w:val="00677331"/>
    <w:rsid w:val="006778DC"/>
    <w:rsid w:val="00680004"/>
    <w:rsid w:val="00680E4C"/>
    <w:rsid w:val="00681239"/>
    <w:rsid w:val="0068132B"/>
    <w:rsid w:val="006818AE"/>
    <w:rsid w:val="006845A4"/>
    <w:rsid w:val="00685F32"/>
    <w:rsid w:val="00686607"/>
    <w:rsid w:val="00687C9A"/>
    <w:rsid w:val="00687E5C"/>
    <w:rsid w:val="00690636"/>
    <w:rsid w:val="00693AE4"/>
    <w:rsid w:val="00693F51"/>
    <w:rsid w:val="0069486D"/>
    <w:rsid w:val="00695C38"/>
    <w:rsid w:val="00695F10"/>
    <w:rsid w:val="006960E2"/>
    <w:rsid w:val="0069683D"/>
    <w:rsid w:val="006975A6"/>
    <w:rsid w:val="006A042D"/>
    <w:rsid w:val="006A05E2"/>
    <w:rsid w:val="006A18EF"/>
    <w:rsid w:val="006A1FF1"/>
    <w:rsid w:val="006A26D8"/>
    <w:rsid w:val="006A29E0"/>
    <w:rsid w:val="006A44A2"/>
    <w:rsid w:val="006A58FC"/>
    <w:rsid w:val="006A5F45"/>
    <w:rsid w:val="006A7EE0"/>
    <w:rsid w:val="006A7F76"/>
    <w:rsid w:val="006A7F83"/>
    <w:rsid w:val="006B22CE"/>
    <w:rsid w:val="006B2592"/>
    <w:rsid w:val="006B3D2B"/>
    <w:rsid w:val="006B3F4E"/>
    <w:rsid w:val="006B67C9"/>
    <w:rsid w:val="006B76C1"/>
    <w:rsid w:val="006B7888"/>
    <w:rsid w:val="006C02CE"/>
    <w:rsid w:val="006C0847"/>
    <w:rsid w:val="006C1F55"/>
    <w:rsid w:val="006C2049"/>
    <w:rsid w:val="006C299F"/>
    <w:rsid w:val="006C2B4A"/>
    <w:rsid w:val="006C3264"/>
    <w:rsid w:val="006C4760"/>
    <w:rsid w:val="006C509B"/>
    <w:rsid w:val="006C5AA0"/>
    <w:rsid w:val="006C5C26"/>
    <w:rsid w:val="006C6B11"/>
    <w:rsid w:val="006C6F17"/>
    <w:rsid w:val="006C75E2"/>
    <w:rsid w:val="006D09BB"/>
    <w:rsid w:val="006D0DFF"/>
    <w:rsid w:val="006D1DDC"/>
    <w:rsid w:val="006D50C4"/>
    <w:rsid w:val="006D5633"/>
    <w:rsid w:val="006D56B4"/>
    <w:rsid w:val="006D5C9B"/>
    <w:rsid w:val="006D6C4C"/>
    <w:rsid w:val="006D6F88"/>
    <w:rsid w:val="006D7141"/>
    <w:rsid w:val="006E0A72"/>
    <w:rsid w:val="006E12FA"/>
    <w:rsid w:val="006E137B"/>
    <w:rsid w:val="006E2C7B"/>
    <w:rsid w:val="006E358F"/>
    <w:rsid w:val="006E3F38"/>
    <w:rsid w:val="006E5AC6"/>
    <w:rsid w:val="006E69D5"/>
    <w:rsid w:val="006F075F"/>
    <w:rsid w:val="006F0BCF"/>
    <w:rsid w:val="006F32A2"/>
    <w:rsid w:val="006F33FF"/>
    <w:rsid w:val="006F468E"/>
    <w:rsid w:val="006F6729"/>
    <w:rsid w:val="007014E5"/>
    <w:rsid w:val="00702037"/>
    <w:rsid w:val="00702921"/>
    <w:rsid w:val="007029D5"/>
    <w:rsid w:val="00702BC0"/>
    <w:rsid w:val="00705EA4"/>
    <w:rsid w:val="0070662F"/>
    <w:rsid w:val="007074DC"/>
    <w:rsid w:val="00707F18"/>
    <w:rsid w:val="007112ED"/>
    <w:rsid w:val="00711742"/>
    <w:rsid w:val="00711A84"/>
    <w:rsid w:val="00712140"/>
    <w:rsid w:val="00713739"/>
    <w:rsid w:val="00714E4C"/>
    <w:rsid w:val="007152CD"/>
    <w:rsid w:val="007166CC"/>
    <w:rsid w:val="007167E0"/>
    <w:rsid w:val="00717F9F"/>
    <w:rsid w:val="0072156C"/>
    <w:rsid w:val="00721671"/>
    <w:rsid w:val="00722ADE"/>
    <w:rsid w:val="00723769"/>
    <w:rsid w:val="00723C0D"/>
    <w:rsid w:val="00724108"/>
    <w:rsid w:val="00724B0C"/>
    <w:rsid w:val="00724B50"/>
    <w:rsid w:val="00724BF6"/>
    <w:rsid w:val="0072501A"/>
    <w:rsid w:val="007269CA"/>
    <w:rsid w:val="0072749D"/>
    <w:rsid w:val="00727DDE"/>
    <w:rsid w:val="00730E01"/>
    <w:rsid w:val="00731061"/>
    <w:rsid w:val="007326C6"/>
    <w:rsid w:val="00733AC2"/>
    <w:rsid w:val="007348F8"/>
    <w:rsid w:val="00734C3B"/>
    <w:rsid w:val="0073563C"/>
    <w:rsid w:val="0073593D"/>
    <w:rsid w:val="00736096"/>
    <w:rsid w:val="007364A7"/>
    <w:rsid w:val="00737F09"/>
    <w:rsid w:val="007405B3"/>
    <w:rsid w:val="0074067A"/>
    <w:rsid w:val="00740FD2"/>
    <w:rsid w:val="00741575"/>
    <w:rsid w:val="00741586"/>
    <w:rsid w:val="00741E0C"/>
    <w:rsid w:val="00741EA4"/>
    <w:rsid w:val="0074453A"/>
    <w:rsid w:val="007450A0"/>
    <w:rsid w:val="00745957"/>
    <w:rsid w:val="00746926"/>
    <w:rsid w:val="00746ED6"/>
    <w:rsid w:val="00747203"/>
    <w:rsid w:val="00747358"/>
    <w:rsid w:val="007500E8"/>
    <w:rsid w:val="00751CA6"/>
    <w:rsid w:val="00753E49"/>
    <w:rsid w:val="00754FCF"/>
    <w:rsid w:val="0075668B"/>
    <w:rsid w:val="00756840"/>
    <w:rsid w:val="00757210"/>
    <w:rsid w:val="00760C60"/>
    <w:rsid w:val="00761249"/>
    <w:rsid w:val="00761E44"/>
    <w:rsid w:val="00761E67"/>
    <w:rsid w:val="00762815"/>
    <w:rsid w:val="00762A73"/>
    <w:rsid w:val="00764AAA"/>
    <w:rsid w:val="007657B4"/>
    <w:rsid w:val="0076691C"/>
    <w:rsid w:val="0076725E"/>
    <w:rsid w:val="00767875"/>
    <w:rsid w:val="00767C4A"/>
    <w:rsid w:val="00767DF8"/>
    <w:rsid w:val="007704D5"/>
    <w:rsid w:val="007718C7"/>
    <w:rsid w:val="00771CB2"/>
    <w:rsid w:val="00771F97"/>
    <w:rsid w:val="007760F2"/>
    <w:rsid w:val="0077635A"/>
    <w:rsid w:val="0077677C"/>
    <w:rsid w:val="00776D20"/>
    <w:rsid w:val="007772EA"/>
    <w:rsid w:val="007777EE"/>
    <w:rsid w:val="00777BDB"/>
    <w:rsid w:val="007809D9"/>
    <w:rsid w:val="007810B5"/>
    <w:rsid w:val="0078140D"/>
    <w:rsid w:val="0078145F"/>
    <w:rsid w:val="00781AA5"/>
    <w:rsid w:val="00782C56"/>
    <w:rsid w:val="00787358"/>
    <w:rsid w:val="007875FE"/>
    <w:rsid w:val="00787CB6"/>
    <w:rsid w:val="007902C2"/>
    <w:rsid w:val="00792E2E"/>
    <w:rsid w:val="00794A02"/>
    <w:rsid w:val="00794D2C"/>
    <w:rsid w:val="00797AB5"/>
    <w:rsid w:val="00797B07"/>
    <w:rsid w:val="00797DA6"/>
    <w:rsid w:val="007A1203"/>
    <w:rsid w:val="007A13AC"/>
    <w:rsid w:val="007A145A"/>
    <w:rsid w:val="007A315B"/>
    <w:rsid w:val="007A5663"/>
    <w:rsid w:val="007A56D4"/>
    <w:rsid w:val="007B001F"/>
    <w:rsid w:val="007B03A1"/>
    <w:rsid w:val="007B0A51"/>
    <w:rsid w:val="007B0FB9"/>
    <w:rsid w:val="007B13EA"/>
    <w:rsid w:val="007B1BCE"/>
    <w:rsid w:val="007B1D31"/>
    <w:rsid w:val="007B1EC3"/>
    <w:rsid w:val="007B293E"/>
    <w:rsid w:val="007B49F9"/>
    <w:rsid w:val="007B5023"/>
    <w:rsid w:val="007B516A"/>
    <w:rsid w:val="007B5A1B"/>
    <w:rsid w:val="007B65E7"/>
    <w:rsid w:val="007B7CA9"/>
    <w:rsid w:val="007B7D87"/>
    <w:rsid w:val="007C0BD5"/>
    <w:rsid w:val="007C2897"/>
    <w:rsid w:val="007C3A32"/>
    <w:rsid w:val="007C4058"/>
    <w:rsid w:val="007C55B5"/>
    <w:rsid w:val="007D110F"/>
    <w:rsid w:val="007D2216"/>
    <w:rsid w:val="007D26E2"/>
    <w:rsid w:val="007D39E8"/>
    <w:rsid w:val="007D3BC1"/>
    <w:rsid w:val="007D52A7"/>
    <w:rsid w:val="007D55D3"/>
    <w:rsid w:val="007D612D"/>
    <w:rsid w:val="007E0BF0"/>
    <w:rsid w:val="007E15E4"/>
    <w:rsid w:val="007E2C10"/>
    <w:rsid w:val="007E35F5"/>
    <w:rsid w:val="007E4B53"/>
    <w:rsid w:val="007E54C3"/>
    <w:rsid w:val="007E55C0"/>
    <w:rsid w:val="007F0448"/>
    <w:rsid w:val="007F1D25"/>
    <w:rsid w:val="007F466F"/>
    <w:rsid w:val="007F49B3"/>
    <w:rsid w:val="007F55DB"/>
    <w:rsid w:val="007F574E"/>
    <w:rsid w:val="007F60F1"/>
    <w:rsid w:val="007F6EDF"/>
    <w:rsid w:val="007F6FF1"/>
    <w:rsid w:val="007F7439"/>
    <w:rsid w:val="007F795E"/>
    <w:rsid w:val="0080212F"/>
    <w:rsid w:val="00803295"/>
    <w:rsid w:val="00803F52"/>
    <w:rsid w:val="00804184"/>
    <w:rsid w:val="00804467"/>
    <w:rsid w:val="00804B53"/>
    <w:rsid w:val="008054C9"/>
    <w:rsid w:val="00805D9E"/>
    <w:rsid w:val="008061D4"/>
    <w:rsid w:val="00806E9E"/>
    <w:rsid w:val="0080741B"/>
    <w:rsid w:val="00807524"/>
    <w:rsid w:val="0081002E"/>
    <w:rsid w:val="008110F2"/>
    <w:rsid w:val="008117B6"/>
    <w:rsid w:val="00812416"/>
    <w:rsid w:val="00814515"/>
    <w:rsid w:val="00815084"/>
    <w:rsid w:val="00815AE0"/>
    <w:rsid w:val="00815D51"/>
    <w:rsid w:val="00815D61"/>
    <w:rsid w:val="00815EE8"/>
    <w:rsid w:val="0081789F"/>
    <w:rsid w:val="00821A6F"/>
    <w:rsid w:val="00822623"/>
    <w:rsid w:val="00822EE1"/>
    <w:rsid w:val="008230A2"/>
    <w:rsid w:val="00823102"/>
    <w:rsid w:val="008237BE"/>
    <w:rsid w:val="00823ABF"/>
    <w:rsid w:val="00823F2A"/>
    <w:rsid w:val="008240C6"/>
    <w:rsid w:val="008245D6"/>
    <w:rsid w:val="00825FC9"/>
    <w:rsid w:val="0082676D"/>
    <w:rsid w:val="00827033"/>
    <w:rsid w:val="008305FC"/>
    <w:rsid w:val="0083104D"/>
    <w:rsid w:val="00831698"/>
    <w:rsid w:val="00832BDC"/>
    <w:rsid w:val="00832C3E"/>
    <w:rsid w:val="008339CD"/>
    <w:rsid w:val="008341CE"/>
    <w:rsid w:val="008342F0"/>
    <w:rsid w:val="008345AB"/>
    <w:rsid w:val="00834D10"/>
    <w:rsid w:val="0083528C"/>
    <w:rsid w:val="00836076"/>
    <w:rsid w:val="008363B6"/>
    <w:rsid w:val="00836B65"/>
    <w:rsid w:val="00837620"/>
    <w:rsid w:val="00837725"/>
    <w:rsid w:val="008402D5"/>
    <w:rsid w:val="008408FE"/>
    <w:rsid w:val="00841AF6"/>
    <w:rsid w:val="00843519"/>
    <w:rsid w:val="008435BB"/>
    <w:rsid w:val="0084364C"/>
    <w:rsid w:val="00844E5C"/>
    <w:rsid w:val="00846966"/>
    <w:rsid w:val="00851356"/>
    <w:rsid w:val="00851AD9"/>
    <w:rsid w:val="00851D88"/>
    <w:rsid w:val="00852022"/>
    <w:rsid w:val="008540DC"/>
    <w:rsid w:val="00854D49"/>
    <w:rsid w:val="0085651B"/>
    <w:rsid w:val="00856787"/>
    <w:rsid w:val="008576B9"/>
    <w:rsid w:val="008576C8"/>
    <w:rsid w:val="00857AC8"/>
    <w:rsid w:val="00857D09"/>
    <w:rsid w:val="00860D7E"/>
    <w:rsid w:val="0086176F"/>
    <w:rsid w:val="00862A45"/>
    <w:rsid w:val="00865731"/>
    <w:rsid w:val="008663CA"/>
    <w:rsid w:val="008666D4"/>
    <w:rsid w:val="00867283"/>
    <w:rsid w:val="008674EE"/>
    <w:rsid w:val="00870065"/>
    <w:rsid w:val="00870C50"/>
    <w:rsid w:val="00870E09"/>
    <w:rsid w:val="00870E18"/>
    <w:rsid w:val="008715F7"/>
    <w:rsid w:val="00872439"/>
    <w:rsid w:val="0087260C"/>
    <w:rsid w:val="00873093"/>
    <w:rsid w:val="00873941"/>
    <w:rsid w:val="00874628"/>
    <w:rsid w:val="008764EC"/>
    <w:rsid w:val="008765C2"/>
    <w:rsid w:val="008765D2"/>
    <w:rsid w:val="00876917"/>
    <w:rsid w:val="00876B19"/>
    <w:rsid w:val="00877B54"/>
    <w:rsid w:val="00877DB7"/>
    <w:rsid w:val="00880D6B"/>
    <w:rsid w:val="0088385A"/>
    <w:rsid w:val="00883D55"/>
    <w:rsid w:val="00884342"/>
    <w:rsid w:val="00884BD6"/>
    <w:rsid w:val="00886717"/>
    <w:rsid w:val="0088696D"/>
    <w:rsid w:val="00886FA2"/>
    <w:rsid w:val="0088750B"/>
    <w:rsid w:val="008876AF"/>
    <w:rsid w:val="008916C8"/>
    <w:rsid w:val="00891CEC"/>
    <w:rsid w:val="00894434"/>
    <w:rsid w:val="00894E28"/>
    <w:rsid w:val="008958DB"/>
    <w:rsid w:val="00897EC4"/>
    <w:rsid w:val="008A0420"/>
    <w:rsid w:val="008A1BA2"/>
    <w:rsid w:val="008A2D0E"/>
    <w:rsid w:val="008A2D15"/>
    <w:rsid w:val="008A34B5"/>
    <w:rsid w:val="008A4180"/>
    <w:rsid w:val="008A49D7"/>
    <w:rsid w:val="008A4DC4"/>
    <w:rsid w:val="008A5ED2"/>
    <w:rsid w:val="008A6CC7"/>
    <w:rsid w:val="008A6ED5"/>
    <w:rsid w:val="008A73E0"/>
    <w:rsid w:val="008A7EAC"/>
    <w:rsid w:val="008B3DEC"/>
    <w:rsid w:val="008B4FD1"/>
    <w:rsid w:val="008B52E6"/>
    <w:rsid w:val="008B6836"/>
    <w:rsid w:val="008B6A3C"/>
    <w:rsid w:val="008B6A4D"/>
    <w:rsid w:val="008C073D"/>
    <w:rsid w:val="008C110D"/>
    <w:rsid w:val="008C2E4A"/>
    <w:rsid w:val="008C2EED"/>
    <w:rsid w:val="008C43B9"/>
    <w:rsid w:val="008C49F3"/>
    <w:rsid w:val="008C526D"/>
    <w:rsid w:val="008C548E"/>
    <w:rsid w:val="008C705B"/>
    <w:rsid w:val="008D222A"/>
    <w:rsid w:val="008D53AA"/>
    <w:rsid w:val="008D5A6F"/>
    <w:rsid w:val="008D64BC"/>
    <w:rsid w:val="008D6A65"/>
    <w:rsid w:val="008D6B09"/>
    <w:rsid w:val="008D6DDE"/>
    <w:rsid w:val="008D6E46"/>
    <w:rsid w:val="008D7E24"/>
    <w:rsid w:val="008E0FA4"/>
    <w:rsid w:val="008E17EC"/>
    <w:rsid w:val="008E2A8C"/>
    <w:rsid w:val="008E33A2"/>
    <w:rsid w:val="008E342C"/>
    <w:rsid w:val="008E42C6"/>
    <w:rsid w:val="008E45AE"/>
    <w:rsid w:val="008E4C73"/>
    <w:rsid w:val="008E4D08"/>
    <w:rsid w:val="008E6A31"/>
    <w:rsid w:val="008E7EB7"/>
    <w:rsid w:val="008F08F4"/>
    <w:rsid w:val="008F0FC2"/>
    <w:rsid w:val="008F3908"/>
    <w:rsid w:val="008F430D"/>
    <w:rsid w:val="008F4D0C"/>
    <w:rsid w:val="008F6C19"/>
    <w:rsid w:val="008F6F69"/>
    <w:rsid w:val="008F7BB5"/>
    <w:rsid w:val="009005CC"/>
    <w:rsid w:val="009005EF"/>
    <w:rsid w:val="00901598"/>
    <w:rsid w:val="00901678"/>
    <w:rsid w:val="00902163"/>
    <w:rsid w:val="00903124"/>
    <w:rsid w:val="00903D6C"/>
    <w:rsid w:val="0090467A"/>
    <w:rsid w:val="00906020"/>
    <w:rsid w:val="00906579"/>
    <w:rsid w:val="009070D1"/>
    <w:rsid w:val="0091076A"/>
    <w:rsid w:val="009118E0"/>
    <w:rsid w:val="00911BE2"/>
    <w:rsid w:val="009127DC"/>
    <w:rsid w:val="00913F97"/>
    <w:rsid w:val="00914794"/>
    <w:rsid w:val="0091522B"/>
    <w:rsid w:val="00916999"/>
    <w:rsid w:val="0092035F"/>
    <w:rsid w:val="00921079"/>
    <w:rsid w:val="00921567"/>
    <w:rsid w:val="009215F4"/>
    <w:rsid w:val="00921B87"/>
    <w:rsid w:val="00921E08"/>
    <w:rsid w:val="009224D2"/>
    <w:rsid w:val="00923674"/>
    <w:rsid w:val="009238E1"/>
    <w:rsid w:val="00923919"/>
    <w:rsid w:val="00923C3F"/>
    <w:rsid w:val="00924BF0"/>
    <w:rsid w:val="00924BF6"/>
    <w:rsid w:val="00925CDD"/>
    <w:rsid w:val="00925EC7"/>
    <w:rsid w:val="009262B4"/>
    <w:rsid w:val="009275CC"/>
    <w:rsid w:val="00930714"/>
    <w:rsid w:val="00931046"/>
    <w:rsid w:val="009316D1"/>
    <w:rsid w:val="00931925"/>
    <w:rsid w:val="00931D87"/>
    <w:rsid w:val="00931E9A"/>
    <w:rsid w:val="00933FF6"/>
    <w:rsid w:val="009343D6"/>
    <w:rsid w:val="00934540"/>
    <w:rsid w:val="00934611"/>
    <w:rsid w:val="00934D48"/>
    <w:rsid w:val="009360E3"/>
    <w:rsid w:val="0093615A"/>
    <w:rsid w:val="0093738B"/>
    <w:rsid w:val="0093753F"/>
    <w:rsid w:val="00941733"/>
    <w:rsid w:val="00942607"/>
    <w:rsid w:val="009436F2"/>
    <w:rsid w:val="00944394"/>
    <w:rsid w:val="0094529E"/>
    <w:rsid w:val="00945819"/>
    <w:rsid w:val="0094641C"/>
    <w:rsid w:val="009471A7"/>
    <w:rsid w:val="00947DC2"/>
    <w:rsid w:val="00952B8A"/>
    <w:rsid w:val="00955624"/>
    <w:rsid w:val="00956146"/>
    <w:rsid w:val="00956A14"/>
    <w:rsid w:val="0095778D"/>
    <w:rsid w:val="009600C8"/>
    <w:rsid w:val="009600D4"/>
    <w:rsid w:val="009612A7"/>
    <w:rsid w:val="0096240B"/>
    <w:rsid w:val="00964112"/>
    <w:rsid w:val="009642B2"/>
    <w:rsid w:val="009648F8"/>
    <w:rsid w:val="00964CD2"/>
    <w:rsid w:val="009677C0"/>
    <w:rsid w:val="00971530"/>
    <w:rsid w:val="00973392"/>
    <w:rsid w:val="00973B3E"/>
    <w:rsid w:val="00974425"/>
    <w:rsid w:val="009757C9"/>
    <w:rsid w:val="009768CC"/>
    <w:rsid w:val="00977C53"/>
    <w:rsid w:val="009803A6"/>
    <w:rsid w:val="009805C8"/>
    <w:rsid w:val="009808EB"/>
    <w:rsid w:val="0098244D"/>
    <w:rsid w:val="00982AC4"/>
    <w:rsid w:val="0098350D"/>
    <w:rsid w:val="00985D54"/>
    <w:rsid w:val="009860E9"/>
    <w:rsid w:val="00986207"/>
    <w:rsid w:val="00986E91"/>
    <w:rsid w:val="0098726C"/>
    <w:rsid w:val="00991777"/>
    <w:rsid w:val="00992748"/>
    <w:rsid w:val="00994232"/>
    <w:rsid w:val="00994E7D"/>
    <w:rsid w:val="00995C36"/>
    <w:rsid w:val="009962E6"/>
    <w:rsid w:val="00996E42"/>
    <w:rsid w:val="00996E4F"/>
    <w:rsid w:val="0099728C"/>
    <w:rsid w:val="009A0438"/>
    <w:rsid w:val="009A0EB0"/>
    <w:rsid w:val="009A1CDC"/>
    <w:rsid w:val="009A1DCD"/>
    <w:rsid w:val="009A249D"/>
    <w:rsid w:val="009A2616"/>
    <w:rsid w:val="009A2959"/>
    <w:rsid w:val="009A34A5"/>
    <w:rsid w:val="009A3FC7"/>
    <w:rsid w:val="009A4F1D"/>
    <w:rsid w:val="009A5C55"/>
    <w:rsid w:val="009A6811"/>
    <w:rsid w:val="009A6ABE"/>
    <w:rsid w:val="009A6D32"/>
    <w:rsid w:val="009A79A1"/>
    <w:rsid w:val="009B22BD"/>
    <w:rsid w:val="009B2771"/>
    <w:rsid w:val="009B388B"/>
    <w:rsid w:val="009B3C7A"/>
    <w:rsid w:val="009B4F1D"/>
    <w:rsid w:val="009B4F70"/>
    <w:rsid w:val="009B5644"/>
    <w:rsid w:val="009B5DC3"/>
    <w:rsid w:val="009B62ED"/>
    <w:rsid w:val="009B64CA"/>
    <w:rsid w:val="009C174B"/>
    <w:rsid w:val="009C1E4E"/>
    <w:rsid w:val="009C216C"/>
    <w:rsid w:val="009C27F0"/>
    <w:rsid w:val="009C3A45"/>
    <w:rsid w:val="009C49B2"/>
    <w:rsid w:val="009C4C7B"/>
    <w:rsid w:val="009C57F8"/>
    <w:rsid w:val="009C693F"/>
    <w:rsid w:val="009C6FEB"/>
    <w:rsid w:val="009C72A9"/>
    <w:rsid w:val="009D0331"/>
    <w:rsid w:val="009D0DAE"/>
    <w:rsid w:val="009D0FA9"/>
    <w:rsid w:val="009D10CD"/>
    <w:rsid w:val="009D1534"/>
    <w:rsid w:val="009D1F31"/>
    <w:rsid w:val="009D2198"/>
    <w:rsid w:val="009D2BAC"/>
    <w:rsid w:val="009D2F75"/>
    <w:rsid w:val="009D3118"/>
    <w:rsid w:val="009D3916"/>
    <w:rsid w:val="009D3F96"/>
    <w:rsid w:val="009D414E"/>
    <w:rsid w:val="009D6314"/>
    <w:rsid w:val="009D6B0D"/>
    <w:rsid w:val="009D78CD"/>
    <w:rsid w:val="009E09A7"/>
    <w:rsid w:val="009E0EDF"/>
    <w:rsid w:val="009E186E"/>
    <w:rsid w:val="009E31FB"/>
    <w:rsid w:val="009E36F1"/>
    <w:rsid w:val="009E3BAC"/>
    <w:rsid w:val="009E4A4A"/>
    <w:rsid w:val="009E4CE7"/>
    <w:rsid w:val="009E6197"/>
    <w:rsid w:val="009E6368"/>
    <w:rsid w:val="009E6926"/>
    <w:rsid w:val="009E6BB7"/>
    <w:rsid w:val="009E6F2A"/>
    <w:rsid w:val="009E709A"/>
    <w:rsid w:val="009E7E61"/>
    <w:rsid w:val="009F0181"/>
    <w:rsid w:val="009F1065"/>
    <w:rsid w:val="009F12F6"/>
    <w:rsid w:val="009F2C16"/>
    <w:rsid w:val="009F32C2"/>
    <w:rsid w:val="009F3E2B"/>
    <w:rsid w:val="009F41D3"/>
    <w:rsid w:val="009F4B5E"/>
    <w:rsid w:val="009F517E"/>
    <w:rsid w:val="009F54AF"/>
    <w:rsid w:val="009F57A4"/>
    <w:rsid w:val="009F6450"/>
    <w:rsid w:val="009F68ED"/>
    <w:rsid w:val="009F6F7C"/>
    <w:rsid w:val="009F71E2"/>
    <w:rsid w:val="009F7513"/>
    <w:rsid w:val="009F7E81"/>
    <w:rsid w:val="00A00B26"/>
    <w:rsid w:val="00A0115D"/>
    <w:rsid w:val="00A02EBD"/>
    <w:rsid w:val="00A031F6"/>
    <w:rsid w:val="00A048B6"/>
    <w:rsid w:val="00A048B7"/>
    <w:rsid w:val="00A0540D"/>
    <w:rsid w:val="00A064B6"/>
    <w:rsid w:val="00A06DBD"/>
    <w:rsid w:val="00A07033"/>
    <w:rsid w:val="00A073BE"/>
    <w:rsid w:val="00A078CE"/>
    <w:rsid w:val="00A07CDD"/>
    <w:rsid w:val="00A117D7"/>
    <w:rsid w:val="00A11DAB"/>
    <w:rsid w:val="00A15475"/>
    <w:rsid w:val="00A15693"/>
    <w:rsid w:val="00A2087C"/>
    <w:rsid w:val="00A21993"/>
    <w:rsid w:val="00A21B5C"/>
    <w:rsid w:val="00A240A7"/>
    <w:rsid w:val="00A2437A"/>
    <w:rsid w:val="00A2443C"/>
    <w:rsid w:val="00A24D50"/>
    <w:rsid w:val="00A25109"/>
    <w:rsid w:val="00A251E0"/>
    <w:rsid w:val="00A25494"/>
    <w:rsid w:val="00A2579F"/>
    <w:rsid w:val="00A25DEC"/>
    <w:rsid w:val="00A26C8D"/>
    <w:rsid w:val="00A27421"/>
    <w:rsid w:val="00A333FB"/>
    <w:rsid w:val="00A34BC7"/>
    <w:rsid w:val="00A3535B"/>
    <w:rsid w:val="00A363B6"/>
    <w:rsid w:val="00A36875"/>
    <w:rsid w:val="00A36BD2"/>
    <w:rsid w:val="00A3728C"/>
    <w:rsid w:val="00A379D2"/>
    <w:rsid w:val="00A405D3"/>
    <w:rsid w:val="00A41E29"/>
    <w:rsid w:val="00A42070"/>
    <w:rsid w:val="00A42EC6"/>
    <w:rsid w:val="00A437F2"/>
    <w:rsid w:val="00A45C91"/>
    <w:rsid w:val="00A46936"/>
    <w:rsid w:val="00A46C68"/>
    <w:rsid w:val="00A47EC8"/>
    <w:rsid w:val="00A50048"/>
    <w:rsid w:val="00A51FB9"/>
    <w:rsid w:val="00A522AF"/>
    <w:rsid w:val="00A530E2"/>
    <w:rsid w:val="00A53495"/>
    <w:rsid w:val="00A534AB"/>
    <w:rsid w:val="00A53838"/>
    <w:rsid w:val="00A542EF"/>
    <w:rsid w:val="00A55783"/>
    <w:rsid w:val="00A55F00"/>
    <w:rsid w:val="00A569E4"/>
    <w:rsid w:val="00A56F3C"/>
    <w:rsid w:val="00A600FD"/>
    <w:rsid w:val="00A61564"/>
    <w:rsid w:val="00A6258E"/>
    <w:rsid w:val="00A628B1"/>
    <w:rsid w:val="00A62B42"/>
    <w:rsid w:val="00A62B75"/>
    <w:rsid w:val="00A63200"/>
    <w:rsid w:val="00A632EB"/>
    <w:rsid w:val="00A63CA6"/>
    <w:rsid w:val="00A646FC"/>
    <w:rsid w:val="00A65BBE"/>
    <w:rsid w:val="00A65FDF"/>
    <w:rsid w:val="00A6631C"/>
    <w:rsid w:val="00A708ED"/>
    <w:rsid w:val="00A71316"/>
    <w:rsid w:val="00A71C87"/>
    <w:rsid w:val="00A7226B"/>
    <w:rsid w:val="00A73A13"/>
    <w:rsid w:val="00A73EE1"/>
    <w:rsid w:val="00A74C31"/>
    <w:rsid w:val="00A75C85"/>
    <w:rsid w:val="00A77318"/>
    <w:rsid w:val="00A77A34"/>
    <w:rsid w:val="00A81F8C"/>
    <w:rsid w:val="00A82889"/>
    <w:rsid w:val="00A8363F"/>
    <w:rsid w:val="00A86959"/>
    <w:rsid w:val="00A86DFB"/>
    <w:rsid w:val="00A86E26"/>
    <w:rsid w:val="00A8739A"/>
    <w:rsid w:val="00A87544"/>
    <w:rsid w:val="00A8787E"/>
    <w:rsid w:val="00A87C76"/>
    <w:rsid w:val="00A9155F"/>
    <w:rsid w:val="00A9281B"/>
    <w:rsid w:val="00A92D43"/>
    <w:rsid w:val="00A92E49"/>
    <w:rsid w:val="00A93016"/>
    <w:rsid w:val="00A945CA"/>
    <w:rsid w:val="00A963CA"/>
    <w:rsid w:val="00A9653B"/>
    <w:rsid w:val="00A969EA"/>
    <w:rsid w:val="00A96D69"/>
    <w:rsid w:val="00AA0092"/>
    <w:rsid w:val="00AA1DD5"/>
    <w:rsid w:val="00AA3408"/>
    <w:rsid w:val="00AA4291"/>
    <w:rsid w:val="00AA4341"/>
    <w:rsid w:val="00AA44E6"/>
    <w:rsid w:val="00AA55CF"/>
    <w:rsid w:val="00AA56AC"/>
    <w:rsid w:val="00AA5793"/>
    <w:rsid w:val="00AA58C2"/>
    <w:rsid w:val="00AA5A6B"/>
    <w:rsid w:val="00AB0A14"/>
    <w:rsid w:val="00AB0DC5"/>
    <w:rsid w:val="00AB2DE4"/>
    <w:rsid w:val="00AB2F6D"/>
    <w:rsid w:val="00AB3160"/>
    <w:rsid w:val="00AB32AB"/>
    <w:rsid w:val="00AB4CD2"/>
    <w:rsid w:val="00AB51C1"/>
    <w:rsid w:val="00AB585A"/>
    <w:rsid w:val="00AB67B4"/>
    <w:rsid w:val="00AB721D"/>
    <w:rsid w:val="00AB7C77"/>
    <w:rsid w:val="00AC150F"/>
    <w:rsid w:val="00AC1EFE"/>
    <w:rsid w:val="00AC21BB"/>
    <w:rsid w:val="00AC2A5D"/>
    <w:rsid w:val="00AC47A2"/>
    <w:rsid w:val="00AC4836"/>
    <w:rsid w:val="00AC4CBD"/>
    <w:rsid w:val="00AC5356"/>
    <w:rsid w:val="00AC632B"/>
    <w:rsid w:val="00AC6EE7"/>
    <w:rsid w:val="00AD06DE"/>
    <w:rsid w:val="00AD0830"/>
    <w:rsid w:val="00AD1F8E"/>
    <w:rsid w:val="00AD3932"/>
    <w:rsid w:val="00AD3D48"/>
    <w:rsid w:val="00AD46E2"/>
    <w:rsid w:val="00AD47D4"/>
    <w:rsid w:val="00AD51DA"/>
    <w:rsid w:val="00AD761E"/>
    <w:rsid w:val="00AD7EE7"/>
    <w:rsid w:val="00AE0112"/>
    <w:rsid w:val="00AE119C"/>
    <w:rsid w:val="00AE1916"/>
    <w:rsid w:val="00AE2855"/>
    <w:rsid w:val="00AE2918"/>
    <w:rsid w:val="00AE2D7C"/>
    <w:rsid w:val="00AE4678"/>
    <w:rsid w:val="00AE5C54"/>
    <w:rsid w:val="00AE5DAC"/>
    <w:rsid w:val="00AE60FB"/>
    <w:rsid w:val="00AE6718"/>
    <w:rsid w:val="00AE6FC7"/>
    <w:rsid w:val="00AF045D"/>
    <w:rsid w:val="00AF0673"/>
    <w:rsid w:val="00AF0A50"/>
    <w:rsid w:val="00AF27A7"/>
    <w:rsid w:val="00AF2AC2"/>
    <w:rsid w:val="00AF334B"/>
    <w:rsid w:val="00AF4BD1"/>
    <w:rsid w:val="00AF4D12"/>
    <w:rsid w:val="00AF4F34"/>
    <w:rsid w:val="00AF5DE1"/>
    <w:rsid w:val="00AF5FF0"/>
    <w:rsid w:val="00AF6FCC"/>
    <w:rsid w:val="00B00529"/>
    <w:rsid w:val="00B00DF7"/>
    <w:rsid w:val="00B01DA2"/>
    <w:rsid w:val="00B01F47"/>
    <w:rsid w:val="00B022F5"/>
    <w:rsid w:val="00B03761"/>
    <w:rsid w:val="00B04B67"/>
    <w:rsid w:val="00B04DC0"/>
    <w:rsid w:val="00B04F94"/>
    <w:rsid w:val="00B052BA"/>
    <w:rsid w:val="00B056DF"/>
    <w:rsid w:val="00B05966"/>
    <w:rsid w:val="00B05CB0"/>
    <w:rsid w:val="00B06226"/>
    <w:rsid w:val="00B06BB6"/>
    <w:rsid w:val="00B06CB3"/>
    <w:rsid w:val="00B07295"/>
    <w:rsid w:val="00B07369"/>
    <w:rsid w:val="00B078AD"/>
    <w:rsid w:val="00B078C8"/>
    <w:rsid w:val="00B10986"/>
    <w:rsid w:val="00B129DB"/>
    <w:rsid w:val="00B13B7F"/>
    <w:rsid w:val="00B14124"/>
    <w:rsid w:val="00B14DCC"/>
    <w:rsid w:val="00B15254"/>
    <w:rsid w:val="00B15BEB"/>
    <w:rsid w:val="00B15CED"/>
    <w:rsid w:val="00B15D52"/>
    <w:rsid w:val="00B165CB"/>
    <w:rsid w:val="00B16A12"/>
    <w:rsid w:val="00B208B9"/>
    <w:rsid w:val="00B223D5"/>
    <w:rsid w:val="00B2272F"/>
    <w:rsid w:val="00B22F0D"/>
    <w:rsid w:val="00B23027"/>
    <w:rsid w:val="00B23428"/>
    <w:rsid w:val="00B23AE4"/>
    <w:rsid w:val="00B24930"/>
    <w:rsid w:val="00B24974"/>
    <w:rsid w:val="00B259E6"/>
    <w:rsid w:val="00B2641A"/>
    <w:rsid w:val="00B26589"/>
    <w:rsid w:val="00B268C2"/>
    <w:rsid w:val="00B270D7"/>
    <w:rsid w:val="00B3089A"/>
    <w:rsid w:val="00B30CD5"/>
    <w:rsid w:val="00B30DC2"/>
    <w:rsid w:val="00B310B4"/>
    <w:rsid w:val="00B323C1"/>
    <w:rsid w:val="00B32956"/>
    <w:rsid w:val="00B32C81"/>
    <w:rsid w:val="00B32F87"/>
    <w:rsid w:val="00B369FD"/>
    <w:rsid w:val="00B36A4B"/>
    <w:rsid w:val="00B36D86"/>
    <w:rsid w:val="00B37117"/>
    <w:rsid w:val="00B37C16"/>
    <w:rsid w:val="00B40308"/>
    <w:rsid w:val="00B418DA"/>
    <w:rsid w:val="00B41949"/>
    <w:rsid w:val="00B41AE8"/>
    <w:rsid w:val="00B41F0F"/>
    <w:rsid w:val="00B42046"/>
    <w:rsid w:val="00B42B54"/>
    <w:rsid w:val="00B43896"/>
    <w:rsid w:val="00B4402F"/>
    <w:rsid w:val="00B44184"/>
    <w:rsid w:val="00B4464F"/>
    <w:rsid w:val="00B44E91"/>
    <w:rsid w:val="00B477D3"/>
    <w:rsid w:val="00B47EF5"/>
    <w:rsid w:val="00B5005B"/>
    <w:rsid w:val="00B50692"/>
    <w:rsid w:val="00B50D5C"/>
    <w:rsid w:val="00B51957"/>
    <w:rsid w:val="00B51EC2"/>
    <w:rsid w:val="00B54058"/>
    <w:rsid w:val="00B547FA"/>
    <w:rsid w:val="00B55812"/>
    <w:rsid w:val="00B56A74"/>
    <w:rsid w:val="00B570FF"/>
    <w:rsid w:val="00B57110"/>
    <w:rsid w:val="00B60E88"/>
    <w:rsid w:val="00B613A1"/>
    <w:rsid w:val="00B61D3F"/>
    <w:rsid w:val="00B627E4"/>
    <w:rsid w:val="00B62D9B"/>
    <w:rsid w:val="00B62FD1"/>
    <w:rsid w:val="00B65B05"/>
    <w:rsid w:val="00B66151"/>
    <w:rsid w:val="00B66236"/>
    <w:rsid w:val="00B667E4"/>
    <w:rsid w:val="00B71716"/>
    <w:rsid w:val="00B7194D"/>
    <w:rsid w:val="00B72AE8"/>
    <w:rsid w:val="00B73193"/>
    <w:rsid w:val="00B73CE0"/>
    <w:rsid w:val="00B73DAD"/>
    <w:rsid w:val="00B74688"/>
    <w:rsid w:val="00B75718"/>
    <w:rsid w:val="00B7579D"/>
    <w:rsid w:val="00B76769"/>
    <w:rsid w:val="00B77EB8"/>
    <w:rsid w:val="00B8064A"/>
    <w:rsid w:val="00B806A3"/>
    <w:rsid w:val="00B80D4D"/>
    <w:rsid w:val="00B81971"/>
    <w:rsid w:val="00B82B84"/>
    <w:rsid w:val="00B82E9F"/>
    <w:rsid w:val="00B8565B"/>
    <w:rsid w:val="00B86303"/>
    <w:rsid w:val="00B90182"/>
    <w:rsid w:val="00B90B4B"/>
    <w:rsid w:val="00B90B7D"/>
    <w:rsid w:val="00B90D28"/>
    <w:rsid w:val="00B90E26"/>
    <w:rsid w:val="00B91B2F"/>
    <w:rsid w:val="00B927D9"/>
    <w:rsid w:val="00B9309E"/>
    <w:rsid w:val="00B9685C"/>
    <w:rsid w:val="00B97CED"/>
    <w:rsid w:val="00BA06D6"/>
    <w:rsid w:val="00BA08A8"/>
    <w:rsid w:val="00BA14BC"/>
    <w:rsid w:val="00BA1754"/>
    <w:rsid w:val="00BA1ABA"/>
    <w:rsid w:val="00BA1FA9"/>
    <w:rsid w:val="00BA2C06"/>
    <w:rsid w:val="00BA46B9"/>
    <w:rsid w:val="00BA687D"/>
    <w:rsid w:val="00BA6A03"/>
    <w:rsid w:val="00BA7F5F"/>
    <w:rsid w:val="00BB09EA"/>
    <w:rsid w:val="00BB09F4"/>
    <w:rsid w:val="00BB17F1"/>
    <w:rsid w:val="00BB23F6"/>
    <w:rsid w:val="00BB25F1"/>
    <w:rsid w:val="00BB2962"/>
    <w:rsid w:val="00BB2B65"/>
    <w:rsid w:val="00BB3497"/>
    <w:rsid w:val="00BB3906"/>
    <w:rsid w:val="00BB39F4"/>
    <w:rsid w:val="00BB3C21"/>
    <w:rsid w:val="00BB3C3D"/>
    <w:rsid w:val="00BB3FEA"/>
    <w:rsid w:val="00BB40CD"/>
    <w:rsid w:val="00BB4543"/>
    <w:rsid w:val="00BB5205"/>
    <w:rsid w:val="00BB5882"/>
    <w:rsid w:val="00BB6700"/>
    <w:rsid w:val="00BB76D5"/>
    <w:rsid w:val="00BC14DC"/>
    <w:rsid w:val="00BC1662"/>
    <w:rsid w:val="00BC16F8"/>
    <w:rsid w:val="00BC1762"/>
    <w:rsid w:val="00BC2BB0"/>
    <w:rsid w:val="00BC5040"/>
    <w:rsid w:val="00BC6847"/>
    <w:rsid w:val="00BC6ABE"/>
    <w:rsid w:val="00BD0007"/>
    <w:rsid w:val="00BD1939"/>
    <w:rsid w:val="00BD1D65"/>
    <w:rsid w:val="00BD2189"/>
    <w:rsid w:val="00BD27F8"/>
    <w:rsid w:val="00BD3053"/>
    <w:rsid w:val="00BD7315"/>
    <w:rsid w:val="00BD7823"/>
    <w:rsid w:val="00BE02D7"/>
    <w:rsid w:val="00BE2BE9"/>
    <w:rsid w:val="00BE3308"/>
    <w:rsid w:val="00BE4933"/>
    <w:rsid w:val="00BE70D2"/>
    <w:rsid w:val="00BE715B"/>
    <w:rsid w:val="00BE728C"/>
    <w:rsid w:val="00BE7F79"/>
    <w:rsid w:val="00BF06B5"/>
    <w:rsid w:val="00BF099B"/>
    <w:rsid w:val="00BF12C7"/>
    <w:rsid w:val="00BF292B"/>
    <w:rsid w:val="00BF2D08"/>
    <w:rsid w:val="00BF40C5"/>
    <w:rsid w:val="00BF4753"/>
    <w:rsid w:val="00BF6105"/>
    <w:rsid w:val="00BF61B3"/>
    <w:rsid w:val="00BF7E7E"/>
    <w:rsid w:val="00C0151E"/>
    <w:rsid w:val="00C01E24"/>
    <w:rsid w:val="00C028BA"/>
    <w:rsid w:val="00C0298B"/>
    <w:rsid w:val="00C04785"/>
    <w:rsid w:val="00C057ED"/>
    <w:rsid w:val="00C066EA"/>
    <w:rsid w:val="00C07FFD"/>
    <w:rsid w:val="00C10D22"/>
    <w:rsid w:val="00C11141"/>
    <w:rsid w:val="00C12B8F"/>
    <w:rsid w:val="00C139DB"/>
    <w:rsid w:val="00C14186"/>
    <w:rsid w:val="00C141EA"/>
    <w:rsid w:val="00C14EDD"/>
    <w:rsid w:val="00C14FE8"/>
    <w:rsid w:val="00C1569C"/>
    <w:rsid w:val="00C156FC"/>
    <w:rsid w:val="00C176C8"/>
    <w:rsid w:val="00C17E80"/>
    <w:rsid w:val="00C220D5"/>
    <w:rsid w:val="00C22257"/>
    <w:rsid w:val="00C2229E"/>
    <w:rsid w:val="00C24D55"/>
    <w:rsid w:val="00C251E9"/>
    <w:rsid w:val="00C252D1"/>
    <w:rsid w:val="00C2729E"/>
    <w:rsid w:val="00C27CC8"/>
    <w:rsid w:val="00C30866"/>
    <w:rsid w:val="00C309CD"/>
    <w:rsid w:val="00C318C2"/>
    <w:rsid w:val="00C31D65"/>
    <w:rsid w:val="00C321DC"/>
    <w:rsid w:val="00C32B7D"/>
    <w:rsid w:val="00C32D7F"/>
    <w:rsid w:val="00C35F86"/>
    <w:rsid w:val="00C3779D"/>
    <w:rsid w:val="00C37CA0"/>
    <w:rsid w:val="00C37CC7"/>
    <w:rsid w:val="00C4072F"/>
    <w:rsid w:val="00C407FA"/>
    <w:rsid w:val="00C42718"/>
    <w:rsid w:val="00C427C0"/>
    <w:rsid w:val="00C43350"/>
    <w:rsid w:val="00C43388"/>
    <w:rsid w:val="00C4371B"/>
    <w:rsid w:val="00C441CE"/>
    <w:rsid w:val="00C447A9"/>
    <w:rsid w:val="00C44931"/>
    <w:rsid w:val="00C450A1"/>
    <w:rsid w:val="00C45AFC"/>
    <w:rsid w:val="00C45B28"/>
    <w:rsid w:val="00C45CE7"/>
    <w:rsid w:val="00C47352"/>
    <w:rsid w:val="00C47CED"/>
    <w:rsid w:val="00C47D07"/>
    <w:rsid w:val="00C50494"/>
    <w:rsid w:val="00C5181A"/>
    <w:rsid w:val="00C52428"/>
    <w:rsid w:val="00C52A22"/>
    <w:rsid w:val="00C538F2"/>
    <w:rsid w:val="00C539EB"/>
    <w:rsid w:val="00C544C5"/>
    <w:rsid w:val="00C60410"/>
    <w:rsid w:val="00C60907"/>
    <w:rsid w:val="00C6253A"/>
    <w:rsid w:val="00C631E7"/>
    <w:rsid w:val="00C63754"/>
    <w:rsid w:val="00C6415B"/>
    <w:rsid w:val="00C64DD4"/>
    <w:rsid w:val="00C6555E"/>
    <w:rsid w:val="00C6615D"/>
    <w:rsid w:val="00C668DD"/>
    <w:rsid w:val="00C67A77"/>
    <w:rsid w:val="00C716B5"/>
    <w:rsid w:val="00C716EB"/>
    <w:rsid w:val="00C735BF"/>
    <w:rsid w:val="00C73995"/>
    <w:rsid w:val="00C73C5A"/>
    <w:rsid w:val="00C74344"/>
    <w:rsid w:val="00C74F53"/>
    <w:rsid w:val="00C75DA9"/>
    <w:rsid w:val="00C760AA"/>
    <w:rsid w:val="00C7782E"/>
    <w:rsid w:val="00C77C56"/>
    <w:rsid w:val="00C77F49"/>
    <w:rsid w:val="00C8087B"/>
    <w:rsid w:val="00C831DD"/>
    <w:rsid w:val="00C83DDA"/>
    <w:rsid w:val="00C854F8"/>
    <w:rsid w:val="00C86C42"/>
    <w:rsid w:val="00C90148"/>
    <w:rsid w:val="00C906BD"/>
    <w:rsid w:val="00C90838"/>
    <w:rsid w:val="00C9087C"/>
    <w:rsid w:val="00C90BA5"/>
    <w:rsid w:val="00C90E19"/>
    <w:rsid w:val="00C915B5"/>
    <w:rsid w:val="00C916B0"/>
    <w:rsid w:val="00C92910"/>
    <w:rsid w:val="00C931C9"/>
    <w:rsid w:val="00C943ED"/>
    <w:rsid w:val="00C94DE4"/>
    <w:rsid w:val="00C96545"/>
    <w:rsid w:val="00C9723F"/>
    <w:rsid w:val="00C974DF"/>
    <w:rsid w:val="00CA052C"/>
    <w:rsid w:val="00CA0C31"/>
    <w:rsid w:val="00CA1380"/>
    <w:rsid w:val="00CA153F"/>
    <w:rsid w:val="00CA1D7D"/>
    <w:rsid w:val="00CA1DD0"/>
    <w:rsid w:val="00CA3174"/>
    <w:rsid w:val="00CA42FE"/>
    <w:rsid w:val="00CA4476"/>
    <w:rsid w:val="00CA45FC"/>
    <w:rsid w:val="00CA4CC9"/>
    <w:rsid w:val="00CA4E3C"/>
    <w:rsid w:val="00CA4EF8"/>
    <w:rsid w:val="00CA5028"/>
    <w:rsid w:val="00CA5DA9"/>
    <w:rsid w:val="00CA5FCD"/>
    <w:rsid w:val="00CA6616"/>
    <w:rsid w:val="00CA6C3E"/>
    <w:rsid w:val="00CB08B4"/>
    <w:rsid w:val="00CB14B7"/>
    <w:rsid w:val="00CB20DA"/>
    <w:rsid w:val="00CB3387"/>
    <w:rsid w:val="00CB4ABE"/>
    <w:rsid w:val="00CB56F6"/>
    <w:rsid w:val="00CB6439"/>
    <w:rsid w:val="00CB6B23"/>
    <w:rsid w:val="00CB70F7"/>
    <w:rsid w:val="00CB74BC"/>
    <w:rsid w:val="00CB7C83"/>
    <w:rsid w:val="00CB7DBF"/>
    <w:rsid w:val="00CC17D0"/>
    <w:rsid w:val="00CC1ABB"/>
    <w:rsid w:val="00CC2F5B"/>
    <w:rsid w:val="00CC3F0C"/>
    <w:rsid w:val="00CC4AA4"/>
    <w:rsid w:val="00CC6DFE"/>
    <w:rsid w:val="00CC6F91"/>
    <w:rsid w:val="00CD007F"/>
    <w:rsid w:val="00CD0190"/>
    <w:rsid w:val="00CD0546"/>
    <w:rsid w:val="00CD0F3D"/>
    <w:rsid w:val="00CD1C0F"/>
    <w:rsid w:val="00CD1CC2"/>
    <w:rsid w:val="00CD1DF6"/>
    <w:rsid w:val="00CD2418"/>
    <w:rsid w:val="00CD3608"/>
    <w:rsid w:val="00CD63CC"/>
    <w:rsid w:val="00CD6615"/>
    <w:rsid w:val="00CD7206"/>
    <w:rsid w:val="00CD7EC5"/>
    <w:rsid w:val="00CE0272"/>
    <w:rsid w:val="00CE2E91"/>
    <w:rsid w:val="00CE350E"/>
    <w:rsid w:val="00CE423F"/>
    <w:rsid w:val="00CE6429"/>
    <w:rsid w:val="00CE66A8"/>
    <w:rsid w:val="00CE6A04"/>
    <w:rsid w:val="00CE7065"/>
    <w:rsid w:val="00CF00FA"/>
    <w:rsid w:val="00CF0718"/>
    <w:rsid w:val="00CF1FEF"/>
    <w:rsid w:val="00CF3475"/>
    <w:rsid w:val="00CF4826"/>
    <w:rsid w:val="00CF56A8"/>
    <w:rsid w:val="00CF5704"/>
    <w:rsid w:val="00CF6F0D"/>
    <w:rsid w:val="00D01046"/>
    <w:rsid w:val="00D0144F"/>
    <w:rsid w:val="00D017B6"/>
    <w:rsid w:val="00D02624"/>
    <w:rsid w:val="00D02C43"/>
    <w:rsid w:val="00D039E7"/>
    <w:rsid w:val="00D0433F"/>
    <w:rsid w:val="00D0496A"/>
    <w:rsid w:val="00D063A3"/>
    <w:rsid w:val="00D065EF"/>
    <w:rsid w:val="00D06885"/>
    <w:rsid w:val="00D10267"/>
    <w:rsid w:val="00D10B8A"/>
    <w:rsid w:val="00D11B5F"/>
    <w:rsid w:val="00D1215D"/>
    <w:rsid w:val="00D12651"/>
    <w:rsid w:val="00D12FF6"/>
    <w:rsid w:val="00D12FFB"/>
    <w:rsid w:val="00D13067"/>
    <w:rsid w:val="00D139F7"/>
    <w:rsid w:val="00D13C0F"/>
    <w:rsid w:val="00D14A4D"/>
    <w:rsid w:val="00D14B2E"/>
    <w:rsid w:val="00D16C2C"/>
    <w:rsid w:val="00D17B4D"/>
    <w:rsid w:val="00D204BE"/>
    <w:rsid w:val="00D210E1"/>
    <w:rsid w:val="00D2162C"/>
    <w:rsid w:val="00D21B01"/>
    <w:rsid w:val="00D23353"/>
    <w:rsid w:val="00D23493"/>
    <w:rsid w:val="00D239CE"/>
    <w:rsid w:val="00D25DC5"/>
    <w:rsid w:val="00D2696C"/>
    <w:rsid w:val="00D27152"/>
    <w:rsid w:val="00D27A6F"/>
    <w:rsid w:val="00D300F2"/>
    <w:rsid w:val="00D314C4"/>
    <w:rsid w:val="00D31D13"/>
    <w:rsid w:val="00D324EA"/>
    <w:rsid w:val="00D335E4"/>
    <w:rsid w:val="00D33E69"/>
    <w:rsid w:val="00D35549"/>
    <w:rsid w:val="00D36CE6"/>
    <w:rsid w:val="00D4018B"/>
    <w:rsid w:val="00D40819"/>
    <w:rsid w:val="00D409D4"/>
    <w:rsid w:val="00D40A0D"/>
    <w:rsid w:val="00D43413"/>
    <w:rsid w:val="00D43D77"/>
    <w:rsid w:val="00D45413"/>
    <w:rsid w:val="00D45458"/>
    <w:rsid w:val="00D45F04"/>
    <w:rsid w:val="00D45F50"/>
    <w:rsid w:val="00D45FD9"/>
    <w:rsid w:val="00D46277"/>
    <w:rsid w:val="00D46937"/>
    <w:rsid w:val="00D46D31"/>
    <w:rsid w:val="00D51EDF"/>
    <w:rsid w:val="00D54DC7"/>
    <w:rsid w:val="00D55234"/>
    <w:rsid w:val="00D55DC5"/>
    <w:rsid w:val="00D56E46"/>
    <w:rsid w:val="00D571DF"/>
    <w:rsid w:val="00D57413"/>
    <w:rsid w:val="00D60DE7"/>
    <w:rsid w:val="00D6179D"/>
    <w:rsid w:val="00D61DE7"/>
    <w:rsid w:val="00D62478"/>
    <w:rsid w:val="00D630E7"/>
    <w:rsid w:val="00D65DC1"/>
    <w:rsid w:val="00D66B39"/>
    <w:rsid w:val="00D67801"/>
    <w:rsid w:val="00D67917"/>
    <w:rsid w:val="00D70E3E"/>
    <w:rsid w:val="00D7138F"/>
    <w:rsid w:val="00D71CE3"/>
    <w:rsid w:val="00D7289C"/>
    <w:rsid w:val="00D73C7B"/>
    <w:rsid w:val="00D73FAB"/>
    <w:rsid w:val="00D74463"/>
    <w:rsid w:val="00D747CA"/>
    <w:rsid w:val="00D74AC2"/>
    <w:rsid w:val="00D76AC1"/>
    <w:rsid w:val="00D76F8A"/>
    <w:rsid w:val="00D77AD9"/>
    <w:rsid w:val="00D801E2"/>
    <w:rsid w:val="00D8144B"/>
    <w:rsid w:val="00D8162B"/>
    <w:rsid w:val="00D8170A"/>
    <w:rsid w:val="00D825D0"/>
    <w:rsid w:val="00D825E7"/>
    <w:rsid w:val="00D82D9A"/>
    <w:rsid w:val="00D83219"/>
    <w:rsid w:val="00D85863"/>
    <w:rsid w:val="00D8627F"/>
    <w:rsid w:val="00D8634E"/>
    <w:rsid w:val="00D86BD7"/>
    <w:rsid w:val="00D87C33"/>
    <w:rsid w:val="00D91146"/>
    <w:rsid w:val="00D91BC6"/>
    <w:rsid w:val="00D91C45"/>
    <w:rsid w:val="00D94402"/>
    <w:rsid w:val="00D94485"/>
    <w:rsid w:val="00D9492B"/>
    <w:rsid w:val="00D957D9"/>
    <w:rsid w:val="00D95E1F"/>
    <w:rsid w:val="00D961DA"/>
    <w:rsid w:val="00DA1D8E"/>
    <w:rsid w:val="00DA4271"/>
    <w:rsid w:val="00DA52B8"/>
    <w:rsid w:val="00DA70C7"/>
    <w:rsid w:val="00DA71C6"/>
    <w:rsid w:val="00DA7291"/>
    <w:rsid w:val="00DA7367"/>
    <w:rsid w:val="00DA7D18"/>
    <w:rsid w:val="00DB135E"/>
    <w:rsid w:val="00DB1A70"/>
    <w:rsid w:val="00DB1B9A"/>
    <w:rsid w:val="00DB264B"/>
    <w:rsid w:val="00DB312B"/>
    <w:rsid w:val="00DB3236"/>
    <w:rsid w:val="00DB3F75"/>
    <w:rsid w:val="00DB5EC8"/>
    <w:rsid w:val="00DC00B7"/>
    <w:rsid w:val="00DC0794"/>
    <w:rsid w:val="00DC14B4"/>
    <w:rsid w:val="00DC1B62"/>
    <w:rsid w:val="00DC25D3"/>
    <w:rsid w:val="00DC2787"/>
    <w:rsid w:val="00DC2791"/>
    <w:rsid w:val="00DC2E23"/>
    <w:rsid w:val="00DC345E"/>
    <w:rsid w:val="00DC41EB"/>
    <w:rsid w:val="00DC4954"/>
    <w:rsid w:val="00DC527F"/>
    <w:rsid w:val="00DC60BE"/>
    <w:rsid w:val="00DC7A0D"/>
    <w:rsid w:val="00DC7E9D"/>
    <w:rsid w:val="00DD00F3"/>
    <w:rsid w:val="00DD212E"/>
    <w:rsid w:val="00DD2AC4"/>
    <w:rsid w:val="00DD2D38"/>
    <w:rsid w:val="00DD3C3F"/>
    <w:rsid w:val="00DD4C14"/>
    <w:rsid w:val="00DD4CAA"/>
    <w:rsid w:val="00DD6053"/>
    <w:rsid w:val="00DD7822"/>
    <w:rsid w:val="00DD7C7C"/>
    <w:rsid w:val="00DE11AB"/>
    <w:rsid w:val="00DE1213"/>
    <w:rsid w:val="00DE1C5A"/>
    <w:rsid w:val="00DE239B"/>
    <w:rsid w:val="00DE255B"/>
    <w:rsid w:val="00DE454E"/>
    <w:rsid w:val="00DE4BC7"/>
    <w:rsid w:val="00DE4FAB"/>
    <w:rsid w:val="00DE53F5"/>
    <w:rsid w:val="00DF0393"/>
    <w:rsid w:val="00DF0541"/>
    <w:rsid w:val="00DF0939"/>
    <w:rsid w:val="00DF13EB"/>
    <w:rsid w:val="00DF167F"/>
    <w:rsid w:val="00DF2382"/>
    <w:rsid w:val="00DF4CC1"/>
    <w:rsid w:val="00DF4E78"/>
    <w:rsid w:val="00DF6179"/>
    <w:rsid w:val="00DF69E1"/>
    <w:rsid w:val="00DF7837"/>
    <w:rsid w:val="00E0010A"/>
    <w:rsid w:val="00E00CEA"/>
    <w:rsid w:val="00E02036"/>
    <w:rsid w:val="00E02276"/>
    <w:rsid w:val="00E023F6"/>
    <w:rsid w:val="00E0280F"/>
    <w:rsid w:val="00E037BD"/>
    <w:rsid w:val="00E046DC"/>
    <w:rsid w:val="00E0496B"/>
    <w:rsid w:val="00E068AE"/>
    <w:rsid w:val="00E07809"/>
    <w:rsid w:val="00E116FD"/>
    <w:rsid w:val="00E11760"/>
    <w:rsid w:val="00E11E36"/>
    <w:rsid w:val="00E12959"/>
    <w:rsid w:val="00E1324E"/>
    <w:rsid w:val="00E13867"/>
    <w:rsid w:val="00E13ABF"/>
    <w:rsid w:val="00E14B50"/>
    <w:rsid w:val="00E15BE8"/>
    <w:rsid w:val="00E16D24"/>
    <w:rsid w:val="00E17914"/>
    <w:rsid w:val="00E22006"/>
    <w:rsid w:val="00E22584"/>
    <w:rsid w:val="00E2376E"/>
    <w:rsid w:val="00E2478A"/>
    <w:rsid w:val="00E250FA"/>
    <w:rsid w:val="00E26181"/>
    <w:rsid w:val="00E26924"/>
    <w:rsid w:val="00E26A63"/>
    <w:rsid w:val="00E26D84"/>
    <w:rsid w:val="00E2739D"/>
    <w:rsid w:val="00E2750E"/>
    <w:rsid w:val="00E30903"/>
    <w:rsid w:val="00E31B7E"/>
    <w:rsid w:val="00E31F75"/>
    <w:rsid w:val="00E32091"/>
    <w:rsid w:val="00E32AAE"/>
    <w:rsid w:val="00E33180"/>
    <w:rsid w:val="00E3323A"/>
    <w:rsid w:val="00E333DC"/>
    <w:rsid w:val="00E33A47"/>
    <w:rsid w:val="00E33ABD"/>
    <w:rsid w:val="00E35077"/>
    <w:rsid w:val="00E35507"/>
    <w:rsid w:val="00E35715"/>
    <w:rsid w:val="00E35E3F"/>
    <w:rsid w:val="00E36989"/>
    <w:rsid w:val="00E36995"/>
    <w:rsid w:val="00E369BA"/>
    <w:rsid w:val="00E37E24"/>
    <w:rsid w:val="00E40103"/>
    <w:rsid w:val="00E40750"/>
    <w:rsid w:val="00E410F5"/>
    <w:rsid w:val="00E426FF"/>
    <w:rsid w:val="00E43962"/>
    <w:rsid w:val="00E4434A"/>
    <w:rsid w:val="00E44ED6"/>
    <w:rsid w:val="00E45087"/>
    <w:rsid w:val="00E457DF"/>
    <w:rsid w:val="00E45EEF"/>
    <w:rsid w:val="00E46358"/>
    <w:rsid w:val="00E46FEB"/>
    <w:rsid w:val="00E47158"/>
    <w:rsid w:val="00E47645"/>
    <w:rsid w:val="00E47B59"/>
    <w:rsid w:val="00E50BEF"/>
    <w:rsid w:val="00E50C2A"/>
    <w:rsid w:val="00E516AC"/>
    <w:rsid w:val="00E527A0"/>
    <w:rsid w:val="00E52DBF"/>
    <w:rsid w:val="00E5390F"/>
    <w:rsid w:val="00E543C2"/>
    <w:rsid w:val="00E5464B"/>
    <w:rsid w:val="00E551F1"/>
    <w:rsid w:val="00E5534B"/>
    <w:rsid w:val="00E55816"/>
    <w:rsid w:val="00E562AC"/>
    <w:rsid w:val="00E56F3A"/>
    <w:rsid w:val="00E573BE"/>
    <w:rsid w:val="00E57AD1"/>
    <w:rsid w:val="00E57DB5"/>
    <w:rsid w:val="00E600FD"/>
    <w:rsid w:val="00E603F8"/>
    <w:rsid w:val="00E606A7"/>
    <w:rsid w:val="00E61E67"/>
    <w:rsid w:val="00E62A5B"/>
    <w:rsid w:val="00E636FB"/>
    <w:rsid w:val="00E63DEA"/>
    <w:rsid w:val="00E651A8"/>
    <w:rsid w:val="00E6534A"/>
    <w:rsid w:val="00E653EE"/>
    <w:rsid w:val="00E674BE"/>
    <w:rsid w:val="00E674CF"/>
    <w:rsid w:val="00E678D9"/>
    <w:rsid w:val="00E71989"/>
    <w:rsid w:val="00E71A3E"/>
    <w:rsid w:val="00E72535"/>
    <w:rsid w:val="00E730E7"/>
    <w:rsid w:val="00E733C4"/>
    <w:rsid w:val="00E742C2"/>
    <w:rsid w:val="00E751DE"/>
    <w:rsid w:val="00E77379"/>
    <w:rsid w:val="00E77DCF"/>
    <w:rsid w:val="00E810D3"/>
    <w:rsid w:val="00E812FC"/>
    <w:rsid w:val="00E817BB"/>
    <w:rsid w:val="00E819E0"/>
    <w:rsid w:val="00E81B36"/>
    <w:rsid w:val="00E8206C"/>
    <w:rsid w:val="00E82E90"/>
    <w:rsid w:val="00E84405"/>
    <w:rsid w:val="00E84A33"/>
    <w:rsid w:val="00E8575D"/>
    <w:rsid w:val="00E907F3"/>
    <w:rsid w:val="00E90DC5"/>
    <w:rsid w:val="00E9160E"/>
    <w:rsid w:val="00E91EEB"/>
    <w:rsid w:val="00E92106"/>
    <w:rsid w:val="00E94FD7"/>
    <w:rsid w:val="00E97BFD"/>
    <w:rsid w:val="00E97E24"/>
    <w:rsid w:val="00EA0E78"/>
    <w:rsid w:val="00EA1AF5"/>
    <w:rsid w:val="00EA30A1"/>
    <w:rsid w:val="00EA3D30"/>
    <w:rsid w:val="00EA4B05"/>
    <w:rsid w:val="00EA55BF"/>
    <w:rsid w:val="00EA5A06"/>
    <w:rsid w:val="00EA6CC0"/>
    <w:rsid w:val="00EA6E81"/>
    <w:rsid w:val="00EA7115"/>
    <w:rsid w:val="00EB017F"/>
    <w:rsid w:val="00EB0973"/>
    <w:rsid w:val="00EB2676"/>
    <w:rsid w:val="00EB2A69"/>
    <w:rsid w:val="00EB2BC9"/>
    <w:rsid w:val="00EB2FA5"/>
    <w:rsid w:val="00EB3399"/>
    <w:rsid w:val="00EB378B"/>
    <w:rsid w:val="00EB3A1F"/>
    <w:rsid w:val="00EB3AAB"/>
    <w:rsid w:val="00EB4EDC"/>
    <w:rsid w:val="00EB57DA"/>
    <w:rsid w:val="00EB5E33"/>
    <w:rsid w:val="00EB6226"/>
    <w:rsid w:val="00EB66AA"/>
    <w:rsid w:val="00EC0278"/>
    <w:rsid w:val="00EC3A64"/>
    <w:rsid w:val="00EC3B97"/>
    <w:rsid w:val="00EC4AB9"/>
    <w:rsid w:val="00EC6167"/>
    <w:rsid w:val="00EC694A"/>
    <w:rsid w:val="00EC7660"/>
    <w:rsid w:val="00ED1F64"/>
    <w:rsid w:val="00ED1F7A"/>
    <w:rsid w:val="00ED2360"/>
    <w:rsid w:val="00ED3344"/>
    <w:rsid w:val="00ED42DD"/>
    <w:rsid w:val="00ED42E5"/>
    <w:rsid w:val="00ED4916"/>
    <w:rsid w:val="00ED4F45"/>
    <w:rsid w:val="00ED5C51"/>
    <w:rsid w:val="00EE006C"/>
    <w:rsid w:val="00EE00BF"/>
    <w:rsid w:val="00EE10E1"/>
    <w:rsid w:val="00EE142F"/>
    <w:rsid w:val="00EE231F"/>
    <w:rsid w:val="00EE35E8"/>
    <w:rsid w:val="00EE3936"/>
    <w:rsid w:val="00EE3A3C"/>
    <w:rsid w:val="00EE447A"/>
    <w:rsid w:val="00EE45D2"/>
    <w:rsid w:val="00EE584D"/>
    <w:rsid w:val="00EE5BCC"/>
    <w:rsid w:val="00EF02AB"/>
    <w:rsid w:val="00EF04A8"/>
    <w:rsid w:val="00EF09B6"/>
    <w:rsid w:val="00EF27B9"/>
    <w:rsid w:val="00EF28A8"/>
    <w:rsid w:val="00EF36A1"/>
    <w:rsid w:val="00EF371E"/>
    <w:rsid w:val="00EF3D14"/>
    <w:rsid w:val="00EF523B"/>
    <w:rsid w:val="00EF6569"/>
    <w:rsid w:val="00EF6C25"/>
    <w:rsid w:val="00EF6E0C"/>
    <w:rsid w:val="00EF7041"/>
    <w:rsid w:val="00EF76FA"/>
    <w:rsid w:val="00EF7E44"/>
    <w:rsid w:val="00F00673"/>
    <w:rsid w:val="00F00E3C"/>
    <w:rsid w:val="00F0176C"/>
    <w:rsid w:val="00F018CF"/>
    <w:rsid w:val="00F01F75"/>
    <w:rsid w:val="00F024E4"/>
    <w:rsid w:val="00F02B45"/>
    <w:rsid w:val="00F034EC"/>
    <w:rsid w:val="00F03C15"/>
    <w:rsid w:val="00F043BF"/>
    <w:rsid w:val="00F04D0A"/>
    <w:rsid w:val="00F05976"/>
    <w:rsid w:val="00F061D4"/>
    <w:rsid w:val="00F063C9"/>
    <w:rsid w:val="00F06C3D"/>
    <w:rsid w:val="00F07784"/>
    <w:rsid w:val="00F07977"/>
    <w:rsid w:val="00F1010F"/>
    <w:rsid w:val="00F10627"/>
    <w:rsid w:val="00F10C44"/>
    <w:rsid w:val="00F1194A"/>
    <w:rsid w:val="00F11978"/>
    <w:rsid w:val="00F140E1"/>
    <w:rsid w:val="00F1584F"/>
    <w:rsid w:val="00F16AE7"/>
    <w:rsid w:val="00F17232"/>
    <w:rsid w:val="00F172DB"/>
    <w:rsid w:val="00F20BD0"/>
    <w:rsid w:val="00F2208E"/>
    <w:rsid w:val="00F23050"/>
    <w:rsid w:val="00F231A6"/>
    <w:rsid w:val="00F238CE"/>
    <w:rsid w:val="00F23BF3"/>
    <w:rsid w:val="00F24DF2"/>
    <w:rsid w:val="00F26622"/>
    <w:rsid w:val="00F267FC"/>
    <w:rsid w:val="00F27AF1"/>
    <w:rsid w:val="00F304B7"/>
    <w:rsid w:val="00F30887"/>
    <w:rsid w:val="00F310FC"/>
    <w:rsid w:val="00F31BF9"/>
    <w:rsid w:val="00F32EC6"/>
    <w:rsid w:val="00F34D00"/>
    <w:rsid w:val="00F34DFC"/>
    <w:rsid w:val="00F35BC1"/>
    <w:rsid w:val="00F37540"/>
    <w:rsid w:val="00F37B16"/>
    <w:rsid w:val="00F4073A"/>
    <w:rsid w:val="00F40AA3"/>
    <w:rsid w:val="00F40B3E"/>
    <w:rsid w:val="00F418EA"/>
    <w:rsid w:val="00F436BA"/>
    <w:rsid w:val="00F46181"/>
    <w:rsid w:val="00F47D33"/>
    <w:rsid w:val="00F47EE7"/>
    <w:rsid w:val="00F5007C"/>
    <w:rsid w:val="00F50A6D"/>
    <w:rsid w:val="00F51293"/>
    <w:rsid w:val="00F55C0D"/>
    <w:rsid w:val="00F55C37"/>
    <w:rsid w:val="00F565B6"/>
    <w:rsid w:val="00F570E5"/>
    <w:rsid w:val="00F57170"/>
    <w:rsid w:val="00F6015F"/>
    <w:rsid w:val="00F60EBD"/>
    <w:rsid w:val="00F60EE1"/>
    <w:rsid w:val="00F60FB1"/>
    <w:rsid w:val="00F612BB"/>
    <w:rsid w:val="00F627E9"/>
    <w:rsid w:val="00F62A45"/>
    <w:rsid w:val="00F636D1"/>
    <w:rsid w:val="00F65748"/>
    <w:rsid w:val="00F663D8"/>
    <w:rsid w:val="00F6684E"/>
    <w:rsid w:val="00F6697B"/>
    <w:rsid w:val="00F7012C"/>
    <w:rsid w:val="00F70871"/>
    <w:rsid w:val="00F71345"/>
    <w:rsid w:val="00F715BE"/>
    <w:rsid w:val="00F7188A"/>
    <w:rsid w:val="00F729CC"/>
    <w:rsid w:val="00F73062"/>
    <w:rsid w:val="00F73325"/>
    <w:rsid w:val="00F734C1"/>
    <w:rsid w:val="00F73C47"/>
    <w:rsid w:val="00F74DC3"/>
    <w:rsid w:val="00F759D0"/>
    <w:rsid w:val="00F76A20"/>
    <w:rsid w:val="00F76D18"/>
    <w:rsid w:val="00F77A5D"/>
    <w:rsid w:val="00F80CAD"/>
    <w:rsid w:val="00F817DF"/>
    <w:rsid w:val="00F81F29"/>
    <w:rsid w:val="00F82BD2"/>
    <w:rsid w:val="00F82D39"/>
    <w:rsid w:val="00F836E7"/>
    <w:rsid w:val="00F84CD4"/>
    <w:rsid w:val="00F84F4F"/>
    <w:rsid w:val="00F87245"/>
    <w:rsid w:val="00F8738A"/>
    <w:rsid w:val="00F87542"/>
    <w:rsid w:val="00F90292"/>
    <w:rsid w:val="00F9089F"/>
    <w:rsid w:val="00F93C88"/>
    <w:rsid w:val="00F93F04"/>
    <w:rsid w:val="00F948F1"/>
    <w:rsid w:val="00F95493"/>
    <w:rsid w:val="00F958D6"/>
    <w:rsid w:val="00F96512"/>
    <w:rsid w:val="00F965F5"/>
    <w:rsid w:val="00F96C78"/>
    <w:rsid w:val="00F96F44"/>
    <w:rsid w:val="00F970D0"/>
    <w:rsid w:val="00F97BD6"/>
    <w:rsid w:val="00FA0A86"/>
    <w:rsid w:val="00FA1FB2"/>
    <w:rsid w:val="00FA2605"/>
    <w:rsid w:val="00FA2F1F"/>
    <w:rsid w:val="00FA330F"/>
    <w:rsid w:val="00FA332A"/>
    <w:rsid w:val="00FA4003"/>
    <w:rsid w:val="00FA5C15"/>
    <w:rsid w:val="00FA7782"/>
    <w:rsid w:val="00FB121E"/>
    <w:rsid w:val="00FB18DB"/>
    <w:rsid w:val="00FB19DB"/>
    <w:rsid w:val="00FB25B3"/>
    <w:rsid w:val="00FB49D6"/>
    <w:rsid w:val="00FB4A9B"/>
    <w:rsid w:val="00FB58C7"/>
    <w:rsid w:val="00FB5D6B"/>
    <w:rsid w:val="00FB7564"/>
    <w:rsid w:val="00FC012F"/>
    <w:rsid w:val="00FC08AB"/>
    <w:rsid w:val="00FC1459"/>
    <w:rsid w:val="00FC1BF5"/>
    <w:rsid w:val="00FC1FA2"/>
    <w:rsid w:val="00FC2107"/>
    <w:rsid w:val="00FC2A6A"/>
    <w:rsid w:val="00FC33FE"/>
    <w:rsid w:val="00FC38E7"/>
    <w:rsid w:val="00FC4A32"/>
    <w:rsid w:val="00FC5B23"/>
    <w:rsid w:val="00FC601B"/>
    <w:rsid w:val="00FC6B2E"/>
    <w:rsid w:val="00FC702C"/>
    <w:rsid w:val="00FC70FB"/>
    <w:rsid w:val="00FC7379"/>
    <w:rsid w:val="00FC7909"/>
    <w:rsid w:val="00FD184D"/>
    <w:rsid w:val="00FD25DB"/>
    <w:rsid w:val="00FD29C8"/>
    <w:rsid w:val="00FD3E58"/>
    <w:rsid w:val="00FD4185"/>
    <w:rsid w:val="00FD5150"/>
    <w:rsid w:val="00FD5249"/>
    <w:rsid w:val="00FD5538"/>
    <w:rsid w:val="00FD5BA9"/>
    <w:rsid w:val="00FD6239"/>
    <w:rsid w:val="00FD7119"/>
    <w:rsid w:val="00FE14BA"/>
    <w:rsid w:val="00FE1C28"/>
    <w:rsid w:val="00FE2446"/>
    <w:rsid w:val="00FE296C"/>
    <w:rsid w:val="00FE4C70"/>
    <w:rsid w:val="00FE5BC6"/>
    <w:rsid w:val="00FE62D5"/>
    <w:rsid w:val="00FF0B33"/>
    <w:rsid w:val="00FF15EF"/>
    <w:rsid w:val="00FF1DD0"/>
    <w:rsid w:val="00FF40D6"/>
    <w:rsid w:val="00FF44ED"/>
    <w:rsid w:val="00FF47D7"/>
    <w:rsid w:val="00FF4B12"/>
    <w:rsid w:val="00FF554A"/>
    <w:rsid w:val="00FF6628"/>
    <w:rsid w:val="00FF67CE"/>
    <w:rsid w:val="00FF7345"/>
    <w:rsid w:val="00FF7D8A"/>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E5F1085-EA5F-4DCD-B67E-70D5631E7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830"/>
    <w:rPr>
      <w:rFonts w:ascii="Times New Roman" w:eastAsia="MS Mincho" w:hAnsi="Times New Roman" w:cs="Times New Roman"/>
      <w:sz w:val="24"/>
      <w:szCs w:val="24"/>
      <w:lang w:val="es-ES" w:eastAsia="es-ES"/>
    </w:rPr>
  </w:style>
  <w:style w:type="paragraph" w:styleId="Ttulo1">
    <w:name w:val="heading 1"/>
    <w:basedOn w:val="Normal"/>
    <w:next w:val="Normal"/>
    <w:link w:val="Ttulo1Car"/>
    <w:uiPriority w:val="9"/>
    <w:qFormat/>
    <w:rsid w:val="008C2E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5">
    <w:name w:val="heading 5"/>
    <w:basedOn w:val="Normal"/>
    <w:link w:val="Ttulo5Car"/>
    <w:uiPriority w:val="9"/>
    <w:semiHidden/>
    <w:unhideWhenUsed/>
    <w:qFormat/>
    <w:rsid w:val="008C2E4A"/>
    <w:pPr>
      <w:spacing w:before="100" w:beforeAutospacing="1" w:after="100" w:afterAutospacing="1"/>
      <w:outlineLvl w:val="4"/>
    </w:pPr>
    <w:rPr>
      <w:rFonts w:eastAsia="Times New Roman"/>
      <w:b/>
      <w:bCs/>
      <w:sz w:val="20"/>
      <w:szCs w:val="20"/>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F71345"/>
  </w:style>
  <w:style w:type="paragraph" w:styleId="Piedepgina">
    <w:name w:val="footer"/>
    <w:basedOn w:val="Normal"/>
    <w:link w:val="PiedepginaCar"/>
    <w:uiPriority w:val="99"/>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F71345"/>
  </w:style>
  <w:style w:type="paragraph" w:styleId="Textodeglobo">
    <w:name w:val="Balloon Text"/>
    <w:basedOn w:val="Normal"/>
    <w:link w:val="TextodegloboCar"/>
    <w:uiPriority w:val="99"/>
    <w:semiHidden/>
    <w:unhideWhenUsed/>
    <w:rsid w:val="00F71345"/>
    <w:rPr>
      <w:rFonts w:ascii="Tahoma" w:eastAsiaTheme="minorHAnsi" w:hAnsi="Tahoma" w:cs="Tahoma"/>
      <w:sz w:val="16"/>
      <w:szCs w:val="16"/>
      <w:lang w:val="es-CO" w:eastAsia="en-US"/>
    </w:rPr>
  </w:style>
  <w:style w:type="character" w:customStyle="1" w:styleId="TextodegloboCar">
    <w:name w:val="Texto de globo Car"/>
    <w:basedOn w:val="Fuentedeprrafopredeter"/>
    <w:link w:val="Textodeglobo"/>
    <w:uiPriority w:val="99"/>
    <w:semiHidden/>
    <w:rsid w:val="00F71345"/>
    <w:rPr>
      <w:rFonts w:ascii="Tahoma" w:hAnsi="Tahoma" w:cs="Tahoma"/>
      <w:sz w:val="16"/>
      <w:szCs w:val="16"/>
    </w:rPr>
  </w:style>
  <w:style w:type="table" w:styleId="Tablaconcuadrcula">
    <w:name w:val="Table Grid"/>
    <w:basedOn w:val="Tablanormal"/>
    <w:uiPriority w:val="99"/>
    <w:rsid w:val="00F71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A2D0E"/>
    <w:rPr>
      <w:color w:val="0000FF" w:themeColor="hyperlink"/>
      <w:u w:val="single"/>
    </w:rPr>
  </w:style>
  <w:style w:type="character" w:styleId="Nmerodepgina">
    <w:name w:val="page number"/>
    <w:basedOn w:val="Fuentedeprrafopredeter"/>
    <w:rsid w:val="00F65748"/>
  </w:style>
  <w:style w:type="paragraph" w:styleId="Prrafodelista">
    <w:name w:val="List Paragraph"/>
    <w:aliases w:val="Num Bullet 1"/>
    <w:basedOn w:val="Normal"/>
    <w:link w:val="PrrafodelistaCar"/>
    <w:uiPriority w:val="34"/>
    <w:qFormat/>
    <w:rsid w:val="005E04F5"/>
    <w:pPr>
      <w:ind w:left="720"/>
      <w:contextualSpacing/>
    </w:pPr>
  </w:style>
  <w:style w:type="character" w:styleId="Textoennegrita">
    <w:name w:val="Strong"/>
    <w:basedOn w:val="Fuentedeprrafopredeter"/>
    <w:uiPriority w:val="22"/>
    <w:qFormat/>
    <w:rsid w:val="005E04F5"/>
    <w:rPr>
      <w:b/>
      <w:bCs/>
    </w:rPr>
  </w:style>
  <w:style w:type="paragraph" w:customStyle="1" w:styleId="Prrafodelista1">
    <w:name w:val="Párrafo de lista1"/>
    <w:uiPriority w:val="99"/>
    <w:rsid w:val="0080212F"/>
    <w:pPr>
      <w:ind w:left="720"/>
    </w:pPr>
    <w:rPr>
      <w:rFonts w:ascii="Times New Roman" w:eastAsia="ヒラギノ角ゴ Pro W3" w:hAnsi="Times New Roman" w:cs="Times New Roman"/>
      <w:color w:val="000000"/>
      <w:sz w:val="24"/>
      <w:szCs w:val="20"/>
      <w:lang w:val="es-ES_tradnl" w:eastAsia="es-CO"/>
    </w:rPr>
  </w:style>
  <w:style w:type="paragraph" w:customStyle="1" w:styleId="FormatolibreCB">
    <w:name w:val="Formato libre C B"/>
    <w:autoRedefine/>
    <w:uiPriority w:val="99"/>
    <w:rsid w:val="0080212F"/>
    <w:rPr>
      <w:rFonts w:ascii="Times New Roman" w:eastAsia="ヒラギノ角ゴ Pro W3" w:hAnsi="Times New Roman" w:cs="Times New Roman"/>
      <w:color w:val="000000"/>
      <w:sz w:val="20"/>
      <w:szCs w:val="20"/>
      <w:lang w:eastAsia="es-CO"/>
    </w:rPr>
  </w:style>
  <w:style w:type="paragraph" w:customStyle="1" w:styleId="FormatolibreCAAA">
    <w:name w:val="Formato libre C A A A"/>
    <w:uiPriority w:val="99"/>
    <w:rsid w:val="0080212F"/>
    <w:rPr>
      <w:rFonts w:ascii="Times New Roman" w:eastAsia="ヒラギノ角ゴ Pro W3" w:hAnsi="Times New Roman" w:cs="Times New Roman"/>
      <w:color w:val="000000"/>
      <w:sz w:val="20"/>
      <w:szCs w:val="20"/>
      <w:lang w:eastAsia="es-CO"/>
    </w:rPr>
  </w:style>
  <w:style w:type="paragraph" w:customStyle="1" w:styleId="Formatolibre">
    <w:name w:val="Formato libre"/>
    <w:uiPriority w:val="99"/>
    <w:rsid w:val="00FD4185"/>
    <w:rPr>
      <w:rFonts w:ascii="Times New Roman" w:eastAsia="ヒラギノ角ゴ Pro W3" w:hAnsi="Times New Roman" w:cs="Times New Roman"/>
      <w:color w:val="000000"/>
      <w:sz w:val="20"/>
      <w:szCs w:val="20"/>
      <w:lang w:eastAsia="es-CO"/>
    </w:rPr>
  </w:style>
  <w:style w:type="paragraph" w:customStyle="1" w:styleId="FormatolibreCA">
    <w:name w:val="Formato libre C A"/>
    <w:uiPriority w:val="99"/>
    <w:rsid w:val="00FD4185"/>
    <w:rPr>
      <w:rFonts w:ascii="Times New Roman" w:eastAsia="ヒラギノ角ゴ Pro W3" w:hAnsi="Times New Roman" w:cs="Times New Roman"/>
      <w:color w:val="000000"/>
      <w:sz w:val="20"/>
      <w:szCs w:val="20"/>
      <w:lang w:eastAsia="es-CO"/>
    </w:rPr>
  </w:style>
  <w:style w:type="paragraph" w:customStyle="1" w:styleId="Prrafodelista2">
    <w:name w:val="Párrafo de lista2"/>
    <w:uiPriority w:val="99"/>
    <w:rsid w:val="00FD4185"/>
    <w:pPr>
      <w:ind w:left="720"/>
    </w:pPr>
    <w:rPr>
      <w:rFonts w:ascii="Times New Roman" w:eastAsia="ヒラギノ角ゴ Pro W3" w:hAnsi="Times New Roman" w:cs="Times New Roman"/>
      <w:color w:val="000000"/>
      <w:sz w:val="24"/>
      <w:szCs w:val="20"/>
      <w:lang w:val="es-ES_tradnl" w:eastAsia="es-CO"/>
    </w:rPr>
  </w:style>
  <w:style w:type="paragraph" w:styleId="Sinespaciado">
    <w:name w:val="No Spacing"/>
    <w:uiPriority w:val="1"/>
    <w:qFormat/>
    <w:rsid w:val="007B1D31"/>
  </w:style>
  <w:style w:type="character" w:styleId="Refdecomentario">
    <w:name w:val="annotation reference"/>
    <w:basedOn w:val="Fuentedeprrafopredeter"/>
    <w:uiPriority w:val="99"/>
    <w:semiHidden/>
    <w:unhideWhenUsed/>
    <w:rsid w:val="00CB6B23"/>
    <w:rPr>
      <w:sz w:val="16"/>
      <w:szCs w:val="16"/>
    </w:rPr>
  </w:style>
  <w:style w:type="paragraph" w:styleId="Textocomentario">
    <w:name w:val="annotation text"/>
    <w:basedOn w:val="Normal"/>
    <w:link w:val="TextocomentarioCar"/>
    <w:uiPriority w:val="99"/>
    <w:unhideWhenUsed/>
    <w:rsid w:val="00CB6B23"/>
    <w:rPr>
      <w:sz w:val="20"/>
      <w:szCs w:val="20"/>
    </w:rPr>
  </w:style>
  <w:style w:type="character" w:customStyle="1" w:styleId="TextocomentarioCar">
    <w:name w:val="Texto comentario Car"/>
    <w:basedOn w:val="Fuentedeprrafopredeter"/>
    <w:link w:val="Textocomentario"/>
    <w:uiPriority w:val="99"/>
    <w:rsid w:val="00CB6B23"/>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B6B23"/>
    <w:rPr>
      <w:b/>
      <w:bCs/>
    </w:rPr>
  </w:style>
  <w:style w:type="character" w:customStyle="1" w:styleId="AsuntodelcomentarioCar">
    <w:name w:val="Asunto del comentario Car"/>
    <w:basedOn w:val="TextocomentarioCar"/>
    <w:link w:val="Asuntodelcomentario"/>
    <w:uiPriority w:val="99"/>
    <w:semiHidden/>
    <w:rsid w:val="00CB6B23"/>
    <w:rPr>
      <w:rFonts w:ascii="Times New Roman" w:eastAsia="MS Mincho" w:hAnsi="Times New Roman" w:cs="Times New Roman"/>
      <w:b/>
      <w:bCs/>
      <w:sz w:val="20"/>
      <w:szCs w:val="20"/>
      <w:lang w:val="es-ES" w:eastAsia="es-ES"/>
    </w:rPr>
  </w:style>
  <w:style w:type="paragraph" w:styleId="NormalWeb">
    <w:name w:val="Normal (Web)"/>
    <w:basedOn w:val="Normal"/>
    <w:uiPriority w:val="99"/>
    <w:rsid w:val="000D6114"/>
    <w:pPr>
      <w:spacing w:before="100" w:beforeAutospacing="1" w:after="119"/>
    </w:pPr>
    <w:rPr>
      <w:rFonts w:eastAsia="Calibri"/>
    </w:rPr>
  </w:style>
  <w:style w:type="character" w:customStyle="1" w:styleId="Ttulo1Car">
    <w:name w:val="Título 1 Car"/>
    <w:basedOn w:val="Fuentedeprrafopredeter"/>
    <w:link w:val="Ttulo1"/>
    <w:uiPriority w:val="9"/>
    <w:rsid w:val="008C2E4A"/>
    <w:rPr>
      <w:rFonts w:asciiTheme="majorHAnsi" w:eastAsiaTheme="majorEastAsia" w:hAnsiTheme="majorHAnsi" w:cstheme="majorBidi"/>
      <w:color w:val="365F91" w:themeColor="accent1" w:themeShade="BF"/>
      <w:sz w:val="32"/>
      <w:szCs w:val="32"/>
      <w:lang w:val="es-ES" w:eastAsia="es-ES"/>
    </w:rPr>
  </w:style>
  <w:style w:type="character" w:customStyle="1" w:styleId="Ttulo5Car">
    <w:name w:val="Título 5 Car"/>
    <w:basedOn w:val="Fuentedeprrafopredeter"/>
    <w:link w:val="Ttulo5"/>
    <w:uiPriority w:val="9"/>
    <w:semiHidden/>
    <w:rsid w:val="008C2E4A"/>
    <w:rPr>
      <w:rFonts w:ascii="Times New Roman" w:eastAsia="Times New Roman" w:hAnsi="Times New Roman" w:cs="Times New Roman"/>
      <w:b/>
      <w:bCs/>
      <w:sz w:val="20"/>
      <w:szCs w:val="20"/>
      <w:lang w:eastAsia="es-CO"/>
    </w:rPr>
  </w:style>
  <w:style w:type="character" w:styleId="Hipervnculovisitado">
    <w:name w:val="FollowedHyperlink"/>
    <w:basedOn w:val="Fuentedeprrafopredeter"/>
    <w:uiPriority w:val="99"/>
    <w:semiHidden/>
    <w:unhideWhenUsed/>
    <w:rsid w:val="008C2E4A"/>
    <w:rPr>
      <w:color w:val="800080" w:themeColor="followedHyperlink"/>
      <w:u w:val="single"/>
    </w:rPr>
  </w:style>
  <w:style w:type="paragraph" w:customStyle="1" w:styleId="msonormal0">
    <w:name w:val="msonormal"/>
    <w:basedOn w:val="Normal"/>
    <w:uiPriority w:val="99"/>
    <w:rsid w:val="008C2E4A"/>
    <w:pPr>
      <w:spacing w:before="100" w:beforeAutospacing="1" w:after="100" w:afterAutospacing="1"/>
    </w:pPr>
    <w:rPr>
      <w:rFonts w:eastAsia="Times New Roman"/>
      <w:lang w:val="es-CO" w:eastAsia="es-CO"/>
    </w:rPr>
  </w:style>
  <w:style w:type="paragraph" w:styleId="Textonotapie">
    <w:name w:val="footnote text"/>
    <w:basedOn w:val="Normal"/>
    <w:link w:val="TextonotapieCar"/>
    <w:uiPriority w:val="99"/>
    <w:unhideWhenUsed/>
    <w:rsid w:val="008C2E4A"/>
    <w:rPr>
      <w:sz w:val="20"/>
      <w:szCs w:val="20"/>
    </w:rPr>
  </w:style>
  <w:style w:type="character" w:customStyle="1" w:styleId="TextonotapieCar">
    <w:name w:val="Texto nota pie Car"/>
    <w:basedOn w:val="Fuentedeprrafopredeter"/>
    <w:link w:val="Textonotapie"/>
    <w:uiPriority w:val="99"/>
    <w:rsid w:val="008C2E4A"/>
    <w:rPr>
      <w:rFonts w:ascii="Times New Roman" w:eastAsia="MS Mincho" w:hAnsi="Times New Roman" w:cs="Times New Roman"/>
      <w:sz w:val="20"/>
      <w:szCs w:val="20"/>
      <w:lang w:val="es-ES" w:eastAsia="es-ES"/>
    </w:rPr>
  </w:style>
  <w:style w:type="paragraph" w:styleId="Textoindependiente2">
    <w:name w:val="Body Text 2"/>
    <w:basedOn w:val="Normal"/>
    <w:link w:val="Textoindependiente2Car"/>
    <w:uiPriority w:val="99"/>
    <w:unhideWhenUsed/>
    <w:rsid w:val="008C2E4A"/>
    <w:pPr>
      <w:jc w:val="both"/>
    </w:pPr>
    <w:rPr>
      <w:rFonts w:ascii="Arial" w:eastAsia="Times New Roman" w:hAnsi="Arial"/>
      <w:sz w:val="20"/>
      <w:szCs w:val="20"/>
      <w:lang w:val="es-ES_tradnl"/>
    </w:rPr>
  </w:style>
  <w:style w:type="character" w:customStyle="1" w:styleId="Textoindependiente2Car">
    <w:name w:val="Texto independiente 2 Car"/>
    <w:basedOn w:val="Fuentedeprrafopredeter"/>
    <w:link w:val="Textoindependiente2"/>
    <w:uiPriority w:val="99"/>
    <w:rsid w:val="008C2E4A"/>
    <w:rPr>
      <w:rFonts w:ascii="Arial" w:eastAsia="Times New Roman" w:hAnsi="Arial" w:cs="Times New Roman"/>
      <w:sz w:val="20"/>
      <w:szCs w:val="20"/>
      <w:lang w:val="es-ES_tradnl" w:eastAsia="es-ES"/>
    </w:rPr>
  </w:style>
  <w:style w:type="character" w:customStyle="1" w:styleId="PrrafodelistaCar">
    <w:name w:val="Párrafo de lista Car"/>
    <w:aliases w:val="Num Bullet 1 Car"/>
    <w:link w:val="Prrafodelista"/>
    <w:uiPriority w:val="34"/>
    <w:locked/>
    <w:rsid w:val="008C2E4A"/>
    <w:rPr>
      <w:rFonts w:ascii="Times New Roman" w:eastAsia="MS Mincho" w:hAnsi="Times New Roman" w:cs="Times New Roman"/>
      <w:sz w:val="24"/>
      <w:szCs w:val="24"/>
      <w:lang w:val="es-ES" w:eastAsia="es-ES"/>
    </w:rPr>
  </w:style>
  <w:style w:type="paragraph" w:customStyle="1" w:styleId="Default">
    <w:name w:val="Default"/>
    <w:uiPriority w:val="99"/>
    <w:rsid w:val="008C2E4A"/>
    <w:pPr>
      <w:autoSpaceDE w:val="0"/>
      <w:autoSpaceDN w:val="0"/>
      <w:adjustRightInd w:val="0"/>
    </w:pPr>
    <w:rPr>
      <w:rFonts w:ascii="Arial" w:hAnsi="Arial" w:cs="Arial"/>
      <w:color w:val="000000"/>
      <w:sz w:val="24"/>
      <w:szCs w:val="24"/>
    </w:rPr>
  </w:style>
  <w:style w:type="character" w:styleId="Refdenotaalpie">
    <w:name w:val="footnote reference"/>
    <w:basedOn w:val="Fuentedeprrafopredeter"/>
    <w:uiPriority w:val="99"/>
    <w:semiHidden/>
    <w:unhideWhenUsed/>
    <w:rsid w:val="008C2E4A"/>
    <w:rPr>
      <w:vertAlign w:val="superscript"/>
    </w:rPr>
  </w:style>
  <w:style w:type="character" w:customStyle="1" w:styleId="Hipervnculovisitado1">
    <w:name w:val="Hipervínculo visitado1"/>
    <w:basedOn w:val="Fuentedeprrafopredeter"/>
    <w:uiPriority w:val="99"/>
    <w:semiHidden/>
    <w:rsid w:val="008C2E4A"/>
    <w:rPr>
      <w:color w:val="954F72"/>
      <w:u w:val="single"/>
    </w:rPr>
  </w:style>
  <w:style w:type="table" w:styleId="Tablanormal2">
    <w:name w:val="Plain Table 2"/>
    <w:basedOn w:val="Tablanormal"/>
    <w:uiPriority w:val="42"/>
    <w:rsid w:val="008C2E4A"/>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8C2E4A"/>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5">
    <w:name w:val="Plain Table 5"/>
    <w:basedOn w:val="Tablanormal"/>
    <w:uiPriority w:val="45"/>
    <w:rsid w:val="008C2E4A"/>
    <w:tblPr>
      <w:tblStyleRowBandSize w:val="1"/>
      <w:tblStyleColBandSize w:val="1"/>
      <w:tblInd w:w="0" w:type="nil"/>
    </w:tblPr>
    <w:tblStylePr w:type="firstRow">
      <w:rPr>
        <w:rFonts w:asciiTheme="majorHAnsi" w:eastAsiaTheme="majorEastAsia" w:hAnsiTheme="majorHAnsi" w:cstheme="majorBidi" w:hint="default"/>
        <w:i/>
        <w:iCs/>
        <w:sz w:val="26"/>
        <w:szCs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1">
    <w:name w:val="Tabla con cuadrícula1"/>
    <w:basedOn w:val="Tablanormal"/>
    <w:uiPriority w:val="39"/>
    <w:rsid w:val="008C2E4A"/>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0709F9"/>
    <w:rPr>
      <w:rFonts w:ascii="Times New Roman" w:eastAsia="MS Mincho" w:hAnsi="Times New Roman" w:cs="Times New Roman"/>
      <w:sz w:val="24"/>
      <w:szCs w:val="24"/>
      <w:lang w:val="es-ES" w:eastAsia="es-ES"/>
    </w:rPr>
  </w:style>
  <w:style w:type="character" w:customStyle="1" w:styleId="Mencinsinresolver1">
    <w:name w:val="Mención sin resolver1"/>
    <w:basedOn w:val="Fuentedeprrafopredeter"/>
    <w:uiPriority w:val="99"/>
    <w:semiHidden/>
    <w:unhideWhenUsed/>
    <w:rsid w:val="00664B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96213">
      <w:bodyDiv w:val="1"/>
      <w:marLeft w:val="0"/>
      <w:marRight w:val="0"/>
      <w:marTop w:val="0"/>
      <w:marBottom w:val="0"/>
      <w:divBdr>
        <w:top w:val="none" w:sz="0" w:space="0" w:color="auto"/>
        <w:left w:val="none" w:sz="0" w:space="0" w:color="auto"/>
        <w:bottom w:val="none" w:sz="0" w:space="0" w:color="auto"/>
        <w:right w:val="none" w:sz="0" w:space="0" w:color="auto"/>
      </w:divBdr>
    </w:div>
    <w:div w:id="250823940">
      <w:bodyDiv w:val="1"/>
      <w:marLeft w:val="0"/>
      <w:marRight w:val="0"/>
      <w:marTop w:val="0"/>
      <w:marBottom w:val="0"/>
      <w:divBdr>
        <w:top w:val="none" w:sz="0" w:space="0" w:color="auto"/>
        <w:left w:val="none" w:sz="0" w:space="0" w:color="auto"/>
        <w:bottom w:val="none" w:sz="0" w:space="0" w:color="auto"/>
        <w:right w:val="none" w:sz="0" w:space="0" w:color="auto"/>
      </w:divBdr>
    </w:div>
    <w:div w:id="303051801">
      <w:bodyDiv w:val="1"/>
      <w:marLeft w:val="0"/>
      <w:marRight w:val="0"/>
      <w:marTop w:val="0"/>
      <w:marBottom w:val="0"/>
      <w:divBdr>
        <w:top w:val="none" w:sz="0" w:space="0" w:color="auto"/>
        <w:left w:val="none" w:sz="0" w:space="0" w:color="auto"/>
        <w:bottom w:val="none" w:sz="0" w:space="0" w:color="auto"/>
        <w:right w:val="none" w:sz="0" w:space="0" w:color="auto"/>
      </w:divBdr>
    </w:div>
    <w:div w:id="625696727">
      <w:bodyDiv w:val="1"/>
      <w:marLeft w:val="0"/>
      <w:marRight w:val="0"/>
      <w:marTop w:val="0"/>
      <w:marBottom w:val="0"/>
      <w:divBdr>
        <w:top w:val="none" w:sz="0" w:space="0" w:color="auto"/>
        <w:left w:val="none" w:sz="0" w:space="0" w:color="auto"/>
        <w:bottom w:val="none" w:sz="0" w:space="0" w:color="auto"/>
        <w:right w:val="none" w:sz="0" w:space="0" w:color="auto"/>
      </w:divBdr>
    </w:div>
    <w:div w:id="665549563">
      <w:bodyDiv w:val="1"/>
      <w:marLeft w:val="0"/>
      <w:marRight w:val="0"/>
      <w:marTop w:val="0"/>
      <w:marBottom w:val="0"/>
      <w:divBdr>
        <w:top w:val="none" w:sz="0" w:space="0" w:color="auto"/>
        <w:left w:val="none" w:sz="0" w:space="0" w:color="auto"/>
        <w:bottom w:val="none" w:sz="0" w:space="0" w:color="auto"/>
        <w:right w:val="none" w:sz="0" w:space="0" w:color="auto"/>
      </w:divBdr>
    </w:div>
    <w:div w:id="858473402">
      <w:bodyDiv w:val="1"/>
      <w:marLeft w:val="0"/>
      <w:marRight w:val="0"/>
      <w:marTop w:val="0"/>
      <w:marBottom w:val="0"/>
      <w:divBdr>
        <w:top w:val="none" w:sz="0" w:space="0" w:color="auto"/>
        <w:left w:val="none" w:sz="0" w:space="0" w:color="auto"/>
        <w:bottom w:val="none" w:sz="0" w:space="0" w:color="auto"/>
        <w:right w:val="none" w:sz="0" w:space="0" w:color="auto"/>
      </w:divBdr>
    </w:div>
    <w:div w:id="1299611285">
      <w:bodyDiv w:val="1"/>
      <w:marLeft w:val="0"/>
      <w:marRight w:val="0"/>
      <w:marTop w:val="0"/>
      <w:marBottom w:val="0"/>
      <w:divBdr>
        <w:top w:val="none" w:sz="0" w:space="0" w:color="auto"/>
        <w:left w:val="none" w:sz="0" w:space="0" w:color="auto"/>
        <w:bottom w:val="none" w:sz="0" w:space="0" w:color="auto"/>
        <w:right w:val="none" w:sz="0" w:space="0" w:color="auto"/>
      </w:divBdr>
    </w:div>
    <w:div w:id="1883787966">
      <w:bodyDiv w:val="1"/>
      <w:marLeft w:val="0"/>
      <w:marRight w:val="0"/>
      <w:marTop w:val="0"/>
      <w:marBottom w:val="0"/>
      <w:divBdr>
        <w:top w:val="none" w:sz="0" w:space="0" w:color="auto"/>
        <w:left w:val="none" w:sz="0" w:space="0" w:color="auto"/>
        <w:bottom w:val="none" w:sz="0" w:space="0" w:color="auto"/>
        <w:right w:val="none" w:sz="0" w:space="0" w:color="auto"/>
      </w:divBdr>
    </w:div>
    <w:div w:id="2060979647">
      <w:bodyDiv w:val="1"/>
      <w:marLeft w:val="0"/>
      <w:marRight w:val="0"/>
      <w:marTop w:val="0"/>
      <w:marBottom w:val="0"/>
      <w:divBdr>
        <w:top w:val="none" w:sz="0" w:space="0" w:color="auto"/>
        <w:left w:val="none" w:sz="0" w:space="0" w:color="auto"/>
        <w:bottom w:val="none" w:sz="0" w:space="0" w:color="auto"/>
        <w:right w:val="none" w:sz="0" w:space="0" w:color="auto"/>
      </w:divBdr>
    </w:div>
    <w:div w:id="211833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hdphoto" Target="media/hdphoto1.wdp"/><Relationship Id="rId18" Type="http://schemas.openxmlformats.org/officeDocument/2006/relationships/chart" Target="charts/chart1.xml"/><Relationship Id="rId26" Type="http://schemas.openxmlformats.org/officeDocument/2006/relationships/chart" Target="charts/chart9.xml"/><Relationship Id="rId3" Type="http://schemas.openxmlformats.org/officeDocument/2006/relationships/customXml" Target="../customXml/item3.xml"/><Relationship Id="rId21" Type="http://schemas.openxmlformats.org/officeDocument/2006/relationships/chart" Target="charts/chart4.xm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microsoft.com/office/2007/relationships/hdphoto" Target="media/hdphoto3.wdp"/><Relationship Id="rId25" Type="http://schemas.openxmlformats.org/officeDocument/2006/relationships/chart" Target="charts/chart8.xm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chart" Target="charts/chart3.xm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hart" Target="charts/chart7.xml"/><Relationship Id="rId32" Type="http://schemas.openxmlformats.org/officeDocument/2006/relationships/footer" Target="footer1.xml"/><Relationship Id="rId5" Type="http://schemas.openxmlformats.org/officeDocument/2006/relationships/numbering" Target="numbering.xml"/><Relationship Id="rId15" Type="http://schemas.microsoft.com/office/2007/relationships/hdphoto" Target="media/hdphoto2.wdp"/><Relationship Id="rId23" Type="http://schemas.openxmlformats.org/officeDocument/2006/relationships/chart" Target="charts/chart6.xml"/><Relationship Id="rId28" Type="http://schemas.openxmlformats.org/officeDocument/2006/relationships/hyperlink" Target="https://colaboracion.dnp.gov.co/CDT/Normograma/Lineamiento%20Ministerio%20%20de%20Hacienda%20y%20Credito%20P%C3%BAblico.pdf"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hart" Target="charts/chart2.xm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chart" Target="charts/chart5.xml"/><Relationship Id="rId27" Type="http://schemas.openxmlformats.org/officeDocument/2006/relationships/chart" Target="charts/chart10.xml"/><Relationship Id="rId30" Type="http://schemas.microsoft.com/office/2007/relationships/hdphoto" Target="media/hdphoto4.wdp"/><Relationship Id="rId35" Type="http://schemas.openxmlformats.org/officeDocument/2006/relationships/fontTable" Target="fontTable.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www.colombiacompra.gov.co/sites/cce_public/files/cce_documents/cce_guia_obra_publica.pdf" TargetMode="External"/><Relationship Id="rId3" Type="http://schemas.openxmlformats.org/officeDocument/2006/relationships/hyperlink" Target="https://sintesis.colombiacompra.gov.co/sintesis/3-etapa-contractual-equilibrio-econ%C3%B3mico" TargetMode="External"/><Relationship Id="rId7" Type="http://schemas.openxmlformats.org/officeDocument/2006/relationships/hyperlink" Target="https://www.rues.org.co/ESAL" TargetMode="External"/><Relationship Id="rId2" Type="http://schemas.openxmlformats.org/officeDocument/2006/relationships/hyperlink" Target="https://sintesis.colombiacompra.gov.co/sintesis/1-etapa-precontractual-principios-de-la%20contrataci%C3%B3n-estatal" TargetMode="External"/><Relationship Id="rId1" Type="http://schemas.openxmlformats.org/officeDocument/2006/relationships/hyperlink" Target="https://muisca.dian.gov.co/WebRutMuisca/DefConsultaEstadoRUT.faces" TargetMode="External"/><Relationship Id="rId6" Type="http://schemas.openxmlformats.org/officeDocument/2006/relationships/hyperlink" Target="https://www.rues.org.co/ESAL" TargetMode="External"/><Relationship Id="rId5" Type="http://schemas.openxmlformats.org/officeDocument/2006/relationships/hyperlink" Target="http://linea.ccb.org.co/descripcionciiu/" TargetMode="External"/><Relationship Id="rId4" Type="http://schemas.openxmlformats.org/officeDocument/2006/relationships/hyperlink" Target="https://www.colombiacompra.gov.co/sites/default/files/manuales/cce_guia_estudio_sector_web.pdf" TargetMode="External"/><Relationship Id="rId9" Type="http://schemas.openxmlformats.org/officeDocument/2006/relationships/hyperlink" Target="https://sintesis.colombiacompra.gov.co/sintesis/3-etapa-contractual-equilibrio-econ%C3%B3mi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F:\MCHP_2013\Area_Correspondencia\Plantillas\Plantillas_Finales\017-Presidencia_Octubre_2014\Dotx\Plantilla_Oficio_Comunicaci&#243;n_Oficial_Enviada.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lrodrigu\Desktop\Trabajo%20Lady\1.%20Estrategia%20de%20Seguimiento\Resguardos\Dibulla\2.%20Diagn&#243;stico%20y%20aplicaci&#243;n%20de%20la%20medida\Proyectos%20financiables.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ebbe\Downloads\Contrato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dosorio\AppData\Local\Microsoft\Windows\INetCache\Content.Outlook\033XHC5K\Nivel%20de%20ejecuci&#243;n.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lrodrigu\Desktop\Trabajo%20Lady\1.%20Estrategia%20de%20Seguimiento\Resguardos\Dibulla\2.%20Diagn&#243;stico%20y%20aplicaci&#243;n%20de%20la%20medida\Folio\An&#225;lisis%20financiero\Copia%20de%20Gr&#225;fica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lrodrigu\Desktop\Trabajo%20Lady\1.%20Estrategia%20de%20Seguimiento\Resguardos\Dibulla\2.%20Diagn&#243;stico%20y%20aplicaci&#243;n%20de%20la%20medida\Folio\An&#225;lisis%20financiero\Copia%20de%20Gr&#225;fica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lrodrigu\Desktop\Trabajo%20Lady\1.%20Estrategia%20de%20Seguimiento\Resguardos\Dibulla\2.%20Diagn&#243;stico%20y%20aplicaci&#243;n%20de%20la%20medida\Folio\An&#225;lisis%20financiero\Copia%20de%20Gr&#225;fica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lrodrigu\Desktop\Trabajo%20Lady\1.%20Estrategia%20de%20Seguimiento\Resguardos\Dibulla\2.%20Diagn&#243;stico%20y%20aplicaci&#243;n%20de%20la%20medida\Proyectos%20financiable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lrodrigu\Desktop\Trabajo%20Lady\1.%20Estrategia%20de%20Seguimiento\Resguardos\Dibulla\2.%20Diagn&#243;stico%20y%20aplicaci&#243;n%20de%20la%20medida\Proyectos%20financiable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Hoja4!$K$4</c:f>
              <c:strCache>
                <c:ptCount val="1"/>
                <c:pt idx="0">
                  <c:v>2019</c:v>
                </c:pt>
              </c:strCache>
            </c:strRef>
          </c:tx>
          <c:spPr>
            <a:solidFill>
              <a:schemeClr val="accent1"/>
            </a:solidFill>
            <a:ln>
              <a:solidFill>
                <a:schemeClr val="bg1"/>
              </a:solidFill>
            </a:ln>
            <a:effectLst/>
          </c:spPr>
          <c:invertIfNegative val="0"/>
          <c:cat>
            <c:strRef>
              <c:f>Hoja4!$J$5:$J$10</c:f>
              <c:strCache>
                <c:ptCount val="6"/>
                <c:pt idx="0">
                  <c:v>Cultura</c:v>
                </c:pt>
                <c:pt idx="1">
                  <c:v>Interventoría</c:v>
                </c:pt>
                <c:pt idx="2">
                  <c:v>Infraestructura</c:v>
                </c:pt>
                <c:pt idx="3">
                  <c:v>Educación</c:v>
                </c:pt>
                <c:pt idx="4">
                  <c:v>Salud</c:v>
                </c:pt>
                <c:pt idx="5">
                  <c:v>Desarrollo Agropecuario</c:v>
                </c:pt>
              </c:strCache>
            </c:strRef>
          </c:cat>
          <c:val>
            <c:numRef>
              <c:f>Hoja4!$K$5:$K$10</c:f>
              <c:numCache>
                <c:formatCode>General</c:formatCode>
                <c:ptCount val="6"/>
                <c:pt idx="0">
                  <c:v>0</c:v>
                </c:pt>
                <c:pt idx="1">
                  <c:v>1</c:v>
                </c:pt>
                <c:pt idx="2">
                  <c:v>3</c:v>
                </c:pt>
                <c:pt idx="3">
                  <c:v>4</c:v>
                </c:pt>
                <c:pt idx="4">
                  <c:v>2</c:v>
                </c:pt>
                <c:pt idx="5">
                  <c:v>4</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0-A1C4-4751-99B7-B4D11A329D5F}"/>
            </c:ext>
          </c:extLst>
        </c:ser>
        <c:ser>
          <c:idx val="1"/>
          <c:order val="1"/>
          <c:tx>
            <c:strRef>
              <c:f>Hoja4!$L$4</c:f>
              <c:strCache>
                <c:ptCount val="1"/>
                <c:pt idx="0">
                  <c:v>2018</c:v>
                </c:pt>
              </c:strCache>
            </c:strRef>
          </c:tx>
          <c:spPr>
            <a:solidFill>
              <a:schemeClr val="accent2"/>
            </a:solidFill>
            <a:ln>
              <a:solidFill>
                <a:schemeClr val="bg1"/>
              </a:solidFill>
            </a:ln>
            <a:effectLst/>
          </c:spPr>
          <c:invertIfNegative val="0"/>
          <c:cat>
            <c:strRef>
              <c:f>Hoja4!$J$5:$J$10</c:f>
              <c:strCache>
                <c:ptCount val="6"/>
                <c:pt idx="0">
                  <c:v>Cultura</c:v>
                </c:pt>
                <c:pt idx="1">
                  <c:v>Interventoría</c:v>
                </c:pt>
                <c:pt idx="2">
                  <c:v>Infraestructura</c:v>
                </c:pt>
                <c:pt idx="3">
                  <c:v>Educación</c:v>
                </c:pt>
                <c:pt idx="4">
                  <c:v>Salud</c:v>
                </c:pt>
                <c:pt idx="5">
                  <c:v>Desarrollo Agropecuario</c:v>
                </c:pt>
              </c:strCache>
            </c:strRef>
          </c:cat>
          <c:val>
            <c:numRef>
              <c:f>Hoja4!$L$5:$L$10</c:f>
              <c:numCache>
                <c:formatCode>General</c:formatCode>
                <c:ptCount val="6"/>
                <c:pt idx="0">
                  <c:v>0</c:v>
                </c:pt>
                <c:pt idx="1">
                  <c:v>1</c:v>
                </c:pt>
                <c:pt idx="2">
                  <c:v>2</c:v>
                </c:pt>
                <c:pt idx="3">
                  <c:v>6</c:v>
                </c:pt>
                <c:pt idx="4">
                  <c:v>3</c:v>
                </c:pt>
                <c:pt idx="5">
                  <c:v>7</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1-A1C4-4751-99B7-B4D11A329D5F}"/>
            </c:ext>
          </c:extLst>
        </c:ser>
        <c:ser>
          <c:idx val="2"/>
          <c:order val="2"/>
          <c:tx>
            <c:strRef>
              <c:f>Hoja4!$M$4</c:f>
              <c:strCache>
                <c:ptCount val="1"/>
                <c:pt idx="0">
                  <c:v>2017</c:v>
                </c:pt>
              </c:strCache>
            </c:strRef>
          </c:tx>
          <c:spPr>
            <a:solidFill>
              <a:schemeClr val="accent3"/>
            </a:solidFill>
            <a:ln>
              <a:solidFill>
                <a:schemeClr val="bg1"/>
              </a:solidFill>
            </a:ln>
            <a:effectLst/>
          </c:spPr>
          <c:invertIfNegative val="0"/>
          <c:cat>
            <c:strRef>
              <c:f>Hoja4!$J$5:$J$10</c:f>
              <c:strCache>
                <c:ptCount val="6"/>
                <c:pt idx="0">
                  <c:v>Cultura</c:v>
                </c:pt>
                <c:pt idx="1">
                  <c:v>Interventoría</c:v>
                </c:pt>
                <c:pt idx="2">
                  <c:v>Infraestructura</c:v>
                </c:pt>
                <c:pt idx="3">
                  <c:v>Educación</c:v>
                </c:pt>
                <c:pt idx="4">
                  <c:v>Salud</c:v>
                </c:pt>
                <c:pt idx="5">
                  <c:v>Desarrollo Agropecuario</c:v>
                </c:pt>
              </c:strCache>
            </c:strRef>
          </c:cat>
          <c:val>
            <c:numRef>
              <c:f>Hoja4!$M$5:$M$10</c:f>
              <c:numCache>
                <c:formatCode>General</c:formatCode>
                <c:ptCount val="6"/>
                <c:pt idx="0">
                  <c:v>2</c:v>
                </c:pt>
                <c:pt idx="1">
                  <c:v>1</c:v>
                </c:pt>
                <c:pt idx="2">
                  <c:v>1</c:v>
                </c:pt>
                <c:pt idx="3">
                  <c:v>11</c:v>
                </c:pt>
                <c:pt idx="4">
                  <c:v>3</c:v>
                </c:pt>
                <c:pt idx="5">
                  <c:v>9</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2-A1C4-4751-99B7-B4D11A329D5F}"/>
            </c:ext>
          </c:extLst>
        </c:ser>
        <c:dLbls>
          <c:showLegendKey val="0"/>
          <c:showVal val="0"/>
          <c:showCatName val="0"/>
          <c:showSerName val="0"/>
          <c:showPercent val="0"/>
          <c:showBubbleSize val="0"/>
        </c:dLbls>
        <c:gapWidth val="182"/>
        <c:axId val="608021600"/>
        <c:axId val="608022848"/>
      </c:barChart>
      <c:catAx>
        <c:axId val="6080216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r>
                  <a:rPr lang="es-CO"/>
                  <a:t>SECTOR DE INVERSIÓN</a:t>
                </a:r>
              </a:p>
            </c:rich>
          </c:tx>
          <c:layout>
            <c:manualLayout>
              <c:xMode val="edge"/>
              <c:yMode val="edge"/>
              <c:x val="1.1227124733355787E-2"/>
              <c:y val="0.1387716535433070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endParaRPr lang="es-CO"/>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endParaRPr lang="es-CO"/>
          </a:p>
        </c:txPr>
        <c:crossAx val="608022848"/>
        <c:crosses val="autoZero"/>
        <c:auto val="1"/>
        <c:lblAlgn val="ctr"/>
        <c:lblOffset val="100"/>
        <c:noMultiLvlLbl val="0"/>
      </c:catAx>
      <c:valAx>
        <c:axId val="60802284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r>
                  <a:rPr lang="es-CO"/>
                  <a:t>NÚMERO DE PROYECTOS</a:t>
                </a:r>
              </a:p>
            </c:rich>
          </c:tx>
          <c:layout>
            <c:manualLayout>
              <c:xMode val="edge"/>
              <c:yMode val="edge"/>
              <c:x val="0.45416866677451773"/>
              <c:y val="0.8838080034516233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endParaRPr lang="es-CO"/>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s-CO"/>
          </a:p>
        </c:txPr>
        <c:crossAx val="608021600"/>
        <c:crosses val="autoZero"/>
        <c:crossBetween val="between"/>
        <c:majorUnit val="1"/>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Narrow" panose="020B0606020202030204" pitchFamily="34" charset="0"/>
        </a:defRPr>
      </a:pPr>
      <a:endParaRPr lang="es-CO"/>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1"/>
                </a:solidFill>
                <a:latin typeface="Arial Narrow" panose="020B0606020202030204" pitchFamily="34" charset="0"/>
                <a:ea typeface="+mn-ea"/>
                <a:cs typeface="+mn-cs"/>
              </a:defRPr>
            </a:pPr>
            <a:r>
              <a:rPr lang="es-CO" sz="1100"/>
              <a:t>Vigencia 2018</a:t>
            </a:r>
          </a:p>
        </c:rich>
      </c:tx>
      <c:layout>
        <c:manualLayout>
          <c:xMode val="edge"/>
          <c:yMode val="edge"/>
          <c:x val="0.35678105262387949"/>
          <c:y val="1.8645121193287758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Arial Narrow" panose="020B0606020202030204" pitchFamily="34" charset="0"/>
              <a:ea typeface="+mn-ea"/>
              <a:cs typeface="+mn-cs"/>
            </a:defRPr>
          </a:pPr>
          <a:endParaRPr lang="es-CO"/>
        </a:p>
      </c:txPr>
    </c:title>
    <c:autoTitleDeleted val="0"/>
    <c:plotArea>
      <c:layout/>
      <c:barChart>
        <c:barDir val="bar"/>
        <c:grouping val="clustered"/>
        <c:varyColors val="0"/>
        <c:ser>
          <c:idx val="0"/>
          <c:order val="0"/>
          <c:tx>
            <c:strRef>
              <c:f>Hoja3!$E$2</c:f>
              <c:strCache>
                <c:ptCount val="1"/>
                <c:pt idx="0">
                  <c:v>Proyectos priorizados</c:v>
                </c:pt>
              </c:strCache>
            </c:strRef>
          </c:tx>
          <c:spPr>
            <a:solidFill>
              <a:schemeClr val="tx2">
                <a:lumMod val="50000"/>
              </a:schemeClr>
            </a:solidFill>
            <a:ln>
              <a:noFill/>
            </a:ln>
            <a:effectLst/>
          </c:spPr>
          <c:invertIfNegative val="0"/>
          <c:cat>
            <c:strRef>
              <c:f>Hoja3!$B$3:$B$8</c:f>
              <c:strCache>
                <c:ptCount val="6"/>
                <c:pt idx="0">
                  <c:v>Desarrollo Agropecuario</c:v>
                </c:pt>
                <c:pt idx="1">
                  <c:v>Salud</c:v>
                </c:pt>
                <c:pt idx="2">
                  <c:v>Educación</c:v>
                </c:pt>
                <c:pt idx="3">
                  <c:v>Infraestructura</c:v>
                </c:pt>
                <c:pt idx="4">
                  <c:v>Cultura</c:v>
                </c:pt>
                <c:pt idx="5">
                  <c:v>Interventoría</c:v>
                </c:pt>
              </c:strCache>
            </c:strRef>
          </c:cat>
          <c:val>
            <c:numRef>
              <c:f>Hoja3!$E$3:$E$8</c:f>
              <c:numCache>
                <c:formatCode>General</c:formatCode>
                <c:ptCount val="6"/>
                <c:pt idx="0">
                  <c:v>5</c:v>
                </c:pt>
                <c:pt idx="1">
                  <c:v>3</c:v>
                </c:pt>
                <c:pt idx="2">
                  <c:v>4</c:v>
                </c:pt>
                <c:pt idx="3">
                  <c:v>2</c:v>
                </c:pt>
                <c:pt idx="4">
                  <c:v>0</c:v>
                </c:pt>
                <c:pt idx="5">
                  <c:v>1</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0-1118-4C25-B5B8-7EF5D3E2306A}"/>
            </c:ext>
          </c:extLst>
        </c:ser>
        <c:ser>
          <c:idx val="1"/>
          <c:order val="1"/>
          <c:tx>
            <c:strRef>
              <c:f>Hoja3!$F$2</c:f>
              <c:strCache>
                <c:ptCount val="1"/>
                <c:pt idx="0">
                  <c:v>Proyectos ejecutados</c:v>
                </c:pt>
              </c:strCache>
            </c:strRef>
          </c:tx>
          <c:spPr>
            <a:solidFill>
              <a:srgbClr val="D56509"/>
            </a:solidFill>
            <a:ln>
              <a:noFill/>
            </a:ln>
            <a:effectLst/>
          </c:spPr>
          <c:invertIfNegative val="0"/>
          <c:cat>
            <c:strRef>
              <c:f>Hoja3!$B$3:$B$8</c:f>
              <c:strCache>
                <c:ptCount val="6"/>
                <c:pt idx="0">
                  <c:v>Desarrollo Agropecuario</c:v>
                </c:pt>
                <c:pt idx="1">
                  <c:v>Salud</c:v>
                </c:pt>
                <c:pt idx="2">
                  <c:v>Educación</c:v>
                </c:pt>
                <c:pt idx="3">
                  <c:v>Infraestructura</c:v>
                </c:pt>
                <c:pt idx="4">
                  <c:v>Cultura</c:v>
                </c:pt>
                <c:pt idx="5">
                  <c:v>Interventoría</c:v>
                </c:pt>
              </c:strCache>
            </c:strRef>
          </c:cat>
          <c:val>
            <c:numRef>
              <c:f>Hoja3!$F$3:$F$8</c:f>
              <c:numCache>
                <c:formatCode>General</c:formatCode>
                <c:ptCount val="6"/>
                <c:pt idx="0">
                  <c:v>1</c:v>
                </c:pt>
                <c:pt idx="1">
                  <c:v>0</c:v>
                </c:pt>
                <c:pt idx="2">
                  <c:v>0</c:v>
                </c:pt>
                <c:pt idx="3">
                  <c:v>0</c:v>
                </c:pt>
                <c:pt idx="4">
                  <c:v>0</c:v>
                </c:pt>
                <c:pt idx="5">
                  <c:v>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1-1118-4C25-B5B8-7EF5D3E2306A}"/>
            </c:ext>
          </c:extLst>
        </c:ser>
        <c:dLbls>
          <c:showLegendKey val="0"/>
          <c:showVal val="0"/>
          <c:showCatName val="0"/>
          <c:showSerName val="0"/>
          <c:showPercent val="0"/>
          <c:showBubbleSize val="0"/>
        </c:dLbls>
        <c:gapWidth val="100"/>
        <c:axId val="1959890335"/>
        <c:axId val="1959895327"/>
      </c:barChart>
      <c:catAx>
        <c:axId val="1959890335"/>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Narrow" panose="020B0606020202030204" pitchFamily="34" charset="0"/>
                <a:ea typeface="+mn-ea"/>
                <a:cs typeface="+mn-cs"/>
              </a:defRPr>
            </a:pPr>
            <a:endParaRPr lang="es-CO"/>
          </a:p>
        </c:txPr>
        <c:crossAx val="1959895327"/>
        <c:crosses val="autoZero"/>
        <c:auto val="1"/>
        <c:lblAlgn val="ctr"/>
        <c:lblOffset val="100"/>
        <c:noMultiLvlLbl val="0"/>
      </c:catAx>
      <c:valAx>
        <c:axId val="1959895327"/>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Narrow" panose="020B0606020202030204" pitchFamily="34" charset="0"/>
                <a:ea typeface="+mn-ea"/>
                <a:cs typeface="+mn-cs"/>
              </a:defRPr>
            </a:pPr>
            <a:endParaRPr lang="es-CO"/>
          </a:p>
        </c:txPr>
        <c:crossAx val="1959890335"/>
        <c:crosses val="autoZero"/>
        <c:crossBetween val="between"/>
      </c:valAx>
      <c:spPr>
        <a:noFill/>
        <a:ln>
          <a:noFill/>
        </a:ln>
        <a:effectLst/>
      </c:spPr>
    </c:plotArea>
    <c:legend>
      <c:legendPos val="b"/>
      <c:layout>
        <c:manualLayout>
          <c:xMode val="edge"/>
          <c:yMode val="edge"/>
          <c:x val="3.5927894057367307E-2"/>
          <c:y val="0.86272150257165647"/>
          <c:w val="0.89098675717091336"/>
          <c:h val="9.998825504176800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Narrow" panose="020B0606020202030204" pitchFamily="34" charset="0"/>
              <a:ea typeface="+mn-ea"/>
              <a:cs typeface="+mn-cs"/>
            </a:defRPr>
          </a:pPr>
          <a:endParaRPr lang="es-CO"/>
        </a:p>
      </c:txPr>
    </c:legend>
    <c:plotVisOnly val="1"/>
    <c:dispBlanksAs val="gap"/>
    <c:showDLblsOverMax val="0"/>
  </c:chart>
  <c:spPr>
    <a:solidFill>
      <a:schemeClr val="bg1"/>
    </a:solidFill>
    <a:ln w="9525" cap="flat" cmpd="sng" algn="ctr">
      <a:noFill/>
      <a:round/>
    </a:ln>
    <a:effectLst/>
  </c:spPr>
  <c:txPr>
    <a:bodyPr/>
    <a:lstStyle/>
    <a:p>
      <a:pPr>
        <a:defRPr sz="900">
          <a:solidFill>
            <a:schemeClr val="tx1"/>
          </a:solidFill>
          <a:latin typeface="Arial Narrow" panose="020B0606020202030204" pitchFamily="34" charset="0"/>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5561744558663426E-2"/>
          <c:y val="4.5426388602106134E-2"/>
          <c:w val="0.86742907498357202"/>
          <c:h val="0.49798176006209338"/>
        </c:manualLayout>
      </c:layout>
      <c:barChart>
        <c:barDir val="bar"/>
        <c:grouping val="stacked"/>
        <c:varyColors val="0"/>
        <c:ser>
          <c:idx val="1"/>
          <c:order val="0"/>
          <c:tx>
            <c:strRef>
              <c:f>Hoja3!$B$42</c:f>
              <c:strCache>
                <c:ptCount val="1"/>
                <c:pt idx="0">
                  <c:v>Construcciones, obras, reparaciones</c:v>
                </c:pt>
              </c:strCache>
            </c:strRef>
          </c:tx>
          <c:spPr>
            <a:solidFill>
              <a:schemeClr val="accent2">
                <a:lumMod val="50000"/>
              </a:schemeClr>
            </a:solidFill>
            <a:ln>
              <a:solidFill>
                <a:schemeClr val="bg1">
                  <a:lumMod val="95000"/>
                </a:schemeClr>
              </a:solidFill>
            </a:ln>
            <a:effectLst/>
          </c:spPr>
          <c:invertIfNegative val="0"/>
          <c:cat>
            <c:numRef>
              <c:f>Hoja3!$B$53:$B$56</c:f>
              <c:numCache>
                <c:formatCode>General</c:formatCode>
                <c:ptCount val="4"/>
                <c:pt idx="0">
                  <c:v>2016</c:v>
                </c:pt>
                <c:pt idx="1">
                  <c:v>2017</c:v>
                </c:pt>
                <c:pt idx="2">
                  <c:v>2018</c:v>
                </c:pt>
                <c:pt idx="3">
                  <c:v>2019</c:v>
                </c:pt>
              </c:numCache>
            </c:numRef>
          </c:cat>
          <c:val>
            <c:numRef>
              <c:f>Hoja3!$C$42:$F$42</c:f>
              <c:numCache>
                <c:formatCode>_("$"* #,##0_);_("$"* \(#,##0\);_("$"* "-"_);_(@_)</c:formatCode>
                <c:ptCount val="4"/>
                <c:pt idx="0">
                  <c:v>424060786</c:v>
                </c:pt>
                <c:pt idx="1">
                  <c:v>100000000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0-D0DF-4ABA-BCB7-10E24110CD0E}"/>
            </c:ext>
          </c:extLst>
        </c:ser>
        <c:ser>
          <c:idx val="2"/>
          <c:order val="1"/>
          <c:tx>
            <c:strRef>
              <c:f>Hoja3!$B$43</c:f>
              <c:strCache>
                <c:ptCount val="1"/>
                <c:pt idx="0">
                  <c:v>Actividades culturales, educativas, de salud, y gobierno propio</c:v>
                </c:pt>
              </c:strCache>
            </c:strRef>
          </c:tx>
          <c:spPr>
            <a:solidFill>
              <a:schemeClr val="accent3">
                <a:lumMod val="50000"/>
              </a:schemeClr>
            </a:solidFill>
            <a:ln>
              <a:solidFill>
                <a:schemeClr val="bg1"/>
              </a:solidFill>
            </a:ln>
            <a:effectLst/>
          </c:spPr>
          <c:invertIfNegative val="0"/>
          <c:cat>
            <c:numRef>
              <c:f>Hoja3!$B$53:$B$56</c:f>
              <c:numCache>
                <c:formatCode>General</c:formatCode>
                <c:ptCount val="4"/>
                <c:pt idx="0">
                  <c:v>2016</c:v>
                </c:pt>
                <c:pt idx="1">
                  <c:v>2017</c:v>
                </c:pt>
                <c:pt idx="2">
                  <c:v>2018</c:v>
                </c:pt>
                <c:pt idx="3">
                  <c:v>2019</c:v>
                </c:pt>
              </c:numCache>
            </c:numRef>
          </c:cat>
          <c:val>
            <c:numRef>
              <c:f>Hoja3!$C$43:$F$43</c:f>
              <c:numCache>
                <c:formatCode>General</c:formatCode>
                <c:ptCount val="4"/>
                <c:pt idx="0" formatCode="_(&quot;$&quot;* #,##0_);_(&quot;$&quot;* \(#,##0\);_(&quot;$&quot;* &quot;-&quot;_);_(@_)">
                  <c:v>785492144</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1-D0DF-4ABA-BCB7-10E24110CD0E}"/>
            </c:ext>
          </c:extLst>
        </c:ser>
        <c:ser>
          <c:idx val="3"/>
          <c:order val="2"/>
          <c:tx>
            <c:strRef>
              <c:f>Hoja3!$B$44</c:f>
              <c:strCache>
                <c:ptCount val="1"/>
                <c:pt idx="0">
                  <c:v>Mobiliarios e Insumos educativos</c:v>
                </c:pt>
              </c:strCache>
            </c:strRef>
          </c:tx>
          <c:spPr>
            <a:solidFill>
              <a:srgbClr val="FF9900"/>
            </a:solidFill>
            <a:ln>
              <a:solidFill>
                <a:schemeClr val="bg1"/>
              </a:solidFill>
            </a:ln>
            <a:effectLst/>
          </c:spPr>
          <c:invertIfNegative val="0"/>
          <c:cat>
            <c:numRef>
              <c:f>Hoja3!$B$53:$B$56</c:f>
              <c:numCache>
                <c:formatCode>General</c:formatCode>
                <c:ptCount val="4"/>
                <c:pt idx="0">
                  <c:v>2016</c:v>
                </c:pt>
                <c:pt idx="1">
                  <c:v>2017</c:v>
                </c:pt>
                <c:pt idx="2">
                  <c:v>2018</c:v>
                </c:pt>
                <c:pt idx="3">
                  <c:v>2019</c:v>
                </c:pt>
              </c:numCache>
            </c:numRef>
          </c:cat>
          <c:val>
            <c:numRef>
              <c:f>Hoja3!$C$44:$F$44</c:f>
              <c:numCache>
                <c:formatCode>_("$"* #,##0_);_("$"* \(#,##0\);_("$"* "-"_);_(@_)</c:formatCode>
                <c:ptCount val="4"/>
                <c:pt idx="1">
                  <c:v>143473772</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2-D0DF-4ABA-BCB7-10E24110CD0E}"/>
            </c:ext>
          </c:extLst>
        </c:ser>
        <c:ser>
          <c:idx val="4"/>
          <c:order val="3"/>
          <c:tx>
            <c:strRef>
              <c:f>Hoja3!$B$45</c:f>
              <c:strCache>
                <c:ptCount val="1"/>
                <c:pt idx="0">
                  <c:v>Compra de tierras y adquisición de mejoras rurales</c:v>
                </c:pt>
              </c:strCache>
            </c:strRef>
          </c:tx>
          <c:spPr>
            <a:solidFill>
              <a:schemeClr val="tx2">
                <a:lumMod val="50000"/>
              </a:schemeClr>
            </a:solidFill>
            <a:ln>
              <a:solidFill>
                <a:schemeClr val="bg1"/>
              </a:solidFill>
            </a:ln>
            <a:effectLst/>
          </c:spPr>
          <c:invertIfNegative val="0"/>
          <c:cat>
            <c:numRef>
              <c:f>Hoja3!$B$53:$B$56</c:f>
              <c:numCache>
                <c:formatCode>General</c:formatCode>
                <c:ptCount val="4"/>
                <c:pt idx="0">
                  <c:v>2016</c:v>
                </c:pt>
                <c:pt idx="1">
                  <c:v>2017</c:v>
                </c:pt>
                <c:pt idx="2">
                  <c:v>2018</c:v>
                </c:pt>
                <c:pt idx="3">
                  <c:v>2019</c:v>
                </c:pt>
              </c:numCache>
            </c:numRef>
          </c:cat>
          <c:val>
            <c:numRef>
              <c:f>Hoja3!$C$45:$F$45</c:f>
              <c:numCache>
                <c:formatCode>_("$"* #,##0_);_("$"* \(#,##0\);_("$"* "-"_);_(@_)</c:formatCode>
                <c:ptCount val="4"/>
                <c:pt idx="0">
                  <c:v>728500000</c:v>
                </c:pt>
                <c:pt idx="1">
                  <c:v>1381139516</c:v>
                </c:pt>
                <c:pt idx="2">
                  <c:v>352587500</c:v>
                </c:pt>
                <c:pt idx="3">
                  <c:v>1431683267</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3-D0DF-4ABA-BCB7-10E24110CD0E}"/>
            </c:ext>
          </c:extLst>
        </c:ser>
        <c:ser>
          <c:idx val="5"/>
          <c:order val="4"/>
          <c:tx>
            <c:strRef>
              <c:f>Hoja3!$B$46</c:f>
              <c:strCache>
                <c:ptCount val="1"/>
                <c:pt idx="0">
                  <c:v>Interventoría</c:v>
                </c:pt>
              </c:strCache>
            </c:strRef>
          </c:tx>
          <c:spPr>
            <a:solidFill>
              <a:schemeClr val="bg2">
                <a:lumMod val="50000"/>
              </a:schemeClr>
            </a:solidFill>
            <a:ln>
              <a:solidFill>
                <a:schemeClr val="bg1"/>
              </a:solidFill>
            </a:ln>
            <a:effectLst/>
          </c:spPr>
          <c:invertIfNegative val="0"/>
          <c:cat>
            <c:numRef>
              <c:f>Hoja3!$B$53:$B$56</c:f>
              <c:numCache>
                <c:formatCode>General</c:formatCode>
                <c:ptCount val="4"/>
                <c:pt idx="0">
                  <c:v>2016</c:v>
                </c:pt>
                <c:pt idx="1">
                  <c:v>2017</c:v>
                </c:pt>
                <c:pt idx="2">
                  <c:v>2018</c:v>
                </c:pt>
                <c:pt idx="3">
                  <c:v>2019</c:v>
                </c:pt>
              </c:numCache>
            </c:numRef>
          </c:cat>
          <c:val>
            <c:numRef>
              <c:f>Hoja3!$C$46:$F$46</c:f>
              <c:numCache>
                <c:formatCode>General</c:formatCode>
                <c:ptCount val="4"/>
                <c:pt idx="0" formatCode="_(&quot;$&quot;* #,##0_);_(&quot;$&quot;* \(#,##0\);_(&quot;$&quot;* &quot;-&quot;_);_(@_)">
                  <c:v>24060800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4-D0DF-4ABA-BCB7-10E24110CD0E}"/>
            </c:ext>
          </c:extLst>
        </c:ser>
        <c:ser>
          <c:idx val="6"/>
          <c:order val="5"/>
          <c:tx>
            <c:strRef>
              <c:f>Hoja3!$B$47</c:f>
              <c:strCache>
                <c:ptCount val="1"/>
                <c:pt idx="0">
                  <c:v>Levantamiento topográfico y avalúos de predios.</c:v>
                </c:pt>
              </c:strCache>
            </c:strRef>
          </c:tx>
          <c:spPr>
            <a:solidFill>
              <a:schemeClr val="accent5">
                <a:lumMod val="50000"/>
              </a:schemeClr>
            </a:solidFill>
            <a:ln>
              <a:solidFill>
                <a:schemeClr val="bg1"/>
              </a:solidFill>
            </a:ln>
            <a:effectLst/>
          </c:spPr>
          <c:invertIfNegative val="0"/>
          <c:cat>
            <c:numRef>
              <c:f>Hoja3!$B$53:$B$56</c:f>
              <c:numCache>
                <c:formatCode>General</c:formatCode>
                <c:ptCount val="4"/>
                <c:pt idx="0">
                  <c:v>2016</c:v>
                </c:pt>
                <c:pt idx="1">
                  <c:v>2017</c:v>
                </c:pt>
                <c:pt idx="2">
                  <c:v>2018</c:v>
                </c:pt>
                <c:pt idx="3">
                  <c:v>2019</c:v>
                </c:pt>
              </c:numCache>
            </c:numRef>
          </c:cat>
          <c:val>
            <c:numRef>
              <c:f>Hoja3!$C$47:$F$47</c:f>
              <c:numCache>
                <c:formatCode>General</c:formatCode>
                <c:ptCount val="4"/>
                <c:pt idx="0" formatCode="_(&quot;$&quot;* #,##0_);_(&quot;$&quot;* \(#,##0\);_(&quot;$&quot;* &quot;-&quot;_);_(@_)">
                  <c:v>19000000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5-D0DF-4ABA-BCB7-10E24110CD0E}"/>
            </c:ext>
          </c:extLst>
        </c:ser>
        <c:ser>
          <c:idx val="7"/>
          <c:order val="6"/>
          <c:tx>
            <c:strRef>
              <c:f>Hoja3!$B$48</c:f>
              <c:strCache>
                <c:ptCount val="1"/>
                <c:pt idx="0">
                  <c:v>Servicios de salud pública con enfoque diferencial indígena</c:v>
                </c:pt>
              </c:strCache>
            </c:strRef>
          </c:tx>
          <c:spPr>
            <a:solidFill>
              <a:srgbClr val="CC3300"/>
            </a:solidFill>
            <a:ln>
              <a:solidFill>
                <a:schemeClr val="bg1"/>
              </a:solidFill>
            </a:ln>
            <a:effectLst/>
          </c:spPr>
          <c:invertIfNegative val="0"/>
          <c:cat>
            <c:numRef>
              <c:f>Hoja3!$B$53:$B$56</c:f>
              <c:numCache>
                <c:formatCode>General</c:formatCode>
                <c:ptCount val="4"/>
                <c:pt idx="0">
                  <c:v>2016</c:v>
                </c:pt>
                <c:pt idx="1">
                  <c:v>2017</c:v>
                </c:pt>
                <c:pt idx="2">
                  <c:v>2018</c:v>
                </c:pt>
                <c:pt idx="3">
                  <c:v>2019</c:v>
                </c:pt>
              </c:numCache>
            </c:numRef>
          </c:cat>
          <c:val>
            <c:numRef>
              <c:f>Hoja3!$C$48:$F$48</c:f>
              <c:numCache>
                <c:formatCode>General</c:formatCode>
                <c:ptCount val="4"/>
                <c:pt idx="0" formatCode="_(&quot;$&quot;* #,##0_);_(&quot;$&quot;* \(#,##0\);_(&quot;$&quot;* &quot;-&quot;_);_(@_)">
                  <c:v>290000000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6-D0DF-4ABA-BCB7-10E24110CD0E}"/>
            </c:ext>
          </c:extLst>
        </c:ser>
        <c:ser>
          <c:idx val="8"/>
          <c:order val="7"/>
          <c:tx>
            <c:strRef>
              <c:f>Hoja3!$B$49</c:f>
              <c:strCache>
                <c:ptCount val="1"/>
                <c:pt idx="0">
                  <c:v>Total general</c:v>
                </c:pt>
              </c:strCache>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strRef>
          </c:tx>
          <c:spPr>
            <a:solidFill>
              <a:schemeClr val="accent3">
                <a:lumMod val="60000"/>
              </a:schemeClr>
            </a:solidFill>
            <a:ln>
              <a:noFill/>
            </a:ln>
            <a:effectLst/>
          </c:spPr>
          <c:invertIfNegative val="0"/>
          <c:cat>
            <c:numRef>
              <c:f>Hoja3!$B$53:$B$56</c:f>
              <c:numCache>
                <c:formatCode>General</c:formatCode>
                <c:ptCount val="4"/>
                <c:pt idx="0">
                  <c:v>2016</c:v>
                </c:pt>
                <c:pt idx="1">
                  <c:v>2017</c:v>
                </c:pt>
                <c:pt idx="2">
                  <c:v>2018</c:v>
                </c:pt>
                <c:pt idx="3">
                  <c:v>2019</c:v>
                </c:pt>
              </c:numCache>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numRef>
          </c:cat>
          <c:val>
            <c:numRef>
              <c:f>Hoja3!$C$49:$F$49</c:f>
              <c:numCache>
                <c:formatCode>_("$"* #,##0_);_("$"* \(#,##0\);_("$"* "-"_);_(@_)</c:formatCode>
                <c:ptCount val="4"/>
                <c:pt idx="0">
                  <c:v>2271113730</c:v>
                </c:pt>
                <c:pt idx="1">
                  <c:v>1624613288</c:v>
                </c:pt>
                <c:pt idx="2">
                  <c:v>352587500</c:v>
                </c:pt>
                <c:pt idx="3">
                  <c:v>1431683267</c:v>
                </c:pt>
              </c:numCache>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8-D0DF-4ABA-BCB7-10E24110CD0E}"/>
            </c:ext>
          </c:extLst>
        </c:ser>
        <c:dLbls>
          <c:showLegendKey val="0"/>
          <c:showVal val="0"/>
          <c:showCatName val="0"/>
          <c:showSerName val="0"/>
          <c:showPercent val="0"/>
          <c:showBubbleSize val="0"/>
        </c:dLbls>
        <c:gapWidth val="150"/>
        <c:overlap val="100"/>
        <c:axId val="524963311"/>
        <c:axId val="540419807"/>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barChart>
      <c:catAx>
        <c:axId val="5249633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endParaRPr lang="es-CO"/>
          </a:p>
        </c:txPr>
        <c:crossAx val="540419807"/>
        <c:crosses val="autoZero"/>
        <c:auto val="1"/>
        <c:lblAlgn val="ctr"/>
        <c:lblOffset val="100"/>
        <c:noMultiLvlLbl val="0"/>
      </c:catAx>
      <c:valAx>
        <c:axId val="540419807"/>
        <c:scaling>
          <c:orientation val="minMax"/>
        </c:scaling>
        <c:delete val="0"/>
        <c:axPos val="b"/>
        <c:majorGridlines>
          <c:spPr>
            <a:ln w="9525" cap="flat" cmpd="sng" algn="ctr">
              <a:solidFill>
                <a:schemeClr val="tx1">
                  <a:lumMod val="15000"/>
                  <a:lumOff val="85000"/>
                </a:schemeClr>
              </a:solidFill>
              <a:round/>
            </a:ln>
            <a:effectLst/>
          </c:spPr>
        </c:majorGridlines>
        <c:numFmt formatCode="_(&quot;$&quot;* #,##0_);_(&quot;$&quot;* \(#,##0\);_(&quot;$&quot;* &quot;-&quot;_);_(@_)" sourceLinked="1"/>
        <c:majorTickMark val="none"/>
        <c:minorTickMark val="in"/>
        <c:tickLblPos val="nextTo"/>
        <c:spPr>
          <a:noFill/>
          <a:ln>
            <a:solidFill>
              <a:schemeClr val="bg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s-CO"/>
          </a:p>
        </c:txPr>
        <c:crossAx val="524963311"/>
        <c:crosses val="autoZero"/>
        <c:crossBetween val="between"/>
        <c:minorUnit val="200000000"/>
      </c:valAx>
      <c:spPr>
        <a:noFill/>
        <a:ln>
          <a:noFill/>
        </a:ln>
        <a:effectLst/>
      </c:spPr>
    </c:plotArea>
    <c:legend>
      <c:legendPos val="b"/>
      <c:layout>
        <c:manualLayout>
          <c:xMode val="edge"/>
          <c:yMode val="edge"/>
          <c:x val="0"/>
          <c:y val="0.71415504968493726"/>
          <c:w val="1"/>
          <c:h val="0.23570060173346499"/>
        </c:manualLayout>
      </c:layout>
      <c:overlay val="0"/>
      <c:spPr>
        <a:noFill/>
        <a:ln>
          <a:noFill/>
        </a:ln>
        <a:effectLst/>
      </c:spPr>
      <c:txPr>
        <a:bodyPr rot="0" spcFirstLastPara="1" vertOverflow="ellipsis" vert="horz" wrap="square" anchor="ctr" anchorCtr="1"/>
        <a:lstStyle/>
        <a:p>
          <a:pPr>
            <a:defRPr sz="1000" b="0" i="0" u="none" strike="noStrike" kern="900" spc="0" baseline="0">
              <a:solidFill>
                <a:schemeClr val="tx1">
                  <a:lumMod val="65000"/>
                  <a:lumOff val="35000"/>
                </a:schemeClr>
              </a:solidFill>
              <a:latin typeface="Arial Narrow" panose="020B0606020202030204" pitchFamily="34" charset="0"/>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1-33FD-4FC0-9C1B-609C5E7C7BBD}"/>
              </c:ext>
            </c:extLst>
          </c:dPt>
          <c:dPt>
            <c:idx val="1"/>
            <c:bubble3D val="0"/>
            <c:spPr>
              <a:solidFill>
                <a:schemeClr val="accent3"/>
              </a:solidFill>
              <a:ln w="19050">
                <a:solidFill>
                  <a:schemeClr val="lt1"/>
                </a:solidFill>
              </a:ln>
              <a:effectLst/>
            </c:spPr>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3-33FD-4FC0-9C1B-609C5E7C7BBD}"/>
              </c:ext>
            </c:extLst>
          </c:dPt>
          <c:dPt>
            <c:idx val="2"/>
            <c:bubble3D val="0"/>
            <c:spPr>
              <a:solidFill>
                <a:schemeClr val="accent5"/>
              </a:solidFill>
              <a:ln w="19050">
                <a:solidFill>
                  <a:schemeClr val="lt1"/>
                </a:solidFill>
              </a:ln>
              <a:effectLst/>
            </c:spPr>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5-33FD-4FC0-9C1B-609C5E7C7BBD}"/>
              </c:ext>
            </c:extLst>
          </c:dPt>
          <c:dPt>
            <c:idx val="3"/>
            <c:bubble3D val="0"/>
            <c:spPr>
              <a:solidFill>
                <a:schemeClr val="accent1">
                  <a:lumMod val="60000"/>
                </a:schemeClr>
              </a:solidFill>
              <a:ln w="19050">
                <a:solidFill>
                  <a:schemeClr val="lt1"/>
                </a:solidFill>
              </a:ln>
              <a:effectLst/>
            </c:spPr>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7-33FD-4FC0-9C1B-609C5E7C7BBD}"/>
              </c:ext>
            </c:extLst>
          </c:dPt>
          <c:dPt>
            <c:idx val="4"/>
            <c:bubble3D val="0"/>
            <c:spPr>
              <a:solidFill>
                <a:schemeClr val="accent3">
                  <a:lumMod val="60000"/>
                </a:schemeClr>
              </a:solidFill>
              <a:ln w="19050">
                <a:solidFill>
                  <a:schemeClr val="lt1"/>
                </a:solidFill>
              </a:ln>
              <a:effectLst/>
            </c:spPr>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9-33FD-4FC0-9C1B-609C5E7C7BBD}"/>
              </c:ext>
            </c:extLst>
          </c:dPt>
          <c:dPt>
            <c:idx val="5"/>
            <c:bubble3D val="0"/>
            <c:spPr>
              <a:solidFill>
                <a:schemeClr val="accent5">
                  <a:lumMod val="60000"/>
                </a:schemeClr>
              </a:solidFill>
              <a:ln w="19050">
                <a:solidFill>
                  <a:schemeClr val="lt1"/>
                </a:solidFill>
              </a:ln>
              <a:effectLst/>
            </c:spPr>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B-33FD-4FC0-9C1B-609C5E7C7BBD}"/>
              </c:ext>
            </c:extLst>
          </c:dPt>
          <c:dPt>
            <c:idx val="6"/>
            <c:bubble3D val="0"/>
            <c:spPr>
              <a:solidFill>
                <a:schemeClr val="accent1">
                  <a:lumMod val="80000"/>
                  <a:lumOff val="20000"/>
                </a:schemeClr>
              </a:solidFill>
              <a:ln w="19050">
                <a:solidFill>
                  <a:schemeClr val="lt1"/>
                </a:solidFill>
              </a:ln>
              <a:effectLst/>
            </c:spPr>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D-33FD-4FC0-9C1B-609C5E7C7BBD}"/>
              </c:ext>
            </c:extLst>
          </c:dPt>
          <c:dPt>
            <c:idx val="7"/>
            <c:bubble3D val="0"/>
            <c:spPr>
              <a:solidFill>
                <a:srgbClr val="B0CA7C"/>
              </a:solidFill>
              <a:ln w="19050">
                <a:solidFill>
                  <a:schemeClr val="lt1"/>
                </a:solidFill>
              </a:ln>
              <a:effectLst/>
            </c:spPr>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F-33FD-4FC0-9C1B-609C5E7C7BBD}"/>
              </c:ext>
            </c:extLst>
          </c:dPt>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Arial Narrow" panose="020B0606020202030204" pitchFamily="34" charset="0"/>
                    <a:ea typeface="+mn-ea"/>
                    <a:cs typeface="+mn-cs"/>
                  </a:defRPr>
                </a:pPr>
                <a:endParaRPr lang="es-CO"/>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s>
          <c:cat>
            <c:strRef>
              <c:f>Hoja7!$A$23:$A$30</c:f>
              <c:strCache>
                <c:ptCount val="8"/>
                <c:pt idx="0">
                  <c:v>Contrato de Calamidad</c:v>
                </c:pt>
                <c:pt idx="1">
                  <c:v>Contrato de consultoría</c:v>
                </c:pt>
                <c:pt idx="2">
                  <c:v>Contrato de interventoría</c:v>
                </c:pt>
                <c:pt idx="3">
                  <c:v>Contrato de obra pública</c:v>
                </c:pt>
                <c:pt idx="4">
                  <c:v>Contrato interadministrativo</c:v>
                </c:pt>
                <c:pt idx="5">
                  <c:v>Convenio de asociación</c:v>
                </c:pt>
                <c:pt idx="6">
                  <c:v>Subasta Inversa</c:v>
                </c:pt>
                <c:pt idx="7">
                  <c:v>Contrato de compraventa</c:v>
                </c:pt>
              </c:strCache>
            </c:strRef>
          </c:cat>
          <c:val>
            <c:numRef>
              <c:f>Hoja7!$B$23:$B$30</c:f>
              <c:numCache>
                <c:formatCode>General</c:formatCode>
                <c:ptCount val="8"/>
                <c:pt idx="0">
                  <c:v>1</c:v>
                </c:pt>
                <c:pt idx="1">
                  <c:v>1</c:v>
                </c:pt>
                <c:pt idx="2">
                  <c:v>1</c:v>
                </c:pt>
                <c:pt idx="3">
                  <c:v>1</c:v>
                </c:pt>
                <c:pt idx="4">
                  <c:v>1</c:v>
                </c:pt>
                <c:pt idx="5">
                  <c:v>1</c:v>
                </c:pt>
                <c:pt idx="6">
                  <c:v>1</c:v>
                </c:pt>
                <c:pt idx="7">
                  <c:v>16</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10-33FD-4FC0-9C1B-609C5E7C7BBD}"/>
            </c:ext>
          </c:extLst>
        </c:ser>
        <c:dLbls>
          <c:dLblPos val="inEnd"/>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8299240716047716"/>
          <c:y val="0.10024631221837434"/>
          <c:w val="0.28953883854753015"/>
          <c:h val="0.7917161796146732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s-CO"/>
        </a:p>
      </c:txPr>
    </c:legend>
    <c:plotVisOnly val="1"/>
    <c:dispBlanksAs val="gap"/>
    <c:showDLblsOverMax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uri="{56B9EC1D-385E-4148-901F-78D8002777C0}">
        <c16r3:dataDisplayOptions16 xmlns:c16r3="http://schemas.microsoft.com/office/drawing/2017/03/chart">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b="1"/>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Hoja1!$A$3</c:f>
              <c:strCache>
                <c:ptCount val="1"/>
                <c:pt idx="0">
                  <c:v>Recursos programados y presupuestados</c:v>
                </c:pt>
              </c:strCache>
            </c:strRef>
          </c:tx>
          <c:spPr>
            <a:solidFill>
              <a:schemeClr val="tx2">
                <a:lumMod val="50000"/>
              </a:schemeClr>
            </a:solidFill>
            <a:ln>
              <a:noFill/>
            </a:ln>
            <a:effectLst/>
          </c:spPr>
          <c:invertIfNegative val="0"/>
          <c:cat>
            <c:numRef>
              <c:f>Hoja1!$B$2:$E$2</c:f>
              <c:numCache>
                <c:formatCode>General</c:formatCode>
                <c:ptCount val="4"/>
                <c:pt idx="0">
                  <c:v>2016</c:v>
                </c:pt>
                <c:pt idx="1">
                  <c:v>2017</c:v>
                </c:pt>
                <c:pt idx="2">
                  <c:v>2018</c:v>
                </c:pt>
                <c:pt idx="3">
                  <c:v>2019</c:v>
                </c:pt>
              </c:numCache>
            </c:numRef>
          </c:cat>
          <c:val>
            <c:numRef>
              <c:f>Hoja1!$B$3:$E$3</c:f>
              <c:numCache>
                <c:formatCode>"$"#,##0_);[Red]\("$"#,##0\)</c:formatCode>
                <c:ptCount val="4"/>
                <c:pt idx="0">
                  <c:v>4623217303</c:v>
                </c:pt>
                <c:pt idx="1">
                  <c:v>4261111654</c:v>
                </c:pt>
                <c:pt idx="2">
                  <c:v>4447970943</c:v>
                </c:pt>
                <c:pt idx="3">
                  <c:v>6281182857</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0-E0CB-4E1A-824B-49325FB6F6B0}"/>
            </c:ext>
          </c:extLst>
        </c:ser>
        <c:ser>
          <c:idx val="1"/>
          <c:order val="1"/>
          <c:tx>
            <c:strRef>
              <c:f>Hoja1!$A$4</c:f>
              <c:strCache>
                <c:ptCount val="1"/>
                <c:pt idx="0">
                  <c:v>Recursos comprometidos</c:v>
                </c:pt>
              </c:strCache>
            </c:strRef>
          </c:tx>
          <c:spPr>
            <a:solidFill>
              <a:srgbClr val="003300"/>
            </a:solidFill>
            <a:ln>
              <a:noFill/>
            </a:ln>
            <a:effectLst/>
          </c:spPr>
          <c:invertIfNegative val="0"/>
          <c:dLbls>
            <c:dLbl>
              <c:idx val="0"/>
              <c:tx>
                <c:rich>
                  <a:bodyPr/>
                  <a:lstStyle/>
                  <a:p>
                    <a:r>
                      <a:rPr lang="en-US" b="1"/>
                      <a:t>48%</a:t>
                    </a:r>
                  </a:p>
                </c:rich>
              </c:tx>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 xmlns:c16="http://schemas.microsoft.com/office/drawing/2014/chart" uri="{C3380CC4-5D6E-409C-BE32-E72D297353CC}">
                  <c16:uniqueId val="{00000001-E0CB-4E1A-824B-49325FB6F6B0}"/>
                </c:ext>
              </c:extLst>
            </c:dLbl>
            <c:dLbl>
              <c:idx val="1"/>
              <c:tx>
                <c:rich>
                  <a:bodyPr/>
                  <a:lstStyle/>
                  <a:p>
                    <a:r>
                      <a:rPr lang="en-US"/>
                      <a:t>40%</a:t>
                    </a:r>
                  </a:p>
                </c:rich>
              </c:tx>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 xmlns:c16="http://schemas.microsoft.com/office/drawing/2014/chart" uri="{C3380CC4-5D6E-409C-BE32-E72D297353CC}">
                  <c16:uniqueId val="{00000002-E0CB-4E1A-824B-49325FB6F6B0}"/>
                </c:ext>
              </c:extLst>
            </c:dLbl>
            <c:dLbl>
              <c:idx val="2"/>
              <c:tx>
                <c:rich>
                  <a:bodyPr/>
                  <a:lstStyle/>
                  <a:p>
                    <a:r>
                      <a:rPr lang="en-US"/>
                      <a:t>8%</a:t>
                    </a:r>
                  </a:p>
                </c:rich>
              </c:tx>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 xmlns:c16="http://schemas.microsoft.com/office/drawing/2014/chart" uri="{C3380CC4-5D6E-409C-BE32-E72D297353CC}">
                  <c16:uniqueId val="{00000003-E0CB-4E1A-824B-49325FB6F6B0}"/>
                </c:ext>
              </c:extLst>
            </c:dLbl>
            <c:dLbl>
              <c:idx val="3"/>
              <c:tx>
                <c:rich>
                  <a:bodyPr/>
                  <a:lstStyle/>
                  <a:p>
                    <a:r>
                      <a:rPr lang="en-US"/>
                      <a:t>59%</a:t>
                    </a:r>
                  </a:p>
                </c:rich>
              </c:tx>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 xmlns:c16="http://schemas.microsoft.com/office/drawing/2014/chart" uri="{C3380CC4-5D6E-409C-BE32-E72D297353CC}">
                  <c16:uniqueId val="{00000004-E0CB-4E1A-824B-49325FB6F6B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15:showLeaderLines val="0"/>
              </c:ext>
            </c:extLst>
          </c:dLbls>
          <c:cat>
            <c:numRef>
              <c:f>Hoja1!$B$2:$E$2</c:f>
              <c:numCache>
                <c:formatCode>General</c:formatCode>
                <c:ptCount val="4"/>
                <c:pt idx="0">
                  <c:v>2016</c:v>
                </c:pt>
                <c:pt idx="1">
                  <c:v>2017</c:v>
                </c:pt>
                <c:pt idx="2">
                  <c:v>2018</c:v>
                </c:pt>
                <c:pt idx="3">
                  <c:v>2019</c:v>
                </c:pt>
              </c:numCache>
            </c:numRef>
          </c:cat>
          <c:val>
            <c:numRef>
              <c:f>Hoja1!$B$4:$E$4</c:f>
              <c:numCache>
                <c:formatCode>"$"#,##0_);[Red]\("$"#,##0\)</c:formatCode>
                <c:ptCount val="4"/>
                <c:pt idx="0">
                  <c:v>2220413730</c:v>
                </c:pt>
                <c:pt idx="1">
                  <c:v>1724613288</c:v>
                </c:pt>
                <c:pt idx="2">
                  <c:v>352587500</c:v>
                </c:pt>
                <c:pt idx="3">
                  <c:v>3728288628</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5-E0CB-4E1A-824B-49325FB6F6B0}"/>
            </c:ext>
          </c:extLst>
        </c:ser>
        <c:dLbls>
          <c:showLegendKey val="0"/>
          <c:showVal val="0"/>
          <c:showCatName val="0"/>
          <c:showSerName val="0"/>
          <c:showPercent val="0"/>
          <c:showBubbleSize val="0"/>
        </c:dLbls>
        <c:gapWidth val="219"/>
        <c:overlap val="-27"/>
        <c:axId val="613549712"/>
        <c:axId val="613539728"/>
      </c:barChart>
      <c:catAx>
        <c:axId val="613549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613539728"/>
        <c:crosses val="autoZero"/>
        <c:auto val="1"/>
        <c:lblAlgn val="ctr"/>
        <c:lblOffset val="100"/>
        <c:noMultiLvlLbl val="0"/>
      </c:catAx>
      <c:valAx>
        <c:axId val="613539728"/>
        <c:scaling>
          <c:orientation val="minMax"/>
        </c:scaling>
        <c:delete val="0"/>
        <c:axPos val="l"/>
        <c:majorGridlines>
          <c:spPr>
            <a:ln w="9525" cap="flat" cmpd="sng" algn="ctr">
              <a:solidFill>
                <a:schemeClr val="tx1">
                  <a:lumMod val="15000"/>
                  <a:lumOff val="85000"/>
                </a:schemeClr>
              </a:solidFill>
              <a:round/>
            </a:ln>
            <a:effectLst/>
          </c:spPr>
        </c:majorGridlines>
        <c:numFmt formatCode="&quot;$&quot;#,##0_);[Red]\(&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613549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1"/>
                </a:solidFill>
                <a:latin typeface="+mn-lt"/>
                <a:ea typeface="+mn-ea"/>
                <a:cs typeface="+mn-cs"/>
              </a:defRPr>
            </a:pPr>
            <a:r>
              <a:rPr lang="es-CO" sz="1100">
                <a:latin typeface="Arial Narrow" panose="020B0606020202030204" pitchFamily="34" charset="0"/>
              </a:rPr>
              <a:t>Vigencia 2016</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mn-lt"/>
              <a:ea typeface="+mn-ea"/>
              <a:cs typeface="+mn-cs"/>
            </a:defRPr>
          </a:pPr>
          <a:endParaRPr lang="es-CO"/>
        </a:p>
      </c:txPr>
    </c:title>
    <c:autoTitleDeleted val="0"/>
    <c:plotArea>
      <c:layout/>
      <c:barChart>
        <c:barDir val="col"/>
        <c:grouping val="stacked"/>
        <c:varyColors val="0"/>
        <c:ser>
          <c:idx val="0"/>
          <c:order val="0"/>
          <c:tx>
            <c:v>Recursos sin ejecutar</c:v>
          </c:tx>
          <c:spPr>
            <a:solidFill>
              <a:srgbClr val="800000"/>
            </a:solidFill>
            <a:ln>
              <a:noFill/>
            </a:ln>
            <a:effectLst/>
          </c:spPr>
          <c:invertIfNegative val="0"/>
          <c:cat>
            <c:strRef>
              <c:f>'2016'!$B$36:$B$38</c:f>
              <c:strCache>
                <c:ptCount val="3"/>
                <c:pt idx="0">
                  <c:v>Pueblo Wiwa</c:v>
                </c:pt>
                <c:pt idx="1">
                  <c:v>Pueblo Arhuaco</c:v>
                </c:pt>
                <c:pt idx="2">
                  <c:v>Puablo Kogui</c:v>
                </c:pt>
              </c:strCache>
            </c:strRef>
          </c:cat>
          <c:val>
            <c:numRef>
              <c:f>'2016'!$C$36:$C$38</c:f>
              <c:numCache>
                <c:formatCode>"$"#,##0_);[Red]\("$"#,##0\)</c:formatCode>
                <c:ptCount val="3"/>
                <c:pt idx="0">
                  <c:v>870.645308</c:v>
                </c:pt>
                <c:pt idx="1">
                  <c:v>20</c:v>
                </c:pt>
                <c:pt idx="2" formatCode="_(&quot;$&quot;* #,##0_);_(&quot;$&quot;* \(#,##0\);_(&quot;$&quot;* &quot;-&quot;_);_(@_)">
                  <c:v>1512.158263</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0-FF9F-4957-A7BD-967AE78C154F}"/>
            </c:ext>
          </c:extLst>
        </c:ser>
        <c:ser>
          <c:idx val="1"/>
          <c:order val="1"/>
          <c:tx>
            <c:v>Recursos ejecutados</c:v>
          </c:tx>
          <c:spPr>
            <a:solidFill>
              <a:srgbClr val="004600"/>
            </a:solidFill>
            <a:ln>
              <a:noFill/>
            </a:ln>
            <a:effectLst/>
          </c:spPr>
          <c:invertIfNegative val="0"/>
          <c:cat>
            <c:strRef>
              <c:f>'2016'!$B$36:$B$38</c:f>
              <c:strCache>
                <c:ptCount val="3"/>
                <c:pt idx="0">
                  <c:v>Pueblo Wiwa</c:v>
                </c:pt>
                <c:pt idx="1">
                  <c:v>Pueblo Arhuaco</c:v>
                </c:pt>
                <c:pt idx="2">
                  <c:v>Puablo Kogui</c:v>
                </c:pt>
              </c:strCache>
            </c:strRef>
          </c:cat>
          <c:val>
            <c:numRef>
              <c:f>'2016'!$D$36:$D$38</c:f>
              <c:numCache>
                <c:formatCode>"$"#,##0_);[Red]\("$"#,##0\)</c:formatCode>
                <c:ptCount val="3"/>
                <c:pt idx="0">
                  <c:v>163.230569</c:v>
                </c:pt>
                <c:pt idx="1">
                  <c:v>141.561575</c:v>
                </c:pt>
                <c:pt idx="2" formatCode="_(&quot;$&quot;* #,##0_);_(&quot;$&quot;* \(#,##0\);_(&quot;$&quot;* &quot;-&quot;_);_(@_)">
                  <c:v>1915.621586</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1-FF9F-4957-A7BD-967AE78C154F}"/>
            </c:ext>
          </c:extLst>
        </c:ser>
        <c:dLbls>
          <c:showLegendKey val="0"/>
          <c:showVal val="0"/>
          <c:showCatName val="0"/>
          <c:showSerName val="0"/>
          <c:showPercent val="0"/>
          <c:showBubbleSize val="0"/>
        </c:dLbls>
        <c:gapWidth val="150"/>
        <c:overlap val="100"/>
        <c:axId val="954236304"/>
        <c:axId val="954232976"/>
      </c:barChart>
      <c:catAx>
        <c:axId val="95423630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Narrow" panose="020B0606020202030204" pitchFamily="34" charset="0"/>
                <a:ea typeface="+mn-ea"/>
                <a:cs typeface="+mn-cs"/>
              </a:defRPr>
            </a:pPr>
            <a:endParaRPr lang="es-CO"/>
          </a:p>
        </c:txPr>
        <c:crossAx val="954232976"/>
        <c:crosses val="autoZero"/>
        <c:auto val="1"/>
        <c:lblAlgn val="ctr"/>
        <c:lblOffset val="100"/>
        <c:noMultiLvlLbl val="0"/>
      </c:catAx>
      <c:valAx>
        <c:axId val="954232976"/>
        <c:scaling>
          <c:orientation val="minMax"/>
        </c:scaling>
        <c:delete val="0"/>
        <c:axPos val="l"/>
        <c:majorGridlines>
          <c:spPr>
            <a:ln w="9525" cap="flat" cmpd="sng" algn="ctr">
              <a:solidFill>
                <a:schemeClr val="tx2">
                  <a:lumMod val="15000"/>
                  <a:lumOff val="85000"/>
                </a:schemeClr>
              </a:solidFill>
              <a:round/>
            </a:ln>
            <a:effectLst/>
          </c:spPr>
        </c:majorGridlines>
        <c:numFmt formatCode="&quot;$&quot;#,##0_);[Red]\(&quot;$&quot;#,##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Arial Narrow" panose="020B0606020202030204" pitchFamily="34" charset="0"/>
                <a:ea typeface="+mn-ea"/>
                <a:cs typeface="+mn-cs"/>
              </a:defRPr>
            </a:pPr>
            <a:endParaRPr lang="es-CO"/>
          </a:p>
        </c:txPr>
        <c:crossAx val="954236304"/>
        <c:crosses val="autoZero"/>
        <c:crossBetween val="between"/>
        <c:majorUnit val="1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Narrow" panose="020B0606020202030204" pitchFamily="34" charset="0"/>
              <a:ea typeface="+mn-ea"/>
              <a:cs typeface="+mn-cs"/>
            </a:defRPr>
          </a:pPr>
          <a:endParaRPr lang="es-CO"/>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defRPr>
      </a:pPr>
      <a:endParaRPr lang="es-C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1"/>
                </a:solidFill>
                <a:latin typeface="+mn-lt"/>
                <a:ea typeface="+mn-ea"/>
                <a:cs typeface="+mn-cs"/>
              </a:defRPr>
            </a:pPr>
            <a:r>
              <a:rPr lang="es-CO" sz="1100">
                <a:solidFill>
                  <a:schemeClr val="tx1"/>
                </a:solidFill>
                <a:latin typeface="Arial Narrow" panose="020B0606020202030204" pitchFamily="34" charset="0"/>
              </a:rPr>
              <a:t>Vigencia 2017</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mn-lt"/>
              <a:ea typeface="+mn-ea"/>
              <a:cs typeface="+mn-cs"/>
            </a:defRPr>
          </a:pPr>
          <a:endParaRPr lang="es-CO"/>
        </a:p>
      </c:txPr>
    </c:title>
    <c:autoTitleDeleted val="0"/>
    <c:plotArea>
      <c:layout/>
      <c:barChart>
        <c:barDir val="col"/>
        <c:grouping val="stacked"/>
        <c:varyColors val="0"/>
        <c:ser>
          <c:idx val="0"/>
          <c:order val="0"/>
          <c:tx>
            <c:v>Recursos sin ejecutar</c:v>
          </c:tx>
          <c:spPr>
            <a:solidFill>
              <a:srgbClr val="800000"/>
            </a:solidFill>
            <a:ln>
              <a:noFill/>
            </a:ln>
            <a:effectLst/>
          </c:spPr>
          <c:invertIfNegative val="0"/>
          <c:cat>
            <c:strRef>
              <c:f>'2017'!$B$17:$B$19</c:f>
              <c:strCache>
                <c:ptCount val="3"/>
                <c:pt idx="0">
                  <c:v>Pueblo Wiwa</c:v>
                </c:pt>
                <c:pt idx="1">
                  <c:v>Pueblo Arhuaco</c:v>
                </c:pt>
                <c:pt idx="2">
                  <c:v>Pueblo Kogui</c:v>
                </c:pt>
              </c:strCache>
            </c:strRef>
          </c:cat>
          <c:val>
            <c:numRef>
              <c:f>'2017'!$C$17:$C$19</c:f>
              <c:numCache>
                <c:formatCode>"$"#,##0_);[Red]\("$"#,##0\)</c:formatCode>
                <c:ptCount val="3"/>
                <c:pt idx="0">
                  <c:v>723.89029300000004</c:v>
                </c:pt>
                <c:pt idx="1">
                  <c:v>205.83080799999999</c:v>
                </c:pt>
                <c:pt idx="2">
                  <c:v>1606.7772649999999</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0-EF57-4C14-B10B-39D78578A590}"/>
            </c:ext>
          </c:extLst>
        </c:ser>
        <c:ser>
          <c:idx val="1"/>
          <c:order val="1"/>
          <c:tx>
            <c:v>Recursos ejecutados</c:v>
          </c:tx>
          <c:spPr>
            <a:solidFill>
              <a:srgbClr val="004600"/>
            </a:solidFill>
            <a:ln>
              <a:noFill/>
            </a:ln>
            <a:effectLst/>
          </c:spPr>
          <c:invertIfNegative val="0"/>
          <c:cat>
            <c:strRef>
              <c:f>'2017'!$B$17:$B$19</c:f>
              <c:strCache>
                <c:ptCount val="3"/>
                <c:pt idx="0">
                  <c:v>Pueblo Wiwa</c:v>
                </c:pt>
                <c:pt idx="1">
                  <c:v>Pueblo Arhuaco</c:v>
                </c:pt>
                <c:pt idx="2">
                  <c:v>Pueblo Kogui</c:v>
                </c:pt>
              </c:strCache>
            </c:strRef>
          </c:cat>
          <c:val>
            <c:numRef>
              <c:f>'2017'!$D$17:$D$19</c:f>
              <c:numCache>
                <c:formatCode>"$"#,##0_);[Red]\("$"#,##0\)</c:formatCode>
                <c:ptCount val="3"/>
                <c:pt idx="0">
                  <c:v>518.41663200000005</c:v>
                </c:pt>
                <c:pt idx="1">
                  <c:v>0</c:v>
                </c:pt>
                <c:pt idx="2">
                  <c:v>1206.1966560000001</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1-EF57-4C14-B10B-39D78578A590}"/>
            </c:ext>
          </c:extLst>
        </c:ser>
        <c:dLbls>
          <c:showLegendKey val="0"/>
          <c:showVal val="0"/>
          <c:showCatName val="0"/>
          <c:showSerName val="0"/>
          <c:showPercent val="0"/>
          <c:showBubbleSize val="0"/>
        </c:dLbls>
        <c:gapWidth val="150"/>
        <c:overlap val="100"/>
        <c:axId val="956084080"/>
        <c:axId val="956086992"/>
      </c:barChart>
      <c:catAx>
        <c:axId val="95608408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Narrow" panose="020B0606020202030204" pitchFamily="34" charset="0"/>
                <a:ea typeface="+mn-ea"/>
                <a:cs typeface="+mn-cs"/>
              </a:defRPr>
            </a:pPr>
            <a:endParaRPr lang="es-CO"/>
          </a:p>
        </c:txPr>
        <c:crossAx val="956086992"/>
        <c:crosses val="autoZero"/>
        <c:auto val="1"/>
        <c:lblAlgn val="ctr"/>
        <c:lblOffset val="100"/>
        <c:noMultiLvlLbl val="0"/>
      </c:catAx>
      <c:valAx>
        <c:axId val="956086992"/>
        <c:scaling>
          <c:orientation val="minMax"/>
        </c:scaling>
        <c:delete val="0"/>
        <c:axPos val="l"/>
        <c:majorGridlines>
          <c:spPr>
            <a:ln w="9525" cap="flat" cmpd="sng" algn="ctr">
              <a:solidFill>
                <a:schemeClr val="tx2">
                  <a:lumMod val="15000"/>
                  <a:lumOff val="85000"/>
                </a:schemeClr>
              </a:solidFill>
              <a:round/>
            </a:ln>
            <a:effectLst/>
          </c:spPr>
        </c:majorGridlines>
        <c:numFmt formatCode="&quot;$&quot;#,##0_);[Red]\(&quot;$&quot;#,##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Arial Narrow" panose="020B0606020202030204" pitchFamily="34" charset="0"/>
                <a:ea typeface="+mn-ea"/>
                <a:cs typeface="+mn-cs"/>
              </a:defRPr>
            </a:pPr>
            <a:endParaRPr lang="es-CO"/>
          </a:p>
        </c:txPr>
        <c:crossAx val="956084080"/>
        <c:crosses val="autoZero"/>
        <c:crossBetween val="between"/>
        <c:majorUnit val="1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Narrow" panose="020B0606020202030204" pitchFamily="34" charset="0"/>
              <a:ea typeface="+mn-ea"/>
              <a:cs typeface="+mn-cs"/>
            </a:defRPr>
          </a:pPr>
          <a:endParaRPr lang="es-CO"/>
        </a:p>
      </c:txPr>
    </c:legend>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solidFill>
                <a:latin typeface="+mn-lt"/>
                <a:ea typeface="+mn-ea"/>
                <a:cs typeface="+mn-cs"/>
              </a:defRPr>
            </a:pPr>
            <a:r>
              <a:rPr lang="es-CO" sz="1100">
                <a:latin typeface="Arial Narrow" panose="020B0606020202030204" pitchFamily="34" charset="0"/>
              </a:rPr>
              <a:t>Vigencia 2018</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solidFill>
              <a:latin typeface="+mn-lt"/>
              <a:ea typeface="+mn-ea"/>
              <a:cs typeface="+mn-cs"/>
            </a:defRPr>
          </a:pPr>
          <a:endParaRPr lang="es-CO"/>
        </a:p>
      </c:txPr>
    </c:title>
    <c:autoTitleDeleted val="0"/>
    <c:plotArea>
      <c:layout/>
      <c:barChart>
        <c:barDir val="col"/>
        <c:grouping val="stacked"/>
        <c:varyColors val="0"/>
        <c:ser>
          <c:idx val="0"/>
          <c:order val="0"/>
          <c:tx>
            <c:v>Recursos sin ejecutar</c:v>
          </c:tx>
          <c:spPr>
            <a:solidFill>
              <a:srgbClr val="800000"/>
            </a:solidFill>
            <a:ln>
              <a:noFill/>
            </a:ln>
            <a:effectLst/>
          </c:spPr>
          <c:invertIfNegative val="0"/>
          <c:cat>
            <c:strRef>
              <c:f>'2018'!$B$29:$B$31</c:f>
              <c:strCache>
                <c:ptCount val="3"/>
                <c:pt idx="0">
                  <c:v>Pueblo Wiwa</c:v>
                </c:pt>
                <c:pt idx="1">
                  <c:v>Pueblo Arhuaco</c:v>
                </c:pt>
                <c:pt idx="2">
                  <c:v>Pueblo Kogui</c:v>
                </c:pt>
              </c:strCache>
            </c:strRef>
          </c:cat>
          <c:val>
            <c:numRef>
              <c:f>'2018'!$C$29:$C$31</c:f>
              <c:numCache>
                <c:formatCode>"$"#,##0_);[Red]\("$"#,##0\)</c:formatCode>
                <c:ptCount val="3"/>
                <c:pt idx="0">
                  <c:v>1106.184808</c:v>
                </c:pt>
                <c:pt idx="1">
                  <c:v>396.97806600000001</c:v>
                </c:pt>
                <c:pt idx="2" formatCode="_(&quot;$&quot;* #,##0_);_(&quot;$&quot;* \(#,##0\);_(&quot;$&quot;* &quot;-&quot;_);_(@_)">
                  <c:v>2592.2205690000001</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0-8079-4060-AD42-C0CABC78374C}"/>
            </c:ext>
          </c:extLst>
        </c:ser>
        <c:ser>
          <c:idx val="1"/>
          <c:order val="1"/>
          <c:tx>
            <c:v>Recursos ejecutados</c:v>
          </c:tx>
          <c:spPr>
            <a:solidFill>
              <a:srgbClr val="004600"/>
            </a:solidFill>
            <a:ln>
              <a:noFill/>
            </a:ln>
            <a:effectLst/>
          </c:spPr>
          <c:invertIfNegative val="0"/>
          <c:cat>
            <c:strRef>
              <c:f>'2018'!$B$29:$B$31</c:f>
              <c:strCache>
                <c:ptCount val="3"/>
                <c:pt idx="0">
                  <c:v>Pueblo Wiwa</c:v>
                </c:pt>
                <c:pt idx="1">
                  <c:v>Pueblo Arhuaco</c:v>
                </c:pt>
                <c:pt idx="2">
                  <c:v>Pueblo Kogui</c:v>
                </c:pt>
              </c:strCache>
            </c:strRef>
          </c:cat>
          <c:val>
            <c:numRef>
              <c:f>'2018'!$D$29:$D$31</c:f>
              <c:numCache>
                <c:formatCode>"$"#,##0_);[Red]\("$"#,##0\)</c:formatCode>
                <c:ptCount val="3"/>
                <c:pt idx="0">
                  <c:v>0</c:v>
                </c:pt>
                <c:pt idx="1">
                  <c:v>0</c:v>
                </c:pt>
                <c:pt idx="2" formatCode="_(&quot;$&quot;* #,##0_);_(&quot;$&quot;* \(#,##0\);_(&quot;$&quot;* &quot;-&quot;_);_(@_)">
                  <c:v>352.58749999999998</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1-8079-4060-AD42-C0CABC78374C}"/>
            </c:ext>
          </c:extLst>
        </c:ser>
        <c:dLbls>
          <c:showLegendKey val="0"/>
          <c:showVal val="0"/>
          <c:showCatName val="0"/>
          <c:showSerName val="0"/>
          <c:showPercent val="0"/>
          <c:showBubbleSize val="0"/>
        </c:dLbls>
        <c:gapWidth val="150"/>
        <c:overlap val="100"/>
        <c:axId val="1622508159"/>
        <c:axId val="1622504831"/>
      </c:barChart>
      <c:catAx>
        <c:axId val="1622508159"/>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Narrow" panose="020B0606020202030204" pitchFamily="34" charset="0"/>
                <a:ea typeface="+mn-ea"/>
                <a:cs typeface="+mn-cs"/>
              </a:defRPr>
            </a:pPr>
            <a:endParaRPr lang="es-CO"/>
          </a:p>
        </c:txPr>
        <c:crossAx val="1622504831"/>
        <c:crosses val="autoZero"/>
        <c:auto val="1"/>
        <c:lblAlgn val="ctr"/>
        <c:lblOffset val="100"/>
        <c:noMultiLvlLbl val="0"/>
      </c:catAx>
      <c:valAx>
        <c:axId val="1622504831"/>
        <c:scaling>
          <c:orientation val="minMax"/>
        </c:scaling>
        <c:delete val="0"/>
        <c:axPos val="l"/>
        <c:majorGridlines>
          <c:spPr>
            <a:ln w="9525" cap="flat" cmpd="sng" algn="ctr">
              <a:solidFill>
                <a:schemeClr val="tx2">
                  <a:lumMod val="15000"/>
                  <a:lumOff val="85000"/>
                </a:schemeClr>
              </a:solidFill>
              <a:round/>
            </a:ln>
            <a:effectLst/>
          </c:spPr>
        </c:majorGridlines>
        <c:numFmt formatCode="&quot;$&quot;#,##0_);[Red]\(&quot;$&quot;#,##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Arial Narrow" panose="020B0606020202030204" pitchFamily="34" charset="0"/>
                <a:ea typeface="+mn-ea"/>
                <a:cs typeface="+mn-cs"/>
              </a:defRPr>
            </a:pPr>
            <a:endParaRPr lang="es-CO"/>
          </a:p>
        </c:txPr>
        <c:crossAx val="1622508159"/>
        <c:crosses val="autoZero"/>
        <c:crossBetween val="between"/>
        <c:majorUnit val="1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Narrow" panose="020B0606020202030204" pitchFamily="34" charset="0"/>
              <a:ea typeface="+mn-ea"/>
              <a:cs typeface="+mn-cs"/>
            </a:defRPr>
          </a:pPr>
          <a:endParaRPr lang="es-CO"/>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defRPr>
      </a:pPr>
      <a:endParaRPr lang="es-C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Hoja3!$H$29</c:f>
              <c:strCache>
                <c:ptCount val="1"/>
                <c:pt idx="0">
                  <c:v>Proyectos priorizados</c:v>
                </c:pt>
              </c:strCache>
            </c:strRef>
          </c:tx>
          <c:spPr>
            <a:solidFill>
              <a:schemeClr val="tx2">
                <a:lumMod val="50000"/>
              </a:schemeClr>
            </a:solidFill>
            <a:ln>
              <a:noFill/>
            </a:ln>
            <a:effectLst/>
          </c:spPr>
          <c:invertIfNegative val="0"/>
          <c:cat>
            <c:numRef>
              <c:f>Hoja3!$I$28:$J$28</c:f>
              <c:numCache>
                <c:formatCode>General</c:formatCode>
                <c:ptCount val="2"/>
                <c:pt idx="0">
                  <c:v>2017</c:v>
                </c:pt>
                <c:pt idx="1">
                  <c:v>2018</c:v>
                </c:pt>
              </c:numCache>
            </c:numRef>
          </c:cat>
          <c:val>
            <c:numRef>
              <c:f>Hoja3!$I$29:$J$29</c:f>
              <c:numCache>
                <c:formatCode>General</c:formatCode>
                <c:ptCount val="2"/>
                <c:pt idx="0">
                  <c:v>21</c:v>
                </c:pt>
                <c:pt idx="1">
                  <c:v>15</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0-D43A-4A8D-ACDC-135662AE52B6}"/>
            </c:ext>
          </c:extLst>
        </c:ser>
        <c:ser>
          <c:idx val="1"/>
          <c:order val="1"/>
          <c:tx>
            <c:strRef>
              <c:f>Hoja3!$H$30</c:f>
              <c:strCache>
                <c:ptCount val="1"/>
                <c:pt idx="0">
                  <c:v>Proyectos ejecutados</c:v>
                </c:pt>
              </c:strCache>
            </c:strRef>
          </c:tx>
          <c:spPr>
            <a:solidFill>
              <a:srgbClr val="D56509"/>
            </a:solidFill>
            <a:ln>
              <a:noFill/>
            </a:ln>
            <a:effectLst/>
          </c:spPr>
          <c:invertIfNegative val="0"/>
          <c:cat>
            <c:numRef>
              <c:f>Hoja3!$I$28:$J$28</c:f>
              <c:numCache>
                <c:formatCode>General</c:formatCode>
                <c:ptCount val="2"/>
                <c:pt idx="0">
                  <c:v>2017</c:v>
                </c:pt>
                <c:pt idx="1">
                  <c:v>2018</c:v>
                </c:pt>
              </c:numCache>
            </c:numRef>
          </c:cat>
          <c:val>
            <c:numRef>
              <c:f>Hoja3!$I$30:$J$30</c:f>
              <c:numCache>
                <c:formatCode>General</c:formatCode>
                <c:ptCount val="2"/>
                <c:pt idx="0">
                  <c:v>3</c:v>
                </c:pt>
                <c:pt idx="1">
                  <c:v>1</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1-D43A-4A8D-ACDC-135662AE52B6}"/>
            </c:ext>
          </c:extLst>
        </c:ser>
        <c:dLbls>
          <c:showLegendKey val="0"/>
          <c:showVal val="0"/>
          <c:showCatName val="0"/>
          <c:showSerName val="0"/>
          <c:showPercent val="0"/>
          <c:showBubbleSize val="0"/>
        </c:dLbls>
        <c:gapWidth val="100"/>
        <c:overlap val="-24"/>
        <c:axId val="1959898239"/>
        <c:axId val="1959885759"/>
      </c:barChart>
      <c:catAx>
        <c:axId val="1959898239"/>
        <c:scaling>
          <c:orientation val="minMax"/>
        </c:scaling>
        <c:delete val="0"/>
        <c:axPos val="b"/>
        <c:title>
          <c:tx>
            <c:rich>
              <a:bodyPr rot="0" spcFirstLastPara="1" vertOverflow="ellipsis" vert="horz" wrap="square" anchor="ctr" anchorCtr="1"/>
              <a:lstStyle/>
              <a:p>
                <a:pPr>
                  <a:defRPr sz="800" b="1" i="0" u="none" strike="noStrike" kern="1200" baseline="0">
                    <a:solidFill>
                      <a:schemeClr val="tx1"/>
                    </a:solidFill>
                    <a:latin typeface="Arial Narrow" panose="020B0606020202030204" pitchFamily="34" charset="0"/>
                    <a:ea typeface="+mn-ea"/>
                    <a:cs typeface="+mn-cs"/>
                  </a:defRPr>
                </a:pPr>
                <a:r>
                  <a:rPr lang="es-CO" sz="800">
                    <a:latin typeface="Arial Narrow" panose="020B0606020202030204" pitchFamily="34" charset="0"/>
                  </a:rPr>
                  <a:t>Vigencias</a:t>
                </a:r>
              </a:p>
            </c:rich>
          </c:tx>
          <c:layout>
            <c:manualLayout>
              <c:xMode val="edge"/>
              <c:yMode val="edge"/>
              <c:x val="0.4428895896612432"/>
              <c:y val="0.73062575332589863"/>
            </c:manualLayout>
          </c:layout>
          <c:overlay val="0"/>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Arial Narrow" panose="020B0606020202030204" pitchFamily="34" charset="0"/>
                  <a:ea typeface="+mn-ea"/>
                  <a:cs typeface="+mn-cs"/>
                </a:defRPr>
              </a:pPr>
              <a:endParaRPr lang="es-CO"/>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Narrow" panose="020B0606020202030204" pitchFamily="34" charset="0"/>
                <a:ea typeface="+mn-ea"/>
                <a:cs typeface="+mn-cs"/>
              </a:defRPr>
            </a:pPr>
            <a:endParaRPr lang="es-CO"/>
          </a:p>
        </c:txPr>
        <c:crossAx val="1959885759"/>
        <c:crosses val="autoZero"/>
        <c:auto val="1"/>
        <c:lblAlgn val="ctr"/>
        <c:lblOffset val="100"/>
        <c:noMultiLvlLbl val="0"/>
      </c:catAx>
      <c:valAx>
        <c:axId val="1959885759"/>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chemeClr val="tx1"/>
                    </a:solidFill>
                    <a:latin typeface="Arial Narrow" panose="020B0606020202030204" pitchFamily="34" charset="0"/>
                    <a:ea typeface="+mn-ea"/>
                    <a:cs typeface="+mn-cs"/>
                  </a:defRPr>
                </a:pPr>
                <a:r>
                  <a:rPr lang="es-CO" sz="800">
                    <a:latin typeface="Arial Narrow" panose="020B0606020202030204" pitchFamily="34" charset="0"/>
                  </a:rPr>
                  <a:t>Número de proyectos</a:t>
                </a:r>
              </a:p>
            </c:rich>
          </c:tx>
          <c:layout>
            <c:manualLayout>
              <c:xMode val="edge"/>
              <c:yMode val="edge"/>
              <c:x val="3.6036036036036036E-2"/>
              <c:y val="0.16463519313304723"/>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chemeClr val="tx1"/>
                  </a:solidFill>
                  <a:latin typeface="Arial Narrow" panose="020B0606020202030204" pitchFamily="34" charset="0"/>
                  <a:ea typeface="+mn-ea"/>
                  <a:cs typeface="+mn-cs"/>
                </a:defRPr>
              </a:pPr>
              <a:endParaRPr lang="es-CO"/>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CO"/>
          </a:p>
        </c:txPr>
        <c:crossAx val="19598982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Narrow" panose="020B0606020202030204" pitchFamily="34" charset="0"/>
              <a:ea typeface="+mn-ea"/>
              <a:cs typeface="+mn-cs"/>
            </a:defRPr>
          </a:pPr>
          <a:endParaRPr lang="es-CO"/>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defRPr>
      </a:pPr>
      <a:endParaRPr lang="es-CO"/>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solidFill>
                <a:latin typeface="Arial Narrow" panose="020B0606020202030204" pitchFamily="34" charset="0"/>
                <a:ea typeface="+mn-ea"/>
                <a:cs typeface="+mn-cs"/>
              </a:defRPr>
            </a:pPr>
            <a:r>
              <a:rPr lang="es-CO" sz="1100"/>
              <a:t>Vigencia 2017</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solidFill>
              <a:latin typeface="Arial Narrow" panose="020B0606020202030204" pitchFamily="34" charset="0"/>
              <a:ea typeface="+mn-ea"/>
              <a:cs typeface="+mn-cs"/>
            </a:defRPr>
          </a:pPr>
          <a:endParaRPr lang="es-CO"/>
        </a:p>
      </c:txPr>
    </c:title>
    <c:autoTitleDeleted val="0"/>
    <c:plotArea>
      <c:layout/>
      <c:barChart>
        <c:barDir val="bar"/>
        <c:grouping val="clustered"/>
        <c:varyColors val="0"/>
        <c:ser>
          <c:idx val="0"/>
          <c:order val="0"/>
          <c:tx>
            <c:strRef>
              <c:f>Hoja3!$C$2</c:f>
              <c:strCache>
                <c:ptCount val="1"/>
                <c:pt idx="0">
                  <c:v>Proyectos priorizados</c:v>
                </c:pt>
              </c:strCache>
            </c:strRef>
          </c:tx>
          <c:spPr>
            <a:solidFill>
              <a:schemeClr val="tx2">
                <a:lumMod val="50000"/>
              </a:schemeClr>
            </a:solidFill>
            <a:ln>
              <a:noFill/>
            </a:ln>
            <a:effectLst/>
          </c:spPr>
          <c:invertIfNegative val="0"/>
          <c:cat>
            <c:strRef>
              <c:f>Hoja3!$B$3:$B$8</c:f>
              <c:strCache>
                <c:ptCount val="6"/>
                <c:pt idx="0">
                  <c:v>Desarrollo Agropecuario</c:v>
                </c:pt>
                <c:pt idx="1">
                  <c:v>Salud</c:v>
                </c:pt>
                <c:pt idx="2">
                  <c:v>Educación</c:v>
                </c:pt>
                <c:pt idx="3">
                  <c:v>Infraestructura</c:v>
                </c:pt>
                <c:pt idx="4">
                  <c:v>Cultura</c:v>
                </c:pt>
                <c:pt idx="5">
                  <c:v>Interventoría</c:v>
                </c:pt>
              </c:strCache>
            </c:strRef>
          </c:cat>
          <c:val>
            <c:numRef>
              <c:f>Hoja3!$C$3:$C$8</c:f>
              <c:numCache>
                <c:formatCode>General</c:formatCode>
                <c:ptCount val="6"/>
                <c:pt idx="0">
                  <c:v>5</c:v>
                </c:pt>
                <c:pt idx="1">
                  <c:v>3</c:v>
                </c:pt>
                <c:pt idx="2">
                  <c:v>8</c:v>
                </c:pt>
                <c:pt idx="3">
                  <c:v>2</c:v>
                </c:pt>
                <c:pt idx="4">
                  <c:v>2</c:v>
                </c:pt>
                <c:pt idx="5">
                  <c:v>1</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0-279B-434D-9205-068ED7A53708}"/>
            </c:ext>
          </c:extLst>
        </c:ser>
        <c:ser>
          <c:idx val="1"/>
          <c:order val="1"/>
          <c:tx>
            <c:strRef>
              <c:f>Hoja3!$D$2</c:f>
              <c:strCache>
                <c:ptCount val="1"/>
                <c:pt idx="0">
                  <c:v>Proyectos ejecutados</c:v>
                </c:pt>
              </c:strCache>
            </c:strRef>
          </c:tx>
          <c:spPr>
            <a:solidFill>
              <a:srgbClr val="D56509"/>
            </a:solidFill>
            <a:ln>
              <a:noFill/>
            </a:ln>
            <a:effectLst/>
          </c:spPr>
          <c:invertIfNegative val="0"/>
          <c:cat>
            <c:strRef>
              <c:f>Hoja3!$B$3:$B$8</c:f>
              <c:strCache>
                <c:ptCount val="6"/>
                <c:pt idx="0">
                  <c:v>Desarrollo Agropecuario</c:v>
                </c:pt>
                <c:pt idx="1">
                  <c:v>Salud</c:v>
                </c:pt>
                <c:pt idx="2">
                  <c:v>Educación</c:v>
                </c:pt>
                <c:pt idx="3">
                  <c:v>Infraestructura</c:v>
                </c:pt>
                <c:pt idx="4">
                  <c:v>Cultura</c:v>
                </c:pt>
                <c:pt idx="5">
                  <c:v>Interventoría</c:v>
                </c:pt>
              </c:strCache>
            </c:strRef>
          </c:cat>
          <c:val>
            <c:numRef>
              <c:f>Hoja3!$D$3:$D$8</c:f>
              <c:numCache>
                <c:formatCode>General</c:formatCode>
                <c:ptCount val="6"/>
                <c:pt idx="0">
                  <c:v>1</c:v>
                </c:pt>
                <c:pt idx="2">
                  <c:v>1</c:v>
                </c:pt>
                <c:pt idx="3">
                  <c:v>1</c:v>
                </c:pt>
                <c:pt idx="4">
                  <c:v>0</c:v>
                </c:pt>
                <c:pt idx="5">
                  <c:v>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1-279B-434D-9205-068ED7A53708}"/>
            </c:ext>
          </c:extLst>
        </c:ser>
        <c:dLbls>
          <c:showLegendKey val="0"/>
          <c:showVal val="0"/>
          <c:showCatName val="0"/>
          <c:showSerName val="0"/>
          <c:showPercent val="0"/>
          <c:showBubbleSize val="0"/>
        </c:dLbls>
        <c:gapWidth val="100"/>
        <c:axId val="1959884927"/>
        <c:axId val="1959887007"/>
      </c:barChart>
      <c:catAx>
        <c:axId val="1959884927"/>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Narrow" panose="020B0606020202030204" pitchFamily="34" charset="0"/>
                <a:ea typeface="+mn-ea"/>
                <a:cs typeface="+mn-cs"/>
              </a:defRPr>
            </a:pPr>
            <a:endParaRPr lang="es-CO"/>
          </a:p>
        </c:txPr>
        <c:crossAx val="1959887007"/>
        <c:crosses val="autoZero"/>
        <c:auto val="1"/>
        <c:lblAlgn val="ctr"/>
        <c:lblOffset val="100"/>
        <c:noMultiLvlLbl val="0"/>
      </c:catAx>
      <c:valAx>
        <c:axId val="1959887007"/>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Narrow" panose="020B0606020202030204" pitchFamily="34" charset="0"/>
                <a:ea typeface="+mn-ea"/>
                <a:cs typeface="+mn-cs"/>
              </a:defRPr>
            </a:pPr>
            <a:endParaRPr lang="es-CO"/>
          </a:p>
        </c:txPr>
        <c:crossAx val="19598849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Narrow" panose="020B0606020202030204" pitchFamily="34" charset="0"/>
              <a:ea typeface="+mn-ea"/>
              <a:cs typeface="+mn-cs"/>
            </a:defRPr>
          </a:pPr>
          <a:endParaRPr lang="es-CO"/>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Arial Narrow" panose="020B0606020202030204" pitchFamily="34" charset="0"/>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0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30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7.xml><?xml version="1.0" encoding="utf-8"?>
<cs:chartStyle xmlns:cs="http://schemas.microsoft.com/office/drawing/2012/chartStyle" xmlns:a="http://schemas.openxmlformats.org/drawingml/2006/main" id="30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8.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9.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22" ma:contentTypeDescription="Crear nuevo documento." ma:contentTypeScope="" ma:versionID="d2b44dcc1be2a6eb7d5d2a070cd591ba">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cbf61a37edbe6e8f3e7110e03bf44159"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element ref="ns2:Fecha1" minOccurs="0"/>
                <xsd:element ref="ns2:Cargado" minOccurs="0"/>
                <xsd:element ref="ns2:lcf76f155ced4ddcb4097134ff3c332f" minOccurs="0"/>
                <xsd:element ref="ns3:TaxCatchAll" minOccurs="0"/>
                <xsd:element ref="ns2:MediaServiceObjectDetectorVersions" minOccurs="0"/>
                <xsd:element ref="ns2:SEMANA"/>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element name="Fecha1" ma:index="22" nillable="true" ma:displayName="Fecha 1" ma:format="DateOnly" ma:internalName="Fecha1">
      <xsd:simpleType>
        <xsd:restriction base="dms:DateTime"/>
      </xsd:simpleType>
    </xsd:element>
    <xsd:element name="Cargado" ma:index="23" nillable="true" ma:displayName="Cargado" ma:default="0" ma:description="Indica si está almacenado o no en el repositorio de consulta general" ma:format="Dropdown" ma:internalName="Cargado">
      <xsd:simpleType>
        <xsd:restriction base="dms:Boolea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25bf450d-cec3-4795-b03d-1d61ae301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EMANA" ma:index="28" ma:displayName="SEMANA" ma:description="ENTREGAS SEMANALES DE INSUMOS O ACTIVIDADES" ma:format="Dropdown" ma:internalName="SEMANA">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99231f5a-170f-4086-936b-0e42a68a9da3}" ma:internalName="TaxCatchAll" ma:showField="CatchAllData" ma:web="fb81f478-06d5-40fe-9ac3-32aa24d1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Fecha xmlns="2b710913-f553-4708-ac69-012d148fa8aa" xsi:nil="true"/>
    <Fecha1 xmlns="2b710913-f553-4708-ac69-012d148fa8aa" xsi:nil="true"/>
    <Cargado xmlns="2b710913-f553-4708-ac69-012d148fa8aa">false</Cargado>
    <lcf76f155ced4ddcb4097134ff3c332f xmlns="2b710913-f553-4708-ac69-012d148fa8aa">
      <Terms xmlns="http://schemas.microsoft.com/office/infopath/2007/PartnerControls"/>
    </lcf76f155ced4ddcb4097134ff3c332f>
    <SEMANA xmlns="2b710913-f553-4708-ac69-012d148fa8aa"/>
    <TaxCatchAll xmlns="fb81f478-06d5-40fe-9ac3-32aa24d1e628" xsi:nil="true"/>
  </documentManagement>
</p:properties>
</file>

<file path=customXml/item4.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XSL"/>
</file>

<file path=customXml/itemProps1.xml><?xml version="1.0" encoding="utf-8"?>
<ds:datastoreItem xmlns:ds="http://schemas.openxmlformats.org/officeDocument/2006/customXml" ds:itemID="{FADBE196-B816-4A66-9149-D08CBC40413F}">
  <ds:schemaRefs>
    <ds:schemaRef ds:uri="http://schemas.microsoft.com/sharepoint/v3/contenttype/forms"/>
  </ds:schemaRefs>
</ds:datastoreItem>
</file>

<file path=customXml/itemProps2.xml><?xml version="1.0" encoding="utf-8"?>
<ds:datastoreItem xmlns:ds="http://schemas.openxmlformats.org/officeDocument/2006/customXml" ds:itemID="{8419C06F-131E-4D51-976B-62FF27E7DB3A}"/>
</file>

<file path=customXml/itemProps3.xml><?xml version="1.0" encoding="utf-8"?>
<ds:datastoreItem xmlns:ds="http://schemas.openxmlformats.org/officeDocument/2006/customXml" ds:itemID="{8E926DDA-0DF3-42B1-BC79-847C0AEF4A7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D8D1200-3193-4F29-AD8A-563CF35533DF}">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Plantilla_Oficio_Comunicación_Oficial_Enviada</Template>
  <TotalTime>0</TotalTime>
  <Pages>63</Pages>
  <Words>26722</Words>
  <Characters>146976</Characters>
  <Application>Microsoft Office Word</Application>
  <DocSecurity>0</DocSecurity>
  <Lines>1224</Lines>
  <Paragraphs>346</Paragraphs>
  <ScaleCrop>false</ScaleCrop>
  <HeadingPairs>
    <vt:vector size="2" baseType="variant">
      <vt:variant>
        <vt:lpstr>Título</vt:lpstr>
      </vt:variant>
      <vt:variant>
        <vt:i4>1</vt:i4>
      </vt:variant>
    </vt:vector>
  </HeadingPairs>
  <TitlesOfParts>
    <vt:vector size="1" baseType="lpstr">
      <vt:lpstr>Oficio</vt:lpstr>
    </vt:vector>
  </TitlesOfParts>
  <Company>Ministerio de Hacienda y Crédito Público</Company>
  <LinksUpToDate>false</LinksUpToDate>
  <CharactersWithSpaces>173352</CharactersWithSpaces>
  <SharedDoc>false</SharedDoc>
  <HLinks>
    <vt:vector size="78" baseType="variant">
      <vt:variant>
        <vt:i4>4259927</vt:i4>
      </vt:variant>
      <vt:variant>
        <vt:i4>6</vt:i4>
      </vt:variant>
      <vt:variant>
        <vt:i4>0</vt:i4>
      </vt:variant>
      <vt:variant>
        <vt:i4>5</vt:i4>
      </vt:variant>
      <vt:variant>
        <vt:lpwstr>http://www.contaduria.gov.co/wps/wcm/connect/ce697a51-c9a0-4389-82ba-b62120813d84/Res_+620.pdf?MOD=AJPERES&amp;CONVERT_TO=url&amp;CACHEID=ce697a51-c9a0-4389-82ba-b62120813d84</vt:lpwstr>
      </vt:variant>
      <vt:variant>
        <vt:lpwstr/>
      </vt:variant>
      <vt:variant>
        <vt:i4>917523</vt:i4>
      </vt:variant>
      <vt:variant>
        <vt:i4>3</vt:i4>
      </vt:variant>
      <vt:variant>
        <vt:i4>0</vt:i4>
      </vt:variant>
      <vt:variant>
        <vt:i4>5</vt:i4>
      </vt:variant>
      <vt:variant>
        <vt:lpwstr>https://colaboracion.dnp.gov.co/CDT/Normograma/Lineamiento Ministerio  de Hacienda y Credito P%C3%BAblico.pdf</vt:lpwstr>
      </vt:variant>
      <vt:variant>
        <vt:lpwstr/>
      </vt:variant>
      <vt:variant>
        <vt:i4>4259927</vt:i4>
      </vt:variant>
      <vt:variant>
        <vt:i4>0</vt:i4>
      </vt:variant>
      <vt:variant>
        <vt:i4>0</vt:i4>
      </vt:variant>
      <vt:variant>
        <vt:i4>5</vt:i4>
      </vt:variant>
      <vt:variant>
        <vt:lpwstr>http://www.contaduria.gov.co/wps/wcm/connect/ce697a51-c9a0-4389-82ba-b62120813d84/Res_+620.pdf?MOD=AJPERES&amp;CONVERT_TO=url&amp;CACHEID=ce697a51-c9a0-4389-82ba-b62120813d84</vt:lpwstr>
      </vt:variant>
      <vt:variant>
        <vt:lpwstr/>
      </vt:variant>
      <vt:variant>
        <vt:i4>2031706</vt:i4>
      </vt:variant>
      <vt:variant>
        <vt:i4>33</vt:i4>
      </vt:variant>
      <vt:variant>
        <vt:i4>0</vt:i4>
      </vt:variant>
      <vt:variant>
        <vt:i4>5</vt:i4>
      </vt:variant>
      <vt:variant>
        <vt:lpwstr>https://sintesis.colombiacompra.gov.co/sintesis/3-etapa-contractual-equilibrio-econ%C3%B3mico</vt:lpwstr>
      </vt:variant>
      <vt:variant>
        <vt:lpwstr/>
      </vt:variant>
      <vt:variant>
        <vt:i4>917521</vt:i4>
      </vt:variant>
      <vt:variant>
        <vt:i4>30</vt:i4>
      </vt:variant>
      <vt:variant>
        <vt:i4>0</vt:i4>
      </vt:variant>
      <vt:variant>
        <vt:i4>5</vt:i4>
      </vt:variant>
      <vt:variant>
        <vt:lpwstr>https://sintesis.colombiacompra.gov.co/sintesis/1-etapa-precontractual-principios-de-la contrataci%C3%B3n-estatal</vt:lpwstr>
      </vt:variant>
      <vt:variant>
        <vt:lpwstr/>
      </vt:variant>
      <vt:variant>
        <vt:i4>6094960</vt:i4>
      </vt:variant>
      <vt:variant>
        <vt:i4>27</vt:i4>
      </vt:variant>
      <vt:variant>
        <vt:i4>0</vt:i4>
      </vt:variant>
      <vt:variant>
        <vt:i4>5</vt:i4>
      </vt:variant>
      <vt:variant>
        <vt:lpwstr>https://www.colombiacompra.gov.co/sites/cce_public/files/cce_documents/cce_guia_obra_publica.pdf</vt:lpwstr>
      </vt:variant>
      <vt:variant>
        <vt:lpwstr/>
      </vt:variant>
      <vt:variant>
        <vt:i4>1376334</vt:i4>
      </vt:variant>
      <vt:variant>
        <vt:i4>24</vt:i4>
      </vt:variant>
      <vt:variant>
        <vt:i4>0</vt:i4>
      </vt:variant>
      <vt:variant>
        <vt:i4>5</vt:i4>
      </vt:variant>
      <vt:variant>
        <vt:lpwstr>https://www.rues.org.co/ESAL</vt:lpwstr>
      </vt:variant>
      <vt:variant>
        <vt:lpwstr/>
      </vt:variant>
      <vt:variant>
        <vt:i4>1376334</vt:i4>
      </vt:variant>
      <vt:variant>
        <vt:i4>21</vt:i4>
      </vt:variant>
      <vt:variant>
        <vt:i4>0</vt:i4>
      </vt:variant>
      <vt:variant>
        <vt:i4>5</vt:i4>
      </vt:variant>
      <vt:variant>
        <vt:lpwstr>https://www.rues.org.co/ESAL</vt:lpwstr>
      </vt:variant>
      <vt:variant>
        <vt:lpwstr/>
      </vt:variant>
      <vt:variant>
        <vt:i4>4915291</vt:i4>
      </vt:variant>
      <vt:variant>
        <vt:i4>18</vt:i4>
      </vt:variant>
      <vt:variant>
        <vt:i4>0</vt:i4>
      </vt:variant>
      <vt:variant>
        <vt:i4>5</vt:i4>
      </vt:variant>
      <vt:variant>
        <vt:lpwstr>http://linea.ccb.org.co/descripcionciiu/</vt:lpwstr>
      </vt:variant>
      <vt:variant>
        <vt:lpwstr/>
      </vt:variant>
      <vt:variant>
        <vt:i4>2293804</vt:i4>
      </vt:variant>
      <vt:variant>
        <vt:i4>15</vt:i4>
      </vt:variant>
      <vt:variant>
        <vt:i4>0</vt:i4>
      </vt:variant>
      <vt:variant>
        <vt:i4>5</vt:i4>
      </vt:variant>
      <vt:variant>
        <vt:lpwstr>https://www.colombiacompra.gov.co/sites/default/files/manuales/cce_guia_estudio_sector_web.pdf</vt:lpwstr>
      </vt:variant>
      <vt:variant>
        <vt:lpwstr/>
      </vt:variant>
      <vt:variant>
        <vt:i4>2031706</vt:i4>
      </vt:variant>
      <vt:variant>
        <vt:i4>12</vt:i4>
      </vt:variant>
      <vt:variant>
        <vt:i4>0</vt:i4>
      </vt:variant>
      <vt:variant>
        <vt:i4>5</vt:i4>
      </vt:variant>
      <vt:variant>
        <vt:lpwstr>https://sintesis.colombiacompra.gov.co/sintesis/3-etapa-contractual-equilibrio-econ%C3%B3mico</vt:lpwstr>
      </vt:variant>
      <vt:variant>
        <vt:lpwstr/>
      </vt:variant>
      <vt:variant>
        <vt:i4>917521</vt:i4>
      </vt:variant>
      <vt:variant>
        <vt:i4>9</vt:i4>
      </vt:variant>
      <vt:variant>
        <vt:i4>0</vt:i4>
      </vt:variant>
      <vt:variant>
        <vt:i4>5</vt:i4>
      </vt:variant>
      <vt:variant>
        <vt:lpwstr>https://sintesis.colombiacompra.gov.co/sintesis/1-etapa-precontractual-principios-de-la contrataci%C3%B3n-estatal</vt:lpwstr>
      </vt:variant>
      <vt:variant>
        <vt:lpwstr/>
      </vt:variant>
      <vt:variant>
        <vt:i4>3604582</vt:i4>
      </vt:variant>
      <vt:variant>
        <vt:i4>0</vt:i4>
      </vt:variant>
      <vt:variant>
        <vt:i4>0</vt:i4>
      </vt:variant>
      <vt:variant>
        <vt:i4>5</vt:i4>
      </vt:variant>
      <vt:variant>
        <vt:lpwstr>https://muisca.dian.gov.co/WebRutMuisca/DefConsultaEstadoRUT.faces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dc:title>
  <dc:subject>Plantilla Oficio - Comunicacion Oficial Enviada</dc:subject>
  <dc:creator>Freddy Jaramillo Orozco</dc:creator>
  <dc:description>Octubre de 2014</dc:description>
  <cp:lastModifiedBy>Pablo Andres Parra Cubides</cp:lastModifiedBy>
  <cp:revision>2</cp:revision>
  <cp:lastPrinted>2015-12-16T15:04:00Z</cp:lastPrinted>
  <dcterms:created xsi:type="dcterms:W3CDTF">2022-06-18T04:20:00Z</dcterms:created>
  <dcterms:modified xsi:type="dcterms:W3CDTF">2022-06-18T04:20:00Z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0x0101005E9E5816CD457649A2FC257344E438ED</vt:lpwstr>
  </property>
  <property fmtid="{D5CDD505-2E9C-101B-9397-08002B2CF9AE}" pid="3" name="_dlc_DocIdItemGuid">
    <vt:lpwstr>32ad9c75-59dc-440c-a5b9-740cae9ef08c</vt:lpwstr>
  </property>
</Properties>
</file>